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206375</wp:posOffset>
            </wp:positionH>
            <wp:positionV relativeFrom="page">
              <wp:posOffset>686435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711200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4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00"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2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color w:val="auto"/>
        </w:rPr>
        <w:t>_____________________</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35" w:lineRule="exact"/>
        <w:rPr>
          <w:sz w:val="24"/>
          <w:szCs w:val="24"/>
          <w:color w:val="auto"/>
        </w:rPr>
      </w:pPr>
    </w:p>
    <w:p>
      <w:pPr>
        <w:ind w:left="1020" w:hanging="388"/>
        <w:spacing w:after="0"/>
        <w:tabs>
          <w:tab w:leader="none" w:pos="10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124" w:lineRule="exact"/>
        <w:rPr>
          <w:rFonts w:ascii="MS PGothic" w:cs="MS PGothic" w:eastAsia="MS PGothic" w:hAnsi="MS PGothic"/>
          <w:sz w:val="21"/>
          <w:szCs w:val="21"/>
          <w:color w:val="auto"/>
        </w:rPr>
      </w:pPr>
    </w:p>
    <w:p>
      <w:pPr>
        <w:ind w:left="4140"/>
        <w:spacing w:after="0"/>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For the fiscal year ended January 31, 2025</w:t>
      </w:r>
    </w:p>
    <w:p>
      <w:pPr>
        <w:spacing w:after="0" w:line="118" w:lineRule="exact"/>
        <w:rPr>
          <w:rFonts w:ascii="MS PGothic" w:cs="MS PGothic" w:eastAsia="MS PGothic" w:hAnsi="MS PGothic"/>
          <w:sz w:val="21"/>
          <w:szCs w:val="21"/>
          <w:color w:val="auto"/>
        </w:rPr>
      </w:pPr>
    </w:p>
    <w:p>
      <w:pPr>
        <w:ind w:left="5500"/>
        <w:spacing w:after="0"/>
        <w:rPr>
          <w:rFonts w:ascii="MS PGothic" w:cs="MS PGothic" w:eastAsia="MS PGothic" w:hAnsi="MS PGothic"/>
          <w:sz w:val="21"/>
          <w:szCs w:val="21"/>
          <w:color w:val="auto"/>
        </w:rPr>
      </w:pPr>
      <w:r>
        <w:rPr>
          <w:rFonts w:ascii="Times New Roman" w:cs="Times New Roman" w:eastAsia="Times New Roman" w:hAnsi="Times New Roman"/>
          <w:sz w:val="17"/>
          <w:szCs w:val="17"/>
          <w:color w:val="auto"/>
        </w:rPr>
        <w:t>OR</w:t>
      </w:r>
    </w:p>
    <w:p>
      <w:pPr>
        <w:spacing w:after="0" w:line="138" w:lineRule="exact"/>
        <w:rPr>
          <w:sz w:val="24"/>
          <w:szCs w:val="24"/>
          <w:color w:val="auto"/>
        </w:rPr>
      </w:pPr>
    </w:p>
    <w:p>
      <w:pPr>
        <w:ind w:left="1000" w:hanging="368"/>
        <w:spacing w:after="0"/>
        <w:tabs>
          <w:tab w:leader="none" w:pos="10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4100" w:type="dxa"/>
        <w:tblCellMar>
          <w:top w:w="0" w:type="dxa"/>
          <w:left w:w="0" w:type="dxa"/>
          <w:bottom w:w="0" w:type="dxa"/>
          <w:right w:w="0" w:type="dxa"/>
        </w:tblCellMar>
      </w:tblPr>
      <w:tr>
        <w:trPr>
          <w:trHeight w:val="195"/>
        </w:trPr>
        <w:tc>
          <w:tcPr>
            <w:tcW w:w="2120" w:type="dxa"/>
            <w:vAlign w:val="bottom"/>
          </w:tcPr>
          <w:p>
            <w:pPr>
              <w:spacing w:after="0"/>
              <w:rPr>
                <w:sz w:val="20"/>
                <w:szCs w:val="20"/>
                <w:color w:val="auto"/>
              </w:rPr>
            </w:pPr>
            <w:r>
              <w:rPr>
                <w:rFonts w:ascii="Times New Roman" w:cs="Times New Roman" w:eastAsia="Times New Roman" w:hAnsi="Times New Roman"/>
                <w:sz w:val="17"/>
                <w:szCs w:val="17"/>
                <w:color w:val="auto"/>
              </w:rPr>
              <w:t>For the transition period from</w:t>
            </w:r>
          </w:p>
        </w:tc>
        <w:tc>
          <w:tcPr>
            <w:tcW w:w="3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w:t>
            </w:r>
          </w:p>
        </w:tc>
        <w:tc>
          <w:tcPr>
            <w:tcW w:w="340" w:type="dxa"/>
            <w:vAlign w:val="bottom"/>
            <w:tcBorders>
              <w:bottom w:val="single" w:sz="8" w:color="auto"/>
            </w:tcBorders>
          </w:tcPr>
          <w:p>
            <w:pPr>
              <w:spacing w:after="0"/>
              <w:rPr>
                <w:sz w:val="17"/>
                <w:szCs w:val="17"/>
                <w:color w:val="auto"/>
              </w:rPr>
            </w:pPr>
          </w:p>
        </w:tc>
      </w:tr>
      <w:tr>
        <w:trPr>
          <w:trHeight w:val="333"/>
        </w:trPr>
        <w:tc>
          <w:tcPr>
            <w:tcW w:w="304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001-38240</w:t>
            </w:r>
          </w:p>
        </w:tc>
      </w:tr>
      <w:tr>
        <w:trPr>
          <w:trHeight w:val="264"/>
        </w:trPr>
        <w:tc>
          <w:tcPr>
            <w:tcW w:w="2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_____________________</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r>
    </w:tbl>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MONGODB, INC.</w:t>
      </w:r>
    </w:p>
    <w:p>
      <w:pPr>
        <w:spacing w:after="0" w:line="1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jc w:val="center"/>
        <w:ind w:right="-99"/>
        <w:spacing w:after="0"/>
        <w:rPr>
          <w:sz w:val="20"/>
          <w:szCs w:val="20"/>
          <w:color w:val="auto"/>
        </w:rPr>
      </w:pPr>
      <w:r>
        <w:rPr>
          <w:rFonts w:ascii="Times New Roman" w:cs="Times New Roman" w:eastAsia="Times New Roman" w:hAnsi="Times New Roman"/>
          <w:sz w:val="14"/>
          <w:szCs w:val="14"/>
          <w:color w:val="auto"/>
        </w:rPr>
        <w:t>_____________________</w:t>
      </w:r>
    </w:p>
    <w:p>
      <w:pPr>
        <w:sectPr>
          <w:pgSz w:w="11900" w:h="16838" w:orient="portrait"/>
          <w:cols w:equalWidth="0" w:num="1">
            <w:col w:w="11160"/>
          </w:cols>
          <w:pgMar w:left="320" w:top="1201" w:right="419" w:bottom="1440" w:gutter="0" w:footer="0" w:header="0"/>
        </w:sectPr>
      </w:pPr>
    </w:p>
    <w:p>
      <w:pPr>
        <w:spacing w:after="0" w:line="13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26-1463205</w:t>
      </w:r>
    </w:p>
    <w:p>
      <w:pPr>
        <w:spacing w:after="0" w:line="23" w:lineRule="exact"/>
        <w:rPr>
          <w:sz w:val="24"/>
          <w:szCs w:val="24"/>
          <w:color w:val="auto"/>
        </w:rPr>
      </w:pPr>
    </w:p>
    <w:p>
      <w:pPr>
        <w:sectPr>
          <w:pgSz w:w="11900" w:h="16838" w:orient="portrait"/>
          <w:cols w:equalWidth="0" w:num="2">
            <w:col w:w="7400" w:space="720"/>
            <w:col w:w="3040"/>
          </w:cols>
          <w:pgMar w:left="320" w:top="1201" w:right="419" w:bottom="1440" w:gutter="0" w:footer="0" w:header="0"/>
          <w:type w:val="continuous"/>
        </w:sectPr>
      </w:pPr>
    </w:p>
    <w:p>
      <w:pPr>
        <w:ind w:left="23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3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1" w:lineRule="exact"/>
        <w:rPr>
          <w:sz w:val="24"/>
          <w:szCs w:val="24"/>
          <w:color w:val="auto"/>
        </w:rPr>
      </w:pPr>
    </w:p>
    <w:p>
      <w:pPr>
        <w:sectPr>
          <w:pgSz w:w="11900" w:h="16838" w:orient="portrait"/>
          <w:cols w:equalWidth="0" w:num="2">
            <w:col w:w="7280" w:space="720"/>
            <w:col w:w="3160"/>
          </w:cols>
          <w:pgMar w:left="320" w:top="1201" w:right="41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7"/>
          <w:szCs w:val="17"/>
          <w:b w:val="1"/>
          <w:bCs w:val="1"/>
          <w:color w:val="auto"/>
        </w:rPr>
        <w:t>1633 Broadway 38th Floor</w:t>
      </w:r>
    </w:p>
    <w:p>
      <w:pPr>
        <w:sectPr>
          <w:pgSz w:w="11900" w:h="16838" w:orient="portrait"/>
          <w:cols w:equalWidth="0" w:num="1">
            <w:col w:w="11160"/>
          </w:cols>
          <w:pgMar w:left="320" w:top="1201" w:right="419" w:bottom="1440" w:gutter="0" w:footer="0" w:header="0"/>
          <w:type w:val="continuous"/>
        </w:sectPr>
      </w:pPr>
    </w:p>
    <w:p>
      <w:pPr>
        <w:spacing w:after="0" w:line="66"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New York NY</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10019</w:t>
      </w:r>
    </w:p>
    <w:p>
      <w:pPr>
        <w:spacing w:after="0" w:line="34" w:lineRule="exact"/>
        <w:rPr>
          <w:sz w:val="24"/>
          <w:szCs w:val="24"/>
          <w:color w:val="auto"/>
        </w:rPr>
      </w:pPr>
    </w:p>
    <w:p>
      <w:pPr>
        <w:sectPr>
          <w:pgSz w:w="11900" w:h="16838" w:orient="portrait"/>
          <w:cols w:equalWidth="0" w:num="2">
            <w:col w:w="7600" w:space="720"/>
            <w:col w:w="2840"/>
          </w:cols>
          <w:pgMar w:left="320" w:top="1201" w:right="419" w:bottom="1440" w:gutter="0" w:footer="0" w:header="0"/>
          <w:type w:val="continuous"/>
        </w:sectPr>
      </w:pPr>
    </w:p>
    <w:p>
      <w:pPr>
        <w:ind w:left="2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211" w:lineRule="exact"/>
        <w:rPr>
          <w:sz w:val="24"/>
          <w:szCs w:val="24"/>
          <w:color w:val="auto"/>
        </w:rPr>
      </w:pPr>
    </w:p>
    <w:p>
      <w:pPr>
        <w:sectPr>
          <w:pgSz w:w="11900" w:h="16838" w:orient="portrait"/>
          <w:cols w:equalWidth="0" w:num="2">
            <w:col w:w="7500" w:space="720"/>
            <w:col w:w="2940"/>
          </w:cols>
          <w:pgMar w:left="320" w:top="1201" w:right="419" w:bottom="1440" w:gutter="0" w:footer="0" w:header="0"/>
          <w:type w:val="continuous"/>
        </w:sectPr>
      </w:pP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646-727-4092</w:t>
      </w:r>
    </w:p>
    <w:p>
      <w:pPr>
        <w:spacing w:after="0" w:line="64"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color w:val="auto"/>
        </w:rPr>
        <w:t>_____________________</w:t>
      </w:r>
    </w:p>
    <w:p>
      <w:pPr>
        <w:sectPr>
          <w:pgSz w:w="11900" w:h="16838" w:orient="portrait"/>
          <w:cols w:equalWidth="0" w:num="1">
            <w:col w:w="11160"/>
          </w:cols>
          <w:pgMar w:left="320" w:top="1201" w:right="419" w:bottom="1440" w:gutter="0" w:footer="0" w:header="0"/>
          <w:type w:val="continuous"/>
        </w:sectPr>
      </w:pPr>
    </w:p>
    <w:p>
      <w:pPr>
        <w:spacing w:after="0" w:line="1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9" w:lineRule="exact"/>
        <w:rPr>
          <w:sz w:val="24"/>
          <w:szCs w:val="24"/>
          <w:color w:val="auto"/>
        </w:rPr>
      </w:pPr>
    </w:p>
    <w:tbl>
      <w:tblPr>
        <w:tblLayout w:type="fixed"/>
        <w:tblInd w:w="560" w:type="dxa"/>
        <w:tblCellMar>
          <w:top w:w="0" w:type="dxa"/>
          <w:left w:w="0" w:type="dxa"/>
          <w:bottom w:w="0" w:type="dxa"/>
          <w:right w:w="0" w:type="dxa"/>
        </w:tblCellMar>
      </w:tblPr>
      <w:tr>
        <w:trPr>
          <w:trHeight w:val="229"/>
        </w:trPr>
        <w:tc>
          <w:tcPr>
            <w:tcW w:w="3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3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20"/>
        </w:trPr>
        <w:tc>
          <w:tcPr>
            <w:tcW w:w="3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100" w:type="dxa"/>
            <w:vAlign w:val="bottom"/>
          </w:tcPr>
          <w:p>
            <w:pPr>
              <w:spacing w:after="0"/>
              <w:rPr>
                <w:sz w:val="19"/>
                <w:szCs w:val="19"/>
                <w:color w:val="auto"/>
              </w:rPr>
            </w:pPr>
          </w:p>
        </w:tc>
        <w:tc>
          <w:tcPr>
            <w:tcW w:w="3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MDB</w:t>
            </w:r>
          </w:p>
        </w:tc>
        <w:tc>
          <w:tcPr>
            <w:tcW w:w="100" w:type="dxa"/>
            <w:vAlign w:val="bottom"/>
          </w:tcPr>
          <w:p>
            <w:pPr>
              <w:spacing w:after="0"/>
              <w:rPr>
                <w:sz w:val="19"/>
                <w:szCs w:val="19"/>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ind w:left="8420"/>
        <w:spacing w:after="0"/>
        <w:rPr>
          <w:sz w:val="20"/>
          <w:szCs w:val="20"/>
          <w:color w:val="auto"/>
        </w:rPr>
      </w:pPr>
      <w:r>
        <w:rPr>
          <w:rFonts w:ascii="Times New Roman" w:cs="Times New Roman" w:eastAsia="Times New Roman" w:hAnsi="Times New Roman"/>
          <w:sz w:val="17"/>
          <w:szCs w:val="17"/>
          <w:color w:val="auto"/>
        </w:rPr>
        <w:t>(Nasdaq Global Market)</w:t>
      </w:r>
    </w:p>
    <w:p>
      <w:pPr>
        <w:spacing w:after="0" w:line="3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(Title of class)</w:t>
      </w:r>
    </w:p>
    <w:p>
      <w:pPr>
        <w:spacing w:after="0" w:line="1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7"/>
          <w:szCs w:val="17"/>
          <w:color w:val="auto"/>
        </w:rPr>
        <w:t>_____________________</w:t>
      </w:r>
    </w:p>
    <w:p>
      <w:pPr>
        <w:spacing w:after="0" w:line="58" w:lineRule="exact"/>
        <w:rPr>
          <w:sz w:val="24"/>
          <w:szCs w:val="24"/>
          <w:color w:val="auto"/>
        </w:rPr>
      </w:pPr>
    </w:p>
    <w:p>
      <w:pPr>
        <w:ind w:right="1600"/>
        <w:spacing w:after="0" w:line="352"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0"/>
          <w:szCs w:val="20"/>
          <w:color w:val="auto"/>
        </w:rPr>
        <w:t>☑</w:t>
      </w:r>
    </w:p>
    <w:p>
      <w:pPr>
        <w:spacing w:after="0" w:line="44" w:lineRule="exact"/>
        <w:rPr>
          <w:sz w:val="24"/>
          <w:szCs w:val="24"/>
          <w:color w:val="auto"/>
        </w:rPr>
      </w:pPr>
    </w:p>
    <w:p>
      <w:pPr>
        <w:jc w:val="both"/>
        <w:ind w:right="40"/>
        <w:spacing w:after="0" w:line="24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0"/>
          <w:szCs w:val="20"/>
          <w:color w:val="auto"/>
        </w:rPr>
        <w:t>☐</w:t>
      </w:r>
    </w:p>
    <w:p>
      <w:pPr>
        <w:spacing w:after="0" w:line="44" w:lineRule="exact"/>
        <w:rPr>
          <w:sz w:val="24"/>
          <w:szCs w:val="24"/>
          <w:color w:val="auto"/>
        </w:rPr>
      </w:pPr>
    </w:p>
    <w:p>
      <w:pPr>
        <w:ind w:right="640"/>
        <w:spacing w:after="0" w:line="24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499745</wp:posOffset>
            </wp:positionV>
            <wp:extent cx="716216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01" w:right="419" w:bottom="1440" w:gutter="0" w:footer="0" w:header="0"/>
          <w:type w:val="continuous"/>
        </w:sectPr>
      </w:pPr>
    </w:p>
    <w:bookmarkStart w:id="1" w:name="page2"/>
    <w:bookmarkEnd w:id="1"/>
    <w:p>
      <w:pPr>
        <w:jc w:val="both"/>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0"/>
          <w:szCs w:val="20"/>
          <w:color w:val="auto"/>
        </w:rPr>
      </w:pPr>
    </w:p>
    <w:tbl>
      <w:tblPr>
        <w:tblLayout w:type="fixed"/>
        <w:tblInd w:w="640" w:type="dxa"/>
        <w:tblCellMar>
          <w:top w:w="0" w:type="dxa"/>
          <w:left w:w="0" w:type="dxa"/>
          <w:bottom w:w="0" w:type="dxa"/>
          <w:right w:w="0" w:type="dxa"/>
        </w:tblCellMar>
      </w:tblPr>
      <w:tr>
        <w:trPr>
          <w:trHeight w:val="352"/>
        </w:trPr>
        <w:tc>
          <w:tcPr>
            <w:tcW w:w="2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4380" w:type="dxa"/>
            <w:vAlign w:val="bottom"/>
          </w:tcPr>
          <w:p>
            <w:pPr>
              <w:ind w:left="300"/>
              <w:spacing w:after="0" w:line="211" w:lineRule="exact"/>
              <w:rPr>
                <w:sz w:val="20"/>
                <w:szCs w:val="20"/>
                <w:color w:val="auto"/>
              </w:rPr>
            </w:pPr>
            <w:r>
              <w:rPr>
                <w:rFonts w:ascii="MS PGothic" w:cs="MS PGothic" w:eastAsia="MS PGothic" w:hAnsi="MS PGothic"/>
                <w:sz w:val="21"/>
                <w:szCs w:val="21"/>
                <w:color w:val="auto"/>
              </w:rPr>
              <w:t>☑</w:t>
            </w:r>
          </w:p>
        </w:tc>
        <w:tc>
          <w:tcPr>
            <w:tcW w:w="290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auto"/>
              </w:rPr>
              <w:t>Accelerated Filer</w:t>
            </w:r>
          </w:p>
        </w:tc>
        <w:tc>
          <w:tcPr>
            <w:tcW w:w="560" w:type="dxa"/>
            <w:vAlign w:val="bottom"/>
          </w:tcPr>
          <w:p>
            <w:pPr>
              <w:ind w:left="380"/>
              <w:spacing w:after="0" w:line="211" w:lineRule="exact"/>
              <w:rPr>
                <w:sz w:val="20"/>
                <w:szCs w:val="20"/>
                <w:color w:val="auto"/>
              </w:rPr>
            </w:pPr>
            <w:r>
              <w:rPr>
                <w:rFonts w:ascii="MS PGothic" w:cs="MS PGothic" w:eastAsia="MS PGothic" w:hAnsi="MS PGothic"/>
                <w:sz w:val="21"/>
                <w:szCs w:val="21"/>
                <w:color w:val="auto"/>
                <w:w w:val="75"/>
              </w:rPr>
              <w:t>☐</w:t>
            </w:r>
          </w:p>
        </w:tc>
        <w:tc>
          <w:tcPr>
            <w:tcW w:w="0" w:type="dxa"/>
            <w:vAlign w:val="bottom"/>
          </w:tcPr>
          <w:p>
            <w:pPr>
              <w:spacing w:after="0"/>
              <w:rPr>
                <w:sz w:val="1"/>
                <w:szCs w:val="1"/>
                <w:color w:val="auto"/>
              </w:rPr>
            </w:pPr>
          </w:p>
        </w:tc>
      </w:tr>
      <w:tr>
        <w:trPr>
          <w:trHeight w:val="74"/>
        </w:trPr>
        <w:tc>
          <w:tcPr>
            <w:tcW w:w="2300" w:type="dxa"/>
            <w:vAlign w:val="bottom"/>
            <w:vMerge w:val="continue"/>
          </w:tcPr>
          <w:p>
            <w:pPr>
              <w:spacing w:after="0"/>
              <w:rPr>
                <w:sz w:val="6"/>
                <w:szCs w:val="6"/>
                <w:color w:val="auto"/>
              </w:rPr>
            </w:pPr>
          </w:p>
        </w:tc>
        <w:tc>
          <w:tcPr>
            <w:tcW w:w="4380" w:type="dxa"/>
            <w:vAlign w:val="bottom"/>
            <w:vMerge w:val="restart"/>
          </w:tcPr>
          <w:p>
            <w:pPr>
              <w:ind w:left="30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 xml:space="preserve"> (Do not check if a small reporting company)</w:t>
            </w:r>
          </w:p>
        </w:tc>
        <w:tc>
          <w:tcPr>
            <w:tcW w:w="2900" w:type="dxa"/>
            <w:vAlign w:val="bottom"/>
            <w:vMerge w:val="continue"/>
          </w:tcPr>
          <w:p>
            <w:pPr>
              <w:spacing w:after="0"/>
              <w:rPr>
                <w:sz w:val="6"/>
                <w:szCs w:val="6"/>
                <w:color w:val="auto"/>
              </w:rPr>
            </w:pPr>
          </w:p>
        </w:tc>
        <w:tc>
          <w:tcPr>
            <w:tcW w:w="560" w:type="dxa"/>
            <w:vAlign w:val="bottom"/>
            <w:vMerge w:val="restart"/>
          </w:tcPr>
          <w:p>
            <w:pPr>
              <w:ind w:left="380"/>
              <w:spacing w:after="0" w:line="211" w:lineRule="exact"/>
              <w:rPr>
                <w:sz w:val="20"/>
                <w:szCs w:val="20"/>
                <w:color w:val="auto"/>
              </w:rPr>
            </w:pPr>
            <w:r>
              <w:rPr>
                <w:rFonts w:ascii="MS PGothic" w:cs="MS PGothic" w:eastAsia="MS PGothic" w:hAnsi="MS PGothic"/>
                <w:sz w:val="21"/>
                <w:szCs w:val="21"/>
                <w:color w:val="auto"/>
                <w:w w:val="75"/>
              </w:rPr>
              <w:t>☐</w:t>
            </w:r>
          </w:p>
        </w:tc>
        <w:tc>
          <w:tcPr>
            <w:tcW w:w="0" w:type="dxa"/>
            <w:vAlign w:val="bottom"/>
          </w:tcPr>
          <w:p>
            <w:pPr>
              <w:spacing w:after="0"/>
              <w:rPr>
                <w:sz w:val="1"/>
                <w:szCs w:val="1"/>
                <w:color w:val="auto"/>
              </w:rPr>
            </w:pPr>
          </w:p>
        </w:tc>
      </w:tr>
      <w:tr>
        <w:trPr>
          <w:trHeight w:val="292"/>
        </w:trPr>
        <w:tc>
          <w:tcPr>
            <w:tcW w:w="2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4380" w:type="dxa"/>
            <w:vAlign w:val="bottom"/>
            <w:vMerge w:val="continue"/>
          </w:tcPr>
          <w:p>
            <w:pPr>
              <w:spacing w:after="0"/>
              <w:rPr>
                <w:sz w:val="24"/>
                <w:szCs w:val="24"/>
                <w:color w:val="auto"/>
              </w:rPr>
            </w:pPr>
          </w:p>
        </w:tc>
        <w:tc>
          <w:tcPr>
            <w:tcW w:w="290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auto"/>
              </w:rPr>
              <w:t>Small Reporting Company</w:t>
            </w:r>
          </w:p>
        </w:tc>
        <w:tc>
          <w:tcPr>
            <w:tcW w:w="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300" w:type="dxa"/>
            <w:vAlign w:val="bottom"/>
            <w:vMerge w:val="continue"/>
          </w:tcPr>
          <w:p>
            <w:pPr>
              <w:spacing w:after="0"/>
              <w:rPr>
                <w:sz w:val="6"/>
                <w:szCs w:val="6"/>
                <w:color w:val="auto"/>
              </w:rPr>
            </w:pPr>
          </w:p>
        </w:tc>
        <w:tc>
          <w:tcPr>
            <w:tcW w:w="4380" w:type="dxa"/>
            <w:vAlign w:val="bottom"/>
            <w:vMerge w:val="restart"/>
          </w:tcPr>
          <w:p>
            <w:pPr>
              <w:ind w:left="300"/>
              <w:spacing w:after="0" w:line="211" w:lineRule="exact"/>
              <w:rPr>
                <w:sz w:val="20"/>
                <w:szCs w:val="20"/>
                <w:color w:val="auto"/>
              </w:rPr>
            </w:pPr>
            <w:r>
              <w:rPr>
                <w:rFonts w:ascii="MS PGothic" w:cs="MS PGothic" w:eastAsia="MS PGothic" w:hAnsi="MS PGothic"/>
                <w:sz w:val="21"/>
                <w:szCs w:val="21"/>
                <w:color w:val="auto"/>
              </w:rPr>
              <w:t>☐</w:t>
            </w:r>
          </w:p>
        </w:tc>
        <w:tc>
          <w:tcPr>
            <w:tcW w:w="29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2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438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2300" w:type="dxa"/>
            <w:vAlign w:val="bottom"/>
            <w:vMerge w:val="continue"/>
          </w:tcPr>
          <w:p>
            <w:pPr>
              <w:spacing w:after="0"/>
              <w:rPr>
                <w:sz w:val="6"/>
                <w:szCs w:val="6"/>
                <w:color w:val="auto"/>
              </w:rPr>
            </w:pPr>
          </w:p>
        </w:tc>
        <w:tc>
          <w:tcPr>
            <w:tcW w:w="4380" w:type="dxa"/>
            <w:vAlign w:val="bottom"/>
          </w:tcPr>
          <w:p>
            <w:pPr>
              <w:spacing w:after="0"/>
              <w:rPr>
                <w:sz w:val="6"/>
                <w:szCs w:val="6"/>
                <w:color w:val="auto"/>
              </w:rPr>
            </w:pPr>
          </w:p>
        </w:tc>
        <w:tc>
          <w:tcPr>
            <w:tcW w:w="290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right="340"/>
        <w:spacing w:after="0" w:line="26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5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7"/>
          <w:szCs w:val="17"/>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230" w:lineRule="exact"/>
        <w:rPr>
          <w:sz w:val="20"/>
          <w:szCs w:val="20"/>
          <w:color w:val="auto"/>
        </w:rPr>
      </w:pPr>
      <w:r>
        <w:rPr>
          <w:rFonts w:ascii="Times New Roman" w:cs="Times New Roman" w:eastAsia="Times New Roman" w:hAnsi="Times New Roman"/>
          <w:sz w:val="17"/>
          <w:szCs w:val="17"/>
          <w:color w:val="auto"/>
        </w:rPr>
        <w:t xml:space="preserve">report. </w:t>
      </w:r>
      <w:r>
        <w:rPr>
          <w:rFonts w:ascii="MS PGothic" w:cs="MS PGothic" w:eastAsia="MS PGothic" w:hAnsi="MS PGothic"/>
          <w:sz w:val="20"/>
          <w:szCs w:val="20"/>
          <w:color w:val="auto"/>
        </w:rPr>
        <w:t>☑</w:t>
      </w:r>
    </w:p>
    <w:p>
      <w:pPr>
        <w:spacing w:after="0" w:line="116" w:lineRule="exact"/>
        <w:rPr>
          <w:sz w:val="20"/>
          <w:szCs w:val="20"/>
          <w:color w:val="auto"/>
        </w:rPr>
      </w:pPr>
    </w:p>
    <w:p>
      <w:pPr>
        <w:ind w:right="240"/>
        <w:spacing w:after="0" w:line="226"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45" w:lineRule="exact"/>
        <w:rPr>
          <w:sz w:val="20"/>
          <w:szCs w:val="20"/>
          <w:color w:val="auto"/>
        </w:rPr>
      </w:pPr>
    </w:p>
    <w:p>
      <w:pPr>
        <w:ind w:right="240"/>
        <w:spacing w:after="0" w:line="233" w:lineRule="exact"/>
        <w:rPr>
          <w:sz w:val="20"/>
          <w:szCs w:val="20"/>
          <w:color w:val="auto"/>
        </w:rPr>
      </w:pPr>
      <w:r>
        <w:rPr>
          <w:rFonts w:ascii="Times New Roman" w:cs="Times New Roman" w:eastAsia="Times New Roman" w:hAnsi="Times New Roman"/>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MS PGothic" w:cs="MS PGothic" w:eastAsia="MS PGothic" w:hAnsi="MS PGothic"/>
          <w:sz w:val="17"/>
          <w:szCs w:val="17"/>
          <w:color w:val="auto"/>
        </w:rPr>
        <w:t>☐</w:t>
      </w:r>
    </w:p>
    <w:p>
      <w:pPr>
        <w:spacing w:after="0" w:line="230" w:lineRule="exact"/>
        <w:tabs>
          <w:tab w:leader="none" w:pos="868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20"/>
          <w:szCs w:val="20"/>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20"/>
          <w:szCs w:val="20"/>
          <w:color w:val="auto"/>
        </w:rPr>
        <w:t>☑</w:t>
      </w:r>
    </w:p>
    <w:p>
      <w:pPr>
        <w:spacing w:after="0" w:line="155"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of the registrant, based on the closing price of the registrant’s shares of common stock as reported by The Nasdaq Global Market on July 31, 2024 (the last business day of the registrant’s second fiscal quarter), was approximately $18.0 billion.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18, 2025, there were 81,187,663 shares of the registrant’s common stock, par value $0.001 per share, outstanding.</w:t>
      </w:r>
    </w:p>
    <w:p>
      <w:pPr>
        <w:spacing w:after="0" w:line="11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120" w:lineRule="exact"/>
        <w:rPr>
          <w:sz w:val="20"/>
          <w:szCs w:val="20"/>
          <w:color w:val="auto"/>
        </w:rPr>
      </w:pPr>
    </w:p>
    <w:p>
      <w:pPr>
        <w:jc w:val="both"/>
        <w:ind w:right="420"/>
        <w:spacing w:after="0" w:line="276" w:lineRule="auto"/>
        <w:rPr>
          <w:sz w:val="20"/>
          <w:szCs w:val="20"/>
          <w:color w:val="auto"/>
        </w:rPr>
      </w:pPr>
      <w:r>
        <w:rPr>
          <w:rFonts w:ascii="Times New Roman" w:cs="Times New Roman" w:eastAsia="Times New Roman" w:hAnsi="Times New Roman"/>
          <w:sz w:val="17"/>
          <w:szCs w:val="17"/>
          <w:color w:val="auto"/>
        </w:rPr>
        <w:t>Portions of the registrant’s definitive proxy statement relating to its 2025 annual meeting of shareholders (the “2025 Proxy Statement”) are incorporated by reference into Part III of this Annual Report on Form 10-K where indicated. The 2025 Proxy Statement will be filed with the U.S. Securities and Exchange Commission within 120 days after the end of the registrant’s fiscal year ended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690880</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81280</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7.</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7A.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9A.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9B.</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9C.</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12.</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14.</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Item 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gridSpan w:val="14"/>
          </w:tcPr>
          <w:p>
            <w:pPr>
              <w:jc w:val="center"/>
              <w:ind w:right="4040"/>
              <w:spacing w:after="0"/>
              <w:rPr>
                <w:sz w:val="20"/>
                <w:szCs w:val="20"/>
                <w:color w:val="auto"/>
              </w:rPr>
            </w:pPr>
            <w:r>
              <w:rPr>
                <w:rFonts w:ascii="Times New Roman" w:cs="Times New Roman" w:eastAsia="Times New Roman" w:hAnsi="Times New Roman"/>
                <w:sz w:val="17"/>
                <w:szCs w:val="17"/>
                <w:b w:val="1"/>
                <w:bCs w:val="1"/>
                <w:color w:val="auto"/>
              </w:rPr>
              <w:t>MongoDB, Inc.</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40" w:type="dxa"/>
            <w:vAlign w:val="bottom"/>
            <w:gridSpan w:val="14"/>
          </w:tcPr>
          <w:p>
            <w:pPr>
              <w:jc w:val="center"/>
              <w:ind w:right="4040"/>
              <w:spacing w:after="0"/>
              <w:rPr>
                <w:sz w:val="20"/>
                <w:szCs w:val="20"/>
                <w:color w:val="auto"/>
              </w:rPr>
            </w:pPr>
            <w:r>
              <w:rPr>
                <w:rFonts w:ascii="Times New Roman" w:cs="Times New Roman" w:eastAsia="Times New Roman" w:hAnsi="Times New Roman"/>
                <w:sz w:val="17"/>
                <w:szCs w:val="17"/>
                <w:b w:val="1"/>
                <w:bCs w:val="1"/>
                <w:color w:val="auto"/>
              </w:rPr>
              <w:t>Form 10-K</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80" w:type="dxa"/>
            <w:vAlign w:val="bottom"/>
            <w:gridSpan w:val="17"/>
          </w:tcPr>
          <w:p>
            <w:pPr>
              <w:jc w:val="center"/>
              <w:ind w:right="2800"/>
              <w:spacing w:after="0"/>
              <w:rPr>
                <w:sz w:val="20"/>
                <w:szCs w:val="20"/>
                <w:color w:val="auto"/>
              </w:rPr>
            </w:pPr>
            <w:r>
              <w:rPr>
                <w:rFonts w:ascii="Times New Roman" w:cs="Times New Roman" w:eastAsia="Times New Roman" w:hAnsi="Times New Roman"/>
                <w:sz w:val="17"/>
                <w:szCs w:val="17"/>
                <w:b w:val="1"/>
                <w:bCs w:val="1"/>
                <w:color w:val="auto"/>
              </w:rPr>
              <w:t>For the Fiscal Year Ended January 31, 2025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00" w:type="dxa"/>
            <w:vAlign w:val="bottom"/>
            <w:gridSpan w:val="15"/>
          </w:tcPr>
          <w:p>
            <w:pPr>
              <w:jc w:val="center"/>
              <w:ind w:right="3900"/>
              <w:spacing w:after="0"/>
              <w:rPr>
                <w:sz w:val="20"/>
                <w:szCs w:val="20"/>
                <w:color w:val="auto"/>
              </w:rPr>
            </w:pPr>
            <w:r>
              <w:rPr>
                <w:rFonts w:ascii="Times New Roman" w:cs="Times New Roman" w:eastAsia="Times New Roman" w:hAnsi="Times New Roman"/>
                <w:sz w:val="21"/>
                <w:szCs w:val="21"/>
                <w:b w:val="1"/>
                <w:bCs w:val="1"/>
                <w:color w:val="auto"/>
                <w:w w:val="98"/>
              </w:rPr>
              <w:t>TABLE OF CONTENTS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6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80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6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5380" w:type="dxa"/>
            <w:vAlign w:val="bottom"/>
            <w:gridSpan w:val="11"/>
            <w:vMerge w:val="restart"/>
          </w:tcPr>
          <w:p>
            <w:pPr>
              <w:jc w:val="center"/>
              <w:ind w:right="4880"/>
              <w:spacing w:after="0"/>
              <w:rPr>
                <w:sz w:val="20"/>
                <w:szCs w:val="20"/>
                <w:color w:val="auto"/>
              </w:rPr>
            </w:pPr>
            <w:r>
              <w:rPr>
                <w:rFonts w:ascii="Times New Roman" w:cs="Times New Roman" w:eastAsia="Times New Roman" w:hAnsi="Times New Roman"/>
                <w:sz w:val="17"/>
                <w:szCs w:val="17"/>
                <w:b w:val="1"/>
                <w:bCs w:val="1"/>
                <w:color w:val="0000FF"/>
                <w:w w:val="87"/>
              </w:rPr>
              <w:t>PART I</w:t>
            </w: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62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380" w:type="dxa"/>
            <w:vAlign w:val="bottom"/>
            <w:gridSpan w:val="11"/>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39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Business</w:t>
            </w:r>
          </w:p>
        </w:tc>
        <w:tc>
          <w:tcPr>
            <w:tcW w:w="500" w:type="dxa"/>
            <w:vAlign w:val="bottom"/>
            <w:tcBorders>
              <w:top w:val="single" w:sz="8" w:color="0000FF"/>
            </w:tcBorders>
            <w:gridSpan w:val="2"/>
          </w:tcPr>
          <w:p>
            <w:pPr>
              <w:spacing w:after="0"/>
              <w:rPr>
                <w:sz w:val="24"/>
                <w:szCs w:val="24"/>
                <w:color w:val="auto"/>
              </w:rPr>
            </w:pPr>
          </w:p>
        </w:tc>
        <w:tc>
          <w:tcPr>
            <w:tcW w:w="4880" w:type="dxa"/>
            <w:vAlign w:val="bottom"/>
            <w:gridSpan w:val="9"/>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2</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93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13</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93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48</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9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7380" w:type="dxa"/>
            <w:vAlign w:val="bottom"/>
            <w:gridSpan w:val="17"/>
          </w:tcPr>
          <w:p>
            <w:pPr>
              <w:spacing w:after="0"/>
              <w:rPr>
                <w:sz w:val="22"/>
                <w:szCs w:val="22"/>
                <w:color w:val="auto"/>
              </w:rPr>
            </w:pP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46</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9"/>
              </w:rPr>
              <w:t>Properties</w:t>
            </w:r>
          </w:p>
        </w:tc>
        <w:tc>
          <w:tcPr>
            <w:tcW w:w="320" w:type="dxa"/>
            <w:vAlign w:val="bottom"/>
            <w:gridSpan w:val="2"/>
          </w:tcPr>
          <w:p>
            <w:pPr>
              <w:spacing w:after="0"/>
              <w:rPr>
                <w:sz w:val="20"/>
                <w:szCs w:val="20"/>
                <w:color w:val="auto"/>
              </w:rPr>
            </w:pPr>
          </w:p>
        </w:tc>
        <w:tc>
          <w:tcPr>
            <w:tcW w:w="8380" w:type="dxa"/>
            <w:vAlign w:val="bottom"/>
            <w:gridSpan w:val="21"/>
          </w:tcPr>
          <w:p>
            <w:pPr>
              <w:spacing w:after="0"/>
              <w:rPr>
                <w:sz w:val="20"/>
                <w:szCs w:val="20"/>
                <w:color w:val="auto"/>
              </w:rPr>
            </w:pP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2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8"/>
              </w:rPr>
              <w:t>Legal Proceedings</w:t>
            </w:r>
          </w:p>
        </w:tc>
        <w:tc>
          <w:tcPr>
            <w:tcW w:w="8080" w:type="dxa"/>
            <w:vAlign w:val="bottom"/>
            <w:gridSpan w:val="20"/>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93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49</w:t>
            </w:r>
          </w:p>
        </w:tc>
        <w:tc>
          <w:tcPr>
            <w:tcW w:w="0" w:type="dxa"/>
            <w:vAlign w:val="bottom"/>
          </w:tcPr>
          <w:p>
            <w:pPr>
              <w:spacing w:after="0"/>
              <w:rPr>
                <w:sz w:val="1"/>
                <w:szCs w:val="1"/>
                <w:color w:val="auto"/>
              </w:rPr>
            </w:pPr>
          </w:p>
        </w:tc>
      </w:tr>
      <w:tr>
        <w:trPr>
          <w:trHeight w:val="254"/>
        </w:trPr>
        <w:tc>
          <w:tcPr>
            <w:tcW w:w="6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80" w:type="dxa"/>
            <w:vAlign w:val="bottom"/>
            <w:gridSpan w:val="12"/>
          </w:tcPr>
          <w:p>
            <w:pPr>
              <w:jc w:val="center"/>
              <w:ind w:right="4840"/>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93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50</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7"/>
              </w:rPr>
              <w:t>Reserved</w:t>
            </w:r>
          </w:p>
        </w:tc>
        <w:tc>
          <w:tcPr>
            <w:tcW w:w="7160" w:type="dxa"/>
            <w:vAlign w:val="bottom"/>
            <w:gridSpan w:val="22"/>
          </w:tcPr>
          <w:p>
            <w:pPr>
              <w:spacing w:after="0"/>
              <w:rPr>
                <w:sz w:val="24"/>
                <w:szCs w:val="24"/>
                <w:color w:val="auto"/>
              </w:rPr>
            </w:pPr>
          </w:p>
        </w:tc>
        <w:tc>
          <w:tcPr>
            <w:tcW w:w="1540" w:type="dxa"/>
            <w:vAlign w:val="bottom"/>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51</w:t>
            </w:r>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2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100" w:type="dxa"/>
            <w:vAlign w:val="bottom"/>
            <w:gridSpan w:val="3"/>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52</w:t>
            </w: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2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100" w:type="dxa"/>
            <w:vAlign w:val="bottom"/>
            <w:gridSpan w:val="3"/>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64</w:t>
            </w: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422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5140" w:type="dxa"/>
            <w:vAlign w:val="bottom"/>
            <w:gridSpan w:val="10"/>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65</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2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31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100</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626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31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100</w:t>
            </w: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2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Other Information</w:t>
            </w:r>
          </w:p>
        </w:tc>
        <w:tc>
          <w:tcPr>
            <w:tcW w:w="440" w:type="dxa"/>
            <w:vAlign w:val="bottom"/>
            <w:gridSpan w:val="2"/>
          </w:tcPr>
          <w:p>
            <w:pPr>
              <w:spacing w:after="0"/>
              <w:rPr>
                <w:sz w:val="24"/>
                <w:szCs w:val="24"/>
                <w:color w:val="auto"/>
              </w:rPr>
            </w:pPr>
          </w:p>
        </w:tc>
        <w:tc>
          <w:tcPr>
            <w:tcW w:w="7640" w:type="dxa"/>
            <w:vAlign w:val="bottom"/>
            <w:gridSpan w:val="18"/>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101</w:t>
            </w:r>
          </w:p>
        </w:tc>
        <w:tc>
          <w:tcPr>
            <w:tcW w:w="0" w:type="dxa"/>
            <w:vAlign w:val="bottom"/>
          </w:tcPr>
          <w:p>
            <w:pPr>
              <w:spacing w:after="0"/>
              <w:rPr>
                <w:sz w:val="1"/>
                <w:szCs w:val="1"/>
                <w:color w:val="auto"/>
              </w:rPr>
            </w:pPr>
          </w:p>
        </w:tc>
      </w:tr>
      <w:tr>
        <w:trPr>
          <w:trHeight w:val="20"/>
        </w:trPr>
        <w:tc>
          <w:tcPr>
            <w:tcW w:w="12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3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101</w:t>
            </w:r>
          </w:p>
        </w:tc>
        <w:tc>
          <w:tcPr>
            <w:tcW w:w="0" w:type="dxa"/>
            <w:vAlign w:val="bottom"/>
          </w:tcPr>
          <w:p>
            <w:pPr>
              <w:spacing w:after="0"/>
              <w:rPr>
                <w:sz w:val="1"/>
                <w:szCs w:val="1"/>
                <w:color w:val="auto"/>
              </w:rPr>
            </w:pPr>
          </w:p>
        </w:tc>
      </w:tr>
      <w:tr>
        <w:trPr>
          <w:trHeight w:val="202"/>
        </w:trPr>
        <w:tc>
          <w:tcPr>
            <w:tcW w:w="6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40" w:type="dxa"/>
            <w:vAlign w:val="bottom"/>
            <w:tcBorders>
              <w:top w:val="single" w:sz="8" w:color="0000FF"/>
            </w:tcBorders>
          </w:tcPr>
          <w:p>
            <w:pPr>
              <w:spacing w:after="0"/>
              <w:rPr>
                <w:sz w:val="17"/>
                <w:szCs w:val="17"/>
                <w:color w:val="auto"/>
              </w:rPr>
            </w:pPr>
          </w:p>
        </w:tc>
        <w:tc>
          <w:tcPr>
            <w:tcW w:w="720" w:type="dxa"/>
            <w:vAlign w:val="bottom"/>
            <w:tcBorders>
              <w:top w:val="single" w:sz="8" w:color="0000FF"/>
              <w:bottom w:val="single" w:sz="8" w:color="0000FF"/>
            </w:tcBorders>
            <w:gridSpan w:val="7"/>
          </w:tcPr>
          <w:p>
            <w:pPr>
              <w:jc w:val="center"/>
              <w:ind w:right="20"/>
              <w:spacing w:after="0"/>
              <w:rPr>
                <w:sz w:val="20"/>
                <w:szCs w:val="20"/>
                <w:color w:val="auto"/>
              </w:rPr>
            </w:pPr>
            <w:r>
              <w:rPr>
                <w:rFonts w:ascii="Times New Roman" w:cs="Times New Roman" w:eastAsia="Times New Roman" w:hAnsi="Times New Roman"/>
                <w:sz w:val="17"/>
                <w:szCs w:val="17"/>
                <w:b w:val="1"/>
                <w:bCs w:val="1"/>
                <w:color w:val="0000FF"/>
                <w:w w:val="99"/>
              </w:rPr>
              <w:t>PART III</w:t>
            </w:r>
          </w:p>
        </w:tc>
        <w:tc>
          <w:tcPr>
            <w:tcW w:w="160" w:type="dxa"/>
            <w:vAlign w:val="bottom"/>
            <w:tcBorders>
              <w:top w:val="single" w:sz="8" w:color="0000FF"/>
            </w:tcBorders>
          </w:tcPr>
          <w:p>
            <w:pPr>
              <w:spacing w:after="0"/>
              <w:rPr>
                <w:sz w:val="17"/>
                <w:szCs w:val="17"/>
                <w:color w:val="auto"/>
              </w:rPr>
            </w:pPr>
          </w:p>
        </w:tc>
        <w:tc>
          <w:tcPr>
            <w:tcW w:w="462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39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5380" w:type="dxa"/>
            <w:vAlign w:val="bottom"/>
            <w:gridSpan w:val="11"/>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102</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1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w w:val="98"/>
              </w:rPr>
              <w:t>Executive Compensation</w:t>
            </w:r>
          </w:p>
        </w:tc>
        <w:tc>
          <w:tcPr>
            <w:tcW w:w="2260" w:type="dxa"/>
            <w:vAlign w:val="bottom"/>
            <w:gridSpan w:val="7"/>
          </w:tcPr>
          <w:p>
            <w:pPr>
              <w:spacing w:after="0"/>
              <w:rPr>
                <w:sz w:val="24"/>
                <w:szCs w:val="24"/>
                <w:color w:val="auto"/>
              </w:rPr>
            </w:pPr>
          </w:p>
        </w:tc>
        <w:tc>
          <w:tcPr>
            <w:tcW w:w="5380" w:type="dxa"/>
            <w:vAlign w:val="bottom"/>
            <w:gridSpan w:val="11"/>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102</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93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102</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524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820" w:type="dxa"/>
            <w:vAlign w:val="bottom"/>
            <w:gridSpan w:val="2"/>
          </w:tcPr>
          <w:p>
            <w:pPr>
              <w:spacing w:after="0"/>
              <w:rPr>
                <w:sz w:val="24"/>
                <w:szCs w:val="24"/>
                <w:color w:val="auto"/>
              </w:rPr>
            </w:pPr>
          </w:p>
        </w:tc>
        <w:tc>
          <w:tcPr>
            <w:tcW w:w="230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102</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4"/>
        </w:trPr>
        <w:tc>
          <w:tcPr>
            <w:tcW w:w="524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412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102</w:t>
            </w:r>
          </w:p>
        </w:tc>
        <w:tc>
          <w:tcPr>
            <w:tcW w:w="0" w:type="dxa"/>
            <w:vAlign w:val="bottom"/>
          </w:tcPr>
          <w:p>
            <w:pPr>
              <w:spacing w:after="0"/>
              <w:rPr>
                <w:sz w:val="1"/>
                <w:szCs w:val="1"/>
                <w:color w:val="auto"/>
              </w:rPr>
            </w:pPr>
          </w:p>
        </w:tc>
      </w:tr>
      <w:tr>
        <w:trPr>
          <w:trHeight w:val="254"/>
        </w:trPr>
        <w:tc>
          <w:tcPr>
            <w:tcW w:w="62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500" w:type="dxa"/>
            <w:vAlign w:val="bottom"/>
            <w:gridSpan w:val="13"/>
          </w:tcPr>
          <w:p>
            <w:pPr>
              <w:jc w:val="center"/>
              <w:ind w:right="4800"/>
              <w:spacing w:after="0"/>
              <w:rPr>
                <w:sz w:val="20"/>
                <w:szCs w:val="20"/>
                <w:color w:val="auto"/>
              </w:rPr>
            </w:pPr>
            <w:r>
              <w:rPr>
                <w:rFonts w:ascii="Times New Roman" w:cs="Times New Roman" w:eastAsia="Times New Roman" w:hAnsi="Times New Roman"/>
                <w:sz w:val="17"/>
                <w:szCs w:val="17"/>
                <w:b w:val="1"/>
                <w:bCs w:val="1"/>
                <w:color w:val="0000FF"/>
              </w:rPr>
              <w:t>PART IV</w:t>
            </w:r>
          </w:p>
        </w:tc>
        <w:tc>
          <w:tcPr>
            <w:tcW w:w="24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388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680" w:type="dxa"/>
            <w:vAlign w:val="bottom"/>
            <w:tcBorders>
              <w:top w:val="single" w:sz="8" w:color="0000FF"/>
            </w:tcBorders>
            <w:gridSpan w:val="5"/>
          </w:tcPr>
          <w:p>
            <w:pPr>
              <w:spacing w:after="0"/>
              <w:rPr>
                <w:sz w:val="24"/>
                <w:szCs w:val="24"/>
                <w:color w:val="auto"/>
              </w:rPr>
            </w:pPr>
          </w:p>
        </w:tc>
        <w:tc>
          <w:tcPr>
            <w:tcW w:w="4800" w:type="dxa"/>
            <w:vAlign w:val="bottom"/>
            <w:gridSpan w:val="7"/>
          </w:tcPr>
          <w:p>
            <w:pPr>
              <w:spacing w:after="0"/>
              <w:rPr>
                <w:sz w:val="24"/>
                <w:szCs w:val="24"/>
                <w:color w:val="auto"/>
              </w:rPr>
            </w:pPr>
          </w:p>
        </w:tc>
        <w:tc>
          <w:tcPr>
            <w:tcW w:w="52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103</w:t>
            </w:r>
          </w:p>
        </w:tc>
        <w:tc>
          <w:tcPr>
            <w:tcW w:w="0" w:type="dxa"/>
            <w:vAlign w:val="bottom"/>
          </w:tcPr>
          <w:p>
            <w:pPr>
              <w:spacing w:after="0"/>
              <w:rPr>
                <w:sz w:val="1"/>
                <w:szCs w:val="1"/>
                <w:color w:val="auto"/>
              </w:rPr>
            </w:pPr>
          </w:p>
        </w:tc>
      </w:tr>
      <w:tr>
        <w:trPr>
          <w:trHeight w:val="20"/>
        </w:trPr>
        <w:tc>
          <w:tcPr>
            <w:tcW w:w="1500" w:type="dxa"/>
            <w:vAlign w:val="bottom"/>
            <w:gridSpan w:val="6"/>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6300" w:type="dxa"/>
            <w:vAlign w:val="bottom"/>
            <w:gridSpan w:val="1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306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6300" w:type="dxa"/>
            <w:vAlign w:val="bottom"/>
            <w:gridSpan w:val="15"/>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93"/>
              </w:rPr>
              <w:t>106</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-872490</wp:posOffset>
            </wp:positionH>
            <wp:positionV relativeFrom="paragraph">
              <wp:posOffset>1223645</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2">
            <w:col w:w="620" w:space="720"/>
            <w:col w:w="9880"/>
          </w:cols>
          <w:pgMar w:left="340" w:top="12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Unless the context otherwise indicates, references in this report to the terms “MongoDB,” the “Company,” “we,” “our” and “us” refer to MongoDB, Inc., its divisions and its subsidiaries. All information presented herein is based on our fiscal calendar. Unless otherwise stated, references to particular years, quarters, months or periods refer to the Company’s fiscal years ended January 31 and the associated quarters, months and periods of those fiscal years.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172" w:lineRule="exact"/>
        <w:rPr>
          <w:sz w:val="20"/>
          <w:szCs w:val="20"/>
          <w:color w:val="auto"/>
        </w:rPr>
      </w:pPr>
    </w:p>
    <w:p>
      <w:pPr>
        <w:ind w:right="60" w:firstLine="470"/>
        <w:spacing w:after="0" w:line="276" w:lineRule="auto"/>
        <w:rPr>
          <w:sz w:val="20"/>
          <w:szCs w:val="20"/>
          <w:color w:val="auto"/>
        </w:rPr>
      </w:pPr>
      <w:r>
        <w:rPr>
          <w:rFonts w:ascii="Times New Roman" w:cs="Times New Roman" w:eastAsia="Times New Roman" w:hAnsi="Times New Roman"/>
          <w:sz w:val="17"/>
          <w:szCs w:val="17"/>
          <w:color w:val="auto"/>
        </w:rPr>
        <w:t>“MongoDB” and the MongoDB leaf logo and other trademarks or service marks of MongoDB, Inc. appearing in this Annual Report on Form 10-K (this “Form 10-K”) are the property of MongoDB, Inc. This Form 10-K contains additional trade names, trademarks and service marks of others, which are the property of their respective owners. Solely for convenience, trademarks and trade names referred to in this Form 10-K may appear without the ® or ™ symbols.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72"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This Form 10-K contains forward-looking statements within the meaning of Section 27A of the Securities Act of 1933, as amended (the “Securities Act”) and Section 21E of the Securities Exchange Act of 1934, as amended (the “Exchange Act”), that are based on our management’s beliefs and assumptions and on information currently available to our management. Forward-looking statements are inherently subject to risks and uncertainties, some of which cannot be predicted or quantified. All statements other than present and historical facts and conditions contained in this Form 10-K, including statements regarding our future results of operations and financial position, business strategy, plans and our objectives for future operations, are forward-looking statements. In some cases, you can identify forward-looking statements by terminology such as “anticipate,” “believe,” “can,” “continue,” “could,” “estimate,” “expect,” “intend,” “may,” “might,” “objective,” “ongoing,” “plan,” “potential,” “predict,” “project,” “should,” “will,” or “would,” or the negative or plural of these terms or other comparable terminology. Actual events or results may differ from those expressed in these forward-looking statements and these differences may be material and adverse. Forward-looking statements include, but are not limited to, statements about:</w:t>
      </w:r>
    </w:p>
    <w:p>
      <w:pPr>
        <w:spacing w:after="0" w:line="125" w:lineRule="exact"/>
        <w:rPr>
          <w:sz w:val="20"/>
          <w:szCs w:val="20"/>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operating and financial performance, ability to generate positive cash flow and ability to achieve and sustain profitability;</w:t>
      </w:r>
    </w:p>
    <w:p>
      <w:pPr>
        <w:spacing w:after="0" w:line="170" w:lineRule="exact"/>
        <w:rPr>
          <w:rFonts w:ascii="Times New Roman" w:cs="Times New Roman" w:eastAsia="Times New Roman" w:hAnsi="Times New Roman"/>
          <w:sz w:val="17"/>
          <w:szCs w:val="17"/>
          <w:color w:val="auto"/>
        </w:rPr>
      </w:pPr>
    </w:p>
    <w:p>
      <w:pPr>
        <w:ind w:left="640" w:right="320" w:hanging="322"/>
        <w:spacing w:after="0" w:line="295" w:lineRule="auto"/>
        <w:tabs>
          <w:tab w:leader="none" w:pos="6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anticipate and satisfy customer demands, including through the introduction of new features, products or services and the provision of professional services;</w:t>
      </w:r>
    </w:p>
    <w:p>
      <w:pPr>
        <w:spacing w:after="0" w:line="94"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increased competition in our market;</w:t>
      </w:r>
    </w:p>
    <w:p>
      <w:pPr>
        <w:spacing w:after="0" w:line="170" w:lineRule="exact"/>
        <w:rPr>
          <w:rFonts w:ascii="Times New Roman" w:cs="Times New Roman" w:eastAsia="Times New Roman" w:hAnsi="Times New Roman"/>
          <w:sz w:val="17"/>
          <w:szCs w:val="17"/>
          <w:color w:val="auto"/>
        </w:rPr>
      </w:pPr>
    </w:p>
    <w:p>
      <w:pPr>
        <w:ind w:left="640" w:right="880" w:hanging="322"/>
        <w:spacing w:after="0" w:line="295" w:lineRule="auto"/>
        <w:tabs>
          <w:tab w:leader="none" w:pos="6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expand our sales and marketing organization and to scale our business, including entering into new markets and managing our international expansion;</w:t>
      </w:r>
    </w:p>
    <w:p>
      <w:pPr>
        <w:spacing w:after="0" w:line="94" w:lineRule="exact"/>
        <w:rPr>
          <w:rFonts w:ascii="Times New Roman" w:cs="Times New Roman" w:eastAsia="Times New Roman" w:hAnsi="Times New Roman"/>
          <w:sz w:val="17"/>
          <w:szCs w:val="17"/>
          <w:color w:val="auto"/>
        </w:rPr>
      </w:pPr>
    </w:p>
    <w:p>
      <w:pPr>
        <w:ind w:left="640" w:right="380" w:hanging="322"/>
        <w:spacing w:after="0" w:line="295" w:lineRule="auto"/>
        <w:tabs>
          <w:tab w:leader="none" w:pos="6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economic, business and political conditions, including as a result of the interest rate environment and inflationary pressures that adversely affect the general economy, imposition of trade tariffs, the job market, consumer confidence and spending habits;</w:t>
      </w:r>
    </w:p>
    <w:p>
      <w:pPr>
        <w:spacing w:after="0" w:line="94" w:lineRule="exact"/>
        <w:rPr>
          <w:rFonts w:ascii="Times New Roman" w:cs="Times New Roman" w:eastAsia="Times New Roman" w:hAnsi="Times New Roman"/>
          <w:sz w:val="17"/>
          <w:szCs w:val="17"/>
          <w:color w:val="auto"/>
        </w:rPr>
      </w:pPr>
    </w:p>
    <w:p>
      <w:pPr>
        <w:ind w:left="640" w:right="60" w:hanging="322"/>
        <w:spacing w:after="0" w:line="295" w:lineRule="auto"/>
        <w:tabs>
          <w:tab w:leader="none" w:pos="6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geopolitical instability, including as a result of the Israel-Hamas conflict and Russia’s invasion of Ukraine and the imposition of sanctions on Russia and other actions in response, on economic and market conditions, and heightened cybersecurity risks;</w:t>
      </w:r>
    </w:p>
    <w:p>
      <w:pPr>
        <w:spacing w:after="0" w:line="94"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future trading prices of our common stock and the impact of securities analysts’ reports and macroeconomic trends on these prices;</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build and maintain credibility with the developer community;</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customers to use our products;</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enforce and enhance our intellectual property;</w:t>
      </w:r>
    </w:p>
    <w:p>
      <w:pPr>
        <w:spacing w:after="0" w:line="170" w:lineRule="exact"/>
        <w:rPr>
          <w:rFonts w:ascii="Times New Roman" w:cs="Times New Roman" w:eastAsia="Times New Roman" w:hAnsi="Times New Roman"/>
          <w:sz w:val="17"/>
          <w:szCs w:val="17"/>
          <w:color w:val="auto"/>
        </w:rPr>
      </w:pPr>
    </w:p>
    <w:p>
      <w:pPr>
        <w:ind w:left="640" w:right="60" w:hanging="322"/>
        <w:spacing w:after="0" w:line="295" w:lineRule="auto"/>
        <w:tabs>
          <w:tab w:leader="none" w:pos="6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social, ethical and regulatory issues relating to the use of new and evolving technologies, such as artificial intelligence, in our offerings or partnerships;</w:t>
      </w:r>
    </w:p>
    <w:p>
      <w:pPr>
        <w:spacing w:after="0" w:line="94"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growth and expansion of the market for database products and our ability to penetrate such market;</w:t>
      </w:r>
    </w:p>
    <w:p>
      <w:pPr>
        <w:spacing w:after="0" w:line="31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the security of our software and adequately address privacy concerns;</w:t>
      </w:r>
    </w:p>
    <w:p>
      <w:pPr>
        <w:spacing w:after="0" w:line="170" w:lineRule="exact"/>
        <w:rPr>
          <w:rFonts w:ascii="Times New Roman" w:cs="Times New Roman" w:eastAsia="Times New Roman" w:hAnsi="Times New Roman"/>
          <w:sz w:val="17"/>
          <w:szCs w:val="17"/>
          <w:color w:val="auto"/>
        </w:rPr>
      </w:pPr>
    </w:p>
    <w:p>
      <w:pPr>
        <w:ind w:left="640" w:right="320" w:hanging="322"/>
        <w:spacing w:after="0" w:line="295" w:lineRule="auto"/>
        <w:tabs>
          <w:tab w:leader="none" w:pos="6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implement security measures designed to protect against security breaches and other security incidents involving us or our third-party service providers;</w:t>
      </w:r>
    </w:p>
    <w:p>
      <w:pPr>
        <w:spacing w:after="0" w:line="94"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accurately forecast our sales cycle and make changes to our pricing model;</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form new and expand existing strategic partnerships;</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attraction and retention of highly skilled and key personnel;</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enhance our brand;</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integrate acquired businesses;</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manage our growth and future expenses and maintain our corporate culture; and</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modified or new laws and regulations applying to our business.</w:t>
      </w:r>
    </w:p>
    <w:p>
      <w:pPr>
        <w:spacing w:after="0" w:line="170"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We have based the forward-looking statements contained in this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Form 10-K. These risks are not exhaustive. Other sections of this Form 10-K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Form 10-K. We cannot assure you that the results, events and circumstances reflected in the forward-looking statements will be achieved or occur, and actual results, events or circumstances could differ materially from those described in the forward-looking statements.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22" w:lineRule="exact"/>
        <w:rPr>
          <w:sz w:val="20"/>
          <w:szCs w:val="20"/>
          <w:color w:val="auto"/>
        </w:rPr>
      </w:pPr>
    </w:p>
    <w:p>
      <w:pPr>
        <w:ind w:right="80" w:firstLine="470"/>
        <w:spacing w:after="0" w:line="269"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7" w:lineRule="exact"/>
        <w:rPr>
          <w:sz w:val="20"/>
          <w:szCs w:val="20"/>
          <w:color w:val="auto"/>
        </w:rPr>
      </w:pPr>
    </w:p>
    <w:p>
      <w:pPr>
        <w:ind w:right="320" w:firstLine="470"/>
        <w:spacing w:after="0" w:line="276" w:lineRule="auto"/>
        <w:rPr>
          <w:sz w:val="20"/>
          <w:szCs w:val="20"/>
          <w:color w:val="auto"/>
        </w:rPr>
      </w:pPr>
      <w:r>
        <w:rPr>
          <w:rFonts w:ascii="Times New Roman" w:cs="Times New Roman" w:eastAsia="Times New Roman" w:hAnsi="Times New Roman"/>
          <w:sz w:val="17"/>
          <w:szCs w:val="17"/>
          <w:color w:val="auto"/>
        </w:rPr>
        <w:t>The forward-looking statements made in this Form 10-K relate only to events as of the date on which such statements are made. We undertake no obligation to update any forward-looking statements after the date of this Form 10-K or to conform such statements to actual results or revised expectations, except as required by law.</w:t>
      </w:r>
    </w:p>
    <w:p>
      <w:pPr>
        <w:spacing w:after="0" w:line="110" w:lineRule="exact"/>
        <w:rPr>
          <w:sz w:val="20"/>
          <w:szCs w:val="20"/>
          <w:color w:val="auto"/>
        </w:rPr>
      </w:pPr>
    </w:p>
    <w:p>
      <w:pPr>
        <w:ind w:right="60" w:firstLine="470"/>
        <w:spacing w:after="0" w:line="269" w:lineRule="auto"/>
        <w:rPr>
          <w:sz w:val="20"/>
          <w:szCs w:val="20"/>
          <w:color w:val="auto"/>
        </w:rPr>
      </w:pPr>
      <w:r>
        <w:rPr>
          <w:rFonts w:ascii="Times New Roman" w:cs="Times New Roman" w:eastAsia="Times New Roman" w:hAnsi="Times New Roman"/>
          <w:sz w:val="17"/>
          <w:szCs w:val="17"/>
          <w:color w:val="auto"/>
        </w:rPr>
        <w:t>This Form 10-K contains market data and industry forecasts that were obtained from industry publications. These data and forecasts involve a number of assumptions and limitations and you are cautioned not to give undue weight to such information. We have not independently verified any third-party information. While we believe the market position, market opportunity and market size information included in this Form 10-K is generally reliable, such information is inherently imprecise.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PART 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72" w:lineRule="exact"/>
        <w:rPr>
          <w:sz w:val="20"/>
          <w:szCs w:val="20"/>
          <w:color w:val="auto"/>
        </w:rPr>
      </w:pPr>
    </w:p>
    <w:p>
      <w:pPr>
        <w:ind w:right="20" w:firstLine="470"/>
        <w:spacing w:after="0" w:line="276" w:lineRule="auto"/>
        <w:rPr>
          <w:sz w:val="20"/>
          <w:szCs w:val="20"/>
          <w:color w:val="auto"/>
        </w:rPr>
      </w:pPr>
      <w:r>
        <w:rPr>
          <w:rFonts w:ascii="Times New Roman" w:cs="Times New Roman" w:eastAsia="Times New Roman" w:hAnsi="Times New Roman"/>
          <w:sz w:val="17"/>
          <w:szCs w:val="17"/>
          <w:color w:val="auto"/>
        </w:rPr>
        <w:t>MongoDB is the developer data platform company whose mission is to empower developers to create, transform, and disrupt industries by unleashing the power of software and data. Our developer data platform is a globally distributed operational database integrated with a set of data services that allow development teams to address the growing variety of application requirements, all in a unified and consistent user experience.</w:t>
      </w:r>
    </w:p>
    <w:p>
      <w:pPr>
        <w:spacing w:after="0" w:line="25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The foundation of our platform is the world’s leading, modern general purpose database. Built on our unique document-based architecture, our database is designed to meet the needs of organizations for performance, scalability, flexibility and reliability while maintaining the strengths of relational databases. Every software application requires a database to store, organize and process data. Large organizations can have tens of thousands of applications and associated databases. A database directly impacts an application's performance, scalability, flexibility and reliability. As a result, selecting a database is a highly strategic decision that directly affects developer productivity, application performance and organizational competitiveness.</w:t>
      </w:r>
    </w:p>
    <w:p>
      <w:pPr>
        <w:spacing w:after="0" w:line="119" w:lineRule="exact"/>
        <w:rPr>
          <w:sz w:val="20"/>
          <w:szCs w:val="20"/>
          <w:color w:val="auto"/>
        </w:rPr>
      </w:pPr>
    </w:p>
    <w:p>
      <w:pPr>
        <w:ind w:right="60" w:firstLine="470"/>
        <w:spacing w:after="0" w:line="261" w:lineRule="auto"/>
        <w:rPr>
          <w:sz w:val="20"/>
          <w:szCs w:val="20"/>
          <w:color w:val="auto"/>
        </w:rPr>
      </w:pPr>
      <w:r>
        <w:rPr>
          <w:rFonts w:ascii="Times New Roman" w:cs="Times New Roman" w:eastAsia="Times New Roman" w:hAnsi="Times New Roman"/>
          <w:sz w:val="17"/>
          <w:szCs w:val="17"/>
          <w:color w:val="auto"/>
        </w:rPr>
        <w:t>The global database market is dominated by legacy relational databases, which were first developed in the 1970s. Their underlying architecture remains largely unchanged even though the nature of applications, how they are deployed and their role in business has evolved dramatically. Modern software development is highly iterative and requires flexibility. Relational databases were not built to support the volume, variety and speed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and were not designed for “always-on” globally distributed deployments. These factors have left developers and their organizations in need of more agile and effective database alternatives. A number of non-relational database alternatives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w:t>
      </w:r>
    </w:p>
    <w:p>
      <w:pPr>
        <w:spacing w:after="0" w:line="125" w:lineRule="exact"/>
        <w:rPr>
          <w:sz w:val="20"/>
          <w:szCs w:val="20"/>
          <w:color w:val="auto"/>
        </w:rPr>
      </w:pPr>
    </w:p>
    <w:p>
      <w:pPr>
        <w:ind w:right="100" w:firstLine="470"/>
        <w:spacing w:after="0" w:line="266" w:lineRule="auto"/>
        <w:rPr>
          <w:sz w:val="20"/>
          <w:szCs w:val="20"/>
          <w:color w:val="auto"/>
        </w:rPr>
      </w:pPr>
      <w:r>
        <w:rPr>
          <w:rFonts w:ascii="Times New Roman" w:cs="Times New Roman" w:eastAsia="Times New Roman" w:hAnsi="Times New Roman"/>
          <w:sz w:val="17"/>
          <w:szCs w:val="17"/>
          <w:color w:val="auto"/>
        </w:rPr>
        <w:t>Our database combines the best of both relational and non-relational databases. 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more naturally, making it easy and intuitive for developers to rapidly and cost-effectively build, modernize, deploy and maintain applications, thereby increasing the pace of innovation within an organization. Customers can run our database in any environment, depending on their operational requirements: fully managed as a service or self-managed in the cloud, on-premises or in a hybrid environment.</w:t>
      </w:r>
    </w:p>
    <w:p>
      <w:pPr>
        <w:spacing w:after="0" w:line="119" w:lineRule="exact"/>
        <w:rPr>
          <w:sz w:val="20"/>
          <w:szCs w:val="20"/>
          <w:color w:val="auto"/>
        </w:rPr>
      </w:pPr>
    </w:p>
    <w:p>
      <w:pPr>
        <w:ind w:right="80" w:firstLine="470"/>
        <w:spacing w:after="0" w:line="263" w:lineRule="auto"/>
        <w:rPr>
          <w:sz w:val="20"/>
          <w:szCs w:val="20"/>
          <w:color w:val="auto"/>
        </w:rPr>
      </w:pPr>
      <w:r>
        <w:rPr>
          <w:rFonts w:ascii="Times New Roman" w:cs="Times New Roman" w:eastAsia="Times New Roman" w:hAnsi="Times New Roman"/>
          <w:sz w:val="17"/>
          <w:szCs w:val="17"/>
          <w:color w:val="auto"/>
        </w:rPr>
        <w:t>In 2023, generative artificial intelligence (“AI”) emerged as a significant technology trend. Generative AI is the process of generating original content by using foundation models (“FMs”), which are trained on large amounts of generally available data. Organizations of all sizes are looking at how to use their proprietary data in concert with FMs to drive better, AI-powered experiences for their customers. Organizations need a modern database to securely build, deploy, and scale generative AI applications. AI-driven workloads require the underlying database to be capable of processing queries against rich and complex data structures quickly and efficiently. Our flexible document model is uniquely positioned to help customers build sophisticated AI applications because it is designed to handle different data types (source data, vector data, metadata and generated data) right alongside live operational data, negating the need for multiple database systems and complex back-end architectures.</w:t>
      </w:r>
    </w:p>
    <w:p>
      <w:pPr>
        <w:spacing w:after="0" w:line="121" w:lineRule="exact"/>
        <w:rPr>
          <w:sz w:val="20"/>
          <w:szCs w:val="20"/>
          <w:color w:val="auto"/>
        </w:rPr>
      </w:pPr>
    </w:p>
    <w:p>
      <w:pPr>
        <w:ind w:right="180" w:firstLine="470"/>
        <w:spacing w:after="0" w:line="276" w:lineRule="auto"/>
        <w:rPr>
          <w:sz w:val="20"/>
          <w:szCs w:val="20"/>
          <w:color w:val="auto"/>
        </w:rPr>
      </w:pPr>
      <w:r>
        <w:rPr>
          <w:rFonts w:ascii="Times New Roman" w:cs="Times New Roman" w:eastAsia="Times New Roman" w:hAnsi="Times New Roman"/>
          <w:sz w:val="17"/>
          <w:szCs w:val="17"/>
          <w:color w:val="auto"/>
        </w:rPr>
        <w:t>In addition to the database offering, our developer data platform includes additional capabilities that allow developers to address a broader range of application requirements. Our platform’s integrated capabilities allow organizations to reduce the need for disparate, single-purpose data technologies, thereby lowering the cost and complexity of their application infrastructure. These complementary capabilities of our platform include:</w:t>
      </w:r>
    </w:p>
    <w:p>
      <w:pPr>
        <w:spacing w:after="0" w:line="108" w:lineRule="exact"/>
        <w:rPr>
          <w:sz w:val="20"/>
          <w:szCs w:val="20"/>
          <w:color w:val="auto"/>
        </w:rPr>
      </w:pPr>
    </w:p>
    <w:p>
      <w:pPr>
        <w:ind w:left="640" w:right="40" w:hanging="165"/>
        <w:spacing w:after="0" w:line="277" w:lineRule="auto"/>
        <w:tabs>
          <w:tab w:leader="none" w:pos="6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Search</w:t>
      </w:r>
      <w:r>
        <w:rPr>
          <w:rFonts w:ascii="Times New Roman" w:cs="Times New Roman" w:eastAsia="Times New Roman" w:hAnsi="Times New Roman"/>
          <w:sz w:val="17"/>
          <w:szCs w:val="17"/>
          <w:color w:val="auto"/>
        </w:rPr>
        <w:t>. Extends the developer interface for working with the database to seamlessly implement relevance-based search operations, simplifying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of rich search experiences in applications. It also eliminates the need to run a separate search engine alongside the database and maintains the sync between the two systems.</w:t>
      </w:r>
    </w:p>
    <w:p>
      <w:pPr>
        <w:spacing w:after="0" w:line="107" w:lineRule="exact"/>
        <w:rPr>
          <w:rFonts w:ascii="Times New Roman" w:cs="Times New Roman" w:eastAsia="Times New Roman" w:hAnsi="Times New Roman"/>
          <w:sz w:val="17"/>
          <w:szCs w:val="17"/>
          <w:color w:val="auto"/>
        </w:rPr>
      </w:pPr>
    </w:p>
    <w:p>
      <w:pPr>
        <w:ind w:left="640" w:right="100" w:hanging="165"/>
        <w:spacing w:after="0" w:line="277" w:lineRule="auto"/>
        <w:tabs>
          <w:tab w:leader="none" w:pos="6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Vector search</w:t>
      </w:r>
      <w:r>
        <w:rPr>
          <w:rFonts w:ascii="Times New Roman" w:cs="Times New Roman" w:eastAsia="Times New Roman" w:hAnsi="Times New Roman"/>
          <w:sz w:val="17"/>
          <w:szCs w:val="17"/>
          <w:color w:val="auto"/>
        </w:rPr>
        <w:t>. Enables customers to easily and securely use pre-trained foundation models to leverage their own proprietary, up-to-date data for more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accurate and trustworthy AI applications. Atlas Vector Search allows the integration of an operational database and vector search in a unified, fully managed platform.</w:t>
      </w:r>
    </w:p>
    <w:p>
      <w:pPr>
        <w:spacing w:after="0" w:line="107" w:lineRule="exact"/>
        <w:rPr>
          <w:rFonts w:ascii="Times New Roman" w:cs="Times New Roman" w:eastAsia="Times New Roman" w:hAnsi="Times New Roman"/>
          <w:sz w:val="17"/>
          <w:szCs w:val="17"/>
          <w:color w:val="auto"/>
        </w:rPr>
      </w:pPr>
    </w:p>
    <w:p>
      <w:pPr>
        <w:ind w:left="640" w:right="360" w:hanging="165"/>
        <w:spacing w:after="0" w:line="277" w:lineRule="auto"/>
        <w:tabs>
          <w:tab w:leader="none" w:pos="6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Time series. </w:t>
      </w:r>
      <w:r>
        <w:rPr>
          <w:rFonts w:ascii="Times New Roman" w:cs="Times New Roman" w:eastAsia="Times New Roman" w:hAnsi="Times New Roman"/>
          <w:sz w:val="17"/>
          <w:szCs w:val="17"/>
          <w:color w:val="auto"/>
        </w:rPr>
        <w:t>Supports the entire end-to-end cycle of applications that leverage time series data, from ingestion, storage and querying to native data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visualization and automated data archival in a single platform, which removes the need for complex integration, thereby increasing efficiency and reducing cost.</w:t>
      </w:r>
    </w:p>
    <w:p>
      <w:pPr>
        <w:spacing w:after="0" w:line="107" w:lineRule="exact"/>
        <w:rPr>
          <w:rFonts w:ascii="Times New Roman" w:cs="Times New Roman" w:eastAsia="Times New Roman" w:hAnsi="Times New Roman"/>
          <w:sz w:val="17"/>
          <w:szCs w:val="17"/>
          <w:color w:val="auto"/>
        </w:rPr>
      </w:pPr>
    </w:p>
    <w:p>
      <w:pPr>
        <w:ind w:left="640" w:right="440" w:hanging="165"/>
        <w:spacing w:after="0" w:line="298" w:lineRule="auto"/>
        <w:tabs>
          <w:tab w:leader="none" w:pos="6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Data lifecycle</w:t>
      </w:r>
      <w:r>
        <w:rPr>
          <w:rFonts w:ascii="Times New Roman" w:cs="Times New Roman" w:eastAsia="Times New Roman" w:hAnsi="Times New Roman"/>
          <w:sz w:val="17"/>
          <w:szCs w:val="17"/>
          <w:color w:val="auto"/>
        </w:rPr>
        <w:t>. Includes capabilities that help users more effectively manage the lifecycle of their application data. For example, MongoDB Atlas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Online Archive helps users automatically tier aged data out of the database while keeping the data fully accessible.</w:t>
      </w:r>
    </w:p>
    <w:p>
      <w:pPr>
        <w:spacing w:after="0" w:line="23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 w:right="120" w:hanging="165"/>
        <w:spacing w:after="0" w:line="277" w:lineRule="auto"/>
        <w:tabs>
          <w:tab w:leader="none" w:pos="6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Application-driven analytics</w:t>
      </w:r>
      <w:r>
        <w:rPr>
          <w:rFonts w:ascii="Times New Roman" w:cs="Times New Roman" w:eastAsia="Times New Roman" w:hAnsi="Times New Roman"/>
          <w:sz w:val="17"/>
          <w:szCs w:val="17"/>
          <w:color w:val="auto"/>
        </w:rPr>
        <w:t>. Includes a wide range of capabilities to help development teams build richer application experiences that rely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automatic, low-latency analytical processing of live data. This includes rich aggregations and indexing strategies, as well as dedicated analytics nodes for workload isolation.</w:t>
      </w:r>
    </w:p>
    <w:p>
      <w:pPr>
        <w:spacing w:after="0" w:line="107" w:lineRule="exact"/>
        <w:rPr>
          <w:rFonts w:ascii="Times New Roman" w:cs="Times New Roman" w:eastAsia="Times New Roman" w:hAnsi="Times New Roman"/>
          <w:sz w:val="17"/>
          <w:szCs w:val="17"/>
          <w:color w:val="auto"/>
        </w:rPr>
      </w:pPr>
    </w:p>
    <w:p>
      <w:pPr>
        <w:ind w:left="640" w:right="520" w:hanging="165"/>
        <w:spacing w:after="0" w:line="298" w:lineRule="auto"/>
        <w:tabs>
          <w:tab w:leader="none" w:pos="6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Stream processing</w:t>
      </w:r>
      <w:r>
        <w:rPr>
          <w:rFonts w:ascii="Times New Roman" w:cs="Times New Roman" w:eastAsia="Times New Roman" w:hAnsi="Times New Roman"/>
          <w:sz w:val="17"/>
          <w:szCs w:val="17"/>
          <w:color w:val="auto"/>
        </w:rPr>
        <w:t>. Simplifies processing high-volume, high-velocity streams of data, transforming how developers build responsive, real-time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applications. Use cases include personalization, anomaly detection, and predictive maintenance.</w:t>
      </w:r>
    </w:p>
    <w:p>
      <w:pPr>
        <w:spacing w:after="0" w:line="92" w:lineRule="exact"/>
        <w:rPr>
          <w:sz w:val="20"/>
          <w:szCs w:val="20"/>
          <w:color w:val="auto"/>
        </w:rPr>
      </w:pPr>
    </w:p>
    <w:p>
      <w:pPr>
        <w:jc w:val="both"/>
        <w:ind w:right="60" w:firstLine="470"/>
        <w:spacing w:after="0" w:line="268" w:lineRule="auto"/>
        <w:rPr>
          <w:sz w:val="20"/>
          <w:szCs w:val="20"/>
          <w:color w:val="auto"/>
        </w:rPr>
      </w:pPr>
      <w:r>
        <w:rPr>
          <w:rFonts w:ascii="Times New Roman" w:cs="Times New Roman" w:eastAsia="Times New Roman" w:hAnsi="Times New Roman"/>
          <w:sz w:val="17"/>
          <w:szCs w:val="17"/>
          <w:color w:val="auto"/>
        </w:rPr>
        <w:t>We compete in the database management software market, which is one of the largest in the software industry. According to IDC, the worldwide Data Management Software market, was $94 billion in 2023 growing to approximately $170 billion in 2028. This represents a 13% compound annual growth rate. Over the last two years, a number of companies launched code assistant tools, which leverage generative AI to help developers write and test their code faster, thereby accelerating application development. We believe these developments in coding assistant technology will further benefit the data management software market.</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MongoDB Advantage</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key differentiating features and capabilities of our developer data platform include:</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We Built Our Platform for Developers.</w:t>
      </w:r>
    </w:p>
    <w:p>
      <w:pPr>
        <w:spacing w:after="0" w:line="172" w:lineRule="exact"/>
        <w:rPr>
          <w:sz w:val="20"/>
          <w:szCs w:val="20"/>
          <w:color w:val="auto"/>
        </w:rPr>
      </w:pPr>
    </w:p>
    <w:p>
      <w:pPr>
        <w:ind w:right="60" w:firstLine="470"/>
        <w:spacing w:after="0" w:line="262" w:lineRule="auto"/>
        <w:rPr>
          <w:sz w:val="20"/>
          <w:szCs w:val="20"/>
          <w:color w:val="auto"/>
        </w:rPr>
      </w:pPr>
      <w:r>
        <w:rPr>
          <w:rFonts w:ascii="Times New Roman" w:cs="Times New Roman" w:eastAsia="Times New Roman" w:hAnsi="Times New Roman"/>
          <w:sz w:val="17"/>
          <w:szCs w:val="17"/>
          <w:color w:val="auto"/>
        </w:rPr>
        <w:t>MongoDB was built by developers for developers. We architected our platform with robust 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than legacy alternatives. Consequently, developers can focus on the application and end-user experience, because they do not have to spend time fixing and maintaining the linkages between the application and a rigid relational database structure, resulting in faster pace of innovation for organizations. We also develop and maintain drivers in all leading programming languages, allowing developers to interact with our platform using the programming language of their choice, further increasing developer productivity. MongoDB has been named as one of the most desired database technologies for developers since StackOverflow introduced databases as a category in their Annual Developer Survey in 2017.</w:t>
      </w:r>
    </w:p>
    <w:p>
      <w:pPr>
        <w:spacing w:after="0" w:line="3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We Built a Platform for Modern Applications.</w:t>
      </w:r>
    </w:p>
    <w:p>
      <w:pPr>
        <w:spacing w:after="0" w:line="172" w:lineRule="exact"/>
        <w:rPr>
          <w:sz w:val="20"/>
          <w:szCs w:val="20"/>
          <w:color w:val="auto"/>
        </w:rPr>
      </w:pPr>
    </w:p>
    <w:p>
      <w:pPr>
        <w:ind w:right="200" w:firstLine="470"/>
        <w:spacing w:after="0" w:line="264" w:lineRule="auto"/>
        <w:rPr>
          <w:sz w:val="20"/>
          <w:szCs w:val="20"/>
          <w:color w:val="auto"/>
        </w:rPr>
      </w:pPr>
      <w:r>
        <w:rPr>
          <w:rFonts w:ascii="Times New Roman" w:cs="Times New Roman" w:eastAsia="Times New Roman" w:hAnsi="Times New Roman"/>
          <w:sz w:val="17"/>
          <w:szCs w:val="17"/>
          <w:color w:val="auto"/>
        </w:rPr>
        <w:t>Our founders were frustrated by the challenges and limitations of working with legacy database offerings. Our platform was built to address these challenges and limits while maintaining the best aspects of relational databases, allowing developers both to build new, modern applications that could not be built on relational databases and to more quickly and easily modernize existing applications. In 2023, we announced the general availability of Relational Migrator, a tool that makes it easier for customers to migrate their existing applications from their legacy relational databases to MongoDB. While the percentage varies from quarter to quarter, over the past fiscal year, more than one fifth of our new business related to MongoDB Enterprise Advanced, our proprietary commercial database offering, resulted from applications that were migrated from legacy relational databases.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Core features and benefits of our platform include:</w:t>
      </w:r>
    </w:p>
    <w:p>
      <w:pPr>
        <w:spacing w:after="0" w:line="168" w:lineRule="exact"/>
        <w:rPr>
          <w:sz w:val="20"/>
          <w:szCs w:val="20"/>
          <w:color w:val="auto"/>
        </w:rPr>
      </w:pPr>
    </w:p>
    <w:p>
      <w:pPr>
        <w:jc w:val="both"/>
        <w:ind w:left="640" w:hanging="165"/>
        <w:spacing w:after="0" w:line="277" w:lineRule="auto"/>
        <w:tabs>
          <w:tab w:leader="none" w:pos="6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Versatility. </w:t>
      </w:r>
      <w:r>
        <w:rPr>
          <w:rFonts w:ascii="Times New Roman" w:cs="Times New Roman" w:eastAsia="Times New Roman" w:hAnsi="Times New Roman"/>
          <w:sz w:val="17"/>
          <w:szCs w:val="17"/>
          <w:color w:val="auto"/>
        </w:rPr>
        <w:t>Our developer data platform supports a broad range of workloads and offers our customers a host of features and services that complement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our database offering. Our platform provides an integrated solution that precludes the need for single-purpose technologies and allows our customers to reduce the cost and back-end complexity of their application infrastructure, as well as increase the speed of innovation.</w:t>
      </w:r>
    </w:p>
    <w:p>
      <w:pPr>
        <w:spacing w:after="0" w:line="107" w:lineRule="exact"/>
        <w:rPr>
          <w:rFonts w:ascii="Times New Roman" w:cs="Times New Roman" w:eastAsia="Times New Roman" w:hAnsi="Times New Roman"/>
          <w:sz w:val="17"/>
          <w:szCs w:val="17"/>
          <w:color w:val="auto"/>
        </w:rPr>
      </w:pPr>
    </w:p>
    <w:p>
      <w:pPr>
        <w:ind w:left="640" w:right="320" w:hanging="165"/>
        <w:spacing w:after="0" w:line="298" w:lineRule="auto"/>
        <w:tabs>
          <w:tab w:leader="none" w:pos="6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Performance. </w:t>
      </w:r>
      <w:r>
        <w:rPr>
          <w:rFonts w:ascii="Times New Roman" w:cs="Times New Roman" w:eastAsia="Times New Roman" w:hAnsi="Times New Roman"/>
          <w:sz w:val="17"/>
          <w:szCs w:val="17"/>
          <w:color w:val="auto"/>
        </w:rPr>
        <w:t>We deliver the extreme throughput and predictable low-latency required by the most demanding applications, delivering millions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operations per second.</w:t>
      </w:r>
    </w:p>
    <w:p>
      <w:pPr>
        <w:spacing w:after="0" w:line="89" w:lineRule="exact"/>
        <w:rPr>
          <w:rFonts w:ascii="Times New Roman" w:cs="Times New Roman" w:eastAsia="Times New Roman" w:hAnsi="Times New Roman"/>
          <w:sz w:val="17"/>
          <w:szCs w:val="17"/>
          <w:color w:val="auto"/>
        </w:rPr>
      </w:pPr>
    </w:p>
    <w:p>
      <w:pPr>
        <w:ind w:left="640" w:hanging="165"/>
        <w:spacing w:after="0" w:line="277" w:lineRule="auto"/>
        <w:tabs>
          <w:tab w:leader="none" w:pos="6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Scalability. </w:t>
      </w:r>
      <w:r>
        <w:rPr>
          <w:rFonts w:ascii="Times New Roman" w:cs="Times New Roman" w:eastAsia="Times New Roman" w:hAnsi="Times New Roman"/>
          <w:sz w:val="17"/>
          <w:szCs w:val="17"/>
          <w:color w:val="auto"/>
        </w:rPr>
        <w:t>Our architecture scales horizontally across thousands of servers, supporting petabytes of data and millions of users in a globally distributed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environment. It is easy to add capacity to our platform in a modular, predictable and cost-efficient manner. Applications can be run anywhere with our global multi-cloud reach.</w:t>
      </w:r>
    </w:p>
    <w:p>
      <w:pPr>
        <w:spacing w:after="0" w:line="107" w:lineRule="exact"/>
        <w:rPr>
          <w:rFonts w:ascii="Times New Roman" w:cs="Times New Roman" w:eastAsia="Times New Roman" w:hAnsi="Times New Roman"/>
          <w:sz w:val="17"/>
          <w:szCs w:val="17"/>
          <w:color w:val="auto"/>
        </w:rPr>
      </w:pPr>
    </w:p>
    <w:p>
      <w:pPr>
        <w:ind w:left="640" w:right="220" w:hanging="165"/>
        <w:spacing w:after="0" w:line="298" w:lineRule="auto"/>
        <w:tabs>
          <w:tab w:leader="none" w:pos="6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Flexibility and control. </w:t>
      </w:r>
      <w:r>
        <w:rPr>
          <w:rFonts w:ascii="Times New Roman" w:cs="Times New Roman" w:eastAsia="Times New Roman" w:hAnsi="Times New Roman"/>
          <w:sz w:val="17"/>
          <w:szCs w:val="17"/>
          <w:color w:val="auto"/>
        </w:rPr>
        <w:t>MongoDB's intelligent distributed systems architecture enables users to easily place data where their applications and users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need it. MongoDB can be run within and across geographically distributed data</w:t>
      </w:r>
    </w:p>
    <w:p>
      <w:pPr>
        <w:spacing w:after="0" w:line="23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centers and cloud regions, providing levels of scalability, workload isolation and data locality to meet today's modern application requirements.</w:t>
      </w:r>
    </w:p>
    <w:p>
      <w:pPr>
        <w:spacing w:after="0" w:line="168" w:lineRule="exact"/>
        <w:rPr>
          <w:sz w:val="20"/>
          <w:szCs w:val="20"/>
          <w:color w:val="auto"/>
        </w:rPr>
      </w:pPr>
    </w:p>
    <w:p>
      <w:pPr>
        <w:ind w:left="640" w:right="140" w:hanging="165"/>
        <w:spacing w:after="0" w:line="277" w:lineRule="auto"/>
        <w:tabs>
          <w:tab w:leader="none" w:pos="6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Reliability. </w:t>
      </w:r>
      <w:r>
        <w:rPr>
          <w:rFonts w:ascii="Times New Roman" w:cs="Times New Roman" w:eastAsia="Times New Roman" w:hAnsi="Times New Roman"/>
          <w:sz w:val="17"/>
          <w:szCs w:val="17"/>
          <w:color w:val="auto"/>
        </w:rPr>
        <w:t>Our platform includes the critical, advanced security features and fault-tolerance that enterprises demand. It was built to operate in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globally distributed environment for “always-on” applications. Our multi-cloud and global reach empowers applications to withstand regional outages while addressing the most demanding data security and privacy requirements.</w:t>
      </w:r>
    </w:p>
    <w:p>
      <w:pPr>
        <w:spacing w:after="0" w:line="1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We Allow Customers to Run Any Application Anywhere.</w:t>
      </w:r>
    </w:p>
    <w:p>
      <w:pPr>
        <w:spacing w:after="0" w:line="172" w:lineRule="exact"/>
        <w:rPr>
          <w:sz w:val="20"/>
          <w:szCs w:val="20"/>
          <w:color w:val="auto"/>
        </w:rPr>
      </w:pPr>
    </w:p>
    <w:p>
      <w:pPr>
        <w:ind w:right="80" w:firstLine="470"/>
        <w:spacing w:after="0" w:line="266" w:lineRule="auto"/>
        <w:rPr>
          <w:sz w:val="20"/>
          <w:szCs w:val="20"/>
          <w:color w:val="auto"/>
        </w:rPr>
      </w:pPr>
      <w:r>
        <w:rPr>
          <w:rFonts w:ascii="Times New Roman" w:cs="Times New Roman" w:eastAsia="Times New Roman" w:hAnsi="Times New Roman"/>
          <w:sz w:val="17"/>
          <w:szCs w:val="17"/>
          <w:color w:val="auto"/>
        </w:rPr>
        <w:t>Our platform supports applications across a wide range of use cases and is easily configurable, allowing customers to adjust settings and parameters to optimize performance for a specific application and use case. Customers can run our platform in any environment, depending on their operational requirements: fully managed as a service or self-managed in the cloud, on-premises or in a hybrid environment. Customers can deploy our platform in any of the major public clouds, providing them with increased flexibility and cost-optimization opportunities by enabling public cloud vendor optionality. Our customers have a consistent experience regardless of infrastructure, providing optionality, flexibility, application and data portability.</w:t>
      </w:r>
    </w:p>
    <w:p>
      <w:pPr>
        <w:spacing w:after="0" w:line="119" w:lineRule="exact"/>
        <w:rPr>
          <w:sz w:val="20"/>
          <w:szCs w:val="20"/>
          <w:color w:val="auto"/>
        </w:rPr>
      </w:pPr>
    </w:p>
    <w:p>
      <w:pPr>
        <w:ind w:right="280" w:firstLine="470"/>
        <w:spacing w:after="0" w:line="269" w:lineRule="auto"/>
        <w:rPr>
          <w:sz w:val="20"/>
          <w:szCs w:val="20"/>
          <w:color w:val="auto"/>
        </w:rPr>
      </w:pPr>
      <w:r>
        <w:rPr>
          <w:rFonts w:ascii="Times New Roman" w:cs="Times New Roman" w:eastAsia="Times New Roman" w:hAnsi="Times New Roman"/>
          <w:sz w:val="17"/>
          <w:szCs w:val="17"/>
          <w:color w:val="auto"/>
        </w:rPr>
        <w:t>Customers of MongoDB Atlas, our multi-cloud offering, enjoy the benefits of using MongoDB as a service in the public cloud, further enabling developers to focus on their application performance and end-user experience, rather than the back-end infrastructure lifecycle management. With MongoDB Atlas, organizations only have to manage how their applications use the database and are freed from the tasks of infrastructure provisioning, configuring operating systems, upgrading software and more.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Customer Benefits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platform delivers the following key business benefits for our customers:</w:t>
      </w:r>
    </w:p>
    <w:p>
      <w:pPr>
        <w:spacing w:after="0" w:line="168" w:lineRule="exact"/>
        <w:rPr>
          <w:sz w:val="20"/>
          <w:szCs w:val="20"/>
          <w:color w:val="auto"/>
        </w:rPr>
      </w:pPr>
    </w:p>
    <w:p>
      <w:pPr>
        <w:ind w:left="640" w:right="80" w:hanging="165"/>
        <w:spacing w:after="0" w:line="270" w:lineRule="auto"/>
        <w:tabs>
          <w:tab w:leader="none" w:pos="6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Maximize competitive advantage through software and data. </w:t>
      </w:r>
      <w:r>
        <w:rPr>
          <w:rFonts w:ascii="Times New Roman" w:cs="Times New Roman" w:eastAsia="Times New Roman" w:hAnsi="Times New Roman"/>
          <w:sz w:val="17"/>
          <w:szCs w:val="17"/>
          <w:color w:val="auto"/>
        </w:rPr>
        <w:t>Our platform is built to support modern applications, allowing organizations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harness the full power of software and data to drive competitive advantage. Developers use our platform to build new, operational and customer-facing applications, including applications that cannot be built on legacy databases. As a result, our platform can help drive our customers’ ability to compete, improve end-user satisfaction, increase their revenue and gain market share.</w:t>
      </w:r>
    </w:p>
    <w:p>
      <w:pPr>
        <w:spacing w:after="0" w:line="113" w:lineRule="exact"/>
        <w:rPr>
          <w:rFonts w:ascii="Times New Roman" w:cs="Times New Roman" w:eastAsia="Times New Roman" w:hAnsi="Times New Roman"/>
          <w:sz w:val="17"/>
          <w:szCs w:val="17"/>
          <w:color w:val="auto"/>
        </w:rPr>
      </w:pPr>
    </w:p>
    <w:p>
      <w:pPr>
        <w:ind w:left="640" w:right="140" w:hanging="165"/>
        <w:spacing w:after="0" w:line="267" w:lineRule="auto"/>
        <w:tabs>
          <w:tab w:leader="none" w:pos="6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Increase developer productivity. </w:t>
      </w:r>
      <w:r>
        <w:rPr>
          <w:rFonts w:ascii="Times New Roman" w:cs="Times New Roman" w:eastAsia="Times New Roman" w:hAnsi="Times New Roman"/>
          <w:sz w:val="17"/>
          <w:szCs w:val="17"/>
          <w:color w:val="auto"/>
        </w:rPr>
        <w:t>By empowering developers to build and modernize applications quickly and cost-efficiently, we enable developers’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agility and accelerate their time-to-revenue for new products. Our platform’s document-based architecture and intuitive drivers make developing new applications and iterating on existing applications very efficient, increasing developer productivity. MongoDB Atlas allows developers to focus on application performance and end-user experience, rather than the database infrastructure management including provisioning, operating system configuration, upgrades, monitoring and backups.</w:t>
      </w:r>
    </w:p>
    <w:p>
      <w:pPr>
        <w:spacing w:after="0" w:line="114" w:lineRule="exact"/>
        <w:rPr>
          <w:rFonts w:ascii="Times New Roman" w:cs="Times New Roman" w:eastAsia="Times New Roman" w:hAnsi="Times New Roman"/>
          <w:sz w:val="17"/>
          <w:szCs w:val="17"/>
          <w:color w:val="auto"/>
        </w:rPr>
      </w:pPr>
    </w:p>
    <w:p>
      <w:pPr>
        <w:ind w:left="640" w:right="20" w:hanging="165"/>
        <w:spacing w:after="0" w:line="298" w:lineRule="auto"/>
        <w:tabs>
          <w:tab w:leader="none" w:pos="6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Deliver high reliability for mission-critical deployments. </w:t>
      </w:r>
      <w:r>
        <w:rPr>
          <w:rFonts w:ascii="Times New Roman" w:cs="Times New Roman" w:eastAsia="Times New Roman" w:hAnsi="Times New Roman"/>
          <w:sz w:val="17"/>
          <w:szCs w:val="17"/>
          <w:color w:val="auto"/>
        </w:rPr>
        <w:t>Our platform is designed to support mission-critical applications by being fault-tolerant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always-on, reducing downtime for our customers and minimizing the risk of lost revenue.</w:t>
      </w:r>
    </w:p>
    <w:p>
      <w:pPr>
        <w:spacing w:after="0" w:line="89" w:lineRule="exact"/>
        <w:rPr>
          <w:rFonts w:ascii="Times New Roman" w:cs="Times New Roman" w:eastAsia="Times New Roman" w:hAnsi="Times New Roman"/>
          <w:sz w:val="17"/>
          <w:szCs w:val="17"/>
          <w:color w:val="auto"/>
        </w:rPr>
      </w:pPr>
    </w:p>
    <w:p>
      <w:pPr>
        <w:ind w:left="640" w:right="60" w:hanging="165"/>
        <w:spacing w:after="0" w:line="298" w:lineRule="auto"/>
        <w:tabs>
          <w:tab w:leader="none" w:pos="6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Reduce complexity. </w:t>
      </w:r>
      <w:r>
        <w:rPr>
          <w:rFonts w:ascii="Times New Roman" w:cs="Times New Roman" w:eastAsia="Times New Roman" w:hAnsi="Times New Roman"/>
          <w:sz w:val="17"/>
          <w:szCs w:val="17"/>
          <w:color w:val="auto"/>
        </w:rPr>
        <w:t>Our platform’s integrated capabilities allow customers to reduce the need for disparate, single-purpose solutions, thereby reducing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cost and complexity of the application infrastructure required to support a wide variety of application requirements.</w:t>
      </w:r>
    </w:p>
    <w:p>
      <w:pPr>
        <w:spacing w:after="0" w:line="89" w:lineRule="exact"/>
        <w:rPr>
          <w:rFonts w:ascii="Times New Roman" w:cs="Times New Roman" w:eastAsia="Times New Roman" w:hAnsi="Times New Roman"/>
          <w:sz w:val="17"/>
          <w:szCs w:val="17"/>
          <w:color w:val="auto"/>
        </w:rPr>
      </w:pPr>
    </w:p>
    <w:p>
      <w:pPr>
        <w:jc w:val="both"/>
        <w:ind w:left="640" w:hanging="165"/>
        <w:spacing w:after="0" w:line="270" w:lineRule="auto"/>
        <w:tabs>
          <w:tab w:leader="none" w:pos="6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Reduce total cost of ownership. </w:t>
      </w:r>
      <w:r>
        <w:rPr>
          <w:rFonts w:ascii="Times New Roman" w:cs="Times New Roman" w:eastAsia="Times New Roman" w:hAnsi="Times New Roman"/>
          <w:sz w:val="17"/>
          <w:szCs w:val="17"/>
          <w:color w:val="auto"/>
        </w:rPr>
        <w:t>The speed and efficiency of application development using our platform, coupled with decreased developer resources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required for application maintenance, can result in a significant reduction in the total cost of ownership for enterprises. In addition, our platform runs on commodity hardware, which requires less oversight and management from operations personnel and can operate in the cloud provider of choice or other low-cost environments, leading to reduced application-related overhead costs for our customers and lower total cost of ownership.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172" w:lineRule="exact"/>
        <w:rPr>
          <w:sz w:val="20"/>
          <w:szCs w:val="20"/>
          <w:color w:val="auto"/>
        </w:rPr>
      </w:pPr>
    </w:p>
    <w:p>
      <w:pPr>
        <w:ind w:right="180" w:firstLine="470"/>
        <w:spacing w:after="0" w:line="295" w:lineRule="auto"/>
        <w:rPr>
          <w:sz w:val="20"/>
          <w:szCs w:val="20"/>
          <w:color w:val="auto"/>
        </w:rPr>
      </w:pPr>
      <w:r>
        <w:rPr>
          <w:rFonts w:ascii="Times New Roman" w:cs="Times New Roman" w:eastAsia="Times New Roman" w:hAnsi="Times New Roman"/>
          <w:sz w:val="17"/>
          <w:szCs w:val="17"/>
          <w:color w:val="auto"/>
        </w:rPr>
        <w:t>Our customers can implement our developer data platform as a managed service offering, or they can choose a self-managed option. MongoDB Atlas is our managed multi-cloud database-as-a-service (“DBaaS”) offering that includes an</w:t>
      </w:r>
    </w:p>
    <w:p>
      <w:pPr>
        <w:spacing w:after="0" w:line="23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integrated set of database and related services. MongoDB Enterprise Advanced is our proprietary self-managed commercial offering for enterprise customers that can run in the cloud, on-premises or in a hybrid environment.</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MongoDB Atlas</w:t>
      </w:r>
    </w:p>
    <w:p>
      <w:pPr>
        <w:spacing w:after="0" w:line="170" w:lineRule="exact"/>
        <w:rPr>
          <w:sz w:val="20"/>
          <w:szCs w:val="20"/>
          <w:color w:val="auto"/>
        </w:rPr>
      </w:pPr>
    </w:p>
    <w:p>
      <w:pPr>
        <w:ind w:firstLine="470"/>
        <w:spacing w:after="0" w:line="264" w:lineRule="auto"/>
        <w:rPr>
          <w:sz w:val="20"/>
          <w:szCs w:val="20"/>
          <w:color w:val="auto"/>
        </w:rPr>
      </w:pPr>
      <w:r>
        <w:rPr>
          <w:rFonts w:ascii="Times New Roman" w:cs="Times New Roman" w:eastAsia="Times New Roman" w:hAnsi="Times New Roman"/>
          <w:sz w:val="17"/>
          <w:szCs w:val="17"/>
          <w:color w:val="auto"/>
        </w:rPr>
        <w:t>In June 2016, we introduced MongoDB Atlas, our hosted multi-cloud DBaaS offering that includes comprehensive infrastructure and management, which we run and manage in the public cloud. MongoDB Atlas provides customers with a highly flexible, managed offering that includes automated provisioning and healing, comprehensive system monitoring, managed backup and restore, default security and other features that reduce operational complexity and increase application resiliency. MongoDB Atlas allows customers to remove themselves from the complexity of managing the database and related underlying infrastructure, so they can instead focus on the application and end-user experience and innovate more rapidly to better serve their own customers and capitalize on new business opportunities.</w:t>
      </w:r>
    </w:p>
    <w:p>
      <w:pPr>
        <w:spacing w:after="0" w:line="121" w:lineRule="exact"/>
        <w:rPr>
          <w:sz w:val="20"/>
          <w:szCs w:val="20"/>
          <w:color w:val="auto"/>
        </w:rPr>
      </w:pPr>
    </w:p>
    <w:p>
      <w:pPr>
        <w:ind w:right="80" w:firstLine="470"/>
        <w:spacing w:after="0" w:line="266" w:lineRule="auto"/>
        <w:rPr>
          <w:sz w:val="20"/>
          <w:szCs w:val="20"/>
          <w:color w:val="auto"/>
        </w:rPr>
      </w:pPr>
      <w:r>
        <w:rPr>
          <w:rFonts w:ascii="Times New Roman" w:cs="Times New Roman" w:eastAsia="Times New Roman" w:hAnsi="Times New Roman"/>
          <w:sz w:val="17"/>
          <w:szCs w:val="17"/>
          <w:color w:val="auto"/>
        </w:rPr>
        <w:t>Built for resilience, scale, and security, MongoDB Atlas is available in more than 115 regions worldwide across all three major cloud providers (Amazon Web Services (‘‘AWS’’), Google Cloud Platform (‘‘GCP’’) and Microsoft Azure), enabling our customers to leverage the benefits of different cloud platforms for different use cases and helping them avoid infrastructure vendor lock-in. The availability of multi-cloud clusters on MongoDB Atlas allows organizations to deploy a fully managed, distributed database across multiple cloud providers simultaneously without the added operational complexity of managing data replication and migration across clouds.</w:t>
      </w:r>
    </w:p>
    <w:p>
      <w:pPr>
        <w:spacing w:after="0" w:line="119" w:lineRule="exact"/>
        <w:rPr>
          <w:sz w:val="20"/>
          <w:szCs w:val="20"/>
          <w:color w:val="auto"/>
        </w:rPr>
      </w:pPr>
    </w:p>
    <w:p>
      <w:pPr>
        <w:ind w:right="240" w:firstLine="470"/>
        <w:spacing w:after="0" w:line="295" w:lineRule="auto"/>
        <w:rPr>
          <w:sz w:val="20"/>
          <w:szCs w:val="20"/>
          <w:color w:val="auto"/>
        </w:rPr>
      </w:pPr>
      <w:r>
        <w:rPr>
          <w:rFonts w:ascii="Times New Roman" w:cs="Times New Roman" w:eastAsia="Times New Roman" w:hAnsi="Times New Roman"/>
          <w:sz w:val="17"/>
          <w:szCs w:val="17"/>
          <w:color w:val="auto"/>
        </w:rPr>
        <w:t>Over the years, we have introduced additional features and functionality, which have increased the capabilities of MongoDB Atlas and accelerated and expanded its adoption including Atlas Search, Atlas Vector Search, Atlas Data Federation and Atlas Charts.</w:t>
      </w:r>
    </w:p>
    <w:p>
      <w:pPr>
        <w:spacing w:after="0" w:line="94" w:lineRule="exact"/>
        <w:rPr>
          <w:sz w:val="20"/>
          <w:szCs w:val="20"/>
          <w:color w:val="auto"/>
        </w:rPr>
      </w:pPr>
    </w:p>
    <w:p>
      <w:pPr>
        <w:ind w:right="40" w:firstLine="470"/>
        <w:spacing w:after="0" w:line="269" w:lineRule="auto"/>
        <w:rPr>
          <w:sz w:val="20"/>
          <w:szCs w:val="20"/>
          <w:color w:val="auto"/>
        </w:rPr>
      </w:pPr>
      <w:r>
        <w:rPr>
          <w:rFonts w:ascii="Times New Roman" w:cs="Times New Roman" w:eastAsia="Times New Roman" w:hAnsi="Times New Roman"/>
          <w:sz w:val="17"/>
          <w:szCs w:val="17"/>
          <w:color w:val="auto"/>
        </w:rPr>
        <w:t>Most recently, MongoDB launched MongoDB Atlas Stream Processing, which transforms the way organizations can process streaming data to engage end-users and speed up operations. MongoDB Atlas Stream Processing works with any type of data, and with its flexible data model, enables customers to build engaging applications that can analyze data in real-time to adjust application behavior and inform business operations. Customers now have a single interface to easily extract insights from high-velocity and high-volume streaming data.</w:t>
      </w:r>
    </w:p>
    <w:p>
      <w:pPr>
        <w:spacing w:after="0" w:line="117" w:lineRule="exact"/>
        <w:rPr>
          <w:sz w:val="20"/>
          <w:szCs w:val="20"/>
          <w:color w:val="auto"/>
        </w:rPr>
      </w:pPr>
    </w:p>
    <w:p>
      <w:pPr>
        <w:ind w:right="680" w:firstLine="470"/>
        <w:spacing w:after="0" w:line="295" w:lineRule="auto"/>
        <w:rPr>
          <w:sz w:val="20"/>
          <w:szCs w:val="20"/>
          <w:color w:val="auto"/>
        </w:rPr>
      </w:pPr>
      <w:r>
        <w:rPr>
          <w:rFonts w:ascii="Times New Roman" w:cs="Times New Roman" w:eastAsia="Times New Roman" w:hAnsi="Times New Roman"/>
          <w:sz w:val="17"/>
          <w:szCs w:val="17"/>
          <w:color w:val="auto"/>
        </w:rPr>
        <w:t>Together, these new features and capabilities for MongoDB Atlas enable businesses to improve operational efficiency and speed up their pace of innovation by standardizing many types of workloads on a single developer data platform across the enterprise.</w:t>
      </w:r>
    </w:p>
    <w:p>
      <w:pPr>
        <w:spacing w:after="0" w:line="94" w:lineRule="exact"/>
        <w:rPr>
          <w:sz w:val="20"/>
          <w:szCs w:val="20"/>
          <w:color w:val="auto"/>
        </w:rPr>
      </w:pPr>
    </w:p>
    <w:p>
      <w:pPr>
        <w:ind w:right="160" w:firstLine="470"/>
        <w:spacing w:after="0" w:line="276" w:lineRule="auto"/>
        <w:rPr>
          <w:sz w:val="20"/>
          <w:szCs w:val="20"/>
          <w:color w:val="auto"/>
        </w:rPr>
      </w:pPr>
      <w:r>
        <w:rPr>
          <w:rFonts w:ascii="Times New Roman" w:cs="Times New Roman" w:eastAsia="Times New Roman" w:hAnsi="Times New Roman"/>
          <w:sz w:val="17"/>
          <w:szCs w:val="17"/>
          <w:color w:val="auto"/>
        </w:rPr>
        <w:t>We frequently analyze customer feedback to inform what areas of our product strategy we prioritize and continue investing in. Based on customer feedback and the availability of our partner offerings, MongoDB reprioritized its product roadmap and discontinued support for MongoDB Atlas Device Sync, Atlas Device SDKs, Atlas Data API and HTTPS Endpoints, and Atlas Data Lake.</w:t>
      </w:r>
    </w:p>
    <w:p>
      <w:pPr>
        <w:spacing w:after="0" w:line="110" w:lineRule="exact"/>
        <w:rPr>
          <w:sz w:val="20"/>
          <w:szCs w:val="20"/>
          <w:color w:val="auto"/>
        </w:rPr>
      </w:pPr>
    </w:p>
    <w:p>
      <w:pPr>
        <w:ind w:left="480" w:right="780"/>
        <w:spacing w:after="0" w:line="449" w:lineRule="auto"/>
        <w:rPr>
          <w:sz w:val="20"/>
          <w:szCs w:val="20"/>
          <w:color w:val="auto"/>
        </w:rPr>
      </w:pPr>
      <w:r>
        <w:rPr>
          <w:rFonts w:ascii="Times New Roman" w:cs="Times New Roman" w:eastAsia="Times New Roman" w:hAnsi="Times New Roman"/>
          <w:sz w:val="17"/>
          <w:szCs w:val="17"/>
          <w:color w:val="auto"/>
        </w:rPr>
        <w:t xml:space="preserve">MongoDB Atlas represented 70%, 66% and 63% of our total revenue for the fiscal years ended January 31, 2025, 2024 and 2023, respectively. </w:t>
      </w:r>
      <w:r>
        <w:rPr>
          <w:rFonts w:ascii="Times New Roman" w:cs="Times New Roman" w:eastAsia="Times New Roman" w:hAnsi="Times New Roman"/>
          <w:sz w:val="17"/>
          <w:szCs w:val="17"/>
          <w:u w:val="single" w:color="auto"/>
          <w:color w:val="auto"/>
        </w:rPr>
        <w:t>MongoDB Enterprise Advanced</w:t>
      </w:r>
    </w:p>
    <w:p>
      <w:pPr>
        <w:ind w:right="360" w:firstLine="470"/>
        <w:spacing w:after="0" w:line="276" w:lineRule="auto"/>
        <w:rPr>
          <w:sz w:val="20"/>
          <w:szCs w:val="20"/>
          <w:color w:val="auto"/>
        </w:rPr>
      </w:pPr>
      <w:r>
        <w:rPr>
          <w:rFonts w:ascii="Times New Roman" w:cs="Times New Roman" w:eastAsia="Times New Roman" w:hAnsi="Times New Roman"/>
          <w:sz w:val="17"/>
          <w:szCs w:val="17"/>
          <w:color w:val="auto"/>
        </w:rPr>
        <w:t>MongoDB Enterprise Advanced is our proprietary self-managed commercial database offering for enterprise customers that can run in the cloud, on-premises or in a hybrid environment. MongoDB Enterprise Advanced is a subscription package that includes a commercial license to our platform and the following:</w:t>
      </w:r>
    </w:p>
    <w:p>
      <w:pPr>
        <w:spacing w:after="0" w:line="108" w:lineRule="exact"/>
        <w:rPr>
          <w:sz w:val="20"/>
          <w:szCs w:val="20"/>
          <w:color w:val="auto"/>
        </w:rPr>
      </w:pPr>
    </w:p>
    <w:p>
      <w:pPr>
        <w:jc w:val="both"/>
        <w:ind w:left="640" w:right="440" w:hanging="165"/>
        <w:spacing w:after="0" w:line="277" w:lineRule="auto"/>
        <w:tabs>
          <w:tab w:leader="none" w:pos="6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MongoDB Enterprise Database Server. </w:t>
      </w:r>
      <w:r>
        <w:rPr>
          <w:rFonts w:ascii="Times New Roman" w:cs="Times New Roman" w:eastAsia="Times New Roman" w:hAnsi="Times New Roman"/>
          <w:sz w:val="17"/>
          <w:szCs w:val="17"/>
          <w:color w:val="auto"/>
        </w:rPr>
        <w:t>The MongoDB enterprise database server is our proprietary commercial database. It stores, organizes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processes data and facilitates access and changes to the data. It includes advanced security features, auditing functionality and enterprise-standard authentication and authorization, as well as encrypted and in-memory storage engines to enable a wide range of workloads.</w:t>
      </w:r>
    </w:p>
    <w:p>
      <w:pPr>
        <w:spacing w:after="0" w:line="107" w:lineRule="exact"/>
        <w:rPr>
          <w:rFonts w:ascii="Times New Roman" w:cs="Times New Roman" w:eastAsia="Times New Roman" w:hAnsi="Times New Roman"/>
          <w:sz w:val="17"/>
          <w:szCs w:val="17"/>
          <w:color w:val="auto"/>
        </w:rPr>
      </w:pPr>
    </w:p>
    <w:p>
      <w:pPr>
        <w:ind w:left="640" w:hanging="165"/>
        <w:spacing w:after="0" w:line="277" w:lineRule="auto"/>
        <w:tabs>
          <w:tab w:leader="none" w:pos="6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Enterprise Management Capabilities. </w:t>
      </w:r>
      <w:r>
        <w:rPr>
          <w:rFonts w:ascii="Times New Roman" w:cs="Times New Roman" w:eastAsia="Times New Roman" w:hAnsi="Times New Roman"/>
          <w:sz w:val="17"/>
          <w:szCs w:val="17"/>
          <w:color w:val="auto"/>
        </w:rPr>
        <w:t>MongoDB Enterprise Advanced customers can choose either our Cloud Manager Premium product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customers who want to manage our platform via the cloud) or Ops Manager (generally for those with on-premises deployments), our sophisticated suite of management tools that allow operations teams to run, manage and configure MongoDB according to their needs.</w:t>
      </w:r>
    </w:p>
    <w:p>
      <w:pPr>
        <w:spacing w:after="0" w:line="25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40" w:hanging="165"/>
        <w:spacing w:after="0" w:line="277" w:lineRule="auto"/>
        <w:tabs>
          <w:tab w:leader="none" w:pos="6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Analytics Integrations. </w:t>
      </w:r>
      <w:r>
        <w:rPr>
          <w:rFonts w:ascii="Times New Roman" w:cs="Times New Roman" w:eastAsia="Times New Roman" w:hAnsi="Times New Roman"/>
          <w:sz w:val="17"/>
          <w:szCs w:val="17"/>
          <w:color w:val="auto"/>
        </w:rPr>
        <w:t>We provide integrations to allow data and business analysts to analyze data in applications running on our platform using their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existing business intelligence and analytics tools. Our analytics integrations ensure enterprises can efficiently extract significant value from applications built on our platform.</w:t>
      </w:r>
    </w:p>
    <w:p>
      <w:pPr>
        <w:spacing w:after="0" w:line="109" w:lineRule="exact"/>
        <w:rPr>
          <w:sz w:val="20"/>
          <w:szCs w:val="20"/>
          <w:color w:val="auto"/>
        </w:rPr>
      </w:pPr>
    </w:p>
    <w:p>
      <w:pPr>
        <w:ind w:right="600" w:firstLine="470"/>
        <w:spacing w:after="0" w:line="295" w:lineRule="auto"/>
        <w:rPr>
          <w:sz w:val="20"/>
          <w:szCs w:val="20"/>
          <w:color w:val="auto"/>
        </w:rPr>
      </w:pPr>
      <w:r>
        <w:rPr>
          <w:rFonts w:ascii="Times New Roman" w:cs="Times New Roman" w:eastAsia="Times New Roman" w:hAnsi="Times New Roman"/>
          <w:sz w:val="17"/>
          <w:szCs w:val="17"/>
          <w:color w:val="auto"/>
        </w:rPr>
        <w:t>MongoDB Enterprise Advanced represented 23%, 26% and 28% of our total revenue for the fiscal years ended January 31, 2025, 2024 and 2023, respectively.</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Professional Services</w:t>
      </w:r>
    </w:p>
    <w:p>
      <w:pPr>
        <w:spacing w:after="0" w:line="170" w:lineRule="exact"/>
        <w:rPr>
          <w:sz w:val="20"/>
          <w:szCs w:val="20"/>
          <w:color w:val="auto"/>
        </w:rPr>
      </w:pPr>
    </w:p>
    <w:p>
      <w:pPr>
        <w:ind w:right="100" w:firstLine="470"/>
        <w:spacing w:after="0" w:line="266" w:lineRule="auto"/>
        <w:rPr>
          <w:sz w:val="20"/>
          <w:szCs w:val="20"/>
          <w:color w:val="auto"/>
        </w:rPr>
      </w:pPr>
      <w:r>
        <w:rPr>
          <w:rFonts w:ascii="Times New Roman" w:cs="Times New Roman" w:eastAsia="Times New Roman" w:hAnsi="Times New Roman"/>
          <w:sz w:val="17"/>
          <w:szCs w:val="17"/>
          <w:color w:val="auto"/>
        </w:rPr>
        <w:t>We provide professional services to our customers, including consulting and training, to make customer deployments of our platform successful, thereby increasing customer retention and driving customer revenue expansion. Given that we have designed our platform to be easily deployed, our services typically do not involve implementation and are designed to facilitate a more rapid and successful deployment of MongoDB by our customers. Professional services are an important part of our customer retention and expansion strategy. Customers who purchase professional services have typically increased their subscription usage with our platform and have done so more quickly than customers who have not engaged with our professional services.</w:t>
      </w:r>
    </w:p>
    <w:p>
      <w:pPr>
        <w:spacing w:after="0" w:line="119" w:lineRule="exact"/>
        <w:rPr>
          <w:sz w:val="20"/>
          <w:szCs w:val="20"/>
          <w:color w:val="auto"/>
        </w:rPr>
      </w:pPr>
    </w:p>
    <w:p>
      <w:pPr>
        <w:ind w:right="180" w:firstLine="470"/>
        <w:spacing w:after="0" w:line="295" w:lineRule="auto"/>
        <w:rPr>
          <w:sz w:val="20"/>
          <w:szCs w:val="20"/>
          <w:color w:val="auto"/>
        </w:rPr>
      </w:pPr>
      <w:r>
        <w:rPr>
          <w:rFonts w:ascii="Times New Roman" w:cs="Times New Roman" w:eastAsia="Times New Roman" w:hAnsi="Times New Roman"/>
          <w:sz w:val="17"/>
          <w:szCs w:val="17"/>
          <w:color w:val="auto"/>
        </w:rPr>
        <w:t>Professional services represented 3% of our total revenue for each of the fiscal years ended January 31, 2025 and 2024 and 4% for the fiscal year ended January 31, 2023.</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Free Offerings</w:t>
      </w:r>
    </w:p>
    <w:p>
      <w:pPr>
        <w:spacing w:after="0" w:line="170" w:lineRule="exact"/>
        <w:rPr>
          <w:sz w:val="20"/>
          <w:szCs w:val="20"/>
          <w:color w:val="auto"/>
        </w:rPr>
      </w:pPr>
    </w:p>
    <w:p>
      <w:pPr>
        <w:ind w:right="180" w:firstLine="470"/>
        <w:spacing w:after="0" w:line="264" w:lineRule="auto"/>
        <w:rPr>
          <w:sz w:val="20"/>
          <w:szCs w:val="20"/>
          <w:color w:val="auto"/>
        </w:rPr>
      </w:pPr>
      <w:r>
        <w:rPr>
          <w:rFonts w:ascii="Times New Roman" w:cs="Times New Roman" w:eastAsia="Times New Roman" w:hAnsi="Times New Roman"/>
          <w:sz w:val="17"/>
          <w:szCs w:val="17"/>
          <w:color w:val="auto"/>
        </w:rPr>
        <w:t>To encourage developer usage, familiarity and adoption of our platform, we offer Community Server and a free tier of MongoDB Atlas as “freemium” offerings. Community Server is a free-to-download version of our database that includes the core functionality that developers need to get started with MongoDB but not all of the features of our commercial platform. Community Server is available under a license that protects our intellectual property and supports our business model. Our goal is to convert Community Server users to paying customers of our commercial offerings (MongoDB Atlas or MongoDB Enterprise Advanced). Our Community Server has been downloaded over 500 million times from our website alone since February 2009. Our free tier of MongoDB Atlas provides access to our hosted database solution with limited processing power and storage, as well as certain operational limitations.</w:t>
      </w:r>
    </w:p>
    <w:p>
      <w:pPr>
        <w:spacing w:after="0" w:line="121" w:lineRule="exact"/>
        <w:rPr>
          <w:sz w:val="20"/>
          <w:szCs w:val="20"/>
          <w:color w:val="auto"/>
        </w:rPr>
      </w:pPr>
    </w:p>
    <w:p>
      <w:pPr>
        <w:ind w:right="20" w:firstLine="470"/>
        <w:spacing w:after="0" w:line="276" w:lineRule="auto"/>
        <w:rPr>
          <w:sz w:val="20"/>
          <w:szCs w:val="20"/>
          <w:color w:val="auto"/>
        </w:rPr>
      </w:pPr>
      <w:r>
        <w:rPr>
          <w:rFonts w:ascii="Times New Roman" w:cs="Times New Roman" w:eastAsia="Times New Roman" w:hAnsi="Times New Roman"/>
          <w:sz w:val="17"/>
          <w:szCs w:val="17"/>
          <w:color w:val="auto"/>
        </w:rPr>
        <w:t>Unlike software companies built around third-party open source projects, we own the intellectual property of our offerings since we are the creators of the software, enabling our proprietary software subscription business model. Owning the intellectual property of our offering also allows us to retain control over our future product roadmap, including the determination of which features are included in our free or paid offerings.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are pursuing our large market opportunity with growth strategies that include:</w:t>
      </w:r>
    </w:p>
    <w:p>
      <w:pPr>
        <w:spacing w:after="0" w:line="168" w:lineRule="exact"/>
        <w:rPr>
          <w:sz w:val="20"/>
          <w:szCs w:val="20"/>
          <w:color w:val="auto"/>
        </w:rPr>
      </w:pPr>
    </w:p>
    <w:p>
      <w:pPr>
        <w:ind w:left="640" w:hanging="165"/>
        <w:spacing w:after="0" w:line="264"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Acquiring new customers. </w:t>
      </w:r>
      <w:r>
        <w:rPr>
          <w:rFonts w:ascii="Times New Roman" w:cs="Times New Roman" w:eastAsia="Times New Roman" w:hAnsi="Times New Roman"/>
          <w:sz w:val="17"/>
          <w:szCs w:val="17"/>
          <w:color w:val="auto"/>
        </w:rPr>
        <w:t>We believe there is a substantial opportunity to continue to grow our customer base. We benefit from word-of-mouth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awareness and frictionless experimentation by the developer community through our free offerings. As a result, our self-serve and direct sales prospects are often familiar with our platform and may have already built applications using our technology. While we market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21" w:lineRule="exact"/>
        <w:rPr>
          <w:rFonts w:ascii="Times New Roman" w:cs="Times New Roman" w:eastAsia="Times New Roman" w:hAnsi="Times New Roman"/>
          <w:sz w:val="17"/>
          <w:szCs w:val="17"/>
          <w:color w:val="auto"/>
        </w:rPr>
      </w:pPr>
    </w:p>
    <w:p>
      <w:pPr>
        <w:ind w:left="640" w:right="20" w:hanging="165"/>
        <w:spacing w:after="0" w:line="262" w:lineRule="auto"/>
        <w:tabs>
          <w:tab w:leader="none" w:pos="6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Expanding sales within our customer base. </w:t>
      </w:r>
      <w:r>
        <w:rPr>
          <w:rFonts w:ascii="Times New Roman" w:cs="Times New Roman" w:eastAsia="Times New Roman" w:hAnsi="Times New Roman"/>
          <w:sz w:val="17"/>
          <w:szCs w:val="17"/>
          <w:color w:val="auto"/>
        </w:rPr>
        <w:t>We seek to grow our sales with our customers in several ways. As an application grows and requires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additional capacity, our customers increase their spending on our platform. Our customers may expand their subscriptions to our platform as they migrate additional existing applications or build new applications, either within the same department or in other lines of business or geographies. As customers modernize their information technology (“IT”) infrastructure and move to the cloud, they may migrate applications from legacy databases. Even within our largest customers, we believe we typically represent a small percentage of their overall spend on databases, reflecting our small market penetration. Our goal is to increase the number of customers that standardize on our database platform within their organization, which may include offering centralized internal support for developers within the organization or the deployment of an internal MongoDB-as-a-service offering. Our ability to expand within existing customers is demonstrated by our net annualized recurring</w:t>
      </w:r>
    </w:p>
    <w:p>
      <w:pPr>
        <w:spacing w:after="0" w:line="26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40" w:right="460"/>
        <w:spacing w:after="0" w:line="295" w:lineRule="auto"/>
        <w:rPr>
          <w:sz w:val="20"/>
          <w:szCs w:val="20"/>
          <w:color w:val="auto"/>
        </w:rPr>
      </w:pPr>
      <w:r>
        <w:rPr>
          <w:rFonts w:ascii="Times New Roman" w:cs="Times New Roman" w:eastAsia="Times New Roman" w:hAnsi="Times New Roman"/>
          <w:sz w:val="17"/>
          <w:szCs w:val="17"/>
          <w:color w:val="auto"/>
        </w:rPr>
        <w:t>revenue (“ARR”) expansion rate, which in the fourth quarter was 118%. See Part II, Item 7, Management’s Discussion and Analysis of Financial Condition and Results of Operations of this Form 10-K for a description of ARR and a discussion of our net ARR expansion rate.</w:t>
      </w:r>
    </w:p>
    <w:p>
      <w:pPr>
        <w:spacing w:after="0" w:line="132" w:lineRule="exact"/>
        <w:rPr>
          <w:sz w:val="20"/>
          <w:szCs w:val="20"/>
          <w:color w:val="auto"/>
        </w:rPr>
      </w:pPr>
    </w:p>
    <w:p>
      <w:pPr>
        <w:ind w:left="640" w:right="40" w:hanging="165"/>
        <w:spacing w:after="0" w:line="253" w:lineRule="auto"/>
        <w:tabs>
          <w:tab w:leader="none" w:pos="635"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b w:val="1"/>
          <w:bCs w:val="1"/>
          <w:color w:val="auto"/>
        </w:rPr>
        <w:t xml:space="preserve">Extending product leadership and introducing new products. </w:t>
      </w:r>
      <w:r>
        <w:rPr>
          <w:rFonts w:ascii="Times New Roman" w:cs="Times New Roman" w:eastAsia="Times New Roman" w:hAnsi="Times New Roman"/>
          <w:sz w:val="17"/>
          <w:szCs w:val="17"/>
          <w:color w:val="auto"/>
        </w:rPr>
        <w:t>We intend to continue to invest in our product offerings to expand the functionality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adoption of our platform. The guiding principle of our product innovation is to help developers solve more of their data challenges by utilizing our platform. During 2024, we introduced MongoDB version 8.0, with improved performance, enterprise-grade security, resilience and availability for a wide variety of applications. We added new features to Queryable Encryption, the industry’s first encrypted search scheme, to support equality and range searches. We also added additional capabilities such as Atlas Stream Processing, as well as expanded availability of Atlas Search Nodes in more cloud regions, providing customers dedicated infrastructure to scale search use cases independently of their database.</w:t>
      </w:r>
    </w:p>
    <w:p>
      <w:pPr>
        <w:spacing w:after="0" w:line="126" w:lineRule="exact"/>
        <w:rPr>
          <w:rFonts w:ascii="Times New Roman" w:cs="Times New Roman" w:eastAsia="Times New Roman" w:hAnsi="Times New Roman"/>
          <w:sz w:val="21"/>
          <w:szCs w:val="21"/>
          <w:color w:val="auto"/>
        </w:rPr>
      </w:pPr>
    </w:p>
    <w:p>
      <w:pPr>
        <w:ind w:left="640" w:right="80" w:hanging="165"/>
        <w:spacing w:after="0" w:line="264" w:lineRule="auto"/>
        <w:tabs>
          <w:tab w:leader="none" w:pos="6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Fostering the MongoDB developer community. </w:t>
      </w:r>
      <w:r>
        <w:rPr>
          <w:rFonts w:ascii="Times New Roman" w:cs="Times New Roman" w:eastAsia="Times New Roman" w:hAnsi="Times New Roman"/>
          <w:sz w:val="17"/>
          <w:szCs w:val="17"/>
          <w:color w:val="auto"/>
        </w:rPr>
        <w:t>We have attracted a large and growing community of highly engaged developers, who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downloaded our Community Server offering over 500 million times from our website since February 2009. We believe that the engagement of developers increases our brand awareness. Many of these developers become proponents of MongoDB within their organizations, which may result in new customers selecting our platform, as well as expansion opportunities within existing customers. Historically, we have invested in our community through active sponsorship of user groups, our user conferences, MongoDB University and other community-centered events. As of January 31, 2025, there were over 2.5 million MongoDB University registrations. We intend to continue to invest in the MongoDB developer community.</w:t>
      </w:r>
    </w:p>
    <w:p>
      <w:pPr>
        <w:spacing w:after="0" w:line="121" w:lineRule="exact"/>
        <w:rPr>
          <w:rFonts w:ascii="Times New Roman" w:cs="Times New Roman" w:eastAsia="Times New Roman" w:hAnsi="Times New Roman"/>
          <w:sz w:val="17"/>
          <w:szCs w:val="17"/>
          <w:color w:val="auto"/>
        </w:rPr>
      </w:pPr>
    </w:p>
    <w:p>
      <w:pPr>
        <w:ind w:left="640" w:right="60" w:hanging="165"/>
        <w:spacing w:after="0" w:line="260" w:lineRule="auto"/>
        <w:tabs>
          <w:tab w:leader="none" w:pos="6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Growing and cultivating our partner ecosystem</w:t>
      </w:r>
      <w:r>
        <w:rPr>
          <w:rFonts w:ascii="Times New Roman" w:cs="Times New Roman" w:eastAsia="Times New Roman" w:hAnsi="Times New Roman"/>
          <w:sz w:val="17"/>
          <w:szCs w:val="17"/>
          <w:color w:val="auto"/>
        </w:rPr>
        <w:t>. We have built a partner ecosystem of independent software vendors, systems integrators, value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added resellers, cloud and technology partners. For example, we have expanded our business partnerships with all three major cloud providers (AWS, GCP and Microsoft Azure) to enhance our joint marketing initiatives, deliver technology integrations that benefit customers and align with our sales strategy. We have expanded our global partner ecosystem with Alibaba Cloud and Tencent Cloud to offer an authorized MongoDB-as-a-Service solution in China, allowing their customers to easily adopt and consume our hosted solution. We have also expanded our existing partnerships with independent software vendors and global systems integrators including IBM, Accenture, Infosys, Capgemini, Confluent, HCL, Wipro, Cognizant, Deloitte and Tata Consultancy Services. Our system integrator partners have also been valuable in working with organizations to migrate and modernize applications to our platform, including leveraging the cloud with MongoDB Atlas. During 2024, we announced MongoDB AI Applications Program (MAAP), a first-of-its-kind collaboration to help customers build and deploy AI applications, while reducing integration risk. MAAP brings together industry-leading consultancies and foundation model providers, all major cloud providers, and AI innovators all in one place. The MAAP ecosystem includes Accenture, Anthropic, AWS, Capgemini, Cohere, Confluent, Fireworks.ai, Google Cloud, IBM, LangChain, LlamaIndex, Nomic, Microsoft Azure and Unstructured. We intend to continue to expand and enhance our partner relationships to benefit our global customers, grow our market presence and drive greater sales efficiency.</w:t>
      </w:r>
    </w:p>
    <w:p>
      <w:pPr>
        <w:spacing w:after="0" w:line="122" w:lineRule="exact"/>
        <w:rPr>
          <w:rFonts w:ascii="Times New Roman" w:cs="Times New Roman" w:eastAsia="Times New Roman" w:hAnsi="Times New Roman"/>
          <w:sz w:val="17"/>
          <w:szCs w:val="17"/>
          <w:color w:val="auto"/>
        </w:rPr>
      </w:pPr>
    </w:p>
    <w:p>
      <w:pPr>
        <w:ind w:left="640" w:right="220" w:hanging="165"/>
        <w:spacing w:after="0" w:line="277" w:lineRule="auto"/>
        <w:tabs>
          <w:tab w:leader="none" w:pos="6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Expanding internationally. </w:t>
      </w:r>
      <w:r>
        <w:rPr>
          <w:rFonts w:ascii="Times New Roman" w:cs="Times New Roman" w:eastAsia="Times New Roman" w:hAnsi="Times New Roman"/>
          <w:sz w:val="17"/>
          <w:szCs w:val="17"/>
          <w:color w:val="auto"/>
        </w:rPr>
        <w:t>We believe there is a significant opportunity to continue to expand the use of our platform outside the United States.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fiscal years ended January 31, 2025, 2024, and 2023, revenue generated outside of the United States was 46%, 46% and 45% of our total revenue. We intend to continue to expand our sales and drive the adoption of our platform globally.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72" w:lineRule="exact"/>
        <w:rPr>
          <w:sz w:val="20"/>
          <w:szCs w:val="20"/>
          <w:color w:val="auto"/>
        </w:rPr>
      </w:pPr>
    </w:p>
    <w:p>
      <w:pPr>
        <w:ind w:right="320" w:firstLine="470"/>
        <w:spacing w:after="0" w:line="269" w:lineRule="auto"/>
        <w:rPr>
          <w:sz w:val="20"/>
          <w:szCs w:val="20"/>
          <w:color w:val="auto"/>
        </w:rPr>
      </w:pPr>
      <w:r>
        <w:rPr>
          <w:rFonts w:ascii="Times New Roman" w:cs="Times New Roman" w:eastAsia="Times New Roman" w:hAnsi="Times New Roman"/>
          <w:sz w:val="17"/>
          <w:szCs w:val="17"/>
          <w:color w:val="auto"/>
        </w:rPr>
        <w:t>We believe that our employees and the culture we have established are critically important to our success. To continue to compete and succeed in our highly competitive and rapidly evolving market, it is imperative that we attract, develop and retain top talent. To support these objectives, we strive to be an employer of choice in our industry by continuing to invest in our company culture as defined by our values, offer competitive compensation and benefits, support the health and well-being of our employees, and create an environment that supports high performance and growth for all our employees.</w:t>
      </w:r>
    </w:p>
    <w:p>
      <w:pPr>
        <w:spacing w:after="0" w:line="117" w:lineRule="exact"/>
        <w:rPr>
          <w:sz w:val="20"/>
          <w:szCs w:val="20"/>
          <w:color w:val="auto"/>
        </w:rPr>
      </w:pPr>
    </w:p>
    <w:p>
      <w:pPr>
        <w:ind w:firstLine="470"/>
        <w:spacing w:after="0" w:line="276" w:lineRule="auto"/>
        <w:rPr>
          <w:sz w:val="20"/>
          <w:szCs w:val="20"/>
          <w:color w:val="auto"/>
        </w:rPr>
      </w:pPr>
      <w:r>
        <w:rPr>
          <w:rFonts w:ascii="Times New Roman" w:cs="Times New Roman" w:eastAsia="Times New Roman" w:hAnsi="Times New Roman"/>
          <w:sz w:val="17"/>
          <w:szCs w:val="17"/>
          <w:color w:val="auto"/>
        </w:rPr>
        <w:t>As of January 31, 2025, we had a total of 5,558 employees, including 2,819 employees located outside the United States. We are subject to laws and regulations relating to our relationship with our employees. Generally, these laws and regulations are specific to the location of our business and we engage with legally recognized employee representative bodies</w:t>
      </w:r>
    </w:p>
    <w:p>
      <w:pPr>
        <w:spacing w:after="0" w:line="25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these locations as required. We have not experienced any work stoppages and we consider our relations with our employees to be good.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Our Culture</w:t>
      </w:r>
    </w:p>
    <w:p>
      <w:pPr>
        <w:spacing w:after="0" w:line="170" w:lineRule="exact"/>
        <w:rPr>
          <w:sz w:val="20"/>
          <w:szCs w:val="20"/>
          <w:color w:val="auto"/>
        </w:rPr>
      </w:pPr>
    </w:p>
    <w:p>
      <w:pPr>
        <w:ind w:right="40" w:firstLine="470"/>
        <w:spacing w:after="0" w:line="269" w:lineRule="auto"/>
        <w:rPr>
          <w:sz w:val="20"/>
          <w:szCs w:val="20"/>
          <w:color w:val="auto"/>
        </w:rPr>
      </w:pPr>
      <w:r>
        <w:rPr>
          <w:rFonts w:ascii="Times New Roman" w:cs="Times New Roman" w:eastAsia="Times New Roman" w:hAnsi="Times New Roman"/>
          <w:sz w:val="17"/>
          <w:szCs w:val="17"/>
          <w:color w:val="auto"/>
        </w:rPr>
        <w:t>We believe our culture is critical to our success and has delivered tangible financial and operational benefits for our customers, our employees and our stockholders. Our culture is grounded in the MongoDB Leadership Commitment framework and states that all employees at MongoDB are keepers of our culture and expected to do three things to be successful: deliver the right outcomes for our customers (what we do), live our values in everything we do (why we do it), and engage with each other as leaders (how we do it).</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Company Values</w:t>
      </w:r>
    </w:p>
    <w:p>
      <w:pPr>
        <w:spacing w:after="0" w:line="168" w:lineRule="exact"/>
        <w:rPr>
          <w:sz w:val="20"/>
          <w:szCs w:val="20"/>
          <w:color w:val="auto"/>
        </w:rPr>
      </w:pPr>
    </w:p>
    <w:p>
      <w:pPr>
        <w:ind w:left="640" w:right="640" w:hanging="165"/>
        <w:spacing w:after="0" w:line="298"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Think big, go far. </w:t>
      </w:r>
      <w:r>
        <w:rPr>
          <w:rFonts w:ascii="Times New Roman" w:cs="Times New Roman" w:eastAsia="Times New Roman" w:hAnsi="Times New Roman"/>
          <w:sz w:val="17"/>
          <w:szCs w:val="17"/>
          <w:color w:val="auto"/>
        </w:rPr>
        <w:t>We are big dreamers with a passion for creativity. We eagerly pursue new opportunities and markets through innovation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disruption. We have a pioneering spirit - always ready to forge new paths and take smart risks.</w:t>
      </w:r>
    </w:p>
    <w:p>
      <w:pPr>
        <w:spacing w:after="0" w:line="89" w:lineRule="exact"/>
        <w:rPr>
          <w:rFonts w:ascii="Times New Roman" w:cs="Times New Roman" w:eastAsia="Times New Roman" w:hAnsi="Times New Roman"/>
          <w:sz w:val="17"/>
          <w:szCs w:val="17"/>
          <w:color w:val="auto"/>
        </w:rPr>
      </w:pPr>
    </w:p>
    <w:p>
      <w:pPr>
        <w:ind w:left="640" w:right="260" w:hanging="165"/>
        <w:spacing w:after="0" w:line="277"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Build together. </w:t>
      </w:r>
      <w:r>
        <w:rPr>
          <w:rFonts w:ascii="Times New Roman" w:cs="Times New Roman" w:eastAsia="Times New Roman" w:hAnsi="Times New Roman"/>
          <w:sz w:val="17"/>
          <w:szCs w:val="17"/>
          <w:color w:val="auto"/>
        </w:rPr>
        <w:t>We achieve amazing things by connecting and leveraging the diversity of perspectives, skills, experiences and backgrounds of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entire organization. We place the success of the company over any individual or team. We discuss things thoroughly, but prioritize commitment over consensus.</w:t>
      </w:r>
    </w:p>
    <w:p>
      <w:pPr>
        <w:spacing w:after="0" w:line="107" w:lineRule="exact"/>
        <w:rPr>
          <w:rFonts w:ascii="Times New Roman" w:cs="Times New Roman" w:eastAsia="Times New Roman" w:hAnsi="Times New Roman"/>
          <w:sz w:val="17"/>
          <w:szCs w:val="17"/>
          <w:color w:val="auto"/>
        </w:rPr>
      </w:pPr>
    </w:p>
    <w:p>
      <w:pPr>
        <w:ind w:left="640" w:right="40" w:hanging="165"/>
        <w:spacing w:after="0" w:line="270"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Embrace the power of differences. </w:t>
      </w:r>
      <w:r>
        <w:rPr>
          <w:rFonts w:ascii="Times New Roman" w:cs="Times New Roman" w:eastAsia="Times New Roman" w:hAnsi="Times New Roman"/>
          <w:sz w:val="17"/>
          <w:szCs w:val="17"/>
          <w:color w:val="auto"/>
        </w:rPr>
        <w:t>We commit to creating a culture of belonging, where people of different origins, backgrounds and experiences feel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valued and heard. This is cultivated by learning from and respecting each other’s similarities and differences. We approach conversations with positive intent and believe that others value the perspective we bring to the table. We recognize that a diverse workforce is the best way to broaden our perspectives, foster innovation and enable a sustainable competitive advantage.</w:t>
      </w:r>
    </w:p>
    <w:p>
      <w:pPr>
        <w:spacing w:after="0" w:line="113" w:lineRule="exact"/>
        <w:rPr>
          <w:rFonts w:ascii="Times New Roman" w:cs="Times New Roman" w:eastAsia="Times New Roman" w:hAnsi="Times New Roman"/>
          <w:sz w:val="17"/>
          <w:szCs w:val="17"/>
          <w:color w:val="auto"/>
        </w:rPr>
      </w:pPr>
    </w:p>
    <w:p>
      <w:pPr>
        <w:ind w:left="640" w:right="80" w:hanging="165"/>
        <w:spacing w:after="0" w:line="298"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Make it matter. </w:t>
      </w:r>
      <w:r>
        <w:rPr>
          <w:rFonts w:ascii="Times New Roman" w:cs="Times New Roman" w:eastAsia="Times New Roman" w:hAnsi="Times New Roman"/>
          <w:sz w:val="17"/>
          <w:szCs w:val="17"/>
          <w:color w:val="auto"/>
        </w:rPr>
        <w:t>We are relentless in our pursuit of meaningful impact. We think strategically and are clear on what we are and are not trying to do. We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accomplish an amazing amount of important work and we are obsessed with delivering on our commitments.</w:t>
      </w:r>
    </w:p>
    <w:p>
      <w:pPr>
        <w:spacing w:after="0" w:line="89" w:lineRule="exact"/>
        <w:rPr>
          <w:rFonts w:ascii="Times New Roman" w:cs="Times New Roman" w:eastAsia="Times New Roman" w:hAnsi="Times New Roman"/>
          <w:sz w:val="17"/>
          <w:szCs w:val="17"/>
          <w:color w:val="auto"/>
        </w:rPr>
      </w:pPr>
    </w:p>
    <w:p>
      <w:pPr>
        <w:ind w:left="640" w:right="660" w:hanging="165"/>
        <w:spacing w:after="0" w:line="298"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 intellectually honest. </w:t>
      </w:r>
      <w:r>
        <w:rPr>
          <w:rFonts w:ascii="Times New Roman" w:cs="Times New Roman" w:eastAsia="Times New Roman" w:hAnsi="Times New Roman"/>
          <w:sz w:val="17"/>
          <w:szCs w:val="17"/>
          <w:color w:val="auto"/>
        </w:rPr>
        <w:t>We embrace reality. We apply high-quality thinking and rigor and operate with transparency. We have courage in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convictions but work hard to ensure biases or personal beliefs do not get in the way of finding the best solution.</w:t>
      </w:r>
    </w:p>
    <w:p>
      <w:pPr>
        <w:spacing w:after="0" w:line="89" w:lineRule="exact"/>
        <w:rPr>
          <w:rFonts w:ascii="Times New Roman" w:cs="Times New Roman" w:eastAsia="Times New Roman" w:hAnsi="Times New Roman"/>
          <w:sz w:val="17"/>
          <w:szCs w:val="17"/>
          <w:color w:val="auto"/>
        </w:rPr>
      </w:pPr>
    </w:p>
    <w:p>
      <w:pPr>
        <w:ind w:left="640" w:right="80" w:hanging="165"/>
        <w:spacing w:after="0" w:line="277" w:lineRule="auto"/>
        <w:tabs>
          <w:tab w:leader="none" w:pos="6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Own what you do. </w:t>
      </w:r>
      <w:r>
        <w:rPr>
          <w:rFonts w:ascii="Times New Roman" w:cs="Times New Roman" w:eastAsia="Times New Roman" w:hAnsi="Times New Roman"/>
          <w:sz w:val="17"/>
          <w:szCs w:val="17"/>
          <w:color w:val="auto"/>
        </w:rPr>
        <w:t>We take ownership and are accountable for everything that we do. We empower and we are empowered to make things happen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balance independence with interdependence. We demand excellence from ourselves. We each play our own part in making MongoDB a great place to work.</w:t>
      </w:r>
    </w:p>
    <w:p>
      <w:pPr>
        <w:spacing w:after="0" w:line="109" w:lineRule="exact"/>
        <w:rPr>
          <w:sz w:val="20"/>
          <w:szCs w:val="20"/>
          <w:color w:val="auto"/>
        </w:rPr>
      </w:pPr>
    </w:p>
    <w:p>
      <w:pPr>
        <w:ind w:right="160" w:firstLine="470"/>
        <w:spacing w:after="0" w:line="295" w:lineRule="auto"/>
        <w:rPr>
          <w:sz w:val="20"/>
          <w:szCs w:val="20"/>
          <w:color w:val="auto"/>
        </w:rPr>
      </w:pPr>
      <w:r>
        <w:rPr>
          <w:rFonts w:ascii="Times New Roman" w:cs="Times New Roman" w:eastAsia="Times New Roman" w:hAnsi="Times New Roman"/>
          <w:sz w:val="17"/>
          <w:szCs w:val="17"/>
          <w:color w:val="auto"/>
        </w:rPr>
        <w:t>We are continuing to embed the MongoDB Leadership Commitment, and therefore our Values, into all aspects of the employee lifecycle from recruiting to performance management to leadership development and more to build a high performance and inclusive culture.</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Talent &amp; Leadership Development</w:t>
      </w:r>
    </w:p>
    <w:p>
      <w:pPr>
        <w:spacing w:after="0" w:line="170"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Promoting the professional growth and development of our talent is a priority for us to ensure retention, engagement and ultimately better business outcomes, especially as we navigate the challenges of scaling in a competitive business environment. Development at MongoDB happens largely on the job - as a growing company, we add and expand roles frequently, offering employees the opportunity to take on new challenges and the ability to learn and grow. In addition to our ongoing delivery of professional and technical skill growth, we focus on two key levers for developing our talent. First, we are committed to developing talent using our performance and growth framework, which equips managers and employees to deliver great results through continuous feedback and semi-annual employee performance and growth conversations, that include employee self-reflections and development plans. Second, we are focused on leadership development at all levels at MongoDB through both structured and customized programming for managers at all levels. This includes training programs and coaching services. All our leadership development content is anchored in the MongoDB Leadership Principles, which describe what good leadership at MongoDB looks like.</w:t>
      </w:r>
    </w:p>
    <w:p>
      <w:pPr>
        <w:spacing w:after="0" w:line="3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Compensation and Benefits</w:t>
      </w:r>
    </w:p>
    <w:p>
      <w:pPr>
        <w:spacing w:after="0" w:line="31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firstLine="470"/>
        <w:spacing w:after="0" w:line="264" w:lineRule="auto"/>
        <w:rPr>
          <w:sz w:val="20"/>
          <w:szCs w:val="20"/>
          <w:color w:val="auto"/>
        </w:rPr>
      </w:pPr>
      <w:r>
        <w:rPr>
          <w:rFonts w:ascii="Times New Roman" w:cs="Times New Roman" w:eastAsia="Times New Roman" w:hAnsi="Times New Roman"/>
          <w:sz w:val="17"/>
          <w:szCs w:val="17"/>
          <w:color w:val="auto"/>
        </w:rPr>
        <w:t>We provide competitive compensation and benefits for our employees globally. We continue to evolve our compensation programs to maintain competitive alignment with market practices while ensuring all pay decisions are driven by performance. Our compensation package may include base salary, commission or semi-annual bonuses and long-term equity awards. Where the market indicates, equity compensation continues to be an important tool to attract and retain talent. Employees in equity-eligible roles receive a new hire award at the time of hire and an annual performance-related refresh thereafter. To foster a strong sense of ownership and align our employees’ interests with our long-term success, we offer all full-time employees globally the opportunity to participate in an employee stock purchase plan.</w:t>
      </w:r>
    </w:p>
    <w:p>
      <w:pPr>
        <w:spacing w:after="0" w:line="121" w:lineRule="exact"/>
        <w:rPr>
          <w:sz w:val="20"/>
          <w:szCs w:val="20"/>
          <w:color w:val="auto"/>
        </w:rPr>
      </w:pPr>
    </w:p>
    <w:p>
      <w:pPr>
        <w:ind w:right="200" w:firstLine="470"/>
        <w:spacing w:after="0" w:line="269" w:lineRule="auto"/>
        <w:rPr>
          <w:sz w:val="20"/>
          <w:szCs w:val="20"/>
          <w:color w:val="auto"/>
        </w:rPr>
      </w:pPr>
      <w:r>
        <w:rPr>
          <w:rFonts w:ascii="Times New Roman" w:cs="Times New Roman" w:eastAsia="Times New Roman" w:hAnsi="Times New Roman"/>
          <w:sz w:val="17"/>
          <w:szCs w:val="17"/>
          <w:color w:val="auto"/>
        </w:rPr>
        <w:t>In addition to cash and equity compensation, we offer employees a wide array of benefits designed to be aligned with local reward practices and to be competitive with those offered by companies that we compete with for talent. In the United States, these include health (medical, dental and vision) insurance, paid time off, retirement benefits and additional resources to support employees' overall well-being. While the philosophy around our benefits is the same worldwide, specific benefits may vary by country due to local regulations and preferences.</w:t>
      </w:r>
    </w:p>
    <w:p>
      <w:pPr>
        <w:spacing w:after="0" w:line="117" w:lineRule="exact"/>
        <w:rPr>
          <w:sz w:val="20"/>
          <w:szCs w:val="20"/>
          <w:color w:val="auto"/>
        </w:rPr>
      </w:pPr>
    </w:p>
    <w:p>
      <w:pPr>
        <w:ind w:right="20" w:firstLine="470"/>
        <w:spacing w:after="0" w:line="276" w:lineRule="auto"/>
        <w:rPr>
          <w:sz w:val="20"/>
          <w:szCs w:val="20"/>
          <w:color w:val="auto"/>
        </w:rPr>
      </w:pPr>
      <w:r>
        <w:rPr>
          <w:rFonts w:ascii="Times New Roman" w:cs="Times New Roman" w:eastAsia="Times New Roman" w:hAnsi="Times New Roman"/>
          <w:sz w:val="17"/>
          <w:szCs w:val="17"/>
          <w:color w:val="auto"/>
        </w:rPr>
        <w:t>Finally, we are committed to pay equity, regardless of gender, ethnicity or other personal characteristics. To deliver on that commitment, we benchmark and set pay ranges based on market data and consider factors such as an employee’s role and experience, job location and performance. In addition, to reduce the risk of bias and help ensure consistent pay practices, we use a third-party tool to conduct annual pay parity checks.</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Health, Safety and Well-Being</w:t>
      </w:r>
    </w:p>
    <w:p>
      <w:pPr>
        <w:spacing w:after="0" w:line="170" w:lineRule="exact"/>
        <w:rPr>
          <w:sz w:val="20"/>
          <w:szCs w:val="20"/>
          <w:color w:val="auto"/>
        </w:rPr>
      </w:pPr>
    </w:p>
    <w:p>
      <w:pPr>
        <w:ind w:firstLine="470"/>
        <w:spacing w:after="0" w:line="276" w:lineRule="auto"/>
        <w:rPr>
          <w:sz w:val="20"/>
          <w:szCs w:val="20"/>
          <w:color w:val="auto"/>
        </w:rPr>
      </w:pPr>
      <w:r>
        <w:rPr>
          <w:rFonts w:ascii="Times New Roman" w:cs="Times New Roman" w:eastAsia="Times New Roman" w:hAnsi="Times New Roman"/>
          <w:sz w:val="17"/>
          <w:szCs w:val="17"/>
          <w:color w:val="auto"/>
        </w:rPr>
        <w:t>We believe the health, safety and well-being of our employees are vital to our success. We have introduced guidelines, regular reviews and training, which reflect our commitment to both the physical and psychological health and well-being of our employees. As part of this commitment, we recognize our responsibility to provide a safe and healthy work environment for all employees, contractors, customers and visitors.</w:t>
      </w:r>
    </w:p>
    <w:p>
      <w:pPr>
        <w:spacing w:after="0" w:line="110" w:lineRule="exact"/>
        <w:rPr>
          <w:sz w:val="20"/>
          <w:szCs w:val="20"/>
          <w:color w:val="auto"/>
        </w:rPr>
      </w:pPr>
    </w:p>
    <w:p>
      <w:pPr>
        <w:ind w:right="40" w:firstLine="627"/>
        <w:spacing w:after="0" w:line="264" w:lineRule="auto"/>
        <w:rPr>
          <w:sz w:val="20"/>
          <w:szCs w:val="20"/>
          <w:color w:val="auto"/>
        </w:rPr>
      </w:pPr>
      <w:r>
        <w:rPr>
          <w:rFonts w:ascii="Times New Roman" w:cs="Times New Roman" w:eastAsia="Times New Roman" w:hAnsi="Times New Roman"/>
          <w:sz w:val="17"/>
          <w:szCs w:val="17"/>
          <w:color w:val="auto"/>
        </w:rPr>
        <w:t>We have a hybrid approach to working which we introduced in 2021 during the Covid-19 pandemic. Our four working models - in office, flexible, remote and customer-facing remote - help ensure that we are meeting business needs while also offering employees flexibility. We gather feedback regularly from employees, assessing workplace safety and operational effectiveness, and seeking opportunities to enhance the overall experience for our hybrid workforce globally. We offer training for our people managers and employees on how to thrive in a global, hybrid work environment, and how to ensure collaboration and social interaction. We have several hub offices and a network of satellite offices in locations around the world and continue to introduce new workplace initiatives to enhance the employee experience.</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it relates to employee well-being, we offer a range of benefits under our four pillars of well-being:</w:t>
      </w:r>
    </w:p>
    <w:p>
      <w:pPr>
        <w:spacing w:after="0" w:line="168" w:lineRule="exact"/>
        <w:rPr>
          <w:sz w:val="20"/>
          <w:szCs w:val="20"/>
          <w:color w:val="auto"/>
        </w:rPr>
      </w:pPr>
    </w:p>
    <w:p>
      <w:pPr>
        <w:ind w:left="640" w:hanging="165"/>
        <w:spacing w:after="0" w:line="270" w:lineRule="auto"/>
        <w:tabs>
          <w:tab w:leader="none" w:pos="6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Physical well-being</w:t>
      </w:r>
      <w:r>
        <w:rPr>
          <w:rFonts w:ascii="Times New Roman" w:cs="Times New Roman" w:eastAsia="Times New Roman" w:hAnsi="Times New Roman"/>
          <w:sz w:val="17"/>
          <w:szCs w:val="17"/>
          <w:color w:val="auto"/>
        </w:rPr>
        <w:t>. We offer our employees access to comprehensive and competitive medical coverage in local markets, often covering the employee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dependent premiums. Our plans often include dental, optical, maternity, hospitalization and outpatient care, among other coverages, as well as comprehensive travel medical coverage while they travel for work assignments. To promote healthy lifestyles, we also offer employees access to highly subsidized or discounted monthly gym and exercise class memberships.</w:t>
      </w:r>
    </w:p>
    <w:p>
      <w:pPr>
        <w:spacing w:after="0" w:line="113" w:lineRule="exact"/>
        <w:rPr>
          <w:rFonts w:ascii="Times New Roman" w:cs="Times New Roman" w:eastAsia="Times New Roman" w:hAnsi="Times New Roman"/>
          <w:sz w:val="17"/>
          <w:szCs w:val="17"/>
          <w:color w:val="auto"/>
        </w:rPr>
      </w:pPr>
    </w:p>
    <w:p>
      <w:pPr>
        <w:ind w:left="640" w:right="240" w:hanging="165"/>
        <w:spacing w:after="0" w:line="298" w:lineRule="auto"/>
        <w:tabs>
          <w:tab w:leader="none" w:pos="6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Financial well-being</w:t>
      </w:r>
      <w:r>
        <w:rPr>
          <w:rFonts w:ascii="Times New Roman" w:cs="Times New Roman" w:eastAsia="Times New Roman" w:hAnsi="Times New Roman"/>
          <w:sz w:val="17"/>
          <w:szCs w:val="17"/>
          <w:color w:val="auto"/>
        </w:rPr>
        <w:t>. We believe that financial security is an enabler of creativity and productivity, which is why we offer retirement saving options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our employees, as well as benefits such as life insurance, disability insurance, critical illness and accident coverage.</w:t>
      </w:r>
    </w:p>
    <w:p>
      <w:pPr>
        <w:spacing w:after="0" w:line="89" w:lineRule="exact"/>
        <w:rPr>
          <w:rFonts w:ascii="Times New Roman" w:cs="Times New Roman" w:eastAsia="Times New Roman" w:hAnsi="Times New Roman"/>
          <w:sz w:val="17"/>
          <w:szCs w:val="17"/>
          <w:color w:val="auto"/>
        </w:rPr>
      </w:pPr>
    </w:p>
    <w:p>
      <w:pPr>
        <w:ind w:left="640" w:right="220" w:hanging="165"/>
        <w:spacing w:after="0" w:line="267" w:lineRule="auto"/>
        <w:tabs>
          <w:tab w:leader="none" w:pos="6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Emotional well-being</w:t>
      </w:r>
      <w:r>
        <w:rPr>
          <w:rFonts w:ascii="Times New Roman" w:cs="Times New Roman" w:eastAsia="Times New Roman" w:hAnsi="Times New Roman"/>
          <w:sz w:val="17"/>
          <w:szCs w:val="17"/>
          <w:color w:val="auto"/>
        </w:rPr>
        <w:t>. Our employees and their families have 24-hour access to our Employee Assistance Program (“EAP”). Our EAP offers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confidential guidance on matters such as family support, mental health and legal assistance. Through local partners, employees have access to free counseling and coaching sessions. Globally we also have a team of mental Health First Aiders, who are trained to be a point of contact for any of our employees experiencing emotional distress. In addition, all employees receive a complimentary subscription to a meditation app, which provides hundreds of themed meditation sessions on everything from sleep to focus to reducing stress.</w:t>
      </w:r>
    </w:p>
    <w:p>
      <w:pPr>
        <w:spacing w:after="0" w:line="114" w:lineRule="exact"/>
        <w:rPr>
          <w:rFonts w:ascii="Times New Roman" w:cs="Times New Roman" w:eastAsia="Times New Roman" w:hAnsi="Times New Roman"/>
          <w:sz w:val="17"/>
          <w:szCs w:val="17"/>
          <w:color w:val="auto"/>
        </w:rPr>
      </w:pPr>
    </w:p>
    <w:p>
      <w:pPr>
        <w:ind w:left="640" w:right="140" w:hanging="165"/>
        <w:spacing w:after="0" w:line="267" w:lineRule="auto"/>
        <w:tabs>
          <w:tab w:leader="none" w:pos="6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Family well-being</w:t>
      </w:r>
      <w:r>
        <w:rPr>
          <w:rFonts w:ascii="Times New Roman" w:cs="Times New Roman" w:eastAsia="Times New Roman" w:hAnsi="Times New Roman"/>
          <w:sz w:val="17"/>
          <w:szCs w:val="17"/>
          <w:color w:val="auto"/>
        </w:rPr>
        <w:t>. We provide global fertility benefits to our employees and their partners, including fertility care, adoption and surrogacy assistance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unlimited access to 1:1 guidance with certified practitioners. In the United States and some of our bigger geographies, we also offer backup childcare support. We feel strongly that parents should be able to share the responsibilities of caregiving and our parental leave policy gives all new parents at least 20 weeks of paid leave. Globally, our employees have access to personalized guidance to parents and caregivers, offering a full spectrum of family support for those with children of all ages.</w:t>
      </w:r>
    </w:p>
    <w:p>
      <w:pPr>
        <w:spacing w:after="0" w:line="26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Employee Engagement</w:t>
      </w:r>
    </w:p>
    <w:p>
      <w:pPr>
        <w:spacing w:after="0" w:line="170"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We conduct anonymous engagement surveys regularly to help us understand the employee experience, identify areas of strength and development opportunities among teams, measure the effectiveness of our people and culture initiatives and understand employees’ sentiments on management. These surveys are managed by a third-party vendor to encourage candor. The results are reviewed by senior management, who analyze areas of progress or opportunity and work with their teams to determine actionable steps based on survey results. The results also drive organization-wide focus areas and commitments focused on leadership, culture and inclusion.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Customers</w:t>
      </w:r>
    </w:p>
    <w:p>
      <w:pPr>
        <w:spacing w:after="0" w:line="172" w:lineRule="exact"/>
        <w:rPr>
          <w:sz w:val="20"/>
          <w:szCs w:val="20"/>
          <w:color w:val="auto"/>
        </w:rPr>
      </w:pPr>
    </w:p>
    <w:p>
      <w:pPr>
        <w:ind w:right="60" w:firstLine="470"/>
        <w:spacing w:after="0" w:line="276" w:lineRule="auto"/>
        <w:rPr>
          <w:sz w:val="20"/>
          <w:szCs w:val="20"/>
          <w:color w:val="auto"/>
        </w:rPr>
      </w:pPr>
      <w:r>
        <w:rPr>
          <w:rFonts w:ascii="Times New Roman" w:cs="Times New Roman" w:eastAsia="Times New Roman" w:hAnsi="Times New Roman"/>
          <w:sz w:val="17"/>
          <w:szCs w:val="17"/>
          <w:color w:val="auto"/>
        </w:rPr>
        <w:t>As of January 31, 2025, we had over 54,500 customers spanning a wide range of industries in more than 100 countries around the world. All affiliated entities are counted as a single customer. No single customer represented more than 10% of our revenue in fiscal year 2025. All affiliated entities are counted as a single customer and our definition of “customer” excludes users of our free offerings.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72" w:lineRule="exact"/>
        <w:rPr>
          <w:sz w:val="20"/>
          <w:szCs w:val="20"/>
          <w:color w:val="auto"/>
        </w:rPr>
      </w:pPr>
    </w:p>
    <w:p>
      <w:pPr>
        <w:ind w:right="60" w:firstLine="470"/>
        <w:spacing w:after="0" w:line="266" w:lineRule="auto"/>
        <w:rPr>
          <w:sz w:val="20"/>
          <w:szCs w:val="20"/>
          <w:color w:val="auto"/>
        </w:rPr>
      </w:pPr>
      <w:r>
        <w:rPr>
          <w:rFonts w:ascii="Times New Roman" w:cs="Times New Roman" w:eastAsia="Times New Roman" w:hAnsi="Times New Roman"/>
          <w:sz w:val="17"/>
          <w:szCs w:val="17"/>
          <w:color w:val="auto"/>
        </w:rPr>
        <w:t>Our sales and marketing teams work together closely to drive awareness and adoption of our platform, accelerate customer acquisition and generate and increase revenue from customers. While we sell to organizations of all sizes across a broad range of industries, our key sales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19" w:lineRule="exact"/>
        <w:rPr>
          <w:sz w:val="20"/>
          <w:szCs w:val="20"/>
          <w:color w:val="auto"/>
        </w:rPr>
      </w:pPr>
    </w:p>
    <w:p>
      <w:pPr>
        <w:ind w:right="20" w:firstLine="470"/>
        <w:spacing w:after="0" w:line="266" w:lineRule="auto"/>
        <w:rPr>
          <w:sz w:val="20"/>
          <w:szCs w:val="20"/>
          <w:color w:val="auto"/>
        </w:rPr>
      </w:pPr>
      <w:r>
        <w:rPr>
          <w:rFonts w:ascii="Times New Roman" w:cs="Times New Roman" w:eastAsia="Times New Roman" w:hAnsi="Times New Roman"/>
          <w:sz w:val="17"/>
          <w:szCs w:val="17"/>
          <w:color w:val="auto"/>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 engaged global developer community. We foster developer engagement through community events and 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w:t>
      </w:r>
    </w:p>
    <w:p>
      <w:pPr>
        <w:spacing w:after="0" w:line="119" w:lineRule="exact"/>
        <w:rPr>
          <w:sz w:val="20"/>
          <w:szCs w:val="20"/>
          <w:color w:val="auto"/>
        </w:rPr>
      </w:pPr>
    </w:p>
    <w:p>
      <w:pPr>
        <w:ind w:right="20" w:firstLine="470"/>
        <w:spacing w:after="0" w:line="261" w:lineRule="auto"/>
        <w:rPr>
          <w:sz w:val="20"/>
          <w:szCs w:val="20"/>
          <w:color w:val="auto"/>
        </w:rPr>
      </w:pPr>
      <w:r>
        <w:rPr>
          <w:rFonts w:ascii="Times New Roman" w:cs="Times New Roman" w:eastAsia="Times New Roman" w:hAnsi="Times New Roman"/>
          <w:sz w:val="17"/>
          <w:szCs w:val="17"/>
          <w:color w:val="auto"/>
        </w:rPr>
        <w:t>To drive developer awareness of, engagement with, and adoption of our platform, we created our Community Server and MongoDB Atlas free tier offerings. These let developers use, experiment and evaluate our platform frictionlessly, which we believe has contributed to our platform’s popularity. We believe that developers are often advocates for us because of our developer-focused approach. As a result, our self-serve and direct sales prospects are often familiar with our platform and may have already built applications using our technology. To assess the most likely commercial prospects, we employ a process-oriented and data-driven approach to customer acquisition. We utilize advanced marketing technologies and processes to drive awareness and engagement, educate and convert prospects into customers. We also analyze usage patterns of our self-serve and free tier users to identify those accounts that might benefit from engagement with our sales teams. As customers expand their usage of our platform, our relationships with them often evolve to include technology and business leaders within their organizations and our goal is to get organizations to standardize on our platform. Once our customers reach a certain spending level with us, we support them with customer success advocates to ensure their satisfaction and expand their usage of our platform. We also have a partner ecosystem of global system integrators, value-added resellers and independent software vendors, which we collectively refer to as strategic partners.</w:t>
      </w:r>
    </w:p>
    <w:p>
      <w:pPr>
        <w:spacing w:after="0" w:line="122" w:lineRule="exact"/>
        <w:rPr>
          <w:sz w:val="20"/>
          <w:szCs w:val="20"/>
          <w:color w:val="auto"/>
        </w:rPr>
      </w:pPr>
    </w:p>
    <w:p>
      <w:pPr>
        <w:ind w:right="140" w:firstLine="470"/>
        <w:spacing w:after="0" w:line="295" w:lineRule="auto"/>
        <w:rPr>
          <w:sz w:val="20"/>
          <w:szCs w:val="20"/>
          <w:color w:val="auto"/>
        </w:rPr>
      </w:pPr>
      <w:r>
        <w:rPr>
          <w:rFonts w:ascii="Times New Roman" w:cs="Times New Roman" w:eastAsia="Times New Roman" w:hAnsi="Times New Roman"/>
          <w:sz w:val="17"/>
          <w:szCs w:val="17"/>
          <w:color w:val="auto"/>
        </w:rPr>
        <w:t>Our sales and marketing organization includes sales development, inside sales, field sales, sales engineering and marketing personnel. As of January 31, 2025, we had 2,542 employees in our sales and marketing organization.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72" w:lineRule="exact"/>
        <w:rPr>
          <w:sz w:val="20"/>
          <w:szCs w:val="20"/>
          <w:color w:val="auto"/>
        </w:rPr>
      </w:pPr>
    </w:p>
    <w:p>
      <w:pPr>
        <w:ind w:right="60" w:firstLine="470"/>
        <w:spacing w:after="0" w:line="269" w:lineRule="auto"/>
        <w:rPr>
          <w:sz w:val="20"/>
          <w:szCs w:val="20"/>
          <w:color w:val="auto"/>
        </w:rPr>
      </w:pPr>
      <w:r>
        <w:rPr>
          <w:rFonts w:ascii="Times New Roman" w:cs="Times New Roman" w:eastAsia="Times New Roman" w:hAnsi="Times New Roman"/>
          <w:sz w:val="17"/>
          <w:szCs w:val="17"/>
          <w:color w:val="auto"/>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t>
      </w:r>
    </w:p>
    <w:p>
      <w:pPr>
        <w:spacing w:after="0" w:line="117" w:lineRule="exact"/>
        <w:rPr>
          <w:sz w:val="20"/>
          <w:szCs w:val="20"/>
          <w:color w:val="auto"/>
        </w:rPr>
      </w:pPr>
    </w:p>
    <w:p>
      <w:pPr>
        <w:ind w:right="460" w:firstLine="470"/>
        <w:spacing w:after="0" w:line="295" w:lineRule="auto"/>
        <w:rPr>
          <w:sz w:val="20"/>
          <w:szCs w:val="20"/>
          <w:color w:val="auto"/>
        </w:rPr>
      </w:pPr>
      <w:r>
        <w:rPr>
          <w:rFonts w:ascii="Times New Roman" w:cs="Times New Roman" w:eastAsia="Times New Roman" w:hAnsi="Times New Roman"/>
          <w:sz w:val="17"/>
          <w:szCs w:val="17"/>
          <w:color w:val="auto"/>
        </w:rPr>
        <w:t>As of January 31, 2025, we had 1,327 employees in our research and development organization. We intend to continue to invest in our research and development capabilities to extend our platform.</w:t>
      </w:r>
    </w:p>
    <w:p>
      <w:pPr>
        <w:spacing w:after="0" w:line="23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worldwide database software market is rapidly evolving and highly competitive. We believe that the principal competitive factors in our market are:</w:t>
      </w:r>
    </w:p>
    <w:p>
      <w:pPr>
        <w:spacing w:after="0" w:line="170" w:lineRule="exact"/>
        <w:rPr>
          <w:sz w:val="20"/>
          <w:szCs w:val="20"/>
          <w:color w:val="auto"/>
        </w:rPr>
      </w:pPr>
    </w:p>
    <w:p>
      <w:pPr>
        <w:ind w:left="620" w:hanging="14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mindshare with software developers and IT executives;</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capabilities, including flexibility, scalability, performance, security and reliability;</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flexible deployment options, including fully managed as a service or self-managed in the cloud, on-premises or in a hybrid environment;</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deployment;</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breadth of use cases supported;</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generative AI capabilities;</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integration with existing IT infrastructure;</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robustness of professional services and customer support;</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total cost of ownership;</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adherence to industry standards and certifications, including cybersecurity standards and certifications;</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size of customer base and level of user adoption;</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 of sales and marketing efforts; and</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 awareness and reputation.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believe that we compete favorably on the basis of the factors listed above.</w:t>
      </w:r>
    </w:p>
    <w:p>
      <w:pPr>
        <w:spacing w:after="0" w:line="170"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We primarily compete with established legacy database software providers such as IBM, Microsoft, Oracle and other similar companies. We also compete with public cloud providers that offer database functionality, such as AWS, GCP and Microsoft Azure as well as other database software providers.</w:t>
      </w:r>
    </w:p>
    <w:p>
      <w:pPr>
        <w:spacing w:after="0" w:line="94" w:lineRule="exact"/>
        <w:rPr>
          <w:sz w:val="20"/>
          <w:szCs w:val="20"/>
          <w:color w:val="auto"/>
        </w:rPr>
      </w:pPr>
    </w:p>
    <w:p>
      <w:pPr>
        <w:ind w:right="100" w:firstLine="470"/>
        <w:spacing w:after="0" w:line="261" w:lineRule="auto"/>
        <w:rPr>
          <w:sz w:val="20"/>
          <w:szCs w:val="20"/>
          <w:color w:val="auto"/>
        </w:rPr>
      </w:pPr>
      <w:r>
        <w:rPr>
          <w:rFonts w:ascii="Times New Roman" w:cs="Times New Roman" w:eastAsia="Times New Roman" w:hAnsi="Times New Roman"/>
          <w:sz w:val="17"/>
          <w:szCs w:val="17"/>
          <w:color w:val="auto"/>
        </w:rPr>
        <w:t>Some of our actual and potential competitors, in particular the legacy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to enhance their overall relationships with current or potential 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Other large software and internet companies may also seek to enter our market. As we introduce new technologies, such as the ones we announced during fiscal year 2025, and as our existing markets see more market entry, we expect competition to intensify.</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72"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We have experienced seasonal fluctuations in our revenue and operating results and this trend may continue in the future. We may experience variability and reduced comparability of our quarterly revenue and operating results with respect to the timing and nature of certain contracts, particularly multi-year contracts that contain a term license. We may also experience fluctuations as MongoDB Atlas revenue is recorded on a consumption basis and varies with usage, inclusive of seasonal variability. As MongoDB Atlas revenue continues to increase as a percentage of total revenue, these fluctuations may have a greater impact on our results of operations.</w:t>
      </w:r>
    </w:p>
    <w:p>
      <w:pPr>
        <w:spacing w:after="0" w:line="26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72" w:lineRule="exact"/>
        <w:rPr>
          <w:sz w:val="20"/>
          <w:szCs w:val="20"/>
          <w:color w:val="auto"/>
        </w:rPr>
      </w:pPr>
    </w:p>
    <w:p>
      <w:pPr>
        <w:ind w:right="40" w:firstLine="470"/>
        <w:spacing w:after="0" w:line="295" w:lineRule="auto"/>
        <w:rPr>
          <w:sz w:val="20"/>
          <w:szCs w:val="20"/>
          <w:color w:val="auto"/>
        </w:rPr>
      </w:pPr>
      <w:r>
        <w:rPr>
          <w:rFonts w:ascii="Times New Roman" w:cs="Times New Roman" w:eastAsia="Times New Roman" w:hAnsi="Times New Roman"/>
          <w:sz w:val="17"/>
          <w:szCs w:val="17"/>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94" w:lineRule="exact"/>
        <w:rPr>
          <w:sz w:val="20"/>
          <w:szCs w:val="20"/>
          <w:color w:val="auto"/>
        </w:rPr>
      </w:pPr>
    </w:p>
    <w:p>
      <w:pPr>
        <w:ind w:right="480" w:firstLine="470"/>
        <w:spacing w:after="0" w:line="276" w:lineRule="auto"/>
        <w:rPr>
          <w:sz w:val="20"/>
          <w:szCs w:val="20"/>
          <w:color w:val="auto"/>
        </w:rPr>
      </w:pPr>
      <w:r>
        <w:rPr>
          <w:rFonts w:ascii="Times New Roman" w:cs="Times New Roman" w:eastAsia="Times New Roman" w:hAnsi="Times New Roman"/>
          <w:sz w:val="17"/>
          <w:szCs w:val="17"/>
          <w:color w:val="auto"/>
        </w:rPr>
        <w:t>As of January 31, 2025, in the United States, we had been issued 84 patents, which expire between 2030 and 2042 and had 47 patent applications pending, of which 10 are provisional applications. In addition, as of January 31, 2025, we had 13 registered trademarks in the United States and 2 pending trademark applications in the United States.</w:t>
      </w:r>
    </w:p>
    <w:p>
      <w:pPr>
        <w:spacing w:after="0" w:line="110"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Unlike software companies built around open source projects, we own the intellectual property of our core offerings, allowing us to retain control over our future product roadmap, including the determination of which features are included in our free or paid offerings. All versions of Community Server released after October 16, 2018 are offered under the SSPL. Versions of Community Server released prior to October 16, 2018 are offered under the AGPL. Both the SSPL and the AGPL permit users to run the database without charge but subject to certain terms and conditions. The SSPL explicitly requires Community Server users that offer MongoDB as a third-party service to make publicly available the source code for all the programs used to offer such service.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 SSPL and AGPL, we limit the appeal to other parties, including public cloud vendors, of monetizing our software without licensing it from us, further supporting our software subscription business model.</w:t>
      </w:r>
    </w:p>
    <w:p>
      <w:pPr>
        <w:spacing w:after="0" w:line="122" w:lineRule="exact"/>
        <w:rPr>
          <w:sz w:val="20"/>
          <w:szCs w:val="20"/>
          <w:color w:val="auto"/>
        </w:rPr>
      </w:pPr>
    </w:p>
    <w:p>
      <w:pPr>
        <w:ind w:right="20" w:firstLine="470"/>
        <w:spacing w:after="0" w:line="269" w:lineRule="auto"/>
        <w:rPr>
          <w:sz w:val="20"/>
          <w:szCs w:val="20"/>
          <w:color w:val="auto"/>
        </w:rPr>
      </w:pPr>
      <w:r>
        <w:rPr>
          <w:rFonts w:ascii="Times New Roman" w:cs="Times New Roman" w:eastAsia="Times New Roman" w:hAnsi="Times New Roman"/>
          <w:sz w:val="17"/>
          <w:szCs w:val="17"/>
          <w:color w:val="auto"/>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72" w:lineRule="exact"/>
        <w:rPr>
          <w:sz w:val="20"/>
          <w:szCs w:val="20"/>
          <w:color w:val="auto"/>
        </w:rPr>
      </w:pPr>
    </w:p>
    <w:p>
      <w:pPr>
        <w:ind w:right="60" w:firstLine="470"/>
        <w:spacing w:after="0" w:line="269" w:lineRule="auto"/>
        <w:rPr>
          <w:sz w:val="20"/>
          <w:szCs w:val="20"/>
          <w:color w:val="auto"/>
        </w:rPr>
      </w:pPr>
      <w:r>
        <w:rPr>
          <w:rFonts w:ascii="Times New Roman" w:cs="Times New Roman" w:eastAsia="Times New Roman" w:hAnsi="Times New Roman"/>
          <w:sz w:val="17"/>
          <w:szCs w:val="17"/>
          <w:color w:val="auto"/>
        </w:rPr>
        <w:t>MongoDB, Inc. was incorporated under the laws of the State of Delaware in November 2007 under the name 10Gen, Inc. We changed our name to MongoDB, Inc. on August 27, 2013. In October 2017, we completed our initial public offering and our common stock is listed on The Nasdaq Global Market (“Nasdaq”) under the symbol “MDB.” Our principal executive offices are located at 1633 Broadway, 38th Floor, New York, New York 10019 and our telephone number is (646) 727-4092.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72" w:lineRule="exact"/>
        <w:rPr>
          <w:sz w:val="20"/>
          <w:szCs w:val="20"/>
          <w:color w:val="auto"/>
        </w:rPr>
      </w:pPr>
    </w:p>
    <w:p>
      <w:pPr>
        <w:ind w:firstLine="470"/>
        <w:spacing w:after="0" w:line="263" w:lineRule="auto"/>
        <w:rPr>
          <w:sz w:val="20"/>
          <w:szCs w:val="20"/>
          <w:color w:val="auto"/>
        </w:rPr>
      </w:pPr>
      <w:r>
        <w:rPr>
          <w:rFonts w:ascii="Times New Roman" w:cs="Times New Roman" w:eastAsia="Times New Roman" w:hAnsi="Times New Roman"/>
          <w:sz w:val="17"/>
          <w:szCs w:val="17"/>
          <w:color w:val="auto"/>
        </w:rPr>
        <w:t>Our Annual Report on Form 10-K, Quarterly Reports on Form 10-Q, Current Reports on Form 8-K and amendments to reports filed pursuant to Sections 13(a) and 15(d) of the Exchange Act, proxy statements and other information are filed with the U.S. Securities and Exchange Commission (“SEC”). We are subject to the informational requirements of the Exchange Act and file or furnish reports, proxy statements and other information with the SEC. Such reports and other information filed by us with the SEC are available free of charge on our website at investors.mongodb.com when such reports are available on the SEC’s website. The SEC maintains a website that contains reports, proxy and information statements and other information regarding issuers that file electronically with the SEC at www.sec.gov. The information contained on the websites referenced in this Form 10-K is not incorporated by reference into this filing. Further, our references to website URLs are intended to be inactive textual references only.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8" w:lineRule="exact"/>
        <w:rPr>
          <w:sz w:val="20"/>
          <w:szCs w:val="20"/>
          <w:color w:val="auto"/>
        </w:rPr>
      </w:pPr>
    </w:p>
    <w:p>
      <w:pPr>
        <w:ind w:right="80" w:firstLine="47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26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72" w:lineRule="exact"/>
        <w:rPr>
          <w:sz w:val="20"/>
          <w:szCs w:val="20"/>
          <w:color w:val="auto"/>
        </w:rPr>
      </w:pPr>
    </w:p>
    <w:p>
      <w:pPr>
        <w:jc w:val="both"/>
        <w:ind w:firstLine="470"/>
        <w:spacing w:after="0" w:line="295"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because we are subject to numerous risks and uncertainties that could negatively impact our business, financial condition and results of operations, as more fully described below. These risks and uncertainties include, but are not limited to, the following:</w:t>
      </w:r>
    </w:p>
    <w:p>
      <w:pPr>
        <w:spacing w:after="0" w:line="94" w:lineRule="exact"/>
        <w:rPr>
          <w:sz w:val="20"/>
          <w:szCs w:val="20"/>
          <w:color w:val="auto"/>
        </w:rPr>
      </w:pPr>
    </w:p>
    <w:p>
      <w:pPr>
        <w:ind w:left="640" w:right="340" w:hanging="322"/>
        <w:spacing w:after="0" w:line="295"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conditions in our industry or the global economy or reductions in information technology spending could limit our ability to grow our business and materially and adversely affect our results of operations.</w:t>
      </w:r>
    </w:p>
    <w:p>
      <w:pPr>
        <w:spacing w:after="0" w:line="94" w:lineRule="exact"/>
        <w:rPr>
          <w:rFonts w:ascii="Times New Roman" w:cs="Times New Roman" w:eastAsia="Times New Roman" w:hAnsi="Times New Roman"/>
          <w:sz w:val="17"/>
          <w:szCs w:val="17"/>
          <w:color w:val="auto"/>
        </w:rPr>
      </w:pPr>
    </w:p>
    <w:p>
      <w:pPr>
        <w:jc w:val="both"/>
        <w:ind w:left="640" w:right="580" w:hanging="322"/>
        <w:spacing w:after="0" w:line="276"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109" w:lineRule="exact"/>
        <w:rPr>
          <w:rFonts w:ascii="Times New Roman" w:cs="Times New Roman" w:eastAsia="Times New Roman" w:hAnsi="Times New Roman"/>
          <w:sz w:val="17"/>
          <w:szCs w:val="17"/>
          <w:color w:val="auto"/>
        </w:rPr>
      </w:pPr>
    </w:p>
    <w:p>
      <w:pPr>
        <w:ind w:left="640" w:right="300" w:hanging="322"/>
        <w:spacing w:after="0" w:line="295"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meet our publicly announced guidance or other expectations about our business and future operating results, which would cause our stock price to decline.</w:t>
      </w:r>
    </w:p>
    <w:p>
      <w:pPr>
        <w:spacing w:after="0" w:line="94"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which makes it difficult to predict our future results of operations.</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losses and as our costs increase, we may not be able to generate sufficient revenue to achieve or sustain profitability.</w:t>
      </w:r>
    </w:p>
    <w:p>
      <w:pPr>
        <w:spacing w:after="0" w:line="170" w:lineRule="exact"/>
        <w:rPr>
          <w:rFonts w:ascii="Times New Roman" w:cs="Times New Roman" w:eastAsia="Times New Roman" w:hAnsi="Times New Roman"/>
          <w:sz w:val="17"/>
          <w:szCs w:val="17"/>
          <w:color w:val="auto"/>
        </w:rPr>
      </w:pPr>
    </w:p>
    <w:p>
      <w:pPr>
        <w:ind w:left="640" w:right="200" w:hanging="322"/>
        <w:spacing w:after="0" w:line="295"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94"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face significant competition and expect that intense competition will continue.</w:t>
      </w:r>
    </w:p>
    <w:p>
      <w:pPr>
        <w:spacing w:after="0" w:line="170" w:lineRule="exact"/>
        <w:rPr>
          <w:rFonts w:ascii="Times New Roman" w:cs="Times New Roman" w:eastAsia="Times New Roman" w:hAnsi="Times New Roman"/>
          <w:sz w:val="17"/>
          <w:szCs w:val="17"/>
          <w:color w:val="auto"/>
        </w:rPr>
      </w:pPr>
    </w:p>
    <w:p>
      <w:pPr>
        <w:ind w:left="640" w:right="640" w:hanging="322"/>
        <w:spacing w:after="0" w:line="295"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do not effectively expand our sales and marketing organization, we may be unable to add new customers or increase sales to our existing customers.</w:t>
      </w:r>
    </w:p>
    <w:p>
      <w:pPr>
        <w:spacing w:after="0" w:line="94"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decision to offer Community Server under the Server Side Public License (“SSPL”) may harm the adoption of Community Server.</w:t>
      </w:r>
    </w:p>
    <w:p>
      <w:pPr>
        <w:spacing w:after="0" w:line="170" w:lineRule="exact"/>
        <w:rPr>
          <w:rFonts w:ascii="Times New Roman" w:cs="Times New Roman" w:eastAsia="Times New Roman" w:hAnsi="Times New Roman"/>
          <w:sz w:val="17"/>
          <w:szCs w:val="17"/>
          <w:color w:val="auto"/>
        </w:rPr>
      </w:pPr>
    </w:p>
    <w:p>
      <w:pPr>
        <w:ind w:left="640" w:right="180" w:hanging="322"/>
        <w:spacing w:after="0" w:line="295"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be negatively impacted if the GNU Affero General Public License Version 3 (the “AGPL”), the SSPL and other open source licenses under which some of our software is licensed are not enforceable.</w:t>
      </w:r>
    </w:p>
    <w:p>
      <w:pPr>
        <w:spacing w:after="0" w:line="94"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licensing model for Community Server could negatively affect our ability to monetize and protect our intellectual property rights.</w:t>
      </w:r>
    </w:p>
    <w:p>
      <w:pPr>
        <w:spacing w:after="0" w:line="170"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94" w:lineRule="exact"/>
        <w:rPr>
          <w:rFonts w:ascii="Times New Roman" w:cs="Times New Roman" w:eastAsia="Times New Roman" w:hAnsi="Times New Roman"/>
          <w:sz w:val="17"/>
          <w:szCs w:val="17"/>
          <w:color w:val="auto"/>
        </w:rPr>
      </w:pPr>
    </w:p>
    <w:p>
      <w:pPr>
        <w:ind w:left="640" w:right="100" w:hanging="322"/>
        <w:spacing w:after="0" w:line="295"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introduce new features or services successfully and to make enhancements to our software or services, our business and results of operations could be adversely affected.</w:t>
      </w:r>
    </w:p>
    <w:p>
      <w:pPr>
        <w:spacing w:after="0" w:line="94" w:lineRule="exact"/>
        <w:rPr>
          <w:rFonts w:ascii="Times New Roman" w:cs="Times New Roman" w:eastAsia="Times New Roman" w:hAnsi="Times New Roman"/>
          <w:sz w:val="17"/>
          <w:szCs w:val="17"/>
          <w:color w:val="auto"/>
        </w:rPr>
      </w:pPr>
    </w:p>
    <w:p>
      <w:pPr>
        <w:ind w:left="640" w:right="60" w:hanging="322"/>
        <w:spacing w:after="0" w:line="288"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314" w:lineRule="exact"/>
        <w:rPr>
          <w:rFonts w:ascii="Times New Roman" w:cs="Times New Roman" w:eastAsia="Times New Roman" w:hAnsi="Times New Roman"/>
          <w:sz w:val="17"/>
          <w:szCs w:val="17"/>
          <w:color w:val="auto"/>
        </w:rPr>
      </w:pPr>
    </w:p>
    <w:p>
      <w:pPr>
        <w:ind w:left="640" w:right="140" w:hanging="322"/>
        <w:spacing w:after="0" w:line="276" w:lineRule="auto"/>
        <w:tabs>
          <w:tab w:leader="none" w:pos="6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109"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not able to maintain and enhance our brand, especially among developers, our business and results of operations may be adversely affected.</w:t>
      </w:r>
    </w:p>
    <w:p>
      <w:pPr>
        <w:spacing w:after="0" w:line="31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168"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Unfavorable conditions in our industry or the global economy or reductions in information technology spending could limit our ability to grow our business and materially and adversely affect our results of operations.</w:t>
      </w:r>
    </w:p>
    <w:p>
      <w:pPr>
        <w:spacing w:after="0" w:line="103"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Our overall performance depends in part on worldwide economic conditions and 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materially and adversely affect our business and results of operations. Negative conditions in the general economy both in the United States and abroad, including conditions resulting from changes in gross domestic product growth, labor shortages, supply chain disruptions, inflationary pressures, rising interest rates, financial and credit market fluctuations, international trade relations and/or the imposition of trade tariffs, political turmoil, natural catastrophes, regional or global outbreaks of contagious diseases, such as the COVID-19 pandemic, volatility in the banking sector, warfare and terrorist attacks on the United States, Europe, the Asia Pacific region or elsewhere, such as the conflict in the Middle East, could cause a decrease in business investments, including spending on information technology, disrupt the timing and cadence of key industry and marketing events and otherwise could materially and adversely affect the growth of our business and results of operations.</w:t>
      </w:r>
    </w:p>
    <w:p>
      <w:pPr>
        <w:spacing w:after="0" w:line="200" w:lineRule="exact"/>
        <w:rPr>
          <w:sz w:val="20"/>
          <w:szCs w:val="20"/>
          <w:color w:val="auto"/>
        </w:rPr>
      </w:pPr>
    </w:p>
    <w:p>
      <w:pPr>
        <w:ind w:right="100" w:firstLine="470"/>
        <w:spacing w:after="0" w:line="261" w:lineRule="auto"/>
        <w:rPr>
          <w:sz w:val="20"/>
          <w:szCs w:val="20"/>
          <w:color w:val="auto"/>
        </w:rPr>
      </w:pPr>
      <w:r>
        <w:rPr>
          <w:rFonts w:ascii="Times New Roman" w:cs="Times New Roman" w:eastAsia="Times New Roman" w:hAnsi="Times New Roman"/>
          <w:sz w:val="17"/>
          <w:szCs w:val="17"/>
          <w:color w:val="auto"/>
        </w:rPr>
        <w:t>Geopolitical risks, including those arising from trade tension and/or the imposition of trade tariffs, terrorist activity or acts of civil or international hostility, are increasing. Similarly, the ongoing military conflict between Russia and Ukraine has had negative impacts on the global economy, including by contributing to rapidly rising costs of living (driven largely by higher energy prices) in Europe and creating uncertainty in the global capital markets and is expected to have further global economic consequences, including disruptions of the global supply chain and energy markets. The ongoing military conflict between Israel and Hamas, and any resulting conflicts in the region, may have similar negative impacts. Further, other events outside of our control, including natural disasters, climate change-related events, pandemics (such as the COVID-19 pandemic) or health crises may arise from time to time and be accompanied by governmental actions that may increase international tension. Any such events and responses, including regulatory developments, may cause significant volatility and declines in the global markets, disproportionate impacts to certain industries or sectors, disruptions to commerce (including to economic activity, travel and supply chains), loss of life and property damage, and may materially and adversely affect the global economy or capital markets, as well as our business and results of operations.</w:t>
      </w:r>
    </w:p>
    <w:p>
      <w:pPr>
        <w:spacing w:after="0" w:line="200" w:lineRule="exact"/>
        <w:rPr>
          <w:sz w:val="20"/>
          <w:szCs w:val="20"/>
          <w:color w:val="auto"/>
        </w:rPr>
      </w:pPr>
    </w:p>
    <w:p>
      <w:pPr>
        <w:spacing w:after="0" w:line="213"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Additionally, the global economy, including credit and financial markets, has experienced extreme volatility and disruptions and may continue to experience such disruptions in the future, including severely diminished liquidity and credit availability, declines in consumer confidence, declines in economic growth, increases in unemployment rates, increases in inflation rates, higher interest rates and uncertainty about economic stability. As a result of these factors, our revenues may be affected by both decreased customer acquisition and lower than anticipated revenue growth from existing customers. For example, the COVID-19 pandemic resulted in widespread unemployment, economic slowdown and extreme volatility. Similarly, the ongoing military conflict between Russia and Ukraine has created extreme volatility in the global capital markets and has caused and could continue to cause disruptions of the global supply chain and energy markets. The ongoing military conflict between Israel and Hamas, and any resulting conflicts in the region, has caused and may continue to cause similar negative impacts. Any such volatility and disruptions may have material and adverse consequences on us, the third parties on whom we rely or our customers. Increased inflation and/or interest rates can adversely affect us by increasing our costs, including labor and employee benefit costs. Any significant increases in inflation and related increase in interest rates could have a material and adverse effect on our business, financial condition or results of operations.</w:t>
      </w:r>
    </w:p>
    <w:p>
      <w:pPr>
        <w:spacing w:after="0" w:line="200" w:lineRule="exact"/>
        <w:rPr>
          <w:sz w:val="20"/>
          <w:szCs w:val="20"/>
          <w:color w:val="auto"/>
        </w:rPr>
      </w:pPr>
    </w:p>
    <w:p>
      <w:pPr>
        <w:ind w:right="60" w:firstLine="470"/>
        <w:spacing w:after="0" w:line="266" w:lineRule="auto"/>
        <w:rPr>
          <w:sz w:val="20"/>
          <w:szCs w:val="20"/>
          <w:color w:val="auto"/>
        </w:rPr>
      </w:pPr>
      <w:r>
        <w:rPr>
          <w:rFonts w:ascii="Times New Roman" w:cs="Times New Roman" w:eastAsia="Times New Roman" w:hAnsi="Times New Roman"/>
          <w:sz w:val="17"/>
          <w:szCs w:val="17"/>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This could also result in an extension of our sales cycle with potential customers, thus increasing the time and cost associated with our sales process. Further, if our customers experience reductions in their technology spending, even if they choose to use our products, they may not purchase additional products and services in the future due to budget limitations.</w:t>
      </w:r>
    </w:p>
    <w:p>
      <w:pPr>
        <w:spacing w:after="0" w:line="184" w:lineRule="exact"/>
        <w:rPr>
          <w:sz w:val="20"/>
          <w:szCs w:val="20"/>
          <w:color w:val="auto"/>
        </w:rPr>
      </w:pPr>
    </w:p>
    <w:p>
      <w:pPr>
        <w:ind w:right="200" w:firstLine="470"/>
        <w:spacing w:after="0" w:line="246" w:lineRule="auto"/>
        <w:rPr>
          <w:sz w:val="20"/>
          <w:szCs w:val="20"/>
          <w:color w:val="auto"/>
        </w:rPr>
      </w:pPr>
      <w:r>
        <w:rPr>
          <w:rFonts w:ascii="Times New Roman" w:cs="Times New Roman" w:eastAsia="Times New Roman" w:hAnsi="Times New Roman"/>
          <w:sz w:val="17"/>
          <w:szCs w:val="17"/>
          <w:color w:val="auto"/>
        </w:rPr>
        <w:t>In addition, the banking sector has previously experienced increased volatility as a result of several distressed or closed banks and financial institutions. While we have not suffered any material effects as a result of the increased financial market volatility, we do regularly maintain cash balances at third-party financial institutions in excess of government- insured limits, and if financial institutions used by us or our customers face insolvency or illiquidity challenges due to events affecting the banking system and / or financial markets, our and our customers' ability to access existing cash, cash equivalents, and investments may be threatened. To the extent that the resulting receivership or insolvency causes customers to be unable to,</w:t>
      </w:r>
    </w:p>
    <w:p>
      <w:pPr>
        <w:spacing w:after="0" w:line="12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7"/>
          <w:szCs w:val="17"/>
          <w:color w:val="auto"/>
        </w:rPr>
        <w:t>or causes delays, in accessing bank deposits, our customers may not be able to pay us on time or at all for the products and services that we provide them and they may not renew their subscriptions with us. The failure of banks or financial institutions and the measures taken by governments, businesses and other organizations in response to such events could adversely impact our business, financial condition and results of operations.</w:t>
      </w:r>
    </w:p>
    <w:p>
      <w:pPr>
        <w:spacing w:after="0" w:line="201" w:lineRule="exact"/>
        <w:rPr>
          <w:sz w:val="20"/>
          <w:szCs w:val="20"/>
          <w:color w:val="auto"/>
        </w:rPr>
      </w:pPr>
    </w:p>
    <w:p>
      <w:pPr>
        <w:ind w:right="240" w:firstLine="470"/>
        <w:spacing w:after="0" w:line="266" w:lineRule="auto"/>
        <w:rPr>
          <w:sz w:val="20"/>
          <w:szCs w:val="20"/>
          <w:color w:val="auto"/>
        </w:rPr>
      </w:pPr>
      <w:r>
        <w:rPr>
          <w:rFonts w:ascii="Times New Roman" w:cs="Times New Roman" w:eastAsia="Times New Roman" w:hAnsi="Times New Roman"/>
          <w:sz w:val="17"/>
          <w:szCs w:val="17"/>
          <w:color w:val="auto"/>
        </w:rPr>
        <w:t>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materially and adversely affected.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which makes it difficult to predict our future results of operations.</w:t>
      </w:r>
    </w:p>
    <w:p>
      <w:pPr>
        <w:spacing w:after="0" w:line="174" w:lineRule="exact"/>
        <w:rPr>
          <w:sz w:val="20"/>
          <w:szCs w:val="20"/>
          <w:color w:val="auto"/>
        </w:rPr>
      </w:pPr>
    </w:p>
    <w:p>
      <w:pPr>
        <w:ind w:right="60" w:firstLine="470"/>
        <w:spacing w:after="0" w:line="261" w:lineRule="auto"/>
        <w:rPr>
          <w:sz w:val="20"/>
          <w:szCs w:val="20"/>
          <w:color w:val="auto"/>
        </w:rPr>
      </w:pPr>
      <w:r>
        <w:rPr>
          <w:rFonts w:ascii="Times New Roman" w:cs="Times New Roman" w:eastAsia="Times New Roman" w:hAnsi="Times New Roman"/>
          <w:sz w:val="17"/>
          <w:szCs w:val="17"/>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adoption or usage of MongoDB or demand for our subscription offerings and related services, reduced conversion of users of our free offerings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losses and as our costs increase, we may not be able to generate sufficient revenue to achieve or sustain profitability.</w:t>
      </w:r>
    </w:p>
    <w:p>
      <w:pPr>
        <w:spacing w:after="0" w:line="174"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We have incurred net losses in each period since our inception, including net losses of $129.1 million, $176.6 million and $345.4 million for the fiscal years ended January 31, 2025, 2024 and 2023, respectively. We had an accumulated deficit of $1.8 billion as of January 31, 2025. We expect our operating expenses to increase significantly as we increase our sales and marketing efforts, continue to invest in research and development and expand our operations and infrastructure, both domestically and internationally. In particular, we have entered into non-cancelable multi-year capacity commitments with respect to cloud infrastructure services with certain third-party cloud providers, which require us to pay for such capacity irrespective of actual usage. In addition, we have incurred and expect to continue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21" w:lineRule="exact"/>
        <w:rPr>
          <w:sz w:val="20"/>
          <w:szCs w:val="20"/>
          <w:color w:val="auto"/>
        </w:rPr>
      </w:pPr>
    </w:p>
    <w:p>
      <w:pPr>
        <w:ind w:right="3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Because we derive more than the majority of our revenue from MongoDB Atlas, failure of MongoDB Atlas to satisfy customer demands could adversely affect our business, results of operations, financial condition and growth prospects and our future revenue may be more difficult to predict.</w:t>
      </w:r>
    </w:p>
    <w:p>
      <w:pPr>
        <w:spacing w:after="0" w:line="90" w:lineRule="exact"/>
        <w:rPr>
          <w:sz w:val="20"/>
          <w:szCs w:val="20"/>
          <w:color w:val="auto"/>
        </w:rPr>
      </w:pPr>
    </w:p>
    <w:p>
      <w:pPr>
        <w:ind w:right="60" w:firstLine="470"/>
        <w:spacing w:after="0" w:line="260" w:lineRule="auto"/>
        <w:rPr>
          <w:sz w:val="20"/>
          <w:szCs w:val="20"/>
          <w:color w:val="auto"/>
        </w:rPr>
      </w:pPr>
      <w:r>
        <w:rPr>
          <w:rFonts w:ascii="Times New Roman" w:cs="Times New Roman" w:eastAsia="Times New Roman" w:hAnsi="Times New Roman"/>
          <w:sz w:val="17"/>
          <w:szCs w:val="17"/>
          <w:color w:val="auto"/>
        </w:rPr>
        <w:t>We derive and expect to continue to derive more than the majority of our revenue from MongoDB Atlas, our database-as-a-service offering, which is primarily recognized on a usage-basis. As such, market adoption and usage of MongoDB Atlas is critical to our continued success. Although MongoDB Atlas has seen rapid adoption since its commercial launch in June 2016, and though we intend to continue to direct a significant portion of our financial and operating resources to develop and grow MongoDB Atlas, including offering a free tier of MongoDB Atlas to generate developer usage and awareness, we cannot guarantee that rate of adoption will continue at the same pace or at all. Demand for MongoDB Atlas is affected by a number of factors, many of which are beyond our control, including economic downturns, continued market acceptance by developers, the availability of our Community Server offering, the continued volume, variety and velocity of data that is generated, timing of development and release of new offerings by our competitors, technological change and the rate of growth in our market. For instance, among other factors, the adverse macroeconomic conditions resulted in slower than historical growth of our existing Atlas applications for the year ended January 31, 2025. If we are unable to continue to meet the demands of our customers and the developer community, our business operations, financial results and growth prospects will be materially and adversely affected. In addition, because our customers’ usage of MongoDB Atlas may vary for a</w:t>
      </w:r>
    </w:p>
    <w:p>
      <w:pPr>
        <w:spacing w:after="0" w:line="200" w:lineRule="exact"/>
        <w:rPr>
          <w:sz w:val="20"/>
          <w:szCs w:val="20"/>
          <w:color w:val="auto"/>
        </w:rPr>
      </w:pPr>
    </w:p>
    <w:p>
      <w:pPr>
        <w:spacing w:after="0" w:line="28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7"/>
          <w:szCs w:val="17"/>
          <w:color w:val="auto"/>
        </w:rPr>
        <w:t>number of reasons, our visibility into the timing of revenue recognition is limited. There is a risk that customers will consume our MongoDB Atlas offering more slowly than we expect, and our actual results may differ from our forecasts and our future revenue may be less predictable going forward due to, among other things, fluctuations in the rate of customer renewals and expansions and seasonality of, or fluctuations in, usage of MongoDB Atlas.</w:t>
      </w:r>
    </w:p>
    <w:p>
      <w:pPr>
        <w:spacing w:after="0" w:line="106"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business and results of operations depend substantially on our customers renewing their subscriptions with us and expanding their usage of software and related services. Any decline in our customer renewals or failure to convince our customers to broaden their usage of subscription offerings and related services could materially and adversely harm our business, results of operations and financial condition.</w:t>
      </w:r>
    </w:p>
    <w:p>
      <w:pPr>
        <w:spacing w:after="0" w:line="109" w:lineRule="exact"/>
        <w:rPr>
          <w:sz w:val="20"/>
          <w:szCs w:val="20"/>
          <w:color w:val="auto"/>
        </w:rPr>
      </w:pPr>
    </w:p>
    <w:p>
      <w:pPr>
        <w:ind w:right="40" w:firstLine="470"/>
        <w:spacing w:after="0" w:line="260" w:lineRule="auto"/>
        <w:rPr>
          <w:sz w:val="20"/>
          <w:szCs w:val="20"/>
          <w:color w:val="auto"/>
        </w:rPr>
      </w:pPr>
      <w:r>
        <w:rPr>
          <w:rFonts w:ascii="Times New Roman" w:cs="Times New Roman" w:eastAsia="Times New Roman" w:hAnsi="Times New Roman"/>
          <w:sz w:val="17"/>
          <w:szCs w:val="17"/>
          <w:color w:val="auto"/>
        </w:rPr>
        <w:t>Our subscription offerings are term-based and a majority of our subscription contracts were one year in duration in fiscal year 2024.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including increasing their usage and workloads with us. Historically, some of our customers have elected not to renew their subscriptions with us or have not expanded their usage of our services over time for a variety of reasons, including as a result of changes in their strategic IT priorities, budgets, costs and, in some instances, due to competing solutions. Our retention rate and our net ARR expansion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usage of our software, our business, results of operations and financial condition could be materially and adversely affected.</w:t>
      </w:r>
    </w:p>
    <w:p>
      <w:pPr>
        <w:spacing w:after="0" w:line="334" w:lineRule="exact"/>
        <w:rPr>
          <w:sz w:val="20"/>
          <w:szCs w:val="20"/>
          <w:color w:val="auto"/>
        </w:rPr>
      </w:pPr>
    </w:p>
    <w:p>
      <w:pPr>
        <w:ind w:firstLine="627"/>
        <w:spacing w:after="0" w:line="269" w:lineRule="auto"/>
        <w:rPr>
          <w:sz w:val="20"/>
          <w:szCs w:val="20"/>
          <w:color w:val="auto"/>
        </w:rPr>
      </w:pPr>
      <w:r>
        <w:rPr>
          <w:rFonts w:ascii="Times New Roman" w:cs="Times New Roman" w:eastAsia="Times New Roman" w:hAnsi="Times New Roman"/>
          <w:sz w:val="17"/>
          <w:szCs w:val="17"/>
          <w:color w:val="auto"/>
        </w:rPr>
        <w:t>Further, to the extent there is a sustained general economic downturn and our database software is perceived by customers and potential customers as costly, or too difficult to deploy or migrate to, our revenue may be disproportionately affected by delays or reductions in general information technology spending. See “—</w:t>
      </w:r>
      <w:r>
        <w:rPr>
          <w:rFonts w:ascii="Times New Roman" w:cs="Times New Roman" w:eastAsia="Times New Roman" w:hAnsi="Times New Roman"/>
          <w:sz w:val="17"/>
          <w:szCs w:val="17"/>
          <w:i w:val="1"/>
          <w:iCs w:val="1"/>
          <w:color w:val="auto"/>
        </w:rPr>
        <w:t>Unfavorable conditions in our industry or the global economy or reductions in information technology spending could limit our ability to grow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our business and materially and adversely affect our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currently face significant competition and expect that intense competition will continue.</w:t>
      </w:r>
    </w:p>
    <w:p>
      <w:pPr>
        <w:spacing w:after="0" w:line="174"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The database software market, for both relational and non-relational database products, is highly competitive and rapidly evolving, and others may put out competing databases or sell services in connection with existing open source or source available databases, including ours. The principal competitive factors in our market include: mindshare with software developers and information technology (“IT”) executives; product capabilities, including flexibility, scalability, performance, security and reliability; flexible deployment options, including fully managed as a service or self-managed in the cloud, on-premises or in a hybrid environment and ease of deployment; breadth of use cases supported; ease of integration with existing IT infrastructure; robustness of professional services and customer support; price and total cost of ownership; adherence to industry standards and certifications, including cybersecurity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business and results of operations to suffer.</w:t>
      </w:r>
    </w:p>
    <w:p>
      <w:pPr>
        <w:spacing w:after="0" w:line="125" w:lineRule="exact"/>
        <w:rPr>
          <w:sz w:val="20"/>
          <w:szCs w:val="20"/>
          <w:color w:val="auto"/>
        </w:rPr>
      </w:pPr>
    </w:p>
    <w:p>
      <w:pPr>
        <w:jc w:val="both"/>
        <w:ind w:right="20" w:firstLine="470"/>
        <w:spacing w:after="0" w:line="276" w:lineRule="auto"/>
        <w:rPr>
          <w:sz w:val="20"/>
          <w:szCs w:val="20"/>
          <w:color w:val="auto"/>
        </w:rPr>
      </w:pPr>
      <w:r>
        <w:rPr>
          <w:rFonts w:ascii="Times New Roman" w:cs="Times New Roman" w:eastAsia="Times New Roman" w:hAnsi="Times New Roman"/>
          <w:sz w:val="17"/>
          <w:szCs w:val="17"/>
          <w:color w:val="auto"/>
        </w:rPr>
        <w:t>We primarily compete with established legacy database software providers such as IBM, Microsoft, Oracle and other similar companies. We also compete with public cloud providers such as Amazon Web Services (“AWS”), Google Cloud Platform (“GCP”) and Microsoft Azure that offer database functionality and with smaller, emerging database software providers. In addition, other large software and internet companies may seek to enter our market.</w:t>
      </w:r>
    </w:p>
    <w:p>
      <w:pPr>
        <w:spacing w:after="0" w:line="97" w:lineRule="exact"/>
        <w:rPr>
          <w:sz w:val="20"/>
          <w:szCs w:val="20"/>
          <w:color w:val="auto"/>
        </w:rPr>
      </w:pPr>
    </w:p>
    <w:p>
      <w:pPr>
        <w:ind w:right="200" w:firstLine="470"/>
        <w:spacing w:after="0" w:line="250" w:lineRule="auto"/>
        <w:rPr>
          <w:sz w:val="20"/>
          <w:szCs w:val="20"/>
          <w:color w:val="auto"/>
        </w:rPr>
      </w:pPr>
      <w:r>
        <w:rPr>
          <w:rFonts w:ascii="Times New Roman" w:cs="Times New Roman" w:eastAsia="Times New Roman" w:hAnsi="Times New Roman"/>
          <w:sz w:val="17"/>
          <w:szCs w:val="17"/>
          <w:color w:val="auto"/>
        </w:rPr>
        <w:t>Some of our actual and potential competitors, in particular the legacy relational database providers and large cloud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w:t>
      </w:r>
    </w:p>
    <w:p>
      <w:pPr>
        <w:spacing w:after="0" w:line="11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changing opportunities, technologies, standards or customer requirements, or may be able to devote greater resources than we can to the development, promotion, and sale of their products and services. As we introduce new technologies and product enhancements and as our existing markets see more market entry,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220" w:lineRule="exact"/>
        <w:rPr>
          <w:sz w:val="20"/>
          <w:szCs w:val="20"/>
          <w:color w:val="auto"/>
        </w:rPr>
      </w:pPr>
    </w:p>
    <w:p>
      <w:pPr>
        <w:ind w:right="100" w:firstLine="470"/>
        <w:spacing w:after="0" w:line="264" w:lineRule="auto"/>
        <w:rPr>
          <w:sz w:val="20"/>
          <w:szCs w:val="20"/>
          <w:color w:val="auto"/>
        </w:rPr>
      </w:pPr>
      <w:r>
        <w:rPr>
          <w:rFonts w:ascii="Times New Roman" w:cs="Times New Roman" w:eastAsia="Times New Roman" w:hAnsi="Times New Roman"/>
          <w:sz w:val="17"/>
          <w:szCs w:val="17"/>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effectively expand our sales and marketing organization, we may be unable to add new customers or increase sales to our existing customers.</w:t>
      </w:r>
    </w:p>
    <w:p>
      <w:pPr>
        <w:spacing w:after="0" w:line="174" w:lineRule="exact"/>
        <w:rPr>
          <w:sz w:val="20"/>
          <w:szCs w:val="20"/>
          <w:color w:val="auto"/>
        </w:rPr>
      </w:pPr>
    </w:p>
    <w:p>
      <w:pPr>
        <w:ind w:right="20" w:firstLine="470"/>
        <w:spacing w:after="0" w:line="260" w:lineRule="auto"/>
        <w:rPr>
          <w:sz w:val="20"/>
          <w:szCs w:val="20"/>
          <w:color w:val="auto"/>
        </w:rPr>
      </w:pPr>
      <w:r>
        <w:rPr>
          <w:rFonts w:ascii="Times New Roman" w:cs="Times New Roman" w:eastAsia="Times New Roman" w:hAnsi="Times New Roman"/>
          <w:sz w:val="17"/>
          <w:szCs w:val="17"/>
          <w:color w:val="auto"/>
        </w:rPr>
        <w:t>Increasing our customer base and achieving broader market acceptance of our subscription offerings and related services will depend, to a significant extent, on our ability to timely and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highly competitive markets.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could be harmed if the expansion of our sales and marketing organization does not generate a significant increase in revenue.</w:t>
      </w:r>
    </w:p>
    <w:p>
      <w:pPr>
        <w:spacing w:after="0" w:line="123"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adoption strategies include offering Community Server and a free tier of MongoDB Atlas and we may not be able to realize the intended benefits of these strategies.</w:t>
      </w:r>
    </w:p>
    <w:p>
      <w:pPr>
        <w:spacing w:after="0" w:line="90" w:lineRule="exact"/>
        <w:rPr>
          <w:sz w:val="20"/>
          <w:szCs w:val="20"/>
          <w:color w:val="auto"/>
        </w:rPr>
      </w:pPr>
    </w:p>
    <w:p>
      <w:pPr>
        <w:ind w:right="40" w:firstLine="470"/>
        <w:spacing w:after="0" w:line="263" w:lineRule="auto"/>
        <w:rPr>
          <w:sz w:val="20"/>
          <w:szCs w:val="20"/>
          <w:color w:val="auto"/>
        </w:rPr>
      </w:pPr>
      <w:r>
        <w:rPr>
          <w:rFonts w:ascii="Times New Roman" w:cs="Times New Roman" w:eastAsia="Times New Roman" w:hAnsi="Times New Roman"/>
          <w:sz w:val="17"/>
          <w:szCs w:val="17"/>
          <w:color w:val="auto"/>
        </w:rPr>
        <w:t>To encourage developer usage, familiarity and adoption of our platform, we offer Community Server as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decision to offer Community Server under the SSPL, may harm the adoption of Community Server.</w:t>
      </w:r>
    </w:p>
    <w:p>
      <w:pPr>
        <w:spacing w:after="0" w:line="174" w:lineRule="exact"/>
        <w:rPr>
          <w:sz w:val="20"/>
          <w:szCs w:val="20"/>
          <w:color w:val="auto"/>
        </w:rPr>
      </w:pPr>
    </w:p>
    <w:p>
      <w:pPr>
        <w:ind w:right="20" w:firstLine="470"/>
        <w:spacing w:after="0" w:line="264" w:lineRule="auto"/>
        <w:rPr>
          <w:sz w:val="20"/>
          <w:szCs w:val="20"/>
          <w:color w:val="auto"/>
        </w:rPr>
      </w:pPr>
      <w:r>
        <w:rPr>
          <w:rFonts w:ascii="Times New Roman" w:cs="Times New Roman" w:eastAsia="Times New Roman" w:hAnsi="Times New Roman"/>
          <w:sz w:val="17"/>
          <w:szCs w:val="17"/>
          <w:color w:val="auto"/>
        </w:rPr>
        <w:t>On October 16, 2018, we announced that we were changing the license for Community Server from the AGPL to a new software license, the SSPL. The SSPL builds on the spirit of the AGPL, but includes an explicit condition that any organization attempting to exploit MongoDB as a service must open source the software that it uses to offer such service. Since the SSPL is a new license and has not been interpreted by any court, developers and the companies they work for may be hesitant to adopt Community Server because of uncertainty around the provisions of the SSPL and how it will be interpreted and enforced. In addition, the SSPL has not been approved by the Open Source Initiative, nor has it been included in the Free Software Foundation’s list of free software licenses. This may negatively impact the adoption of Community</w:t>
      </w:r>
    </w:p>
    <w:p>
      <w:pPr>
        <w:spacing w:after="0" w:line="26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580"/>
        <w:spacing w:after="0" w:line="295" w:lineRule="auto"/>
        <w:rPr>
          <w:sz w:val="20"/>
          <w:szCs w:val="20"/>
          <w:color w:val="auto"/>
        </w:rPr>
      </w:pPr>
      <w:r>
        <w:rPr>
          <w:rFonts w:ascii="Times New Roman" w:cs="Times New Roman" w:eastAsia="Times New Roman" w:hAnsi="Times New Roman"/>
          <w:sz w:val="17"/>
          <w:szCs w:val="17"/>
          <w:color w:val="auto"/>
        </w:rPr>
        <w:t>Server, which in turn could lead to reduced brand and product awareness, ultimately leading to a decline in paying customers and our ability to grow our business or achieve profitability may be harmed.</w:t>
      </w:r>
    </w:p>
    <w:p>
      <w:pPr>
        <w:spacing w:after="0" w:line="90" w:lineRule="exact"/>
        <w:rPr>
          <w:sz w:val="20"/>
          <w:szCs w:val="20"/>
          <w:color w:val="auto"/>
        </w:rPr>
      </w:pPr>
    </w:p>
    <w:p>
      <w:pPr>
        <w:jc w:val="both"/>
        <w:ind w:right="2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track certain operational metrics with internal systems and tools and do not independently verify such metrics. Certain of our operational metrics are subject to inherent challenges in measurement, and any real or perceived inaccuracies in such metrics may adversely affect our business and reputation.</w:t>
      </w:r>
    </w:p>
    <w:p>
      <w:pPr>
        <w:spacing w:after="0" w:line="169" w:lineRule="exact"/>
        <w:rPr>
          <w:sz w:val="20"/>
          <w:szCs w:val="20"/>
          <w:color w:val="auto"/>
        </w:rPr>
      </w:pPr>
    </w:p>
    <w:p>
      <w:pPr>
        <w:ind w:right="60" w:firstLine="470"/>
        <w:spacing w:after="0" w:line="259" w:lineRule="auto"/>
        <w:rPr>
          <w:sz w:val="20"/>
          <w:szCs w:val="20"/>
          <w:color w:val="auto"/>
        </w:rPr>
      </w:pPr>
      <w:r>
        <w:rPr>
          <w:rFonts w:ascii="Times New Roman" w:cs="Times New Roman" w:eastAsia="Times New Roman" w:hAnsi="Times New Roman"/>
          <w:sz w:val="17"/>
          <w:szCs w:val="17"/>
          <w:color w:val="auto"/>
        </w:rPr>
        <w:t>We track certain operational metrics, including annualized recurring revenue (“ARR”), annualized monthly recurring revenue (“MRR”), ARR expansion rate, total customers, direct sales customers, MongoDB Atlas customers, customers over 100K and downloads of our platform and non-GAAP metrics such as non-GAAP gross profit, non-GAAP gross margin, non-GAAP operating expenses, non-GAAP income (loss) from operations, non-GAAP net income (loss), non-GAAP net income (loss) per share and free cash flow. These operational metrics are tracked with internal systems and tools that are not independently verified by any third party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 While these numbers are based on what we believe to be reasonable estimates of our metrics for the applicable period of measurement, there are inherent challenges in measuring how our platform is used across large populations. In addition, limitations or errors with respect to how we measure data or with respect to the data that we measure may affect our understanding of certain details of our business, which could affect our long-term strategies. If our operating metrics are not accurate representations of our business, if investors do not perceive our operating metrics to be accurate, or if we discover material inaccuracies with respect to these figures, we expect that our business, reputation, financial condition, and results of operations would be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could be negatively impacted if the AGPL, the SSPL and other open source licenses under which some of our software is licensed are not enforceable.</w:t>
      </w:r>
    </w:p>
    <w:p>
      <w:pPr>
        <w:spacing w:after="0" w:line="240" w:lineRule="exact"/>
        <w:rPr>
          <w:sz w:val="20"/>
          <w:szCs w:val="20"/>
          <w:color w:val="auto"/>
        </w:rPr>
      </w:pPr>
    </w:p>
    <w:p>
      <w:pPr>
        <w:ind w:firstLine="470"/>
        <w:spacing w:after="0" w:line="264" w:lineRule="auto"/>
        <w:rPr>
          <w:sz w:val="20"/>
          <w:szCs w:val="20"/>
          <w:color w:val="auto"/>
        </w:rPr>
      </w:pPr>
      <w:r>
        <w:rPr>
          <w:rFonts w:ascii="Times New Roman" w:cs="Times New Roman" w:eastAsia="Times New Roman" w:hAnsi="Times New Roman"/>
          <w:sz w:val="17"/>
          <w:szCs w:val="17"/>
          <w:color w:val="auto"/>
        </w:rPr>
        <w:t>The versions of Community Server released prior to October 16, 2018 are licensed under the AGPL. This license states that any program licensed under it may be copied, modified and distributed provided certain conditions are met. On October 16, 2018, we issued a new software license, the SSPL, for all versions of Community Server released on or after that date. The SSPL builds on the spirit of the AGPL, but includes an explicit condition that any organization using Community Server to offer MongoDB as a third-party service must open source the software that it uses to offer such service. It is possible that a court could hold the SSPL or AGPL to be unenforceable. If a court held either license or certain aspects of this license to be unenforceable, others may be able to use our software to compete with us in the marketplace in a manner not subject to the restrictions set forth in the SSPL or AGPL.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licensing model for Community Server could negatively affect our ability to monetize and protect our intellectual property rights.</w:t>
      </w:r>
    </w:p>
    <w:p>
      <w:pPr>
        <w:spacing w:after="0" w:line="174"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We make our Community Server offering available under either the SSPL (for versions released on or after October 16, 2018) or the AGPL (for versions released prior to October 16, 2018). Community Server is a free-to-download version of our database that includes the core functionality developers need to get started with MongoDB but not all of the features of our commercial platform. Both the SSPL and the AGPL grant licensees broad freedom to view, use, copy, modify and redistribute the source code of Community Server provided certain conditions are met. Some commercial enterprises consider SSPL- or AGPL-licensed software to be unsuitable for commercial use because of the “copyleft” requirements of those licenses. However, some of those same commercial enterprises do not have the same concerns regarding using the software under the SSPL or AGPL for internal purposes. As a result, these commercial enterprises may never convert to paying customers of our platform. Anyone can obtain a free copy of Community Server from the internet and we do not know who all of our SSPL or AGPL licensees are. Competitors could develop modifications of our software to compete with us in the marketplace. We do not have visibility into how our software is being used by licensees, so our ability to detect violations of the SSPL or AGPL is extremely limited.</w:t>
      </w:r>
    </w:p>
    <w:p>
      <w:pPr>
        <w:spacing w:after="0" w:line="125" w:lineRule="exact"/>
        <w:rPr>
          <w:sz w:val="20"/>
          <w:szCs w:val="20"/>
          <w:color w:val="auto"/>
        </w:rPr>
      </w:pPr>
    </w:p>
    <w:p>
      <w:pPr>
        <w:ind w:right="160" w:firstLine="470"/>
        <w:spacing w:after="0" w:line="269" w:lineRule="auto"/>
        <w:rPr>
          <w:sz w:val="20"/>
          <w:szCs w:val="20"/>
          <w:color w:val="auto"/>
        </w:rPr>
      </w:pPr>
      <w:r>
        <w:rPr>
          <w:rFonts w:ascii="Times New Roman" w:cs="Times New Roman" w:eastAsia="Times New Roman" w:hAnsi="Times New Roman"/>
          <w:sz w:val="17"/>
          <w:szCs w:val="17"/>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26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7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software incorporates third-party open source software, which could negatively affect our ability to sell our products and subject us to possible litigation.</w:t>
      </w:r>
    </w:p>
    <w:p>
      <w:pPr>
        <w:spacing w:after="0" w:line="90" w:lineRule="exact"/>
        <w:rPr>
          <w:sz w:val="20"/>
          <w:szCs w:val="20"/>
          <w:color w:val="auto"/>
        </w:rPr>
      </w:pPr>
    </w:p>
    <w:p>
      <w:pPr>
        <w:ind w:right="160" w:firstLine="470"/>
        <w:spacing w:after="0" w:line="263" w:lineRule="auto"/>
        <w:rPr>
          <w:sz w:val="20"/>
          <w:szCs w:val="20"/>
          <w:color w:val="auto"/>
        </w:rPr>
      </w:pPr>
      <w:r>
        <w:rPr>
          <w:rFonts w:ascii="Times New Roman" w:cs="Times New Roman" w:eastAsia="Times New Roman" w:hAnsi="Times New Roman"/>
          <w:sz w:val="17"/>
          <w:szCs w:val="17"/>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or that we have not breached the terms of an applicable open source license agreement, in part because open source license terms are often ambiguous.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21" w:lineRule="exact"/>
        <w:rPr>
          <w:sz w:val="20"/>
          <w:szCs w:val="20"/>
          <w:color w:val="auto"/>
        </w:rPr>
      </w:pPr>
    </w:p>
    <w:p>
      <w:pPr>
        <w:ind w:right="40" w:firstLine="470"/>
        <w:spacing w:after="0" w:line="263" w:lineRule="auto"/>
        <w:rPr>
          <w:sz w:val="20"/>
          <w:szCs w:val="20"/>
          <w:color w:val="auto"/>
        </w:rPr>
      </w:pPr>
      <w:r>
        <w:rPr>
          <w:rFonts w:ascii="Times New Roman" w:cs="Times New Roman" w:eastAsia="Times New Roman" w:hAnsi="Times New Roman"/>
          <w:sz w:val="17"/>
          <w:szCs w:val="17"/>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applicable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21" w:lineRule="exact"/>
        <w:rPr>
          <w:sz w:val="20"/>
          <w:szCs w:val="20"/>
          <w:color w:val="auto"/>
        </w:rPr>
      </w:pPr>
    </w:p>
    <w:p>
      <w:pPr>
        <w:ind w:right="20" w:firstLine="470"/>
        <w:spacing w:after="0" w:line="262" w:lineRule="auto"/>
        <w:rPr>
          <w:sz w:val="20"/>
          <w:szCs w:val="20"/>
          <w:color w:val="auto"/>
        </w:rPr>
      </w:pPr>
      <w:r>
        <w:rPr>
          <w:rFonts w:ascii="Times New Roman" w:cs="Times New Roman" w:eastAsia="Times New Roman" w:hAnsi="Times New Roman"/>
          <w:sz w:val="17"/>
          <w:szCs w:val="17"/>
          <w:color w:val="auto"/>
        </w:rPr>
        <w:t>In addition to risks related to license requirements, the use of third-party open source software can lead to greater risks than the use of third-party commercial software, as open source licensors generally do not provide warranties, indemnities or other contractual protections with respect to the software (for example, non-infringement or functionality). There is typically no support available for open source software, and we cannot ensure that the authors of such open source software will implement or push updates to address security risks or will not abandon further development and maintenance. Our use of open source software may also present additional security risks because the source code for open source software is publicly available, which may make it easier for hackers and other third parties to determine how to breach our systems and networks that rely on open source software.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22" w:lineRule="exact"/>
        <w:rPr>
          <w:sz w:val="20"/>
          <w:szCs w:val="20"/>
          <w:color w:val="auto"/>
        </w:rPr>
      </w:pPr>
    </w:p>
    <w:p>
      <w:pPr>
        <w:ind w:right="220" w:firstLine="470"/>
        <w:spacing w:after="0" w:line="295" w:lineRule="auto"/>
        <w:rPr>
          <w:sz w:val="20"/>
          <w:szCs w:val="20"/>
          <w:color w:val="auto"/>
        </w:rPr>
      </w:pPr>
      <w:r>
        <w:rPr>
          <w:rFonts w:ascii="Times New Roman" w:cs="Times New Roman" w:eastAsia="Times New Roman" w:hAnsi="Times New Roman"/>
          <w:sz w:val="17"/>
          <w:szCs w:val="17"/>
          <w:color w:val="auto"/>
        </w:rPr>
        <w:t>Any of these risks could be difficult to eliminate or manage and if not addressed, could have a negative effect on our business, results of operations and financial condition.</w:t>
      </w:r>
    </w:p>
    <w:p>
      <w:pPr>
        <w:spacing w:after="0" w:line="90" w:lineRule="exact"/>
        <w:rPr>
          <w:sz w:val="20"/>
          <w:szCs w:val="20"/>
          <w:color w:val="auto"/>
        </w:rPr>
      </w:pPr>
    </w:p>
    <w:p>
      <w:pPr>
        <w:ind w:right="4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90" w:lineRule="exact"/>
        <w:rPr>
          <w:sz w:val="20"/>
          <w:szCs w:val="20"/>
          <w:color w:val="auto"/>
        </w:rPr>
      </w:pPr>
    </w:p>
    <w:p>
      <w:pPr>
        <w:ind w:firstLine="470"/>
        <w:spacing w:after="0" w:line="259" w:lineRule="auto"/>
        <w:rPr>
          <w:sz w:val="20"/>
          <w:szCs w:val="20"/>
          <w:color w:val="auto"/>
        </w:rPr>
      </w:pPr>
      <w:r>
        <w:rPr>
          <w:rFonts w:ascii="Times New Roman" w:cs="Times New Roman" w:eastAsia="Times New Roman" w:hAnsi="Times New Roman"/>
          <w:sz w:val="17"/>
          <w:szCs w:val="17"/>
          <w:color w:val="auto"/>
        </w:rPr>
        <w:t>Our ability to attract new customers and increase revenue from existing customers depends in part on our ability to enhance and improve our software and to introduce new features and services. To grow our business and remain competitive, we must continue to enhance our software and develop features that reflect the constantly evolving nature of technology and our customers’ needs. For instance, with the development of next-generation solutions that utilize new and advanced features, including artificial intelligence (“AI”) and machine learning, we may be required to commit significant resources to developing new products, enhancements and developments. The success of new products, enhancements and developments depends on several factors: our anticipation of market changes and demands for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w:t>
      </w:r>
    </w:p>
    <w:p>
      <w:pPr>
        <w:spacing w:after="0" w:line="200" w:lineRule="exact"/>
        <w:rPr>
          <w:sz w:val="20"/>
          <w:szCs w:val="20"/>
          <w:color w:val="auto"/>
        </w:rPr>
      </w:pPr>
    </w:p>
    <w:p>
      <w:pPr>
        <w:spacing w:after="0" w:line="28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60"/>
        <w:spacing w:after="0" w:line="295" w:lineRule="auto"/>
        <w:rPr>
          <w:sz w:val="20"/>
          <w:szCs w:val="20"/>
          <w:color w:val="auto"/>
        </w:rPr>
      </w:pPr>
      <w:r>
        <w:rPr>
          <w:rFonts w:ascii="Times New Roman" w:cs="Times New Roman" w:eastAsia="Times New Roman" w:hAnsi="Times New Roman"/>
          <w:sz w:val="17"/>
          <w:szCs w:val="17"/>
          <w:color w:val="auto"/>
        </w:rPr>
        <w:t>features, enhance our software or otherwise overcome technological challenges and competing technologies, our business and results of operations could be adversely affected.</w:t>
      </w:r>
    </w:p>
    <w:p>
      <w:pPr>
        <w:spacing w:after="0" w:line="94" w:lineRule="exact"/>
        <w:rPr>
          <w:sz w:val="20"/>
          <w:szCs w:val="20"/>
          <w:color w:val="auto"/>
        </w:rPr>
      </w:pPr>
    </w:p>
    <w:p>
      <w:pPr>
        <w:ind w:right="120" w:firstLine="470"/>
        <w:spacing w:after="0" w:line="269" w:lineRule="auto"/>
        <w:rPr>
          <w:sz w:val="20"/>
          <w:szCs w:val="20"/>
          <w:color w:val="auto"/>
        </w:rPr>
      </w:pPr>
      <w:r>
        <w:rPr>
          <w:rFonts w:ascii="Times New Roman" w:cs="Times New Roman" w:eastAsia="Times New Roman" w:hAnsi="Times New Roman"/>
          <w:sz w:val="17"/>
          <w:szCs w:val="17"/>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13"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success is highly dependent on our ability to penetrate the existing market for database products, as well as the growth and expansion of the market for database products.</w:t>
      </w:r>
    </w:p>
    <w:p>
      <w:pPr>
        <w:spacing w:after="0" w:line="90" w:lineRule="exact"/>
        <w:rPr>
          <w:sz w:val="20"/>
          <w:szCs w:val="20"/>
          <w:color w:val="auto"/>
        </w:rPr>
      </w:pPr>
    </w:p>
    <w:p>
      <w:pPr>
        <w:ind w:right="40" w:firstLine="470"/>
        <w:spacing w:after="0" w:line="262" w:lineRule="auto"/>
        <w:rPr>
          <w:sz w:val="20"/>
          <w:szCs w:val="20"/>
          <w:color w:val="auto"/>
        </w:rPr>
      </w:pPr>
      <w:r>
        <w:rPr>
          <w:rFonts w:ascii="Times New Roman" w:cs="Times New Roman" w:eastAsia="Times New Roman" w:hAnsi="Times New Roman"/>
          <w:sz w:val="17"/>
          <w:szCs w:val="17"/>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 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332" w:lineRule="exact"/>
        <w:rPr>
          <w:sz w:val="20"/>
          <w:szCs w:val="20"/>
          <w:color w:val="auto"/>
        </w:rPr>
      </w:pPr>
    </w:p>
    <w:p>
      <w:pPr>
        <w:ind w:right="6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future quarterly results may fluctuate significantly and if we fail to meet the expectations of analysts or investors, our stock price could decline substantially.</w:t>
      </w:r>
    </w:p>
    <w:p>
      <w:pPr>
        <w:spacing w:after="0" w:line="90" w:lineRule="exact"/>
        <w:rPr>
          <w:sz w:val="20"/>
          <w:szCs w:val="20"/>
          <w:color w:val="auto"/>
        </w:rPr>
      </w:pPr>
    </w:p>
    <w:p>
      <w:pPr>
        <w:ind w:right="80" w:firstLine="470"/>
        <w:spacing w:after="0" w:line="269" w:lineRule="auto"/>
        <w:rPr>
          <w:sz w:val="20"/>
          <w:szCs w:val="20"/>
          <w:color w:val="auto"/>
        </w:rPr>
      </w:pPr>
      <w:r>
        <w:rPr>
          <w:rFonts w:ascii="Times New Roman" w:cs="Times New Roman" w:eastAsia="Times New Roman" w:hAnsi="Times New Roman"/>
          <w:sz w:val="17"/>
          <w:szCs w:val="17"/>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117" w:lineRule="exact"/>
        <w:rPr>
          <w:sz w:val="20"/>
          <w:szCs w:val="20"/>
          <w:color w:val="auto"/>
        </w:rPr>
      </w:pPr>
    </w:p>
    <w:p>
      <w:pPr>
        <w:ind w:left="620" w:hanging="145"/>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actual and anticipated growth rates of our revenue, customers and other key operating metrics;</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product announcements, pricing changes and other actions by competitors;</w:t>
      </w:r>
    </w:p>
    <w:p>
      <w:pPr>
        <w:spacing w:after="0" w:line="170" w:lineRule="exact"/>
        <w:rPr>
          <w:rFonts w:ascii="Times New Roman" w:cs="Times New Roman" w:eastAsia="Times New Roman" w:hAnsi="Times New Roman"/>
          <w:sz w:val="17"/>
          <w:szCs w:val="17"/>
          <w:color w:val="auto"/>
        </w:rPr>
      </w:pPr>
    </w:p>
    <w:p>
      <w:pPr>
        <w:ind w:left="640" w:hanging="165"/>
        <w:spacing w:after="0" w:line="276"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mix of revenue and associated costs attributable to subscriptions for our MongoDB Atlas and MongoDB Enterprise Advanced offerings (such as our non-cancelable multi-year cloud infrastructure capacity commitments, which require us to pay for such capacity irrespective of actual usage) and professional services, as such relative mix may impact our gross margins and operating income;</w:t>
      </w:r>
    </w:p>
    <w:p>
      <w:pPr>
        <w:spacing w:after="0" w:line="109" w:lineRule="exact"/>
        <w:rPr>
          <w:rFonts w:ascii="Times New Roman" w:cs="Times New Roman" w:eastAsia="Times New Roman" w:hAnsi="Times New Roman"/>
          <w:sz w:val="17"/>
          <w:szCs w:val="17"/>
          <w:color w:val="auto"/>
        </w:rPr>
      </w:pPr>
    </w:p>
    <w:p>
      <w:pPr>
        <w:ind w:left="640" w:right="180" w:hanging="165"/>
        <w:spacing w:after="0" w:line="295"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mix of revenue and associated costs attributable to sales where subscriptions are bundled with services versus sold on a standalone basis and sales by us and our partners;</w:t>
      </w:r>
    </w:p>
    <w:p>
      <w:pPr>
        <w:spacing w:after="0" w:line="94"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customers;</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timely and effectively expand our sales and marketing capabilities and teams;</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customers and expand their usage of our software, particularly for our largest customers;</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enforce the AGPL or SSPL;</w:t>
      </w:r>
    </w:p>
    <w:p>
      <w:pPr>
        <w:spacing w:after="0" w:line="170" w:lineRule="exact"/>
        <w:rPr>
          <w:rFonts w:ascii="Times New Roman" w:cs="Times New Roman" w:eastAsia="Times New Roman" w:hAnsi="Times New Roman"/>
          <w:sz w:val="17"/>
          <w:szCs w:val="17"/>
          <w:color w:val="auto"/>
        </w:rPr>
      </w:pPr>
    </w:p>
    <w:p>
      <w:pPr>
        <w:ind w:left="640" w:right="240" w:hanging="165"/>
        <w:spacing w:after="0" w:line="295" w:lineRule="auto"/>
        <w:tabs>
          <w:tab w:leader="none" w:pos="6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closing sales, including the timing of renewals, which may result in revenue being pushed into the next quarter, particularly because a large portion of our sales occur toward the end of each quarter;</w:t>
      </w:r>
    </w:p>
    <w:p>
      <w:pPr>
        <w:spacing w:after="0" w:line="94"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revenue recognition;</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mix of revenue attributable to larger transactions as opposed to smaller transactions;</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customers’ budgets and in the timing of their budgeting cycles and purchasing decisions;</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customers’ consumption of our platform;</w:t>
      </w:r>
    </w:p>
    <w:p>
      <w:pPr>
        <w:spacing w:after="0" w:line="31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40" w:right="340" w:hanging="165"/>
        <w:spacing w:after="0" w:line="29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customers and potential customers opting for alternative products, including developing their own in-house solutions, or opting to use only the free version of our products;</w:t>
      </w:r>
    </w:p>
    <w:p>
      <w:pPr>
        <w:spacing w:after="0" w:line="94"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control costs, including our operating expenses;</w:t>
      </w:r>
    </w:p>
    <w:p>
      <w:pPr>
        <w:spacing w:after="0" w:line="170" w:lineRule="exact"/>
        <w:rPr>
          <w:rFonts w:ascii="Times New Roman" w:cs="Times New Roman" w:eastAsia="Times New Roman" w:hAnsi="Times New Roman"/>
          <w:sz w:val="17"/>
          <w:szCs w:val="17"/>
          <w:color w:val="auto"/>
        </w:rPr>
      </w:pPr>
    </w:p>
    <w:p>
      <w:pPr>
        <w:ind w:left="640" w:right="20" w:hanging="165"/>
        <w:spacing w:after="0" w:line="29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94"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security breaches or other security incidents, technical difficulties, or interruptions with respect to the delivery and use of our software;</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maintain the level of service uptime and performance required by our customers;</w:t>
      </w:r>
    </w:p>
    <w:p>
      <w:pPr>
        <w:spacing w:after="0" w:line="170" w:lineRule="exact"/>
        <w:rPr>
          <w:rFonts w:ascii="Times New Roman" w:cs="Times New Roman" w:eastAsia="Times New Roman" w:hAnsi="Times New Roman"/>
          <w:sz w:val="17"/>
          <w:szCs w:val="17"/>
          <w:color w:val="auto"/>
        </w:rPr>
      </w:pPr>
    </w:p>
    <w:p>
      <w:pPr>
        <w:ind w:left="640" w:right="300" w:hanging="165"/>
        <w:spacing w:after="0" w:line="295"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collectability of receivables from customers and resellers, which may be hindered or delayed if these customers or resellers experience financial distress;</w:t>
      </w:r>
    </w:p>
    <w:p>
      <w:pPr>
        <w:spacing w:after="0" w:line="94"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political and economic conditions, in domestic or international markets;</w:t>
      </w:r>
    </w:p>
    <w:p>
      <w:pPr>
        <w:spacing w:after="0" w:line="170" w:lineRule="exact"/>
        <w:rPr>
          <w:rFonts w:ascii="Times New Roman" w:cs="Times New Roman" w:eastAsia="Times New Roman" w:hAnsi="Times New Roman"/>
          <w:sz w:val="17"/>
          <w:szCs w:val="17"/>
          <w:color w:val="auto"/>
        </w:rPr>
      </w:pPr>
    </w:p>
    <w:p>
      <w:pPr>
        <w:ind w:left="640" w:right="300" w:hanging="165"/>
        <w:spacing w:after="0" w:line="276" w:lineRule="auto"/>
        <w:tabs>
          <w:tab w:leader="none" w:pos="6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both domestically and internationally, including warfare and terrorist attacks on the United States and other regions in which we or our customers operate, such as the Russia-Ukraine conflict and the Israel-Hamas conflict, as well as economic conditions specifically affecting industries in which our customers participate;</w:t>
      </w:r>
    </w:p>
    <w:p>
      <w:pPr>
        <w:spacing w:after="0" w:line="109"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tax and other tax determinations by authorities in the jurisdictions in which we conduct business;</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new accounting pronouncements; and</w:t>
      </w:r>
    </w:p>
    <w:p>
      <w:pPr>
        <w:spacing w:after="0" w:line="170" w:lineRule="exact"/>
        <w:rPr>
          <w:rFonts w:ascii="Times New Roman" w:cs="Times New Roman" w:eastAsia="Times New Roman" w:hAnsi="Times New Roman"/>
          <w:sz w:val="17"/>
          <w:szCs w:val="17"/>
          <w:color w:val="auto"/>
        </w:rPr>
      </w:pPr>
    </w:p>
    <w:p>
      <w:pPr>
        <w:ind w:left="620" w:hanging="145"/>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stock-based compensation expense.</w:t>
      </w:r>
    </w:p>
    <w:p>
      <w:pPr>
        <w:spacing w:after="0" w:line="170" w:lineRule="exact"/>
        <w:rPr>
          <w:sz w:val="20"/>
          <w:szCs w:val="20"/>
          <w:color w:val="auto"/>
        </w:rPr>
      </w:pPr>
    </w:p>
    <w:p>
      <w:pPr>
        <w:ind w:firstLine="470"/>
        <w:spacing w:after="0" w:line="259" w:lineRule="auto"/>
        <w:rPr>
          <w:sz w:val="20"/>
          <w:szCs w:val="20"/>
          <w:color w:val="auto"/>
        </w:rPr>
      </w:pPr>
      <w:r>
        <w:rPr>
          <w:rFonts w:ascii="Times New Roman" w:cs="Times New Roman" w:eastAsia="Times New Roman" w:hAnsi="Times New Roman"/>
          <w:sz w:val="17"/>
          <w:szCs w:val="17"/>
          <w:color w:val="auto"/>
        </w:rPr>
        <w:t>The occurrence of one or more of the foregoing and other factors may cause our results of operations to vary significantly and be materially and adversely affected. For example, fluctuations in our quarterly operating results and the price of our common stock may be particularly pronounced in the current economic environment due to the ongoing geopolitical instability resulting from the conflicts between Russia and Ukraine and Israel and Hamas, severely diminished liquidity and credit availability, declines in consumer confidence, declines in economic growth, increases in unemployment rates, instability in the banking sector, increases in inflation rates, higher interest rates and uncertainty about economic stability. In response to the concerns over inflation risk, the U.S. Federal Reserve has raised interest rates multiple times, and signaled that they will continue to adjust interest rates to stabilize and reduce current levels of inflation. It is especially difficult to predict the impact of such events on the global economic markets, which have been and will continue to be highly dependent upon the actions of governments, businesses, and other enterprises in response to the pandemic and macroeconomic events, and the effectiveness of those actions. Any of these factors or any combination thereof could materially and adversely affect our business, results of operations and financial condition. For instance, among other factors, the adverse macroeconomic conditions resulted in slower than historical growth of our existing Atlas applications for the year ended January 31, 2025. We also intend to continue to invest to grow our business and to take advantage of our market opportunity.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common stock could decline substantially and we could face costly lawsuits, including securities class action suits.</w:t>
      </w:r>
    </w:p>
    <w:p>
      <w:pPr>
        <w:spacing w:after="0" w:line="127"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90" w:lineRule="exact"/>
        <w:rPr>
          <w:sz w:val="20"/>
          <w:szCs w:val="20"/>
          <w:color w:val="auto"/>
        </w:rPr>
      </w:pPr>
    </w:p>
    <w:p>
      <w:pPr>
        <w:ind w:right="180" w:firstLine="470"/>
        <w:spacing w:after="0" w:line="269" w:lineRule="auto"/>
        <w:rPr>
          <w:sz w:val="20"/>
          <w:szCs w:val="20"/>
          <w:color w:val="auto"/>
        </w:rPr>
      </w:pPr>
      <w:r>
        <w:rPr>
          <w:rFonts w:ascii="Times New Roman" w:cs="Times New Roman" w:eastAsia="Times New Roman" w:hAnsi="Times New Roman"/>
          <w:sz w:val="17"/>
          <w:szCs w:val="17"/>
          <w:color w:val="auto"/>
        </w:rPr>
        <w:t>We have experienced rapid growth in our business, operations and employee headcount. For fiscal years 2025, 2024 and 2023, our total revenue was $2,006.4 million, $1,683.0 million and $1,284.0 million, respectively, representing a 19% and 31% growth rate, respectively. We have also significantly increased the size of our customer base from over 3,200 customers as of January 31, 2017 to over 54,500 customers as of January 31, 2025, and we grew from 713 employees as of January 31, 2017 to 5,558 employees as of January 31, 2025. We expect to continue to expand our operations and employee</w:t>
      </w:r>
    </w:p>
    <w:p>
      <w:pPr>
        <w:spacing w:after="0" w:line="26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60"/>
        <w:spacing w:after="0" w:line="295" w:lineRule="auto"/>
        <w:rPr>
          <w:sz w:val="20"/>
          <w:szCs w:val="20"/>
          <w:color w:val="auto"/>
        </w:rPr>
      </w:pPr>
      <w:r>
        <w:rPr>
          <w:rFonts w:ascii="Times New Roman" w:cs="Times New Roman" w:eastAsia="Times New Roman" w:hAnsi="Times New Roman"/>
          <w:sz w:val="17"/>
          <w:szCs w:val="17"/>
          <w:color w:val="auto"/>
        </w:rPr>
        <w:t>headcount in the near term. Our success will depend in part on our ability to continue to grow and to manage this growth, domestically and internationally, effectively.</w:t>
      </w:r>
    </w:p>
    <w:p>
      <w:pPr>
        <w:spacing w:after="0" w:line="94" w:lineRule="exact"/>
        <w:rPr>
          <w:sz w:val="20"/>
          <w:szCs w:val="20"/>
          <w:color w:val="auto"/>
        </w:rPr>
      </w:pPr>
    </w:p>
    <w:p>
      <w:pPr>
        <w:ind w:firstLine="470"/>
        <w:spacing w:after="0" w:line="262" w:lineRule="auto"/>
        <w:rPr>
          <w:sz w:val="20"/>
          <w:szCs w:val="20"/>
          <w:color w:val="auto"/>
        </w:rPr>
      </w:pPr>
      <w:r>
        <w:rPr>
          <w:rFonts w:ascii="Times New Roman" w:cs="Times New Roman" w:eastAsia="Times New Roman" w:hAnsi="Times New Roman"/>
          <w:sz w:val="17"/>
          <w:szCs w:val="17"/>
          <w:color w:val="auto"/>
        </w:rPr>
        <w:t>Our current and anticipated growth is expected to place a significant strain on our management, administrative, operational and financial infrastructure. We will need to continue to improve our operational, financial and management processes and controls and our reporting procedures to manage the expected growth of our operations and personnel, which will require significant expenditures and allocation of valuable management and employee resources. If we fail to implement these infrastructure improvements effectively, our ability to ensure the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18"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If we or our third-party service providers experience a security breach or other security incident, or unauthorized access to personal, proprietary, confidential or other sensitive data is otherwise obtained, our software may be perceived as not being secure, customers may reduce or terminate their use of our software and we may face litigation, regulatory investigations, significant liability and reputational damage.</w:t>
      </w:r>
    </w:p>
    <w:p>
      <w:pPr>
        <w:spacing w:after="0" w:line="109" w:lineRule="exact"/>
        <w:rPr>
          <w:sz w:val="20"/>
          <w:szCs w:val="20"/>
          <w:color w:val="auto"/>
        </w:rPr>
      </w:pPr>
    </w:p>
    <w:p>
      <w:pPr>
        <w:ind w:firstLine="470"/>
        <w:spacing w:after="0" w:line="259" w:lineRule="auto"/>
        <w:rPr>
          <w:sz w:val="20"/>
          <w:szCs w:val="20"/>
          <w:color w:val="auto"/>
        </w:rPr>
      </w:pPr>
      <w:r>
        <w:rPr>
          <w:rFonts w:ascii="Times New Roman" w:cs="Times New Roman" w:eastAsia="Times New Roman" w:hAnsi="Times New Roman"/>
          <w:sz w:val="17"/>
          <w:szCs w:val="17"/>
          <w:color w:val="auto"/>
        </w:rPr>
        <w:t>Cyberattacks, malicious internet-based activity, and online and offline fraud, and other similar activities threaten the confidentiality, integrity and availability of our personal, proprietary, confidential and other sensitive data and our information technology systems and networks, and those of the third parties upon which we rely to help deliver services to our customers. Such threats are prevalent, increasing in frequency, evolving in nature and becoming increasingly difficult to detect and their frequency may be increased, and effectiveness enhanced, by the use of AI. These threats come from a variety of sources, including traditional computer “hackers,” threat actors (including organized criminal threat actors), “hacktivists,” personnel (such as through theft or misuse), sophisticated nation-states, and nation-state-supported actors. In addition, some actors, such as sophisticated nation-states and nation-state supported actors now engage and are expected to continue to engage in cyberattacks, including without limitation for geopolitical reasons and in conjunction with military conflicts and defense activities. During times of war and other major conflicts, we and the third parties upon whom we rely may be vulnerable to a heightened risk of these attacks, including retaliatory cyberattacks, that could materially disrupt our systems and networks, operations and supply chain. 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account takeovers, personnel misconduct or error, fraud, ransomware attacks, supply-chain attacks, software bugs, server malfunctions, software or hardware failures, loss or theft of data or other information technology assets, adware, telecommunications failures, pandemics, earthquakes, fires, floods, and other similar threats.</w:t>
      </w:r>
    </w:p>
    <w:p>
      <w:pPr>
        <w:spacing w:after="0" w:line="342" w:lineRule="exact"/>
        <w:rPr>
          <w:sz w:val="20"/>
          <w:szCs w:val="20"/>
          <w:color w:val="auto"/>
        </w:rPr>
      </w:pPr>
    </w:p>
    <w:p>
      <w:pPr>
        <w:ind w:right="140" w:firstLine="470"/>
        <w:spacing w:after="0" w:line="263" w:lineRule="auto"/>
        <w:rPr>
          <w:sz w:val="20"/>
          <w:szCs w:val="20"/>
          <w:color w:val="auto"/>
        </w:rPr>
      </w:pPr>
      <w:r>
        <w:rPr>
          <w:rFonts w:ascii="Times New Roman" w:cs="Times New Roman" w:eastAsia="Times New Roman" w:hAnsi="Times New Roman"/>
          <w:sz w:val="17"/>
          <w:szCs w:val="17"/>
          <w:color w:val="auto"/>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products) or the third-party information technology systems that support us and our services.</w:t>
      </w:r>
    </w:p>
    <w:p>
      <w:pPr>
        <w:spacing w:after="0" w:line="121" w:lineRule="exact"/>
        <w:rPr>
          <w:sz w:val="20"/>
          <w:szCs w:val="20"/>
          <w:color w:val="auto"/>
        </w:rPr>
      </w:pPr>
    </w:p>
    <w:p>
      <w:pPr>
        <w:ind w:right="80" w:firstLine="470"/>
        <w:spacing w:after="0" w:line="263" w:lineRule="auto"/>
        <w:rPr>
          <w:sz w:val="20"/>
          <w:szCs w:val="20"/>
          <w:color w:val="auto"/>
        </w:rPr>
      </w:pPr>
      <w:r>
        <w:rPr>
          <w:rFonts w:ascii="Times New Roman" w:cs="Times New Roman" w:eastAsia="Times New Roman" w:hAnsi="Times New Roman"/>
          <w:sz w:val="17"/>
          <w:szCs w:val="17"/>
          <w:color w:val="auto"/>
        </w:rPr>
        <w:t>The COVID-19 pandemic increased our remote workforce, which increased risks to our information technology systems and data, as more of our employees work from home, utilizing network connections, computers and devices outside our premises or network, including while at home, in transit and in public locations. Additionally, cybersecurity risks may be heightened as a result of the ongoing global conflicts such as the military conflict between Russia and Ukraine and the related sanctions imposed by the United States and other countries or the ongoing military conflict between Israel and Hamas. Furthermore, future or past business transactions (such as acquisitions or integrations) could expose us to additional data security risks and vulnerabilities, as our systems could be negatively affected by vulnerabilities present in acquired or integrated entities’ systems and technologies. Risks related to data security will increase as we continue to grow the scale and</w:t>
      </w:r>
    </w:p>
    <w:p>
      <w:pPr>
        <w:spacing w:after="0" w:line="26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functionality of our business and collect, store, transmit and otherwise process increasingly large amounts of our and our customers’ information and data, which may include personal, proprietary, confidential or other sensitive data.</w:t>
      </w:r>
    </w:p>
    <w:p>
      <w:pPr>
        <w:spacing w:after="0" w:line="81" w:lineRule="exact"/>
        <w:rPr>
          <w:sz w:val="20"/>
          <w:szCs w:val="20"/>
          <w:color w:val="auto"/>
        </w:rPr>
      </w:pPr>
    </w:p>
    <w:p>
      <w:pPr>
        <w:ind w:firstLine="627"/>
        <w:spacing w:after="0" w:line="242" w:lineRule="auto"/>
        <w:rPr>
          <w:sz w:val="20"/>
          <w:szCs w:val="20"/>
          <w:color w:val="auto"/>
        </w:rPr>
      </w:pPr>
      <w:r>
        <w:rPr>
          <w:rFonts w:ascii="Times New Roman" w:cs="Times New Roman" w:eastAsia="Times New Roman" w:hAnsi="Times New Roman"/>
          <w:sz w:val="17"/>
          <w:szCs w:val="17"/>
          <w:color w:val="auto"/>
        </w:rPr>
        <w:t>Any of the above identified or similar threats could cause a security breach or other security incident that could result in unauthorized, unlawful, or accidental acquisition, modification, destruction, loss, alteration, encryption, disclosure, transfer, use or other processing of, or access to our information technology systems and networks or personal, proprietary, confidential or other sensitive information, or those of the third parties upon whom we rely. For example, in December 2023 we discovered that a previously unknown flaw in a third-party application used by MongoDB enabled an unauthorized third party to successfully phish and to gain access to certain corporate applications, including applications that we use to provide support services to MongoDB customers, which include customer contact information and related account metadata. In an effort to contain the impact of this security incident, we immediately activated our incident response process, promptly published an alert on our website and emailed customers notifying them of the situation and reminding them to stay vigilant. The investigation led by MongoDB into this incident uncovered no evidence of unauthorized access to MongoDB Atlas clusters, a finding that has been verified by our third-party forensic experts. To date, we have not experienced a cybersecurity event that had a material impact on our financial performance or operations, but it is possible that we might experience such an attack in the future. A security breach or other security incident could disrupt our ability (and that of third parties upon whom we rely) to provide our platform, products, and services.</w:t>
      </w:r>
    </w:p>
    <w:p>
      <w:pPr>
        <w:spacing w:after="0" w:line="223" w:lineRule="exact"/>
        <w:rPr>
          <w:sz w:val="20"/>
          <w:szCs w:val="20"/>
          <w:color w:val="auto"/>
        </w:rPr>
      </w:pPr>
    </w:p>
    <w:p>
      <w:pPr>
        <w:ind w:firstLine="470"/>
        <w:spacing w:after="0" w:line="273" w:lineRule="auto"/>
        <w:rPr>
          <w:sz w:val="20"/>
          <w:szCs w:val="20"/>
          <w:color w:val="auto"/>
        </w:rPr>
      </w:pPr>
      <w:r>
        <w:rPr>
          <w:rFonts w:ascii="Times New Roman" w:cs="Times New Roman" w:eastAsia="Times New Roman" w:hAnsi="Times New Roman"/>
          <w:sz w:val="17"/>
          <w:szCs w:val="17"/>
          <w:color w:val="auto"/>
        </w:rPr>
        <w:t>We may expend significant resources or modify our business activities to try to protect against, mitigate or remediate actual or perceived security breaches and other security incidents. Certain data privacy and security obligations may require us to implement and maintain specific security measures, industry-standard or reasonable security measures to protect our information technology systems and networks and personal, proprietary, confidential or other sensitive information.</w:t>
      </w:r>
    </w:p>
    <w:p>
      <w:pPr>
        <w:spacing w:after="0" w:line="326" w:lineRule="exact"/>
        <w:rPr>
          <w:sz w:val="20"/>
          <w:szCs w:val="20"/>
          <w:color w:val="auto"/>
        </w:rPr>
      </w:pPr>
    </w:p>
    <w:p>
      <w:pPr>
        <w:ind w:firstLine="470"/>
        <w:spacing w:after="0" w:line="262" w:lineRule="auto"/>
        <w:rPr>
          <w:sz w:val="20"/>
          <w:szCs w:val="20"/>
          <w:color w:val="auto"/>
        </w:rPr>
      </w:pPr>
      <w:r>
        <w:rPr>
          <w:rFonts w:ascii="Times New Roman" w:cs="Times New Roman" w:eastAsia="Times New Roman" w:hAnsi="Times New Roman"/>
          <w:sz w:val="17"/>
          <w:szCs w:val="17"/>
          <w:color w:val="auto"/>
        </w:rPr>
        <w:t>While we have implemented security measures designed to protect against security breaches and other security incidents, there can be no assurance that these measures will be effective. We have not always been able in the past and may be unable in the future to detect vulnerabilities in our information technology systems and networks (including our products) because such threats and techniques change frequently, are often sophisticated in nature, and may not be detected until after a security breach or other security incident has occurred. For example, industry publications have reported ransomware attacks on MongoDB instances. We believe these attacks were successful due to the failure by users of our Community Server offering to properly turn on the recommended security settings when running these instances. Despite our efforts to identify and remediate vulnerabilities, if any, in our information technology systems and networks (including our products), our efforts may not be successful. Further, we may experience delays in developing and deploying remedial measures designed to address any such identified vulnerabilities.</w:t>
      </w:r>
    </w:p>
    <w:p>
      <w:pPr>
        <w:spacing w:after="0" w:line="122" w:lineRule="exact"/>
        <w:rPr>
          <w:sz w:val="20"/>
          <w:szCs w:val="20"/>
          <w:color w:val="auto"/>
        </w:rPr>
      </w:pPr>
    </w:p>
    <w:p>
      <w:pPr>
        <w:ind w:right="20" w:firstLine="470"/>
        <w:spacing w:after="0" w:line="266" w:lineRule="auto"/>
        <w:rPr>
          <w:sz w:val="20"/>
          <w:szCs w:val="20"/>
          <w:color w:val="auto"/>
        </w:rPr>
      </w:pPr>
      <w:r>
        <w:rPr>
          <w:rFonts w:ascii="Times New Roman" w:cs="Times New Roman" w:eastAsia="Times New Roman" w:hAnsi="Times New Roman"/>
          <w:sz w:val="17"/>
          <w:szCs w:val="17"/>
          <w:color w:val="auto"/>
        </w:rPr>
        <w:t>We use third-party service providers and subprocessors to help us deliver services to our customers. These third-party service providers and subprocessors may collect, store, transmit or otherwise process personal data or other confidential information of our employees and our customers. Our ability to monitor these third parties’ information security practices is limited, and these third parties may not have adequate information security measures in place. Due to applicable laws, regulations, rules, standards, contractual obligations, policies and other obligations, we may be held responsible for security breaches or other security incidents attributed to our third-party service providers as they relate to the information we share with them.</w:t>
      </w:r>
    </w:p>
    <w:p>
      <w:pPr>
        <w:spacing w:after="0" w:line="119" w:lineRule="exact"/>
        <w:rPr>
          <w:sz w:val="20"/>
          <w:szCs w:val="20"/>
          <w:color w:val="auto"/>
        </w:rPr>
      </w:pPr>
    </w:p>
    <w:p>
      <w:pPr>
        <w:ind w:right="320" w:firstLine="470"/>
        <w:spacing w:after="0" w:line="295" w:lineRule="auto"/>
        <w:rPr>
          <w:sz w:val="20"/>
          <w:szCs w:val="20"/>
          <w:color w:val="auto"/>
        </w:rPr>
      </w:pPr>
      <w:r>
        <w:rPr>
          <w:rFonts w:ascii="Times New Roman" w:cs="Times New Roman" w:eastAsia="Times New Roman" w:hAnsi="Times New Roman"/>
          <w:sz w:val="17"/>
          <w:szCs w:val="17"/>
          <w:color w:val="auto"/>
        </w:rPr>
        <w:t>Applicable data privacy and security obligations may require us to notify relevant stakeholders of security breaches and other security incidents. Such disclosures are costly, and the disclosures or the failure to comply with such requirements could lead to adverse consequences.</w:t>
      </w:r>
    </w:p>
    <w:p>
      <w:pPr>
        <w:spacing w:after="0" w:line="94" w:lineRule="exact"/>
        <w:rPr>
          <w:sz w:val="20"/>
          <w:szCs w:val="20"/>
          <w:color w:val="auto"/>
        </w:rPr>
      </w:pPr>
    </w:p>
    <w:p>
      <w:pPr>
        <w:ind w:right="180" w:firstLine="470"/>
        <w:spacing w:after="0" w:line="261" w:lineRule="auto"/>
        <w:rPr>
          <w:sz w:val="20"/>
          <w:szCs w:val="20"/>
          <w:color w:val="auto"/>
        </w:rPr>
      </w:pPr>
      <w:r>
        <w:rPr>
          <w:rFonts w:ascii="Times New Roman" w:cs="Times New Roman" w:eastAsia="Times New Roman" w:hAnsi="Times New Roman"/>
          <w:sz w:val="17"/>
          <w:szCs w:val="17"/>
          <w:color w:val="auto"/>
        </w:rPr>
        <w:t>If we (or a third party upon whom we rely) experience or are perceived to have experienced a security breach or other security incident, or fail to make adequate or timely disclosures to the public, regulators, law enforcement agencies or affected individuals, as applicable, following any such event, we may experience adverse consequences. These consequences may include: liability under applicable data privacy and security laws, regulations, rules, standards, contractual obligations, policies and other obligations; obligations to notify regulators and affected individuals; government enforcement actions (for example, investigations, fines, penalties, audits, and inspections); additional reporting requirements and/or oversight; restrictions on processing personal and other sensitive information; litigation (including class claims); indemnification and other contractual obligations; damages; negative publicity; reputational harm; monetary fund diversions; interruptions in our operations (including availability of data); financial loss; and other similar harms. Security breaches and other security incidents and attendant consequences may cause customers to stop using our platform, products, and services, deter new customers from using our platform, products, and services, and negatively impact our ability to grow and operate our business.</w:t>
      </w:r>
    </w:p>
    <w:p>
      <w:pPr>
        <w:spacing w:after="0" w:line="26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40" w:firstLine="470"/>
        <w:spacing w:after="0" w:line="295" w:lineRule="auto"/>
        <w:rPr>
          <w:sz w:val="20"/>
          <w:szCs w:val="20"/>
          <w:color w:val="auto"/>
        </w:rPr>
      </w:pPr>
      <w:r>
        <w:rPr>
          <w:rFonts w:ascii="Times New Roman" w:cs="Times New Roman" w:eastAsia="Times New Roman" w:hAnsi="Times New Roman"/>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w:t>
      </w:r>
    </w:p>
    <w:p>
      <w:pPr>
        <w:spacing w:after="0" w:line="94" w:lineRule="exact"/>
        <w:rPr>
          <w:sz w:val="20"/>
          <w:szCs w:val="20"/>
          <w:color w:val="auto"/>
        </w:rPr>
      </w:pPr>
    </w:p>
    <w:p>
      <w:pPr>
        <w:ind w:right="20" w:firstLine="470"/>
        <w:spacing w:after="0" w:line="264" w:lineRule="auto"/>
        <w:rPr>
          <w:sz w:val="20"/>
          <w:szCs w:val="20"/>
          <w:color w:val="auto"/>
        </w:rPr>
      </w:pPr>
      <w:r>
        <w:rPr>
          <w:rFonts w:ascii="Times New Roman" w:cs="Times New Roman" w:eastAsia="Times New Roman" w:hAnsi="Times New Roman"/>
          <w:sz w:val="17"/>
          <w:szCs w:val="17"/>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proprietary, confidential or other sensitive data or otherwise relating to data privacy and security matters.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at all, or that our insurers will not deny coverage as to any future claim.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sales cycle may be long and is unpredictable and our sales efforts require considerable time and expense.</w:t>
      </w:r>
    </w:p>
    <w:p>
      <w:pPr>
        <w:spacing w:after="0" w:line="174" w:lineRule="exact"/>
        <w:rPr>
          <w:sz w:val="20"/>
          <w:szCs w:val="20"/>
          <w:color w:val="auto"/>
        </w:rPr>
      </w:pPr>
    </w:p>
    <w:p>
      <w:pPr>
        <w:ind w:firstLine="470"/>
        <w:spacing w:after="0" w:line="262" w:lineRule="auto"/>
        <w:rPr>
          <w:sz w:val="20"/>
          <w:szCs w:val="20"/>
          <w:color w:val="auto"/>
        </w:rPr>
      </w:pPr>
      <w:r>
        <w:rPr>
          <w:rFonts w:ascii="Times New Roman" w:cs="Times New Roman" w:eastAsia="Times New Roman" w:hAnsi="Times New Roman"/>
          <w:sz w:val="17"/>
          <w:szCs w:val="17"/>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122" w:lineRule="exact"/>
        <w:rPr>
          <w:sz w:val="20"/>
          <w:szCs w:val="20"/>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sales force, in particular new sales people as we increase the size of our sales force;</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discretionary nature of purchasing and budget cycles and decisions;</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obstacles placed by a customer’s procurement process;</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convert users of our free offerings to paying customers;</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and other factors impacting customer budgets;</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evaluation of competing products during the purchasing process; and</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evolving customer demands.</w:t>
      </w:r>
    </w:p>
    <w:p>
      <w:pPr>
        <w:spacing w:after="0" w:line="170" w:lineRule="exact"/>
        <w:rPr>
          <w:sz w:val="20"/>
          <w:szCs w:val="20"/>
          <w:color w:val="auto"/>
        </w:rPr>
      </w:pPr>
    </w:p>
    <w:p>
      <w:pPr>
        <w:ind w:right="20" w:firstLine="470"/>
        <w:spacing w:after="0" w:line="266" w:lineRule="auto"/>
        <w:rPr>
          <w:sz w:val="20"/>
          <w:szCs w:val="20"/>
          <w:color w:val="auto"/>
        </w:rPr>
      </w:pPr>
      <w:r>
        <w:rPr>
          <w:rFonts w:ascii="Times New Roman" w:cs="Times New Roman" w:eastAsia="Times New Roman" w:hAnsi="Times New Roman"/>
          <w:sz w:val="17"/>
          <w:szCs w:val="17"/>
          <w:color w:val="auto"/>
        </w:rPr>
        <w:t>Given these factors, it is difficult to predict whether and when a sale will be completed and when revenue from a sale will be recognized, particularly the timing of revenue recognition related to the term license portion of our subscription revenue. In addition, as a result of rising inflation and interest rates, and global economic uncertainty, potential customers may consider reducing or delaying, technology or other discretionary spending, which could also result in an extension of our sales cycle. This could impact the variability and comparability of our quarterly revenue results and may have an adverse effect on our business, results of operations and financial condition.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forced to reduce prices for our subscription offerings and as a result our revenue and results of operations will be harmed.</w:t>
      </w:r>
    </w:p>
    <w:p>
      <w:pPr>
        <w:spacing w:after="0" w:line="174" w:lineRule="exact"/>
        <w:rPr>
          <w:sz w:val="20"/>
          <w:szCs w:val="20"/>
          <w:color w:val="auto"/>
        </w:rPr>
      </w:pPr>
    </w:p>
    <w:p>
      <w:pPr>
        <w:ind w:right="60" w:firstLine="470"/>
        <w:spacing w:after="0" w:line="265" w:lineRule="auto"/>
        <w:rPr>
          <w:sz w:val="20"/>
          <w:szCs w:val="20"/>
          <w:color w:val="auto"/>
        </w:rPr>
      </w:pPr>
      <w:r>
        <w:rPr>
          <w:rFonts w:ascii="Times New Roman" w:cs="Times New Roman" w:eastAsia="Times New Roman" w:hAnsi="Times New Roman"/>
          <w:sz w:val="17"/>
          <w:szCs w:val="17"/>
          <w:color w:val="auto"/>
        </w:rPr>
        <w:t>As the market for databases evolves, or as new competitors introduce new products or services that compete with ours, we may be unable to attract new customers or convert users of our free offerings to paying customers on terms or based on pricing models that we have used historically. In the past, we have been able to increase our prices for our subscription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200" w:lineRule="exact"/>
        <w:rPr>
          <w:sz w:val="20"/>
          <w:szCs w:val="20"/>
          <w:color w:val="auto"/>
        </w:rPr>
      </w:pPr>
    </w:p>
    <w:p>
      <w:pPr>
        <w:spacing w:after="0" w:line="27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90" w:lineRule="exact"/>
        <w:rPr>
          <w:sz w:val="20"/>
          <w:szCs w:val="20"/>
          <w:color w:val="auto"/>
        </w:rPr>
      </w:pPr>
    </w:p>
    <w:p>
      <w:pPr>
        <w:ind w:right="220" w:firstLine="470"/>
        <w:spacing w:after="0" w:line="269" w:lineRule="auto"/>
        <w:rPr>
          <w:sz w:val="20"/>
          <w:szCs w:val="20"/>
          <w:color w:val="auto"/>
        </w:rPr>
      </w:pPr>
      <w:r>
        <w:rPr>
          <w:rFonts w:ascii="Times New Roman" w:cs="Times New Roman" w:eastAsia="Times New Roman" w:hAnsi="Times New Roman"/>
          <w:sz w:val="17"/>
          <w:szCs w:val="17"/>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17" w:lineRule="exact"/>
        <w:rPr>
          <w:sz w:val="20"/>
          <w:szCs w:val="20"/>
          <w:color w:val="auto"/>
        </w:rPr>
      </w:pPr>
    </w:p>
    <w:p>
      <w:pPr>
        <w:ind w:right="20" w:firstLine="470"/>
        <w:spacing w:after="0" w:line="261" w:lineRule="auto"/>
        <w:rPr>
          <w:sz w:val="20"/>
          <w:szCs w:val="20"/>
          <w:color w:val="auto"/>
        </w:rPr>
      </w:pPr>
      <w:r>
        <w:rPr>
          <w:rFonts w:ascii="Times New Roman" w:cs="Times New Roman" w:eastAsia="Times New Roman" w:hAnsi="Times New Roman"/>
          <w:sz w:val="17"/>
          <w:szCs w:val="17"/>
          <w:color w:val="auto"/>
        </w:rPr>
        <w:t>Even if we do attract new customers, the cost of new customer acquisition, product implementation and ongoing customer support may prove so high as to prevent us from achieving or sustaining profitability. For example, in fiscal years 2025, 2024 and 2023, total sales and marketing expense represented 43%, 47% and 54%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in our MongoDB.local events, MongoDB Advocacy Hub, User Groups, MongoDB University and our partner ecosystem of global 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offer high quality support, our business and reputation could suffer.</w:t>
      </w:r>
    </w:p>
    <w:p>
      <w:pPr>
        <w:spacing w:after="0" w:line="174" w:lineRule="exact"/>
        <w:rPr>
          <w:sz w:val="20"/>
          <w:szCs w:val="20"/>
          <w:color w:val="auto"/>
        </w:rPr>
      </w:pPr>
    </w:p>
    <w:p>
      <w:pPr>
        <w:ind w:right="40" w:firstLine="470"/>
        <w:spacing w:after="0" w:line="269" w:lineRule="auto"/>
        <w:rPr>
          <w:sz w:val="20"/>
          <w:szCs w:val="20"/>
          <w:color w:val="auto"/>
        </w:rPr>
      </w:pPr>
      <w:r>
        <w:rPr>
          <w:rFonts w:ascii="Times New Roman" w:cs="Times New Roman" w:eastAsia="Times New Roman" w:hAnsi="Times New Roman"/>
          <w:sz w:val="17"/>
          <w:szCs w:val="17"/>
          <w:color w:val="auto"/>
        </w:rPr>
        <w:t>Our customers rely on our personnel for support of our software and services included in our subscription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and relationships with existing or potential customers could be harmed.</w:t>
      </w:r>
    </w:p>
    <w:p>
      <w:pPr>
        <w:spacing w:after="0" w:line="113" w:lineRule="exact"/>
        <w:rPr>
          <w:sz w:val="20"/>
          <w:szCs w:val="20"/>
          <w:color w:val="auto"/>
        </w:rPr>
      </w:pPr>
    </w:p>
    <w:p>
      <w:pPr>
        <w:ind w:right="7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Real or perceived errors, failures or bugs in our software could adversely affect our business, results of operations, financial condition and growth prospects.</w:t>
      </w:r>
    </w:p>
    <w:p>
      <w:pPr>
        <w:spacing w:after="0" w:line="90"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18"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stringent and evolving U.S. and foreign laws, regulations, rules, standards, contractual obligations, policies and other obligations particularly related to data privacy and security. Our actual or perceived failure to comply with such obligations could lead to regulatory investigations or actions; litigation; fines and penalties; a disruption of our business operations; reputational harm; loss of revenue or profits; and other adverse business consequences.</w:t>
      </w:r>
    </w:p>
    <w:p>
      <w:pPr>
        <w:spacing w:after="0" w:line="114" w:lineRule="exact"/>
        <w:rPr>
          <w:sz w:val="20"/>
          <w:szCs w:val="20"/>
          <w:color w:val="auto"/>
        </w:rPr>
      </w:pPr>
    </w:p>
    <w:p>
      <w:pPr>
        <w:ind w:right="20" w:firstLine="470"/>
        <w:spacing w:after="0" w:line="264" w:lineRule="auto"/>
        <w:rPr>
          <w:sz w:val="20"/>
          <w:szCs w:val="20"/>
          <w:color w:val="auto"/>
        </w:rPr>
      </w:pPr>
      <w:r>
        <w:rPr>
          <w:rFonts w:ascii="Times New Roman" w:cs="Times New Roman" w:eastAsia="Times New Roman" w:hAnsi="Times New Roman"/>
          <w:sz w:val="17"/>
          <w:szCs w:val="17"/>
          <w:color w:val="auto"/>
        </w:rPr>
        <w:t>Data privacy and security is a significant issue in the United States, Europe and in many other countries and jurisdictions where we offer our software and services. In the ordinary course of business, we collect, receive, store, generate, use, transfer, disclose, make accessible, protect, secure, dispose of, transmit, share and otherwise process personal data and other sensitive information, including proprietary and confidential business data, trade secrets, and intellectual property. We collect personal information from individuals located both in the United States and abroad and may store or otherwise process such information outside of the country in which it was collected. Our data processing activities subject us to numerous data privacy and security obligations, such as various laws, regulations, rules, guidance, industry standards, external and internal</w:t>
      </w:r>
    </w:p>
    <w:p>
      <w:pPr>
        <w:spacing w:after="0" w:line="26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privacy and security policies, contracts, and other obligations that govern the processing of personal data by us and on our behalf.</w:t>
      </w:r>
    </w:p>
    <w:p>
      <w:pPr>
        <w:spacing w:after="0" w:line="170" w:lineRule="exact"/>
        <w:rPr>
          <w:sz w:val="20"/>
          <w:szCs w:val="20"/>
          <w:color w:val="auto"/>
        </w:rPr>
      </w:pPr>
    </w:p>
    <w:p>
      <w:pPr>
        <w:ind w:right="80" w:firstLine="470"/>
        <w:spacing w:after="0" w:line="260" w:lineRule="auto"/>
        <w:rPr>
          <w:sz w:val="20"/>
          <w:szCs w:val="20"/>
          <w:color w:val="auto"/>
        </w:rPr>
      </w:pPr>
      <w:r>
        <w:rPr>
          <w:rFonts w:ascii="Times New Roman" w:cs="Times New Roman" w:eastAsia="Times New Roman" w:hAnsi="Times New Roman"/>
          <w:sz w:val="17"/>
          <w:szCs w:val="17"/>
          <w:color w:val="auto"/>
        </w:rPr>
        <w:t>In the United States, federal, state, and local governments have enacted numerous data privacy and security laws, including data breach notification laws, personal data privacy laws, and consumer protection laws. For example, at the federal level, Section 5 of the Federal Trade Commission Act prohibits unfair or deceptive acts or practices in or affecting commerce (which extends to data privacy and security practices), and the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At the state level, the California Consumer Privacy Act, as modified by the California Privacy Rights Act (collectively, the “CCPA”) gives California residents the right to, among other things, request disclosure of personal information collected about them and whether that information has been sold to others, request deletion of personal information (subject to certain exceptions), opt out of sales of their personal information, and not be discriminated against for exercising these rights. The CCPA also authorizes private lawsuits to recover statutory damages for certain data breaches. The effects of the CCPA are potentially significant and may require us to modify our data collection or processing practices and policies and increase our compliance costs and potential liability with respect to personal information we collect about California residents.</w:t>
      </w:r>
    </w:p>
    <w:p>
      <w:pPr>
        <w:spacing w:after="0" w:line="326" w:lineRule="exact"/>
        <w:rPr>
          <w:sz w:val="20"/>
          <w:szCs w:val="20"/>
          <w:color w:val="auto"/>
        </w:rPr>
      </w:pPr>
    </w:p>
    <w:p>
      <w:pPr>
        <w:ind w:right="180" w:firstLine="470"/>
        <w:spacing w:after="0" w:line="248" w:lineRule="auto"/>
        <w:rPr>
          <w:sz w:val="20"/>
          <w:szCs w:val="20"/>
          <w:color w:val="auto"/>
        </w:rPr>
      </w:pPr>
      <w:r>
        <w:rPr>
          <w:rFonts w:ascii="Times New Roman" w:cs="Times New Roman" w:eastAsia="Times New Roman" w:hAnsi="Times New Roman"/>
          <w:sz w:val="17"/>
          <w:szCs w:val="17"/>
          <w:color w:val="auto"/>
        </w:rPr>
        <w:t>A number of other U.S. states have also enacted, or are considering enacting, comprehensive data privacy laws that share similarities with the CCPA. Certain state laws and regulations may be more stringent, broader in scope, or offer greater individual rights, with respect to personal data than federal or other state laws and regulations, and such laws and regulations may differ from each other, which may complicate compliance efforts and increase legal risk and compliance costs for us and the third parties upon whom we rely. In addition, laws in all 50 U.S. states generally require businesses to provide notice under certain circumstances to consumers whose personal data has been disclosed as a result of a data breach. These laws are not consistent, and compliance in the event of a widespread data breach is difficult and may be costly.</w:t>
      </w:r>
    </w:p>
    <w:p>
      <w:pPr>
        <w:spacing w:after="0" w:line="212" w:lineRule="exact"/>
        <w:rPr>
          <w:sz w:val="20"/>
          <w:szCs w:val="20"/>
          <w:color w:val="auto"/>
        </w:rPr>
      </w:pPr>
    </w:p>
    <w:p>
      <w:pPr>
        <w:ind w:right="40" w:firstLine="470"/>
        <w:spacing w:after="0" w:line="262" w:lineRule="auto"/>
        <w:rPr>
          <w:sz w:val="20"/>
          <w:szCs w:val="20"/>
          <w:color w:val="auto"/>
        </w:rPr>
      </w:pPr>
      <w:r>
        <w:rPr>
          <w:rFonts w:ascii="Times New Roman" w:cs="Times New Roman" w:eastAsia="Times New Roman" w:hAnsi="Times New Roman"/>
          <w:sz w:val="17"/>
          <w:szCs w:val="17"/>
          <w:color w:val="auto"/>
        </w:rPr>
        <w:t>Furthermore, from time to time, U.S. presidential administrations have issued, and may in the future issue, Executive Orders related to cybersecurity practices that may affect our business. For example, on May 12, 2021, the Biden administration issued an Executive Order requiring federal agencies to implement additional IT security measures, including, among other things, requiring agencies to adopt multifactor authentication and encryption for data at rest and in transit, to the maximum extent consistent with federal records laws and other applicable laws. Additionally, the Executive Order called for the development of secure software development practices or criteria for a consumer software labeling program reflecting a baseline level of secure practices for development of software sold to the U.S. federal government. Due to the Executive Order, federal agencies may require us to modify our cybersecurity practices and policies and increase our compliance costs and, if we are unable to meet the requirements of the Executive Order, it could impede our ability to work with the U.S. government and result in a loss of revenue.</w:t>
      </w:r>
    </w:p>
    <w:p>
      <w:pPr>
        <w:spacing w:after="0" w:line="122"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Internationally, virtually every jurisdiction in which we operate has established its own data privacy and security legal framework with which we or our customers must comply, including, but not limited to, the European Economic Area (“E.E.A.”), Switzerland, the United Kingdom (“U.K.”), Canada, Brazil and other countries. The collection, use, disclosure, transfer, or other processing of personal data regarding individuals in the E.E.A. is subject to the General Data Protection Regulation (the “GDPR”), and other European laws governing the processing of personal data. Data protection authorities in the E.E.A. have the power to impose administrative fines for violations of the GDPR of up to a maximum of €20 million or 4% of the entity’s total worldwide global turnover for the preceding financial year, whichever is higher. Further, the GDPR provides for private litigation related to the processing of personal data that can be brought by classes of data subjects or consumer protection organizations authorized at law to represent the data subjects’ interests. Since we act as a data processor for our MongoDB Atlas customers, we have taken steps to cause our processes to be compliant with applicable portions of the GDPR, but because of the ambiguities in the GDPR and the evolving interpretation of the GDPR by data protection authorities, we cannot assure you that such steps are complete or effective.</w:t>
      </w:r>
    </w:p>
    <w:p>
      <w:pPr>
        <w:spacing w:after="0" w:line="125" w:lineRule="exact"/>
        <w:rPr>
          <w:sz w:val="20"/>
          <w:szCs w:val="20"/>
          <w:color w:val="auto"/>
        </w:rPr>
      </w:pPr>
    </w:p>
    <w:p>
      <w:pPr>
        <w:ind w:right="100" w:firstLine="470"/>
        <w:spacing w:after="0" w:line="263" w:lineRule="auto"/>
        <w:rPr>
          <w:sz w:val="20"/>
          <w:szCs w:val="20"/>
          <w:color w:val="auto"/>
        </w:rPr>
      </w:pPr>
      <w:r>
        <w:rPr>
          <w:rFonts w:ascii="Times New Roman" w:cs="Times New Roman" w:eastAsia="Times New Roman" w:hAnsi="Times New Roman"/>
          <w:sz w:val="17"/>
          <w:szCs w:val="17"/>
          <w:color w:val="auto"/>
        </w:rPr>
        <w:t>Following the exit of the U.K. from the European Union (“E.U.”), the GDPR was transposed into U.K. law (the “U.K. GDPR”) as supplemented by the U.K. Data Protection Act 2018, which currently imposes the same obligations as the GDPR in most material respects. Failure to comply with the U.K. GDPR can result in fines up to a maximum of £17.5 million or 4% of the entity’s total worldwide global turnover for the preceding financial year, whichever is higher. However, the U.K. GDPR will not automatically incorporate changes made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w:t>
      </w:r>
    </w:p>
    <w:p>
      <w:pPr>
        <w:spacing w:after="0" w:line="26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The European Commission also revised its Cybersecurity Directive (“NIS2”), which came into force in January 2023 and applies extraterritorially similar to the GDPR. Among other things, NIS2 requires companies providing essential and digital services across key sectors in the EU economy, including cloud services providers, to adopt or update policies and procedures on issues such as incident handling and supply chain security. EU Member States have flexibility in identifying the types of entities considered “essential.” The deadline for EU Member States to transpose NIS2 into national law was October 17, 2024. However only a small number of Member States have met that deadline, creating ongoing uncertainty around how NIS2 will impact our business. In addition, the EU’s Digital Operational Resiliency Act (“DORA”) for the financial sector took effect in January 2025. DORA standardizes how financial entities report cybersecurity incidents, test their digital operational resilience, and manage ICT third-party risk across the financial services sector and EU member states. We have taken steps to ensure our contracts with EU financial sector customers are DORA-compliant, however we cannot assure you that such steps are complete or effective.</w:t>
      </w:r>
    </w:p>
    <w:p>
      <w:pPr>
        <w:spacing w:after="0" w:line="338" w:lineRule="exact"/>
        <w:rPr>
          <w:sz w:val="20"/>
          <w:szCs w:val="20"/>
          <w:color w:val="auto"/>
        </w:rPr>
      </w:pPr>
    </w:p>
    <w:p>
      <w:pPr>
        <w:ind w:right="140" w:firstLine="470"/>
        <w:spacing w:after="0" w:line="269" w:lineRule="auto"/>
        <w:rPr>
          <w:sz w:val="20"/>
          <w:szCs w:val="20"/>
          <w:color w:val="auto"/>
        </w:rPr>
      </w:pPr>
      <w:r>
        <w:rPr>
          <w:rFonts w:ascii="Times New Roman" w:cs="Times New Roman" w:eastAsia="Times New Roman" w:hAnsi="Times New Roman"/>
          <w:sz w:val="17"/>
          <w:szCs w:val="17"/>
          <w:color w:val="auto"/>
        </w:rPr>
        <w:t>Countries outside Europe are implementing significant limitations on the processing of personal data, similar to those in the GDPR. For example, Brazil has enacted the General Data Protection Law (Lei Geral Proteção de Dados Pessoais, or “LGPD”) (Law No. 13,709/2018). In addition, on June 5, 2020, Japan passed amendments to its Act on the Protection of Personal data, or APPI, which entered into force on April 1, 2022. Both of these laws broadly regulate the processing of personal data in a manner comparable to the GDPR, and violators of the LGPD and APPI face substantial penalties.</w:t>
      </w:r>
    </w:p>
    <w:p>
      <w:pPr>
        <w:spacing w:after="0" w:line="104" w:lineRule="exact"/>
        <w:rPr>
          <w:sz w:val="20"/>
          <w:szCs w:val="20"/>
          <w:color w:val="auto"/>
        </w:rPr>
      </w:pPr>
    </w:p>
    <w:p>
      <w:pPr>
        <w:ind w:firstLine="627"/>
        <w:spacing w:after="0" w:line="242" w:lineRule="auto"/>
        <w:rPr>
          <w:sz w:val="20"/>
          <w:szCs w:val="20"/>
          <w:color w:val="auto"/>
        </w:rPr>
      </w:pPr>
      <w:r>
        <w:rPr>
          <w:rFonts w:ascii="Times New Roman" w:cs="Times New Roman" w:eastAsia="Times New Roman" w:hAnsi="Times New Roman"/>
          <w:sz w:val="17"/>
          <w:szCs w:val="17"/>
          <w:color w:val="auto"/>
        </w:rPr>
        <w:t>Some foreign data privacy and security laws, including, without limitation, the GDPR, the U.K. GDPR, and the Swiss Federal Act on Data Protection may restrict the cross-border transfer of personal data, such as transfers of data to the United States from the E.E.A., Switzerland or U.K. These laws may require data exporters and data importers - as a condition of cross-border data transfers - to implement specific safeguards to protect the transferred personal data. Existing mechanisms that facilitate cross-border personal data transfers may change or be invalidated. For example, the GDPR generally restricts the transfer of personal data to countries outside of the E.E.A. that the European Commission does not consider to provide an adequate level of data privacy and security, such as the United States, unless the parties to the transfer have implemented specific safeguards to protect the transferred personal data, such as, most commonly, the “Standard Contractual Clauses” (“SCCs”) released by the European Commission. Use of the SCCs imposes additional compliance burdens, such as conducting transfer impact assessments to determine whether additional security measures are necessary to protect the at-issue personal data.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Adding further complexity for international data transfers, in March 2022, the U.K. adopted its own International Data Transfer Agreement for transfers of personal data out of the U.K. to so-called third countries, as well as an international data transfer addendum that can be used with the SCCs for the same purpose. Moreover, on July 10, 2023 the European Commission adopted an adequacy decision concluding that the United States ensures an adequate level of protection for personal data transferred from the E.U. to the U.S. under the EU-U.S. Data Privacy Framework.</w:t>
      </w:r>
    </w:p>
    <w:p>
      <w:pPr>
        <w:spacing w:after="0" w:line="200" w:lineRule="exact"/>
        <w:rPr>
          <w:sz w:val="20"/>
          <w:szCs w:val="20"/>
          <w:color w:val="auto"/>
        </w:rPr>
      </w:pPr>
    </w:p>
    <w:p>
      <w:pPr>
        <w:spacing w:after="0" w:line="203" w:lineRule="exact"/>
        <w:rPr>
          <w:sz w:val="20"/>
          <w:szCs w:val="20"/>
          <w:color w:val="auto"/>
        </w:rPr>
      </w:pPr>
    </w:p>
    <w:p>
      <w:pPr>
        <w:jc w:val="both"/>
        <w:ind w:right="120" w:firstLine="627"/>
        <w:spacing w:after="0" w:line="248" w:lineRule="auto"/>
        <w:rPr>
          <w:sz w:val="20"/>
          <w:szCs w:val="20"/>
          <w:color w:val="auto"/>
        </w:rPr>
      </w:pPr>
      <w:r>
        <w:rPr>
          <w:rFonts w:ascii="Times New Roman" w:cs="Times New Roman" w:eastAsia="Times New Roman" w:hAnsi="Times New Roman"/>
          <w:sz w:val="17"/>
          <w:szCs w:val="17"/>
          <w:color w:val="auto"/>
        </w:rPr>
        <w:t>We are currently self-certified under the EU-U.S. Data Privacy Framework, however such adequacy decision is likely to face challenge at the Court of Justice of the European Union. While the EU-U.S. Data Privacy Framework does not apply to the U.K., on October 12, 2023, the U.K. government adopted an adequacy decision concluding that the United States ensures an adequate level of protection transferred from the U.K. to the United States under the U.K.</w:t>
      </w:r>
    </w:p>
    <w:p>
      <w:pPr>
        <w:spacing w:after="0" w:line="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7"/>
          <w:szCs w:val="17"/>
          <w:color w:val="auto"/>
        </w:rPr>
        <w:t>Extension to the EU-U.S. Data Privacy Framework (“U.K. Data Privacy Framework”). We are currently self-certified under the U.K. Data Privacy Framework, and have also self-certified under the Swiss Data Privacy Framework. Both the U.K. and Swiss Data Privacy Frameworks could also be contested or otherwise affected by any challenges to the EU-U.S. Data Privacy Framework. Certain countries outside Europe (including Russia, China and Brazil) have also passed or are considering laws requiring local data residency or otherwise impeding the transfer of personal data across borders, any of which could increase the cost and complexity of doing business. If we cannot implement a valid compliance mechanism for cross-border data transfers, we may face increased exposure to regulatory actions, substantial fines, and injunctions against processing or transferring personal data from Europe or other foreign jurisdictions. The inability to import personal data to the United States could significantly and negatively impact our business operations; limit our ability to collaborate with parties that are subject to such cross-border data transfer or localization laws; or require us to increase our personal data processing capabilities and infrastructure in foreign jurisdictions at significant expense.</w:t>
      </w:r>
    </w:p>
    <w:p>
      <w:pPr>
        <w:spacing w:after="0" w:line="220" w:lineRule="exact"/>
        <w:rPr>
          <w:sz w:val="20"/>
          <w:szCs w:val="20"/>
          <w:color w:val="auto"/>
        </w:rPr>
      </w:pPr>
    </w:p>
    <w:p>
      <w:pPr>
        <w:ind w:right="140" w:firstLine="470"/>
        <w:spacing w:after="0" w:line="269" w:lineRule="auto"/>
        <w:rPr>
          <w:sz w:val="20"/>
          <w:szCs w:val="20"/>
          <w:color w:val="auto"/>
        </w:rPr>
      </w:pPr>
      <w:r>
        <w:rPr>
          <w:rFonts w:ascii="Times New Roman" w:cs="Times New Roman" w:eastAsia="Times New Roman" w:hAnsi="Times New Roman"/>
          <w:sz w:val="17"/>
          <w:szCs w:val="17"/>
          <w:color w:val="auto"/>
        </w:rPr>
        <w:t>In addition to the GDPR, other European legislative proposals and present laws and regulations apply to cookies and similar tracking technologies, electronic communications, and marketing. In the E.E.A. and the U.K., regulators are increasingly focusing on compliance with requirements related to the online behavioral advertising ecosystem. For example, it is anticipated that the ePrivacy Regulation, which is still being negotiated, and national implementing laws will replace the current national laws implementing the ePrivacy Directive. Compliance with these laws and regulations may require us to</w:t>
      </w:r>
    </w:p>
    <w:p>
      <w:pPr>
        <w:spacing w:after="0" w:line="26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7"/>
          <w:szCs w:val="17"/>
          <w:color w:val="auto"/>
        </w:rPr>
        <w:t>make significant operational changes, limit the effectiveness of our marketing activities, divert the attention of our technology personnel, adversely affect our margins, and subject us to liabilities.</w:t>
      </w:r>
    </w:p>
    <w:p>
      <w:pPr>
        <w:spacing w:after="0" w:line="94" w:lineRule="exact"/>
        <w:rPr>
          <w:sz w:val="20"/>
          <w:szCs w:val="20"/>
          <w:color w:val="auto"/>
        </w:rPr>
      </w:pPr>
    </w:p>
    <w:p>
      <w:pPr>
        <w:jc w:val="both"/>
        <w:ind w:right="200" w:firstLine="470"/>
        <w:spacing w:after="0" w:line="276" w:lineRule="auto"/>
        <w:rPr>
          <w:sz w:val="20"/>
          <w:szCs w:val="20"/>
          <w:color w:val="auto"/>
        </w:rPr>
      </w:pPr>
      <w:r>
        <w:rPr>
          <w:rFonts w:ascii="Times New Roman" w:cs="Times New Roman" w:eastAsia="Times New Roman" w:hAnsi="Times New Roman"/>
          <w:sz w:val="17"/>
          <w:szCs w:val="17"/>
          <w:color w:val="auto"/>
        </w:rPr>
        <w:t>In addition to government regulation, we may be contractually subject to industry standards adopted by privacy advocates and industry groups and may become subject to such obligations in the future. We may also be bound by other contractual obligations related to data privacy and security, and our efforts to comply with such obligations may not be successful.</w:t>
      </w:r>
    </w:p>
    <w:p>
      <w:pPr>
        <w:spacing w:after="0" w:line="110"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Further, because data privacy and security are critical competitive factors in our industry, we publish privacy policies and other documentation regarding our collection, use, disclosure and other processing of personal data and other confidential information. Although we endeavor to comply with our published policies, certifications and documentation, we may at times fail to do so, may be perceived to have failed to do so, or be alleged to have failed to do so. Moreover, despite our efforts, we may not be successful in achieving compliance if our employees or vendors fail to comply with our published policies, certifications and documentation. The publication of our privacy policies and other documentation that provide promises and assurances about data privacy and security can subject us to potential government or legal action if they are found to be deceptive, unfair or misrepresentative of our actual practices. Should any of these statements prove to be untrue or be perceived as untrue, even if because of circumstances beyond our reasonable control, we may face litigation, disputes, claims, investigations, inquiries or other proceedings by the U.S. Federal Trade Commission, federal, state and foreign regulators, our customers and private litigants, which could adversely affect our business, reputation, results of operations and financial condition.</w:t>
      </w:r>
    </w:p>
    <w:p>
      <w:pPr>
        <w:spacing w:after="0" w:line="125" w:lineRule="exact"/>
        <w:rPr>
          <w:sz w:val="20"/>
          <w:szCs w:val="20"/>
          <w:color w:val="auto"/>
        </w:rPr>
      </w:pPr>
    </w:p>
    <w:p>
      <w:pPr>
        <w:ind w:right="120" w:firstLine="470"/>
        <w:spacing w:after="0" w:line="262" w:lineRule="auto"/>
        <w:rPr>
          <w:sz w:val="20"/>
          <w:szCs w:val="20"/>
          <w:color w:val="auto"/>
        </w:rPr>
      </w:pPr>
      <w:r>
        <w:rPr>
          <w:rFonts w:ascii="Times New Roman" w:cs="Times New Roman" w:eastAsia="Times New Roman" w:hAnsi="Times New Roman"/>
          <w:sz w:val="17"/>
          <w:szCs w:val="17"/>
          <w:color w:val="auto"/>
        </w:rPr>
        <w:t>Because the interpretation and application of data privacy and security laws, regulations, rules, standards and other obligations are still uncertain and likely to remain uncertain for the foreseeable future, it is possible that these laws, regulations, rules, standards and other actual or alleged obligations, including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data privacy and security concerns, even if unfounded, or the failure, or perceived failure, to comply with applicable data privacy and security laws, regulations, rules, standards, contractual obligations, policies and other actual or alleged obligations, could result in additional cost and liability to us, damage our reputation, inhibit sales and adversely affect our business.</w:t>
      </w:r>
    </w:p>
    <w:p>
      <w:pPr>
        <w:spacing w:after="0" w:line="122" w:lineRule="exact"/>
        <w:rPr>
          <w:sz w:val="20"/>
          <w:szCs w:val="20"/>
          <w:color w:val="auto"/>
        </w:rPr>
      </w:pPr>
    </w:p>
    <w:p>
      <w:pPr>
        <w:ind w:right="60" w:firstLine="470"/>
        <w:spacing w:after="0" w:line="269" w:lineRule="auto"/>
        <w:rPr>
          <w:sz w:val="20"/>
          <w:szCs w:val="20"/>
          <w:color w:val="auto"/>
        </w:rPr>
      </w:pPr>
      <w:r>
        <w:rPr>
          <w:rFonts w:ascii="Times New Roman" w:cs="Times New Roman" w:eastAsia="Times New Roman" w:hAnsi="Times New Roman"/>
          <w:sz w:val="17"/>
          <w:szCs w:val="17"/>
          <w:color w:val="auto"/>
        </w:rPr>
        <w:t>Furthermore, the costs of compliance with and other burdens imposed by, the laws, regulations, rules, standards, contractual obligations, policies and other obligations related to data privacy and security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13" w:lineRule="exact"/>
        <w:rPr>
          <w:sz w:val="20"/>
          <w:szCs w:val="20"/>
          <w:color w:val="auto"/>
        </w:rPr>
      </w:pPr>
    </w:p>
    <w:p>
      <w:pPr>
        <w:ind w:right="2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90" w:lineRule="exact"/>
        <w:rPr>
          <w:sz w:val="20"/>
          <w:szCs w:val="20"/>
          <w:color w:val="auto"/>
        </w:rPr>
      </w:pPr>
    </w:p>
    <w:p>
      <w:pPr>
        <w:ind w:right="20" w:firstLine="470"/>
        <w:spacing w:after="0" w:line="269" w:lineRule="auto"/>
        <w:rPr>
          <w:sz w:val="20"/>
          <w:szCs w:val="20"/>
          <w:color w:val="auto"/>
        </w:rPr>
      </w:pPr>
      <w:r>
        <w:rPr>
          <w:rFonts w:ascii="Times New Roman" w:cs="Times New Roman" w:eastAsia="Times New Roman" w:hAnsi="Times New Roman"/>
          <w:sz w:val="17"/>
          <w:szCs w:val="17"/>
          <w:color w:val="auto"/>
        </w:rPr>
        <w:t>Our market opportunity estimates and growth forecasts are subject to significant uncertainty and are based on third-party assumptions and estimates that may not prove to be accurate. The market in which we compete may not meet these size estimates and may not achieve these growth forecasts. Even if the market in which we compete meets such size estimates and the growth forecasts, our business could fail to grow at similar rates, if at all, for a variety of reasons, which would adversely affect our results of operations.</w:t>
      </w:r>
    </w:p>
    <w:p>
      <w:pPr>
        <w:spacing w:after="0" w:line="113" w:lineRule="exact"/>
        <w:rPr>
          <w:sz w:val="20"/>
          <w:szCs w:val="20"/>
          <w:color w:val="auto"/>
        </w:rPr>
      </w:pPr>
    </w:p>
    <w:p>
      <w:pPr>
        <w:ind w:right="3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could incur substantial costs in obtaining, maintaining, protecting, defending or enforcing our intellectual property rights and any failure to obtain, maintain, protect, defend or enforce our intellectual property rights could reduce the value of our software and brand.</w:t>
      </w:r>
    </w:p>
    <w:p>
      <w:pPr>
        <w:spacing w:after="0" w:line="90" w:lineRule="exact"/>
        <w:rPr>
          <w:sz w:val="20"/>
          <w:szCs w:val="20"/>
          <w:color w:val="auto"/>
        </w:rPr>
      </w:pPr>
    </w:p>
    <w:p>
      <w:pPr>
        <w:ind w:right="80" w:firstLine="470"/>
        <w:spacing w:after="0" w:line="263" w:lineRule="auto"/>
        <w:rPr>
          <w:sz w:val="20"/>
          <w:szCs w:val="20"/>
          <w:color w:val="auto"/>
        </w:rPr>
      </w:pPr>
      <w:r>
        <w:rPr>
          <w:rFonts w:ascii="Times New Roman" w:cs="Times New Roman" w:eastAsia="Times New Roman" w:hAnsi="Times New Roman"/>
          <w:sz w:val="17"/>
          <w:szCs w:val="17"/>
          <w:color w:val="auto"/>
        </w:rPr>
        <w:t>Our success and ability to compete depend in part upon our intellectual property rights. As of January 31, 2025, we had 84 issued patents and 47 pending patent applications in the United States. Patent applications may not result in issued patents and even if a patent issues, we cannot assure you that such patent will be adequate to protect our business. In addition to patent protection, we primarily rely on copyright and trademark laws, trade secret protection and confidentiality or other contractual arrangements with our employees, customers, partners and others to protect our intellectual property rights. However, the steps we take to protect our intellectual property rights may not be adequate and we may be unable to detect the unauthorized use of, or prevent third parties from infringing, misappropriating or otherwise violating, our intellectual property rights. In order to protect our intellectual property rights, we may be required to spend significant resources to</w:t>
      </w:r>
    </w:p>
    <w:p>
      <w:pPr>
        <w:spacing w:after="0" w:line="26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7"/>
          <w:szCs w:val="17"/>
          <w:color w:val="auto"/>
        </w:rPr>
        <w:t>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Additionally, because of the substantial amount of discovery required in connection with intellectual property litigation, there is a risk that some of our confidential information could be compromised by disclosure during this type of litigation. An adverse determination of any litigation proceedings could put our intellectual property at risk of being invalidated, interpreted narrowly or held unenforceable and could put our related intellectual property at risk of not issuing or being canceled. The local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Our patent applications and patents arising from any patent applications we may file in the future may never be granted and, even if we are successful in obtaining effective protection, it is expensive to maintain these rights, both in terms of application and maintenance costs, and the time and cost required to defend our rights could be substantial. Additionally, the process of obtaining patent protection is expensive and time-consuming, and we may be unable to prosecute all necessary or desirable patent applications at a reasonable cost or in a timely manner.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w:t>
      </w:r>
    </w:p>
    <w:p>
      <w:pPr>
        <w:spacing w:after="0" w:line="131" w:lineRule="exact"/>
        <w:rPr>
          <w:sz w:val="20"/>
          <w:szCs w:val="20"/>
          <w:color w:val="auto"/>
        </w:rPr>
      </w:pPr>
    </w:p>
    <w:p>
      <w:pPr>
        <w:ind w:firstLine="470"/>
        <w:spacing w:after="0" w:line="263" w:lineRule="auto"/>
        <w:rPr>
          <w:sz w:val="20"/>
          <w:szCs w:val="20"/>
          <w:color w:val="auto"/>
        </w:rPr>
      </w:pPr>
      <w:r>
        <w:rPr>
          <w:rFonts w:ascii="Times New Roman" w:cs="Times New Roman" w:eastAsia="Times New Roman" w:hAnsi="Times New Roman"/>
          <w:sz w:val="17"/>
          <w:szCs w:val="17"/>
          <w:color w:val="auto"/>
        </w:rPr>
        <w:t>In addition, we regularly contribute source code under open source licenses and have made some of our own software available under open source or source available licenses and we include third-party open source software in our products. Because the source code for any software we contribute to open source projects or distribute under open source or source available licenses is 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 See “—Our software incorporates third-party open source software, which could negatively affect our ability to sell our products and subject us to possible litigation.”</w:t>
      </w:r>
    </w:p>
    <w:p>
      <w:pPr>
        <w:spacing w:after="0" w:line="117" w:lineRule="exact"/>
        <w:rPr>
          <w:sz w:val="20"/>
          <w:szCs w:val="20"/>
          <w:color w:val="auto"/>
        </w:rPr>
      </w:pPr>
    </w:p>
    <w:p>
      <w:pPr>
        <w:ind w:right="1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have been and may in the future be, subject to intellectual property rights claims by third parties, which may be costly to defend, could require us to pay significant damages and could limit our ability to use certain technologies.</w:t>
      </w:r>
    </w:p>
    <w:p>
      <w:pPr>
        <w:spacing w:after="0" w:line="90"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Companies in the software and technology industries, including some of our current and potential competitors, own large numbers of patents, copyrights, trademarks and trade secrets and frequently enter into litigation based on allegations of infringement, misappropriation or other violations of intellectual property rights. We have in the past and may in the future be subject to claims that we have misappropriated, misused, infringed or otherwise violated the intellectual property rights of our competitors, non-practicing entities or other third parties. This risk is exacerbated by the fact that our software incorporates third-party open source software.</w:t>
      </w:r>
    </w:p>
    <w:p>
      <w:pPr>
        <w:spacing w:after="0" w:line="119" w:lineRule="exact"/>
        <w:rPr>
          <w:sz w:val="20"/>
          <w:szCs w:val="20"/>
          <w:color w:val="auto"/>
        </w:rPr>
      </w:pPr>
    </w:p>
    <w:p>
      <w:pPr>
        <w:ind w:right="40" w:firstLine="470"/>
        <w:spacing w:after="0" w:line="260" w:lineRule="auto"/>
        <w:rPr>
          <w:sz w:val="20"/>
          <w:szCs w:val="20"/>
          <w:color w:val="auto"/>
        </w:rPr>
      </w:pPr>
      <w:r>
        <w:rPr>
          <w:rFonts w:ascii="Times New Roman" w:cs="Times New Roman" w:eastAsia="Times New Roman" w:hAnsi="Times New Roman"/>
          <w:sz w:val="17"/>
          <w:szCs w:val="17"/>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misappropriate or otherwise violate the intellectual property rights of another party, we could be forced to limit or stop sales of subscriptions to our software and may be unable to compete effectively. In addition, to the extent we hire personnel from competitors, we may be subject to allegations that such personnel have divulged proprietary or other confidential information to us. Further, we may be unaware of the intellectual property rights of others that may cover some or all of our products, and our insurance may not cover intellectual property rights infringement claims that may be made. Any of these results would adversely affect our business, results of operations and financial condition.</w:t>
      </w:r>
    </w:p>
    <w:p>
      <w:pPr>
        <w:spacing w:after="0" w:line="200" w:lineRule="exact"/>
        <w:rPr>
          <w:sz w:val="20"/>
          <w:szCs w:val="20"/>
          <w:color w:val="auto"/>
        </w:rPr>
      </w:pPr>
    </w:p>
    <w:p>
      <w:pPr>
        <w:spacing w:after="0" w:line="28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maintain successful relationships with our partners, our business, results of operations and financial condition could be harmed.</w:t>
      </w:r>
    </w:p>
    <w:p>
      <w:pPr>
        <w:spacing w:after="0" w:line="174" w:lineRule="exact"/>
        <w:rPr>
          <w:sz w:val="20"/>
          <w:szCs w:val="20"/>
          <w:color w:val="auto"/>
        </w:rPr>
      </w:pPr>
    </w:p>
    <w:p>
      <w:pPr>
        <w:ind w:right="60" w:firstLine="470"/>
        <w:spacing w:after="0" w:line="262" w:lineRule="auto"/>
        <w:rPr>
          <w:sz w:val="20"/>
          <w:szCs w:val="20"/>
          <w:color w:val="auto"/>
        </w:rPr>
      </w:pPr>
      <w:r>
        <w:rPr>
          <w:rFonts w:ascii="Times New Roman" w:cs="Times New Roman" w:eastAsia="Times New Roman" w:hAnsi="Times New Roman"/>
          <w:sz w:val="17"/>
          <w:szCs w:val="17"/>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18"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90" w:lineRule="exact"/>
        <w:rPr>
          <w:sz w:val="20"/>
          <w:szCs w:val="20"/>
          <w:color w:val="auto"/>
        </w:rPr>
      </w:pPr>
    </w:p>
    <w:p>
      <w:pPr>
        <w:ind w:firstLine="470"/>
        <w:spacing w:after="0" w:line="259" w:lineRule="auto"/>
        <w:rPr>
          <w:sz w:val="20"/>
          <w:szCs w:val="20"/>
          <w:color w:val="auto"/>
        </w:rPr>
      </w:pPr>
      <w:r>
        <w:rPr>
          <w:rFonts w:ascii="Times New Roman" w:cs="Times New Roman" w:eastAsia="Times New Roman" w:hAnsi="Times New Roman"/>
          <w:sz w:val="17"/>
          <w:szCs w:val="17"/>
          <w:color w:val="auto"/>
        </w:rPr>
        <w:t>We outsource substantially all of the infrastructure relating to MongoDB Atlas across AWS, Microsoft Azure and GCP to host our cloud offering. If the hosting of MongoDB Atlas is disrupted or interfered with for any reason, our business would be negatively impacted. Customers of MongoDB Atlas need to be able to access our platform at any time, without interruption or degradation of performance and we provide them with service level commitments with respect to uptime. Third-party cloud providers run their own 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cyberattacks, or security breaches or other security incidents that we cannot predict or prevent. Such interruptions, delays or outages could lead to the triggering of our service level agreements and the issuance of credits to our cloud offering customers, which may impact our business, results of operations and financial condition. In addition, if we or any of these third-party cloud providers, experience a security breach or other security incident,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23" w:lineRule="exact"/>
        <w:rPr>
          <w:sz w:val="20"/>
          <w:szCs w:val="20"/>
          <w:color w:val="auto"/>
        </w:rPr>
      </w:pPr>
    </w:p>
    <w:p>
      <w:pPr>
        <w:ind w:right="4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Interruptions or performance problems associated with our technology and infrastructure may adversely affect our business, results of operations and financial condition.</w:t>
      </w:r>
    </w:p>
    <w:p>
      <w:pPr>
        <w:spacing w:after="0" w:line="90" w:lineRule="exact"/>
        <w:rPr>
          <w:sz w:val="20"/>
          <w:szCs w:val="20"/>
          <w:color w:val="auto"/>
        </w:rPr>
      </w:pPr>
    </w:p>
    <w:p>
      <w:pPr>
        <w:ind w:right="100" w:firstLine="470"/>
        <w:spacing w:after="0" w:line="262" w:lineRule="auto"/>
        <w:rPr>
          <w:sz w:val="20"/>
          <w:szCs w:val="20"/>
          <w:color w:val="auto"/>
        </w:rPr>
      </w:pPr>
      <w:r>
        <w:rPr>
          <w:rFonts w:ascii="Times New Roman" w:cs="Times New Roman" w:eastAsia="Times New Roman" w:hAnsi="Times New Roman"/>
          <w:sz w:val="17"/>
          <w:szCs w:val="17"/>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security breaches or other security incidents, or capacity constraints. Capacity constraints could be due to a number of potential causes including technical failures, natural disasters, fraud, cyberattacks, data breaches or other security incidents.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18" w:lineRule="exact"/>
        <w:rPr>
          <w:sz w:val="20"/>
          <w:szCs w:val="20"/>
          <w:color w:val="auto"/>
        </w:rPr>
      </w:pPr>
    </w:p>
    <w:p>
      <w:pPr>
        <w:ind w:right="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90" w:lineRule="exact"/>
        <w:rPr>
          <w:sz w:val="20"/>
          <w:szCs w:val="20"/>
          <w:color w:val="auto"/>
        </w:rPr>
      </w:pPr>
    </w:p>
    <w:p>
      <w:pPr>
        <w:ind w:right="200" w:firstLine="470"/>
        <w:spacing w:after="0" w:line="295" w:lineRule="auto"/>
        <w:rPr>
          <w:sz w:val="20"/>
          <w:szCs w:val="20"/>
          <w:color w:val="auto"/>
        </w:rPr>
      </w:pPr>
      <w:r>
        <w:rPr>
          <w:rFonts w:ascii="Times New Roman" w:cs="Times New Roman" w:eastAsia="Times New Roman" w:hAnsi="Times New Roman"/>
          <w:sz w:val="17"/>
          <w:szCs w:val="17"/>
          <w:color w:val="auto"/>
        </w:rPr>
        <w:t>Our database software and related services are designed to be deployed in a wide variety of technology environments, including in large-scale, complex technology environments and we believe our future success will depend at least, in part, on</w:t>
      </w:r>
    </w:p>
    <w:p>
      <w:pPr>
        <w:spacing w:after="0" w:line="23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our ability to support such deployments. Implementations of our software may be technically complicated and it may not be easy to maximize the value of our software without proper implementation and training. For example, industry publications have reported ransomware attacks on MongoDB instances. We believe these attacks were successful due to the failure by users of our Community Server offering to properly turn on the recommended security settings when running these instances.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332" w:lineRule="exact"/>
        <w:rPr>
          <w:sz w:val="20"/>
          <w:szCs w:val="20"/>
          <w:color w:val="auto"/>
        </w:rPr>
      </w:pPr>
    </w:p>
    <w:p>
      <w:pPr>
        <w:ind w:right="120" w:firstLine="470"/>
        <w:spacing w:after="0" w:line="266" w:lineRule="auto"/>
        <w:rPr>
          <w:sz w:val="20"/>
          <w:szCs w:val="20"/>
          <w:color w:val="auto"/>
        </w:rPr>
      </w:pPr>
      <w:r>
        <w:rPr>
          <w:rFonts w:ascii="Times New Roman" w:cs="Times New Roman" w:eastAsia="Times New Roman" w:hAnsi="Times New Roman"/>
          <w:sz w:val="17"/>
          <w:szCs w:val="17"/>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meet our service level commitments, our business, results of operations and financial condition could be adversely affected.</w:t>
      </w:r>
    </w:p>
    <w:p>
      <w:pPr>
        <w:spacing w:after="0" w:line="174" w:lineRule="exact"/>
        <w:rPr>
          <w:sz w:val="20"/>
          <w:szCs w:val="20"/>
          <w:color w:val="auto"/>
        </w:rPr>
      </w:pPr>
    </w:p>
    <w:p>
      <w:pPr>
        <w:ind w:right="160" w:firstLine="470"/>
        <w:spacing w:after="0" w:line="264" w:lineRule="auto"/>
        <w:rPr>
          <w:sz w:val="20"/>
          <w:szCs w:val="20"/>
          <w:color w:val="auto"/>
        </w:rPr>
      </w:pPr>
      <w:r>
        <w:rPr>
          <w:rFonts w:ascii="Times New Roman" w:cs="Times New Roman" w:eastAsia="Times New Roman" w:hAnsi="Times New Roman"/>
          <w:sz w:val="17"/>
          <w:szCs w:val="17"/>
          <w:color w:val="auto"/>
        </w:rPr>
        <w:t>Our agreements with customers typically provide for service level commitments. Our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117" w:lineRule="exact"/>
        <w:rPr>
          <w:sz w:val="20"/>
          <w:szCs w:val="20"/>
          <w:color w:val="auto"/>
        </w:rPr>
      </w:pPr>
    </w:p>
    <w:p>
      <w:pPr>
        <w:ind w:right="4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90"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We believe our success has depended, and continues to depend, on the efforts and talents of our senior management team, particularly our Chief Executive Officer, and our highly skilled team members, including our sales personnel, customer-facing technical personnel and software engineers.</w:t>
      </w:r>
    </w:p>
    <w:p>
      <w:pPr>
        <w:spacing w:after="0" w:line="94" w:lineRule="exact"/>
        <w:rPr>
          <w:sz w:val="20"/>
          <w:szCs w:val="20"/>
          <w:color w:val="auto"/>
        </w:rPr>
      </w:pPr>
    </w:p>
    <w:p>
      <w:pPr>
        <w:ind w:right="60" w:firstLine="470"/>
        <w:spacing w:after="0" w:line="264" w:lineRule="auto"/>
        <w:rPr>
          <w:sz w:val="20"/>
          <w:szCs w:val="20"/>
          <w:color w:val="auto"/>
        </w:rPr>
      </w:pPr>
      <w:r>
        <w:rPr>
          <w:rFonts w:ascii="Times New Roman" w:cs="Times New Roman" w:eastAsia="Times New Roman" w:hAnsi="Times New Roman"/>
          <w:sz w:val="17"/>
          <w:szCs w:val="17"/>
          <w:color w:val="auto"/>
        </w:rPr>
        <w:t>We do not maintain key man insurance on any of our executive officers or key employees. From time to time, there may be changes in our senior management team resulting from the termination or departure of our executive officers and key employees. The majority of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to execute our business plan and to execute against our market opportunity. We may not be able to find adequate replacements. We cannot ensure that we will be able to retain the services of any members of our senior management or other key employees.</w:t>
      </w:r>
    </w:p>
    <w:p>
      <w:pPr>
        <w:spacing w:after="0" w:line="121" w:lineRule="exact"/>
        <w:rPr>
          <w:sz w:val="20"/>
          <w:szCs w:val="20"/>
          <w:color w:val="auto"/>
        </w:rPr>
      </w:pPr>
    </w:p>
    <w:p>
      <w:pPr>
        <w:ind w:right="280" w:firstLine="470"/>
        <w:spacing w:after="0" w:line="295" w:lineRule="auto"/>
        <w:rPr>
          <w:sz w:val="20"/>
          <w:szCs w:val="20"/>
          <w:color w:val="auto"/>
        </w:rPr>
      </w:pPr>
      <w:r>
        <w:rPr>
          <w:rFonts w:ascii="Times New Roman" w:cs="Times New Roman" w:eastAsia="Times New Roman" w:hAnsi="Times New Roman"/>
          <w:sz w:val="17"/>
          <w:szCs w:val="17"/>
          <w:color w:val="auto"/>
        </w:rPr>
        <w:t>Further, if members of our management and other key personnel in critical functions across our organization are unable to perform their duties or have limited availability, we may not be able to execute on our business strategy and/or our operations may be negatively impacted.</w:t>
      </w:r>
    </w:p>
    <w:p>
      <w:pPr>
        <w:spacing w:after="0" w:line="94" w:lineRule="exact"/>
        <w:rPr>
          <w:sz w:val="20"/>
          <w:szCs w:val="20"/>
          <w:color w:val="auto"/>
        </w:rPr>
      </w:pPr>
    </w:p>
    <w:p>
      <w:pPr>
        <w:ind w:right="40" w:firstLine="470"/>
        <w:spacing w:after="0" w:line="262" w:lineRule="auto"/>
        <w:rPr>
          <w:sz w:val="20"/>
          <w:szCs w:val="20"/>
          <w:color w:val="auto"/>
        </w:rPr>
      </w:pPr>
      <w:r>
        <w:rPr>
          <w:rFonts w:ascii="Times New Roman" w:cs="Times New Roman" w:eastAsia="Times New Roman" w:hAnsi="Times New Roman"/>
          <w:sz w:val="17"/>
          <w:szCs w:val="17"/>
          <w:color w:val="auto"/>
        </w:rPr>
        <w:t>Our ability to successfully pursue our growth strategy and compete effectively also depends on our ability to attract, motivate and retain our personnel. Competition for well-qualified employees in all aspects of our business, including sales personnel, customer-facing technical personnel and software engineers, is intense, and it may be even more challenging to retain qualified personnel as many companies have moved to offer a remote or hybrid work environment. Our recruiting efforts focus on elite organizations and our primary recruiting competition are well-known, high-paying technology companies. In response to competition, rising inflation rates and labor shortages, we may need to adjust employee compensation, which could affect our operating costs and margins, as well as potentially cause dilution to existing stockholders. We may also lose new employees to our competitors or other technology companies before we realize the benefit of our investment in recruiting and training them. If we do not succeed in attracting well-qualified employees or retaining and motivating existing employees, our business would be adversely affected.</w:t>
      </w:r>
    </w:p>
    <w:p>
      <w:pPr>
        <w:spacing w:after="0" w:line="26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not able to maintain and enhance our brand, especially among developers, our business and results of operations may be adversely affected.</w:t>
      </w:r>
    </w:p>
    <w:p>
      <w:pPr>
        <w:spacing w:after="0" w:line="174" w:lineRule="exact"/>
        <w:rPr>
          <w:sz w:val="20"/>
          <w:szCs w:val="20"/>
          <w:color w:val="auto"/>
        </w:rPr>
      </w:pPr>
    </w:p>
    <w:p>
      <w:pPr>
        <w:ind w:right="140" w:firstLine="470"/>
        <w:spacing w:after="0" w:line="263" w:lineRule="auto"/>
        <w:rPr>
          <w:sz w:val="20"/>
          <w:szCs w:val="20"/>
          <w:color w:val="auto"/>
        </w:rPr>
      </w:pPr>
      <w:r>
        <w:rPr>
          <w:rFonts w:ascii="Times New Roman" w:cs="Times New Roman" w:eastAsia="Times New Roman" w:hAnsi="Times New Roman"/>
          <w:sz w:val="17"/>
          <w:szCs w:val="17"/>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 revenue and even if they do, any increase in revenue may not offset the expenses we incur in building our brand. For instance, our continued focus and investment in MongoDB.local events,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17"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corporate culture has contributed to our success and if we cannot continue to maintain and develop this culture as we grow and evolve, we may be unable to execute effectively and could lose the innovation, creativity and entrepreneurial spirit we have worked hard to foster, which could harm our business.</w:t>
      </w:r>
    </w:p>
    <w:p>
      <w:pPr>
        <w:spacing w:after="0" w:line="109" w:lineRule="exact"/>
        <w:rPr>
          <w:sz w:val="20"/>
          <w:szCs w:val="20"/>
          <w:color w:val="auto"/>
        </w:rPr>
      </w:pPr>
    </w:p>
    <w:p>
      <w:pPr>
        <w:ind w:right="100" w:firstLine="470"/>
        <w:spacing w:after="0" w:line="276" w:lineRule="auto"/>
        <w:rPr>
          <w:sz w:val="20"/>
          <w:szCs w:val="20"/>
          <w:color w:val="auto"/>
        </w:rPr>
      </w:pPr>
      <w:r>
        <w:rPr>
          <w:rFonts w:ascii="Times New Roman" w:cs="Times New Roman" w:eastAsia="Times New Roman" w:hAnsi="Times New Roman"/>
          <w:sz w:val="17"/>
          <w:szCs w:val="17"/>
          <w:color w:val="auto"/>
        </w:rPr>
        <w:t>We believe that our culture has been and will continue to be a key contributor to our success. Our workforce has increased significantly from January 31, 2017 and we expect to continue to hire as we expand, especially among research and development and sales and marketing personnel. Such headcount growth may result in a change to our corporate culture.</w:t>
      </w:r>
    </w:p>
    <w:p>
      <w:pPr>
        <w:spacing w:after="0" w:line="110" w:lineRule="exact"/>
        <w:rPr>
          <w:sz w:val="20"/>
          <w:szCs w:val="20"/>
          <w:color w:val="auto"/>
        </w:rPr>
      </w:pPr>
    </w:p>
    <w:p>
      <w:pPr>
        <w:ind w:right="100" w:firstLine="470"/>
        <w:spacing w:after="0" w:line="269" w:lineRule="auto"/>
        <w:rPr>
          <w:sz w:val="20"/>
          <w:szCs w:val="20"/>
          <w:color w:val="auto"/>
        </w:rPr>
      </w:pPr>
      <w:r>
        <w:rPr>
          <w:rFonts w:ascii="Times New Roman" w:cs="Times New Roman" w:eastAsia="Times New Roman" w:hAnsi="Times New Roman"/>
          <w:sz w:val="17"/>
          <w:szCs w:val="17"/>
          <w:color w:val="auto"/>
        </w:rPr>
        <w:t>Our leadership team also plays a key role in our corporate culture. We may recruit and hire other senior executives in the future. Such management changes subject us to a number of risks, such as risks pertaining to coordination of responsibilities and tasks, creation of new management systems and processes, differences in management style, any of which could adversely impact our corporate culture. In addition, we may need to adapt our corporate culture and work environments to changing circumstances, such as during times of a natural disaster or pandemic.</w:t>
      </w:r>
    </w:p>
    <w:p>
      <w:pPr>
        <w:spacing w:after="0" w:line="117" w:lineRule="exact"/>
        <w:rPr>
          <w:sz w:val="20"/>
          <w:szCs w:val="20"/>
          <w:color w:val="auto"/>
        </w:rPr>
      </w:pPr>
    </w:p>
    <w:p>
      <w:pPr>
        <w:ind w:right="340" w:firstLine="470"/>
        <w:spacing w:after="0" w:line="295" w:lineRule="auto"/>
        <w:rPr>
          <w:sz w:val="20"/>
          <w:szCs w:val="20"/>
          <w:color w:val="auto"/>
        </w:rPr>
      </w:pPr>
      <w:r>
        <w:rPr>
          <w:rFonts w:ascii="Times New Roman" w:cs="Times New Roman" w:eastAsia="Times New Roman" w:hAnsi="Times New Roman"/>
          <w:sz w:val="17"/>
          <w:szCs w:val="17"/>
          <w:color w:val="auto"/>
        </w:rPr>
        <w:t>If we do not continue to maintain and develop our corporate culture, we may be unable to execute effectively and foster the innovation, creativity and entrepreneurial spirit we believe we need to support our growth, which could harm our business.</w:t>
      </w:r>
    </w:p>
    <w:p>
      <w:pPr>
        <w:spacing w:after="0" w:line="90"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depend and rely upon SaaS technologies from third parties to operate our business and interruptions or performance problems with these technologies may adversely affect our business and results of operations.</w:t>
      </w:r>
    </w:p>
    <w:p>
      <w:pPr>
        <w:spacing w:after="0" w:line="90" w:lineRule="exact"/>
        <w:rPr>
          <w:sz w:val="20"/>
          <w:szCs w:val="20"/>
          <w:color w:val="auto"/>
        </w:rPr>
      </w:pPr>
    </w:p>
    <w:p>
      <w:pPr>
        <w:ind w:right="100" w:firstLine="470"/>
        <w:spacing w:after="0" w:line="266" w:lineRule="auto"/>
        <w:rPr>
          <w:sz w:val="20"/>
          <w:szCs w:val="20"/>
          <w:color w:val="auto"/>
        </w:rPr>
      </w:pPr>
      <w:r>
        <w:rPr>
          <w:rFonts w:ascii="Times New Roman" w:cs="Times New Roman" w:eastAsia="Times New Roman" w:hAnsi="Times New Roman"/>
          <w:sz w:val="17"/>
          <w:szCs w:val="17"/>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Indemnity provisions in various agreements could expose us to substantial liability for data breaches, intellectual property infringement and other losses.</w:t>
      </w:r>
    </w:p>
    <w:p>
      <w:pPr>
        <w:spacing w:after="0" w:line="174" w:lineRule="exact"/>
        <w:rPr>
          <w:sz w:val="20"/>
          <w:szCs w:val="20"/>
          <w:color w:val="auto"/>
        </w:rPr>
      </w:pPr>
    </w:p>
    <w:p>
      <w:pPr>
        <w:ind w:right="20" w:firstLine="470"/>
        <w:spacing w:after="0" w:line="264" w:lineRule="auto"/>
        <w:rPr>
          <w:sz w:val="20"/>
          <w:szCs w:val="20"/>
          <w:color w:val="auto"/>
        </w:rPr>
      </w:pPr>
      <w:r>
        <w:rPr>
          <w:rFonts w:ascii="Times New Roman" w:cs="Times New Roman" w:eastAsia="Times New Roman" w:hAnsi="Times New Roman"/>
          <w:sz w:val="17"/>
          <w:szCs w:val="17"/>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security breaches or other security incidents, or other liabilities relating to or arising from our software, services or other contractual obligations. Large indemnity payments could harm our business, results of operations and financial condition. 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17"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Because our long-term growth strategy involves sales to customers outside the United States, our business is susceptible to risks associated with international operations.</w:t>
      </w:r>
    </w:p>
    <w:p>
      <w:pPr>
        <w:spacing w:after="0" w:line="90" w:lineRule="exact"/>
        <w:rPr>
          <w:sz w:val="20"/>
          <w:szCs w:val="20"/>
          <w:color w:val="auto"/>
        </w:rPr>
      </w:pPr>
    </w:p>
    <w:p>
      <w:pPr>
        <w:ind w:right="120" w:firstLine="470"/>
        <w:spacing w:after="0" w:line="273" w:lineRule="auto"/>
        <w:rPr>
          <w:sz w:val="20"/>
          <w:szCs w:val="20"/>
          <w:color w:val="auto"/>
        </w:rPr>
      </w:pPr>
      <w:r>
        <w:rPr>
          <w:rFonts w:ascii="Times New Roman" w:cs="Times New Roman" w:eastAsia="Times New Roman" w:hAnsi="Times New Roman"/>
          <w:sz w:val="17"/>
          <w:szCs w:val="17"/>
          <w:color w:val="auto"/>
        </w:rPr>
        <w:t>A significant portion of our revenue is derived internationally and we are susceptible to risks related to our international operations. In the fiscal years ended January 31, 2025, 2024 and 2023, total revenue generated from customers outside the United States was 46%, 46% and 45%, respectively, of our total revenue. We currently have international offices outside of North America in Europe, the Middle East and Africa (“EMEA”), the Asia-Pacific region and South America,</w:t>
      </w:r>
    </w:p>
    <w:p>
      <w:pPr>
        <w:spacing w:after="0" w:line="200" w:lineRule="exact"/>
        <w:rPr>
          <w:sz w:val="20"/>
          <w:szCs w:val="20"/>
          <w:color w:val="auto"/>
        </w:rPr>
      </w:pPr>
    </w:p>
    <w:p>
      <w:pPr>
        <w:spacing w:after="0" w:line="27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focusing primarily on selling our products and services in those regions. In addition, we expanded our reach in China in February 2021 when we announced a global partnership with Tencent Cloud that allows customers to easily adopt and use MongoDB-as-a-Service across Tencent’s global cloud infrastructure. In the future, we may continue to expand our presence in these regions or expand into other international locations. Our current international operations and future initiatives involve a variety of risks, including risks associated with:</w:t>
      </w:r>
    </w:p>
    <w:p>
      <w:pPr>
        <w:spacing w:after="0" w:line="117" w:lineRule="exact"/>
        <w:rPr>
          <w:sz w:val="20"/>
          <w:szCs w:val="20"/>
          <w:color w:val="auto"/>
        </w:rPr>
      </w:pPr>
    </w:p>
    <w:p>
      <w:pPr>
        <w:ind w:left="940" w:hanging="465"/>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 specific country’s or region’s political or economic conditions;</w:t>
      </w:r>
    </w:p>
    <w:p>
      <w:pPr>
        <w:spacing w:after="0" w:line="170"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adapt and localize our products for specific countries;</w:t>
      </w:r>
    </w:p>
    <w:p>
      <w:pPr>
        <w:spacing w:after="0" w:line="170"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difficulty collecting accounts receivable and longer payment cycles;</w:t>
      </w:r>
    </w:p>
    <w:p>
      <w:pPr>
        <w:spacing w:after="0" w:line="170"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laws, regulatory requirements, taxes or trade laws;</w:t>
      </w:r>
    </w:p>
    <w:p>
      <w:pPr>
        <w:spacing w:after="0" w:line="170" w:lineRule="exact"/>
        <w:rPr>
          <w:rFonts w:ascii="Times New Roman" w:cs="Times New Roman" w:eastAsia="Times New Roman" w:hAnsi="Times New Roman"/>
          <w:sz w:val="17"/>
          <w:szCs w:val="17"/>
          <w:color w:val="auto"/>
        </w:rPr>
      </w:pPr>
    </w:p>
    <w:p>
      <w:pPr>
        <w:ind w:left="940" w:right="580" w:hanging="465"/>
        <w:spacing w:after="0" w:line="295"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shelter-in-place, occupancy limitations or similar orders, private travel limitation, or business disruption in regions affecting our operations, stemming from actual, imminent or perceived outbreak of contagious disease;</w:t>
      </w:r>
    </w:p>
    <w:p>
      <w:pPr>
        <w:spacing w:after="0" w:line="94" w:lineRule="exact"/>
        <w:rPr>
          <w:rFonts w:ascii="Times New Roman" w:cs="Times New Roman" w:eastAsia="Times New Roman" w:hAnsi="Times New Roman"/>
          <w:sz w:val="17"/>
          <w:szCs w:val="17"/>
          <w:color w:val="auto"/>
        </w:rPr>
      </w:pPr>
    </w:p>
    <w:p>
      <w:pPr>
        <w:ind w:left="940" w:right="840" w:hanging="465"/>
        <w:spacing w:after="0" w:line="295"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stringent regulations relating to data privacy and security and the unauthorized use of, or access to, commercial and personal data, particularly in EMEA;</w:t>
      </w:r>
    </w:p>
    <w:p>
      <w:pPr>
        <w:spacing w:after="0" w:line="94" w:lineRule="exact"/>
        <w:rPr>
          <w:rFonts w:ascii="Times New Roman" w:cs="Times New Roman" w:eastAsia="Times New Roman" w:hAnsi="Times New Roman"/>
          <w:sz w:val="17"/>
          <w:szCs w:val="17"/>
          <w:color w:val="auto"/>
        </w:rPr>
      </w:pPr>
    </w:p>
    <w:p>
      <w:pPr>
        <w:ind w:left="940" w:right="20" w:hanging="465"/>
        <w:spacing w:after="0" w:line="295"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labor regulations, especially in EMEA, where labor laws are generally more advantageous to employees as compared to the United States, including deemed hourly wage and overtime regulations in these locations;</w:t>
      </w:r>
    </w:p>
    <w:p>
      <w:pPr>
        <w:spacing w:after="0" w:line="94" w:lineRule="exact"/>
        <w:rPr>
          <w:rFonts w:ascii="Times New Roman" w:cs="Times New Roman" w:eastAsia="Times New Roman" w:hAnsi="Times New Roman"/>
          <w:sz w:val="17"/>
          <w:szCs w:val="17"/>
          <w:color w:val="auto"/>
        </w:rPr>
      </w:pPr>
    </w:p>
    <w:p>
      <w:pPr>
        <w:ind w:left="940" w:right="240" w:hanging="465"/>
        <w:spacing w:after="0" w:line="295"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inherent in efficiently managing an increased number of employees over large geographic distances, including the need to implement appropriate systems, policies, benefits and compliance programs;</w:t>
      </w:r>
    </w:p>
    <w:p>
      <w:pPr>
        <w:spacing w:after="0" w:line="94" w:lineRule="exact"/>
        <w:rPr>
          <w:rFonts w:ascii="Times New Roman" w:cs="Times New Roman" w:eastAsia="Times New Roman" w:hAnsi="Times New Roman"/>
          <w:sz w:val="17"/>
          <w:szCs w:val="17"/>
          <w:color w:val="auto"/>
        </w:rPr>
      </w:pPr>
    </w:p>
    <w:p>
      <w:pPr>
        <w:ind w:left="940" w:right="560" w:hanging="465"/>
        <w:spacing w:after="0" w:line="295"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a business in new markets with diverse cultures, languages, customs, legal systems, alternative dispute systems and regulatory systems;</w:t>
      </w:r>
    </w:p>
    <w:p>
      <w:pPr>
        <w:spacing w:after="0" w:line="94"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costs associated with international operations, including travel, real estate, infrastructure and legal compliance costs;</w:t>
      </w:r>
    </w:p>
    <w:p>
      <w:pPr>
        <w:spacing w:after="0" w:line="170" w:lineRule="exact"/>
        <w:rPr>
          <w:rFonts w:ascii="Times New Roman" w:cs="Times New Roman" w:eastAsia="Times New Roman" w:hAnsi="Times New Roman"/>
          <w:sz w:val="17"/>
          <w:szCs w:val="17"/>
          <w:color w:val="auto"/>
        </w:rPr>
      </w:pPr>
    </w:p>
    <w:p>
      <w:pPr>
        <w:ind w:left="940" w:right="40" w:hanging="465"/>
        <w:spacing w:after="0" w:line="295"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exchange rate fluctuations and the resulting effect on our revenue and expenses and the cost and risk of entering into hedging transactions if we chose to do so in the future;</w:t>
      </w:r>
    </w:p>
    <w:p>
      <w:pPr>
        <w:spacing w:after="0" w:line="94"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other economic factors, including inflation, pricing and currency devaluation;</w:t>
      </w:r>
    </w:p>
    <w:p>
      <w:pPr>
        <w:spacing w:after="0" w:line="170"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our ability to reinvest earnings from operations in one country to fund the capital needs of our operations in other countries;</w:t>
      </w:r>
    </w:p>
    <w:p>
      <w:pPr>
        <w:spacing w:after="0" w:line="170"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competitors or general preferences for local vendors;</w:t>
      </w:r>
    </w:p>
    <w:p>
      <w:pPr>
        <w:spacing w:after="0" w:line="170" w:lineRule="exact"/>
        <w:rPr>
          <w:rFonts w:ascii="Times New Roman" w:cs="Times New Roman" w:eastAsia="Times New Roman" w:hAnsi="Times New Roman"/>
          <w:sz w:val="17"/>
          <w:szCs w:val="17"/>
          <w:color w:val="auto"/>
        </w:rPr>
      </w:pPr>
    </w:p>
    <w:p>
      <w:pPr>
        <w:ind w:left="940" w:right="980" w:hanging="465"/>
        <w:spacing w:after="0" w:line="295"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new, developing or other markets in which there are significant uncertainties regarding the interpretation, application and enforceability of laws and regulations, including relating to contract and intellectual property rights;</w:t>
      </w:r>
    </w:p>
    <w:p>
      <w:pPr>
        <w:spacing w:after="0" w:line="94"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or insufficient intellectual property protection or difficulties enforcing our intellectual property;</w:t>
      </w:r>
    </w:p>
    <w:p>
      <w:pPr>
        <w:spacing w:after="0" w:line="170" w:lineRule="exact"/>
        <w:rPr>
          <w:rFonts w:ascii="Times New Roman" w:cs="Times New Roman" w:eastAsia="Times New Roman" w:hAnsi="Times New Roman"/>
          <w:sz w:val="17"/>
          <w:szCs w:val="17"/>
          <w:color w:val="auto"/>
        </w:rPr>
      </w:pPr>
    </w:p>
    <w:p>
      <w:pPr>
        <w:ind w:left="940" w:hanging="465"/>
        <w:spacing w:after="0" w:line="276"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instability, including any escalation in the geopolitical tensions between China and Taiwan, social unrest, terrorist activities, acts of civil or international hostility, such as the current military conflict and escalating tensions between Russia and Ukraine, natural disasters or regional or global outbreaks of contagious diseases, such as the COVID-19 pandemic;</w:t>
      </w:r>
    </w:p>
    <w:p>
      <w:pPr>
        <w:spacing w:after="0" w:line="109" w:lineRule="exact"/>
        <w:rPr>
          <w:rFonts w:ascii="Times New Roman" w:cs="Times New Roman" w:eastAsia="Times New Roman" w:hAnsi="Times New Roman"/>
          <w:sz w:val="17"/>
          <w:szCs w:val="17"/>
          <w:color w:val="auto"/>
        </w:rPr>
      </w:pPr>
    </w:p>
    <w:p>
      <w:pPr>
        <w:ind w:left="940" w:right="200" w:hanging="465"/>
        <w:spacing w:after="0" w:line="295" w:lineRule="auto"/>
        <w:tabs>
          <w:tab w:leader="none" w:pos="9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exposure to liabilities under anti-corruption and anti-money laundering laws, including the U.S. Foreign Corrupt Practices Act, U.K. Bribery Act and similar laws and regulations in other jurisdictions; and</w:t>
      </w:r>
    </w:p>
    <w:p>
      <w:pPr>
        <w:spacing w:after="0" w:line="94"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tax burdens and foreign exchange controls that could make it difficult to repatriate earnings and cash.</w:t>
      </w:r>
    </w:p>
    <w:p>
      <w:pPr>
        <w:spacing w:after="0" w:line="170" w:lineRule="exact"/>
        <w:rPr>
          <w:sz w:val="20"/>
          <w:szCs w:val="20"/>
          <w:color w:val="auto"/>
        </w:rPr>
      </w:pPr>
    </w:p>
    <w:p>
      <w:pPr>
        <w:ind w:right="60" w:firstLine="470"/>
        <w:spacing w:after="0" w:line="276" w:lineRule="auto"/>
        <w:rPr>
          <w:sz w:val="20"/>
          <w:szCs w:val="20"/>
          <w:color w:val="auto"/>
        </w:rPr>
      </w:pPr>
      <w:r>
        <w:rPr>
          <w:rFonts w:ascii="Times New Roman" w:cs="Times New Roman" w:eastAsia="Times New Roman" w:hAnsi="Times New Roman"/>
          <w:sz w:val="17"/>
          <w:szCs w:val="17"/>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results of operations will suffer.</w:t>
      </w:r>
    </w:p>
    <w:p>
      <w:pPr>
        <w:spacing w:after="0" w:line="25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4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government trade policies, including the imposition of tariffs and other trade barriers, could limit our ability to sell our products to certain customers and certain markets, which could adversely affect our business, financial condition and results of operations.</w:t>
      </w:r>
    </w:p>
    <w:p>
      <w:pPr>
        <w:spacing w:after="0" w:line="90"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The United States or foreign governments may take administrative, legislative or regulatory action that could materially interfere with our ability to sell our offerings in certain countries. For instance, there is currently significant uncertainty about the future relationship between the United States and China with respect to trade policies, treaties, tariffs and taxes. If tariffs or other trade barriers are placed on offerings such as ours, this could have a direct or indirect adverse effect on our business. Even in the absence of tariffs or other trade barriers, the related uncertainty and the market's fears relating to international trade might result in lower demand for our offerings, which could adversely affect our business, financial condition and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currency exchange rates fluctuate substantially in the future, our financial results, which are reported in U.S. dollars, could be adversely affected.</w:t>
      </w:r>
    </w:p>
    <w:p>
      <w:pPr>
        <w:spacing w:after="0" w:line="174"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 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21"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90" w:lineRule="exact"/>
        <w:rPr>
          <w:sz w:val="20"/>
          <w:szCs w:val="20"/>
          <w:color w:val="auto"/>
        </w:rPr>
      </w:pPr>
    </w:p>
    <w:p>
      <w:pPr>
        <w:ind w:right="40" w:firstLine="470"/>
        <w:spacing w:after="0" w:line="264" w:lineRule="auto"/>
        <w:rPr>
          <w:sz w:val="20"/>
          <w:szCs w:val="20"/>
          <w:color w:val="auto"/>
        </w:rPr>
      </w:pPr>
      <w:r>
        <w:rPr>
          <w:rFonts w:ascii="Times New Roman" w:cs="Times New Roman" w:eastAsia="Times New Roman" w:hAnsi="Times New Roman"/>
          <w:sz w:val="17"/>
          <w:szCs w:val="17"/>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21"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a variety of evolving data security threats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15" w:lineRule="exact"/>
        <w:rPr>
          <w:sz w:val="20"/>
          <w:szCs w:val="20"/>
          <w:color w:val="auto"/>
        </w:rPr>
      </w:pPr>
    </w:p>
    <w:p>
      <w:pPr>
        <w:ind w:right="4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90" w:lineRule="exact"/>
        <w:rPr>
          <w:sz w:val="20"/>
          <w:szCs w:val="20"/>
          <w:color w:val="auto"/>
        </w:rPr>
      </w:pPr>
    </w:p>
    <w:p>
      <w:pPr>
        <w:ind w:right="80" w:firstLine="470"/>
        <w:spacing w:after="0" w:line="263" w:lineRule="auto"/>
        <w:rPr>
          <w:sz w:val="20"/>
          <w:szCs w:val="20"/>
          <w:color w:val="auto"/>
        </w:rPr>
      </w:pPr>
      <w:r>
        <w:rPr>
          <w:rFonts w:ascii="Times New Roman" w:cs="Times New Roman" w:eastAsia="Times New Roman" w:hAnsi="Times New Roman"/>
          <w:sz w:val="17"/>
          <w:szCs w:val="17"/>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w:t>
      </w:r>
    </w:p>
    <w:p>
      <w:pPr>
        <w:spacing w:after="0" w:line="26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520"/>
        <w:spacing w:after="0" w:line="295" w:lineRule="auto"/>
        <w:rPr>
          <w:sz w:val="20"/>
          <w:szCs w:val="20"/>
          <w:color w:val="auto"/>
        </w:rPr>
      </w:pPr>
      <w:r>
        <w:rPr>
          <w:rFonts w:ascii="Times New Roman" w:cs="Times New Roman" w:eastAsia="Times New Roman" w:hAnsi="Times New Roman"/>
          <w:sz w:val="17"/>
          <w:szCs w:val="17"/>
          <w:color w:val="auto"/>
        </w:rPr>
        <w:t>disagreement was to occur and our position was not sustained, we could be required to pay additional taxes and interest and penalties. Any increase in the amount of taxes we pay or that are imposed on us could increase our worldwide effective tax rate and harm our business and results of operations.</w:t>
      </w:r>
    </w:p>
    <w:p>
      <w:pPr>
        <w:spacing w:after="0" w:line="9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have completed acquisitions in the past and may in the future expand through acquisitions or investments in strategic partnerships, each of which may divert our management’s attention, result in additional dilution to our stockholders, increase expenses, disrupt our operations, and harm our results of operations.</w:t>
      </w:r>
    </w:p>
    <w:p>
      <w:pPr>
        <w:spacing w:after="0" w:line="168" w:lineRule="exact"/>
        <w:rPr>
          <w:sz w:val="20"/>
          <w:szCs w:val="20"/>
          <w:color w:val="auto"/>
        </w:rPr>
      </w:pPr>
    </w:p>
    <w:p>
      <w:pPr>
        <w:ind w:right="120" w:firstLine="470"/>
        <w:spacing w:after="0" w:line="253" w:lineRule="auto"/>
        <w:rPr>
          <w:sz w:val="20"/>
          <w:szCs w:val="20"/>
          <w:color w:val="auto"/>
        </w:rPr>
      </w:pPr>
      <w:r>
        <w:rPr>
          <w:rFonts w:ascii="Times New Roman" w:cs="Times New Roman" w:eastAsia="Times New Roman" w:hAnsi="Times New Roman"/>
          <w:sz w:val="17"/>
          <w:szCs w:val="17"/>
          <w:color w:val="auto"/>
        </w:rPr>
        <w:t>Our success will depend, in part, on our ability to grow our business in response to changing technologies, customer demands and competitive pressures. We have in the past acquired, and we may in the future expand through, acquisitions or investments in products or technologies that we believe could complement or expand our platform, enhance our technical capabilities or otherwise offer growth opportunities. The identification of suitable acquisition candidates can be difficult, time-consuming and costly and we may not be able to successfully complete identified acquisitions.</w:t>
      </w:r>
    </w:p>
    <w:p>
      <w:pPr>
        <w:spacing w:after="0" w:line="2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risks we face in connection with any acquisitions or strategic investments include:</w:t>
      </w:r>
    </w:p>
    <w:p>
      <w:pPr>
        <w:spacing w:after="0" w:line="170" w:lineRule="exact"/>
        <w:rPr>
          <w:sz w:val="20"/>
          <w:szCs w:val="20"/>
          <w:color w:val="auto"/>
        </w:rPr>
      </w:pPr>
    </w:p>
    <w:p>
      <w:pPr>
        <w:ind w:left="640" w:hanging="322"/>
        <w:spacing w:after="0" w:line="276" w:lineRule="auto"/>
        <w:tabs>
          <w:tab w:leader="none" w:pos="6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of incurring charges or assuming substantial debt or other liabilities, which may cause adverse tax consequences or unfavorable accounting treatment, and which may expose us to claims and disputes by stockholders and third parties, including intellectual property claims and disputes, or which may not generate sufficient financial return to offset additional costs and expenses related to the acquisition or strategic investment;</w:t>
      </w:r>
    </w:p>
    <w:p>
      <w:pPr>
        <w:spacing w:after="0" w:line="57" w:lineRule="exact"/>
        <w:rPr>
          <w:rFonts w:ascii="Times New Roman" w:cs="Times New Roman" w:eastAsia="Times New Roman" w:hAnsi="Times New Roman"/>
          <w:sz w:val="17"/>
          <w:szCs w:val="17"/>
          <w:color w:val="auto"/>
        </w:rPr>
      </w:pPr>
    </w:p>
    <w:p>
      <w:pPr>
        <w:ind w:left="640" w:right="200" w:hanging="322"/>
        <w:spacing w:after="0" w:line="295" w:lineRule="auto"/>
        <w:tabs>
          <w:tab w:leader="none" w:pos="6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difficulties or unforeseen expenditures in integrating the business, technologies, products, personnel or operations of any company that we acquire or invest in, particularly if key personnel of the acquired company decide not to work for us;</w:t>
      </w:r>
    </w:p>
    <w:p>
      <w:pPr>
        <w:spacing w:after="0" w:line="4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realize anticipated synergies;</w:t>
      </w:r>
    </w:p>
    <w:p>
      <w:pPr>
        <w:spacing w:after="0" w:line="118"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or strategic investment may disrupt our ongoing business, divert resources, increase our expenses and distract our management;</w:t>
      </w:r>
    </w:p>
    <w:p>
      <w:pPr>
        <w:spacing w:after="0" w:line="118" w:lineRule="exact"/>
        <w:rPr>
          <w:rFonts w:ascii="Times New Roman" w:cs="Times New Roman" w:eastAsia="Times New Roman" w:hAnsi="Times New Roman"/>
          <w:sz w:val="17"/>
          <w:szCs w:val="17"/>
          <w:color w:val="auto"/>
        </w:rPr>
      </w:pPr>
    </w:p>
    <w:p>
      <w:pPr>
        <w:ind w:left="640" w:right="220" w:hanging="322"/>
        <w:spacing w:after="0" w:line="295" w:lineRule="auto"/>
        <w:tabs>
          <w:tab w:leader="none" w:pos="6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result in a delay or reduction of customer purchases for both us and the company acquired due to customer uncertainty about continuity and effectiveness of service from either company and we may experience increased customer churn with respect to the company acquired;</w:t>
      </w:r>
    </w:p>
    <w:p>
      <w:pPr>
        <w:spacing w:after="0" w:line="4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challenges integrating the employees of the acquired company into our company culture;</w:t>
      </w:r>
    </w:p>
    <w:p>
      <w:pPr>
        <w:spacing w:after="0" w:line="118" w:lineRule="exact"/>
        <w:rPr>
          <w:rFonts w:ascii="Times New Roman" w:cs="Times New Roman" w:eastAsia="Times New Roman" w:hAnsi="Times New Roman"/>
          <w:sz w:val="17"/>
          <w:szCs w:val="17"/>
          <w:color w:val="auto"/>
        </w:rPr>
      </w:pPr>
    </w:p>
    <w:p>
      <w:pPr>
        <w:ind w:left="640" w:right="120" w:hanging="322"/>
        <w:spacing w:after="0" w:line="295" w:lineRule="auto"/>
        <w:tabs>
          <w:tab w:leader="none" w:pos="6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international transactions, we may face additional challenges related to the integration of operations across different cultures and languages and the economic, political and regulatory risks associated with specific countries;</w:t>
      </w:r>
    </w:p>
    <w:p>
      <w:pPr>
        <w:spacing w:after="0" w:line="42" w:lineRule="exact"/>
        <w:rPr>
          <w:rFonts w:ascii="Times New Roman" w:cs="Times New Roman" w:eastAsia="Times New Roman" w:hAnsi="Times New Roman"/>
          <w:sz w:val="17"/>
          <w:szCs w:val="17"/>
          <w:color w:val="auto"/>
        </w:rPr>
      </w:pPr>
    </w:p>
    <w:p>
      <w:pPr>
        <w:ind w:left="640" w:right="700" w:hanging="322"/>
        <w:spacing w:after="0" w:line="295" w:lineRule="auto"/>
        <w:tabs>
          <w:tab w:leader="none" w:pos="6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successfully sell any acquired products or increase adoption or usage of acquired products, or increase spend by acquired customers;</w:t>
      </w:r>
    </w:p>
    <w:p>
      <w:pPr>
        <w:spacing w:after="0" w:line="42"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use of cash to pay for acquisitions or strategic investment would limit other potential uses for our cash;</w:t>
      </w:r>
    </w:p>
    <w:p>
      <w:pPr>
        <w:spacing w:after="0" w:line="118" w:lineRule="exact"/>
        <w:rPr>
          <w:rFonts w:ascii="Times New Roman" w:cs="Times New Roman" w:eastAsia="Times New Roman" w:hAnsi="Times New Roman"/>
          <w:sz w:val="17"/>
          <w:szCs w:val="17"/>
          <w:color w:val="auto"/>
        </w:rPr>
      </w:pPr>
    </w:p>
    <w:p>
      <w:pPr>
        <w:ind w:left="640" w:right="300" w:hanging="322"/>
        <w:spacing w:after="0" w:line="295" w:lineRule="auto"/>
        <w:tabs>
          <w:tab w:leader="none" w:pos="6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incur debt to fund any acquisitions, such debt may subject us to material restrictions on our ability to conduct our business, including financial maintenance covenants;</w:t>
      </w:r>
    </w:p>
    <w:p>
      <w:pPr>
        <w:spacing w:after="0" w:line="42" w:lineRule="exact"/>
        <w:rPr>
          <w:rFonts w:ascii="Times New Roman" w:cs="Times New Roman" w:eastAsia="Times New Roman" w:hAnsi="Times New Roman"/>
          <w:sz w:val="17"/>
          <w:szCs w:val="17"/>
          <w:color w:val="auto"/>
        </w:rPr>
      </w:pPr>
    </w:p>
    <w:p>
      <w:pPr>
        <w:ind w:left="640" w:right="120" w:hanging="322"/>
        <w:spacing w:after="0" w:line="295" w:lineRule="auto"/>
        <w:tabs>
          <w:tab w:leader="none" w:pos="6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issue a significant amount of equity securities in connection with future acquisitions, existing stockholders may be diluted and earnings per share may decrease; and</w:t>
      </w:r>
    </w:p>
    <w:p>
      <w:pPr>
        <w:spacing w:after="0" w:line="94" w:lineRule="exact"/>
        <w:rPr>
          <w:rFonts w:ascii="Times New Roman" w:cs="Times New Roman" w:eastAsia="Times New Roman" w:hAnsi="Times New Roman"/>
          <w:sz w:val="17"/>
          <w:szCs w:val="17"/>
          <w:color w:val="auto"/>
        </w:rPr>
      </w:pPr>
    </w:p>
    <w:p>
      <w:pPr>
        <w:ind w:left="640" w:right="20" w:hanging="322"/>
        <w:spacing w:after="0" w:line="266" w:lineRule="auto"/>
        <w:tabs>
          <w:tab w:leader="none" w:pos="6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legal liability arising from prior or ongoing acts or omissions by the acquired businesses which are not discovered by due diligence during the acquisition process or that prove to have a greater than anticipated adverse impact. There is no assurance that acquired businesses will have invested sufficient efforts in their own regulatory compliance, and we may need to invest in and seek to improve the regulatory compliance controls and systems of such businesses. Generally, if an acquired business fails to meet our expectations, or if we are unable to establish effective regulatory compliance controls with respect to an acquired business, our operating results, business, and financial condition may suffer.</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occurrence of any of these risks could have an adverse effect on our business, results of operations and financial condition.</w:t>
      </w:r>
    </w:p>
    <w:p>
      <w:pPr>
        <w:spacing w:after="0" w:line="31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risks associated with our non-marketable securities, including partial or complete loss of invested capital. Significant changes in the fair value of our private investment portfolio could negatively impact our financial results.</w:t>
      </w:r>
    </w:p>
    <w:p>
      <w:pPr>
        <w:spacing w:after="0" w:line="90" w:lineRule="exact"/>
        <w:rPr>
          <w:sz w:val="20"/>
          <w:szCs w:val="20"/>
          <w:color w:val="auto"/>
        </w:rPr>
      </w:pPr>
    </w:p>
    <w:p>
      <w:pPr>
        <w:ind w:right="280" w:firstLine="470"/>
        <w:spacing w:after="0" w:line="276" w:lineRule="auto"/>
        <w:rPr>
          <w:sz w:val="20"/>
          <w:szCs w:val="20"/>
          <w:color w:val="auto"/>
        </w:rPr>
      </w:pPr>
      <w:r>
        <w:rPr>
          <w:rFonts w:ascii="Times New Roman" w:cs="Times New Roman" w:eastAsia="Times New Roman" w:hAnsi="Times New Roman"/>
          <w:sz w:val="17"/>
          <w:szCs w:val="17"/>
          <w:color w:val="auto"/>
        </w:rPr>
        <w:t>We have non-marketable equity securities in privately-held companies. The financial success of our investments in any privately-held company is typically dependent on a liquidity event, such as a public offering, acquisition or other favorable market event reflecting appreciation to the cost of our initial investment. In addition, valuations of privately-held companies are inherently complex due to the lack of readily available market data.</w:t>
      </w:r>
    </w:p>
    <w:p>
      <w:pPr>
        <w:spacing w:after="0" w:line="110" w:lineRule="exact"/>
        <w:rPr>
          <w:sz w:val="20"/>
          <w:szCs w:val="20"/>
          <w:color w:val="auto"/>
        </w:rPr>
      </w:pPr>
    </w:p>
    <w:p>
      <w:pPr>
        <w:ind w:firstLine="470"/>
        <w:spacing w:after="0" w:line="265" w:lineRule="auto"/>
        <w:rPr>
          <w:sz w:val="20"/>
          <w:szCs w:val="20"/>
          <w:color w:val="auto"/>
        </w:rPr>
      </w:pPr>
      <w:r>
        <w:rPr>
          <w:rFonts w:ascii="Times New Roman" w:cs="Times New Roman" w:eastAsia="Times New Roman" w:hAnsi="Times New Roman"/>
          <w:sz w:val="17"/>
          <w:szCs w:val="17"/>
          <w:color w:val="auto"/>
        </w:rPr>
        <w:t>We record all fair value adjustments of our non-marketable securities through the consolidated statements of operations. As a result, we may experience additional volatility to our statements of operations due to the valuation and timing of observable price changes or impairments of our non-marketable securities. Our ability to mitigate this volatility in any given period may be impacted by our contractual obligations to hold securities for a set period of time. All of our investments, especially our non-marketable securities, are subject to a risk of a partial or total loss of investment capital. Changes in the fair value or partial or total loss of investment capital of these individual companies could be material to our financial statements and negatively impact our business and financial results.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Failure to comply with anti-bribery, anti-corruption and anti-money laundering laws could subject us to penalties and other adverse consequences.</w:t>
      </w:r>
    </w:p>
    <w:p>
      <w:pPr>
        <w:spacing w:after="0" w:line="174" w:lineRule="exact"/>
        <w:rPr>
          <w:sz w:val="20"/>
          <w:szCs w:val="20"/>
          <w:color w:val="auto"/>
        </w:rPr>
      </w:pPr>
    </w:p>
    <w:p>
      <w:pPr>
        <w:ind w:right="20" w:firstLine="470"/>
        <w:spacing w:after="0" w:line="259" w:lineRule="auto"/>
        <w:rPr>
          <w:sz w:val="20"/>
          <w:szCs w:val="20"/>
          <w:color w:val="auto"/>
        </w:rPr>
      </w:pPr>
      <w:r>
        <w:rPr>
          <w:rFonts w:ascii="Times New Roman" w:cs="Times New Roman" w:eastAsia="Times New Roman" w:hAnsi="Times New Roman"/>
          <w:sz w:val="17"/>
          <w:szCs w:val="17"/>
          <w:color w:val="auto"/>
        </w:rPr>
        <w:t>We are subject to the U.S. Foreign Corrupt Practices Act of 1977, as amended (the “FCPA”), the U.S. Travel Act, the U.K. Bribery Act (the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reported financial results may be adversely affected by changes in accounting principles generally accepted in the United States.</w:t>
      </w:r>
    </w:p>
    <w:p>
      <w:pPr>
        <w:spacing w:after="0" w:line="17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Generally accepted accounting principles in the United States (“GAAP”), are subject to interpretation by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 For example, SEC proposals on climate-related disclosures may require us to update our accounting or operational policies, processes, or systems to reflect new or amended financial reporting standards. Such changes may adversely affect our business, financial condition and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estimates or judgments relating to our critical accounting policies prove to be incorrect, our results of operations could be adversely affected.</w:t>
      </w:r>
    </w:p>
    <w:p>
      <w:pPr>
        <w:spacing w:after="0" w:line="174" w:lineRule="exact"/>
        <w:rPr>
          <w:sz w:val="20"/>
          <w:szCs w:val="20"/>
          <w:color w:val="auto"/>
        </w:rPr>
      </w:pPr>
    </w:p>
    <w:p>
      <w:pPr>
        <w:ind w:right="480" w:firstLine="470"/>
        <w:spacing w:after="0" w:line="295"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in the consolidated financial statements and accompanying notes. We base our</w:t>
      </w:r>
    </w:p>
    <w:p>
      <w:pPr>
        <w:spacing w:after="0" w:line="23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 xml:space="preserve">estimates on historical experience and on various other assumptions that we believe to be reasonable under the circumstances, as described in Note 2 </w:t>
      </w:r>
      <w:r>
        <w:rPr>
          <w:rFonts w:ascii="Times New Roman" w:cs="Times New Roman" w:eastAsia="Times New Roman" w:hAnsi="Times New Roman"/>
          <w:sz w:val="17"/>
          <w:szCs w:val="17"/>
          <w:i w:val="1"/>
          <w:iCs w:val="1"/>
          <w:color w:val="auto"/>
        </w:rPr>
        <w:t>Summary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Significant Accounting Policies</w:t>
      </w:r>
      <w:r>
        <w:rPr>
          <w:rFonts w:ascii="Times New Roman" w:cs="Times New Roman" w:eastAsia="Times New Roman" w:hAnsi="Times New Roman"/>
          <w:sz w:val="17"/>
          <w:szCs w:val="17"/>
          <w:color w:val="auto"/>
        </w:rPr>
        <w:t>, in the Notes to Consolidated Financial Statements included in Part II, Item 8,</w:t>
      </w:r>
      <w:r>
        <w:rPr>
          <w:rFonts w:ascii="Times New Roman" w:cs="Times New Roman" w:eastAsia="Times New Roman" w:hAnsi="Times New Roman"/>
          <w:sz w:val="17"/>
          <w:szCs w:val="17"/>
          <w:i w:val="1"/>
          <w:iCs w:val="1"/>
          <w:color w:val="auto"/>
        </w:rPr>
        <w:t xml:space="preserve"> Financial Statements</w:t>
      </w:r>
      <w:r>
        <w:rPr>
          <w:rFonts w:ascii="Times New Roman" w:cs="Times New Roman" w:eastAsia="Times New Roman" w:hAnsi="Times New Roman"/>
          <w:sz w:val="17"/>
          <w:szCs w:val="17"/>
          <w:color w:val="auto"/>
        </w:rPr>
        <w:t>, of this Form 10-K.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23" w:lineRule="exact"/>
        <w:rPr>
          <w:sz w:val="20"/>
          <w:szCs w:val="20"/>
          <w:color w:val="auto"/>
        </w:rPr>
      </w:pPr>
    </w:p>
    <w:p>
      <w:pPr>
        <w:ind w:right="42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90" w:lineRule="exact"/>
        <w:rPr>
          <w:sz w:val="20"/>
          <w:szCs w:val="20"/>
          <w:color w:val="auto"/>
        </w:rPr>
      </w:pPr>
    </w:p>
    <w:p>
      <w:pPr>
        <w:ind w:right="60" w:firstLine="470"/>
        <w:spacing w:after="0" w:line="276"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the Sarbanes-Oxley Act and the rules and regulations of the applicable listing standards of the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10" w:lineRule="exact"/>
        <w:rPr>
          <w:sz w:val="20"/>
          <w:szCs w:val="20"/>
          <w:color w:val="auto"/>
        </w:rPr>
      </w:pPr>
    </w:p>
    <w:p>
      <w:pPr>
        <w:ind w:right="180" w:firstLine="470"/>
        <w:spacing w:after="0" w:line="263"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have developed and are continuing to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21" w:lineRule="exact"/>
        <w:rPr>
          <w:sz w:val="20"/>
          <w:szCs w:val="20"/>
          <w:color w:val="auto"/>
        </w:rPr>
      </w:pPr>
    </w:p>
    <w:p>
      <w:pPr>
        <w:ind w:right="20" w:firstLine="470"/>
        <w:spacing w:after="0" w:line="261"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w:t>
      </w:r>
    </w:p>
    <w:p>
      <w:pPr>
        <w:spacing w:after="0" w:line="125"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We are required, pursuant to SEC rules that implement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In addition, we are required to have our independent registered public accounting firm issue an opinion on the effectiveness of our internal control over financial reporting on an annual basis. During the evaluation and testing process, if we identify one or more material weaknesses in our internal control over financial reporting, we will be unable to assert that our internal control over financial reporting is effective. If we are unable to assert that our internal control over financial reporting is effective, or if our independent registered public accounting firm is unable to express an opinion on the effectiveness of our internal control over financial reporting, we could lose investor confidence in the accuracy and completeness of our financial reports, which could have an adverse effect on our business and results of operations and could cause a decline in the price of our common stock and we may be subject to investigation or sanctions by the SEC.</w:t>
      </w:r>
    </w:p>
    <w:p>
      <w:pPr>
        <w:spacing w:after="0" w:line="26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3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90"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 financings. If we raise additional capital, our existing stockholders could suffer significant dilution and any new equity securities we issue could have rights, preferences and privileges superior to those of holders of our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334"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a multinational organization with a distributed workforce facing increasingly complex tax issues in many jurisdictions and we could be obligated to pay additional taxes in various jurisdictions.</w:t>
      </w:r>
    </w:p>
    <w:p>
      <w:pPr>
        <w:spacing w:after="0" w:line="90" w:lineRule="exact"/>
        <w:rPr>
          <w:sz w:val="20"/>
          <w:szCs w:val="20"/>
          <w:color w:val="auto"/>
        </w:rPr>
      </w:pPr>
    </w:p>
    <w:p>
      <w:pPr>
        <w:ind w:right="100" w:firstLine="470"/>
        <w:spacing w:after="0" w:line="262" w:lineRule="auto"/>
        <w:rPr>
          <w:sz w:val="20"/>
          <w:szCs w:val="20"/>
          <w:color w:val="auto"/>
        </w:rPr>
      </w:pPr>
      <w:r>
        <w:rPr>
          <w:rFonts w:ascii="Times New Roman" w:cs="Times New Roman" w:eastAsia="Times New Roman" w:hAnsi="Times New Roman"/>
          <w:sz w:val="17"/>
          <w:szCs w:val="17"/>
          <w:color w:val="auto"/>
        </w:rPr>
        <w:t>As a multinational organization, we may be subject to taxation in several jurisdictions around the world with increasingly new and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Additionally, the rise of flexible work policies resulting from the COVID-19 pandemic is likely to continue to increase the complexity of our payroll tax practices and may lead to challenges with our payments to tax authorities. Furthermore, authorities in the many jurisdictions in which we operate or have employees could review our tax returns and impose additional tax, interest and penalties and the authorities could claim that various withholding requirements apply to us or our subsidiaries or assert that benefits of certain tax treaties are not available to us or our subsidiaries, any of which could have a material impact on us and the results of our operations.</w:t>
      </w:r>
    </w:p>
    <w:p>
      <w:pPr>
        <w:spacing w:after="0" w:line="118" w:lineRule="exact"/>
        <w:rPr>
          <w:sz w:val="20"/>
          <w:szCs w:val="20"/>
          <w:color w:val="auto"/>
        </w:rPr>
      </w:pPr>
    </w:p>
    <w:p>
      <w:pPr>
        <w:ind w:right="2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90" w:lineRule="exact"/>
        <w:rPr>
          <w:sz w:val="20"/>
          <w:szCs w:val="20"/>
          <w:color w:val="auto"/>
        </w:rPr>
      </w:pPr>
    </w:p>
    <w:p>
      <w:pPr>
        <w:ind w:firstLine="470"/>
        <w:spacing w:after="0" w:line="268" w:lineRule="auto"/>
        <w:rPr>
          <w:sz w:val="20"/>
          <w:szCs w:val="20"/>
          <w:color w:val="auto"/>
        </w:rPr>
      </w:pPr>
      <w:r>
        <w:rPr>
          <w:rFonts w:ascii="Times New Roman" w:cs="Times New Roman" w:eastAsia="Times New Roman" w:hAnsi="Times New Roman"/>
          <w:sz w:val="17"/>
          <w:szCs w:val="17"/>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the expansion of our international business activities, any changes in the U.S. taxation of such activities may impact our evidence supporting a full valuation allowance or increase our worldwide effective tax rate and adversely affect our financial position and results of operations.</w:t>
      </w:r>
    </w:p>
    <w:p>
      <w:pPr>
        <w:spacing w:after="0" w:line="329" w:lineRule="exact"/>
        <w:rPr>
          <w:sz w:val="20"/>
          <w:szCs w:val="20"/>
          <w:color w:val="auto"/>
        </w:rPr>
      </w:pPr>
    </w:p>
    <w:p>
      <w:pPr>
        <w:ind w:right="20" w:firstLine="470"/>
        <w:spacing w:after="0" w:line="260" w:lineRule="auto"/>
        <w:rPr>
          <w:sz w:val="20"/>
          <w:szCs w:val="20"/>
          <w:color w:val="auto"/>
        </w:rPr>
      </w:pPr>
      <w:r>
        <w:rPr>
          <w:rFonts w:ascii="Times New Roman" w:cs="Times New Roman" w:eastAsia="Times New Roman" w:hAnsi="Times New Roman"/>
          <w:sz w:val="17"/>
          <w:szCs w:val="17"/>
          <w:color w:val="auto"/>
        </w:rPr>
        <w:t>Potential tax reform globally and in the United States may result in significant changes to U.S. federal income tax law, including changes to the U.S. federal income taxation of corporations (including ours) and/or changes to the U.S. federal income taxation of stockholders in U.S. corporations, including investors in our common stock. For example, the U.S. Tax Cuts and Jobs Act of 2017 (the “Act”) was enacted on December 22, 2017 and significantly revised the U.S. corporate income tax law. Additional significant changes to U.S. federal corporate tax law were made by the Coronavirus Aid, Relief, and Economic Security Act, and the recently enacted Inflation Reduction Act (“IRA”). The Company has determined that it is not currently subject to the tax effects of the IRA, which includes a corporate alternative minimum tax and an excise tax on stock buybacks. In addition, many jurisdictions have enacted legislation and adopted policies resulting from the Organization for Economic Cooperation and Development’s (“OECD”) Anti-Base Erosion and Profit Shifting Pillar Two Model Rules (“Pillar Two”). Rules adopted in response to the initiative establish a global per-country minimum tax of 15%. Many countries have enacted legislation, or have indicated their intent to adopt legislation, to implement these rules. The OECD and implementing countries are expected to continue to make further revisions to their legislation and release additional guidance. Pillar Two became effective for the Company in the first quarter of its fiscal year ending January 31, 2025. While the Company does not anticipate that Pillar Two will have a material impact on its tax provision or effective tax rate in the short-term, the Company continues to monitor evolving tax legislation in the jurisdictions in which it operates.</w:t>
      </w:r>
    </w:p>
    <w:p>
      <w:pPr>
        <w:spacing w:after="0" w:line="125"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We continue to monitor the progression of new global and U.S. legislation impact on our effective tax rate. We are currently unable to predict whether any future changes will occur and, if so, the impact of such changes, including on the U.S. federal income tax considerations relating to the purchase, ownership and disposition of our common stock.</w:t>
      </w:r>
    </w:p>
    <w:p>
      <w:pPr>
        <w:spacing w:after="0" w:line="25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losses to offset future taxable income may be subject to certain limitations.</w:t>
      </w:r>
    </w:p>
    <w:p>
      <w:pPr>
        <w:spacing w:after="0" w:line="174" w:lineRule="exact"/>
        <w:rPr>
          <w:sz w:val="20"/>
          <w:szCs w:val="20"/>
          <w:color w:val="auto"/>
        </w:rPr>
      </w:pPr>
    </w:p>
    <w:p>
      <w:pPr>
        <w:ind w:right="60" w:firstLine="470"/>
        <w:spacing w:after="0" w:line="263" w:lineRule="auto"/>
        <w:rPr>
          <w:sz w:val="20"/>
          <w:szCs w:val="20"/>
          <w:color w:val="auto"/>
        </w:rPr>
      </w:pPr>
      <w:r>
        <w:rPr>
          <w:rFonts w:ascii="Times New Roman" w:cs="Times New Roman" w:eastAsia="Times New Roman" w:hAnsi="Times New Roman"/>
          <w:sz w:val="17"/>
          <w:szCs w:val="17"/>
          <w:color w:val="auto"/>
        </w:rPr>
        <w:t>As of January 31, 2025, we had net operating loss (“NOL”) carryforwards for U.S. federal and state, Irish and U.K. income tax purposes. A lack of future taxable income would adversely affect our ability to utilize these NOLs before they expire. In general, under Section 382 of the Code, a corporation that undergoes an “ownership change” (as defined under Section 382 of the Code and applicable Treasury Regulations) is subject to limitations on its ability to utilize its pre-change NOLs to offset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w:t>
      </w:r>
    </w:p>
    <w:p>
      <w:pPr>
        <w:spacing w:after="0" w:line="121" w:lineRule="exact"/>
        <w:rPr>
          <w:sz w:val="20"/>
          <w:szCs w:val="20"/>
          <w:color w:val="auto"/>
        </w:rPr>
      </w:pPr>
    </w:p>
    <w:p>
      <w:pPr>
        <w:ind w:right="80" w:firstLine="470"/>
        <w:spacing w:after="0" w:line="295" w:lineRule="auto"/>
        <w:rPr>
          <w:sz w:val="20"/>
          <w:szCs w:val="20"/>
          <w:color w:val="auto"/>
        </w:rPr>
      </w:pPr>
      <w:r>
        <w:rPr>
          <w:rFonts w:ascii="Times New Roman" w:cs="Times New Roman" w:eastAsia="Times New Roman" w:hAnsi="Times New Roman"/>
          <w:sz w:val="17"/>
          <w:szCs w:val="17"/>
          <w:color w:val="auto"/>
        </w:rPr>
        <w:t>For these reasons, we may not be able to utilize a material portion of the NOLs reflected on our balance sheet, even if we attain profitability, which could potentially result in increased future tax liability to us and could adversely affect our results of operations and financial condition.</w:t>
      </w:r>
    </w:p>
    <w:p>
      <w:pPr>
        <w:spacing w:after="0" w:line="90" w:lineRule="exact"/>
        <w:rPr>
          <w:sz w:val="20"/>
          <w:szCs w:val="20"/>
          <w:color w:val="auto"/>
        </w:rPr>
      </w:pPr>
    </w:p>
    <w:p>
      <w:pPr>
        <w:ind w:right="2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90" w:lineRule="exact"/>
        <w:rPr>
          <w:sz w:val="20"/>
          <w:szCs w:val="20"/>
          <w:color w:val="auto"/>
        </w:rPr>
      </w:pPr>
    </w:p>
    <w:p>
      <w:pPr>
        <w:ind w:firstLine="470"/>
        <w:spacing w:after="0" w:line="265" w:lineRule="auto"/>
        <w:rPr>
          <w:sz w:val="20"/>
          <w:szCs w:val="20"/>
          <w:color w:val="auto"/>
        </w:rPr>
      </w:pPr>
      <w:r>
        <w:rPr>
          <w:rFonts w:ascii="Times New Roman" w:cs="Times New Roman" w:eastAsia="Times New Roman" w:hAnsi="Times New Roman"/>
          <w:sz w:val="17"/>
          <w:szCs w:val="17"/>
          <w:color w:val="auto"/>
        </w:rPr>
        <w:t>We do not collect sales and use, value added or similar taxes in all jurisdictions in which we have sales and we believe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results of operations.</w:t>
      </w:r>
    </w:p>
    <w:p>
      <w:pPr>
        <w:spacing w:after="0" w:line="328" w:lineRule="exact"/>
        <w:rPr>
          <w:sz w:val="20"/>
          <w:szCs w:val="20"/>
          <w:color w:val="auto"/>
        </w:rPr>
      </w:pPr>
    </w:p>
    <w:p>
      <w:pPr>
        <w:ind w:right="2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90" w:lineRule="exact"/>
        <w:rPr>
          <w:sz w:val="20"/>
          <w:szCs w:val="20"/>
          <w:color w:val="auto"/>
        </w:rPr>
      </w:pPr>
    </w:p>
    <w:p>
      <w:pPr>
        <w:ind w:right="200" w:firstLine="470"/>
        <w:spacing w:after="0" w:line="295" w:lineRule="auto"/>
        <w:rPr>
          <w:sz w:val="20"/>
          <w:szCs w:val="20"/>
          <w:color w:val="auto"/>
        </w:rPr>
      </w:pPr>
      <w:r>
        <w:rPr>
          <w:rFonts w:ascii="Times New Roman" w:cs="Times New Roman" w:eastAsia="Times New Roman" w:hAnsi="Times New Roman"/>
          <w:sz w:val="17"/>
          <w:szCs w:val="17"/>
          <w:color w:val="auto"/>
        </w:rPr>
        <w:t>Our offerings are subject to U.S.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94" w:lineRule="exact"/>
        <w:rPr>
          <w:sz w:val="20"/>
          <w:szCs w:val="20"/>
          <w:color w:val="auto"/>
        </w:rPr>
      </w:pPr>
    </w:p>
    <w:p>
      <w:pPr>
        <w:ind w:right="100" w:firstLine="470"/>
        <w:spacing w:after="0" w:line="266" w:lineRule="auto"/>
        <w:rPr>
          <w:sz w:val="20"/>
          <w:szCs w:val="20"/>
          <w:color w:val="auto"/>
        </w:rPr>
      </w:pPr>
      <w:r>
        <w:rPr>
          <w:rFonts w:ascii="Times New Roman" w:cs="Times New Roman" w:eastAsia="Times New Roman" w:hAnsi="Times New Roman"/>
          <w:sz w:val="17"/>
          <w:szCs w:val="17"/>
          <w:color w:val="auto"/>
        </w:rPr>
        <w:t>Furthermore, our activities are subject to the economic sanctions laws and regulations by the U.S. and other jurisdictions that prohibit the shipment of certain products and services without the required export authorizations or export to countries, governments and persons targeted by the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19" w:lineRule="exact"/>
        <w:rPr>
          <w:sz w:val="20"/>
          <w:szCs w:val="20"/>
          <w:color w:val="auto"/>
        </w:rPr>
      </w:pPr>
    </w:p>
    <w:p>
      <w:pPr>
        <w:ind w:right="260" w:firstLine="470"/>
        <w:spacing w:after="0" w:line="269" w:lineRule="auto"/>
        <w:rPr>
          <w:sz w:val="20"/>
          <w:szCs w:val="20"/>
          <w:color w:val="auto"/>
        </w:rPr>
      </w:pPr>
      <w:r>
        <w:rPr>
          <w:rFonts w:ascii="Times New Roman" w:cs="Times New Roman" w:eastAsia="Times New Roman" w:hAnsi="Times New Roman"/>
          <w:sz w:val="17"/>
          <w:szCs w:val="17"/>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17" w:lineRule="exact"/>
        <w:rPr>
          <w:sz w:val="20"/>
          <w:szCs w:val="20"/>
          <w:color w:val="auto"/>
        </w:rPr>
      </w:pPr>
    </w:p>
    <w:p>
      <w:pPr>
        <w:ind w:right="160" w:firstLine="470"/>
        <w:spacing w:after="0" w:line="276" w:lineRule="auto"/>
        <w:rPr>
          <w:sz w:val="20"/>
          <w:szCs w:val="20"/>
          <w:color w:val="auto"/>
        </w:rPr>
      </w:pPr>
      <w:r>
        <w:rPr>
          <w:rFonts w:ascii="Times New Roman" w:cs="Times New Roman" w:eastAsia="Times New Roman" w:hAnsi="Times New Roman"/>
          <w:sz w:val="17"/>
          <w:szCs w:val="17"/>
          <w:color w:val="auto"/>
        </w:rPr>
        <w:t>If we fail to comply with U.S. and other sanctions and export control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10" w:lineRule="exact"/>
        <w:rPr>
          <w:sz w:val="20"/>
          <w:szCs w:val="20"/>
          <w:color w:val="auto"/>
        </w:rPr>
      </w:pPr>
    </w:p>
    <w:p>
      <w:pPr>
        <w:ind w:right="120" w:firstLine="470"/>
        <w:spacing w:after="0" w:line="266" w:lineRule="auto"/>
        <w:rPr>
          <w:sz w:val="20"/>
          <w:szCs w:val="20"/>
          <w:color w:val="auto"/>
        </w:rPr>
      </w:pPr>
      <w:r>
        <w:rPr>
          <w:rFonts w:ascii="Times New Roman" w:cs="Times New Roman" w:eastAsia="Times New Roman" w:hAnsi="Times New Roman"/>
          <w:sz w:val="17"/>
          <w:szCs w:val="17"/>
          <w:color w:val="auto"/>
        </w:rPr>
        <w:t>Also, various countries, in addition to the United States, regulate the import, export and sale of certain encryption and other technology, including permitting and licensing requirements 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w:t>
      </w:r>
    </w:p>
    <w:p>
      <w:pPr>
        <w:spacing w:after="0" w:line="26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13" w:lineRule="exact"/>
        <w:rPr>
          <w:sz w:val="20"/>
          <w:szCs w:val="20"/>
          <w:color w:val="auto"/>
        </w:rPr>
      </w:pPr>
    </w:p>
    <w:p>
      <w:pPr>
        <w:ind w:right="48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the risks of earthquakes, fire, floods, pandemics and public health emergencies and other natural catastrophic events and to interruption by man-made problems such as power disruptions, security breaches or other security incidents, or terrorism.</w:t>
      </w:r>
    </w:p>
    <w:p>
      <w:pPr>
        <w:spacing w:after="0" w:line="90" w:lineRule="exact"/>
        <w:rPr>
          <w:sz w:val="20"/>
          <w:szCs w:val="20"/>
          <w:color w:val="auto"/>
        </w:rPr>
      </w:pPr>
    </w:p>
    <w:p>
      <w:pPr>
        <w:ind w:firstLine="470"/>
        <w:spacing w:after="0" w:line="259" w:lineRule="auto"/>
        <w:rPr>
          <w:sz w:val="20"/>
          <w:szCs w:val="20"/>
          <w:color w:val="auto"/>
        </w:rPr>
      </w:pPr>
      <w:r>
        <w:rPr>
          <w:rFonts w:ascii="Times New Roman" w:cs="Times New Roman" w:eastAsia="Times New Roman" w:hAnsi="Times New Roman"/>
          <w:sz w:val="17"/>
          <w:szCs w:val="17"/>
          <w:color w:val="auto"/>
        </w:rPr>
        <w:t>As of January 31, 2025, we have customers in over 100 countries and employees in over 25 countries. A significant natural disaster or man-made problem, such as an earthquake, fire, flood, an act of terrorism, the regional or global outbreak of a contagious disease, such as the COVID-19 pandemic, or other catastrophic event occurring in any of these locations, could adversely affect our business, results of operations and financial condition. Further, if a natural disaster or man-made problem were to affect data centers used by our cloud infrastructure service providers this could adversely affect the ability of our customers to use our products. In addition, natural disasters, regional or global outbreaks of contagious diseases and acts of terrorism could cause disruptions in our or our customers’ businesses, national economies or the world economy as a whole. Moreover, these types of events could negatively impact consumer and business spending in the impacted regions or depending upon the severity, globally, which could adversely impact our operating results. For example, the COVID-19 pandemic and/or the precautionary measures that we, our customers, and the governmental authorities adopted resulted in operational challenges, including, among other things, adapting to new work-from-home arrangements. More generally, a catastrophic event could adversely affect economies and financial markets globally and lead to an economic downturn, which could decrease technology spending and adversely affect demand for our products and services. Any prolonged economic downturn or a recession could materially harm our business and operating results and those of our customers, could result in business closures, layoffs, or furloughs of, or reductions in the number of hours worked by, our and our customer's employees, and a significant increase in unemployment in the United States and elsewhere. Such events may also lead to a reduction in the capital and operating budgets that we or our customers have available, which could harm our business, financial condition, and operating results. As we experienced during the COVID-19 pandemic, the trading prices for our and other technology companies' common stock may be highly volatile as a result of a catastrophic event, which may reduce our ability to access capital on favorable terms or at all. In the event of a major disruption caused by a natural disaster or man-made problem, we may be unable to continue our operations and may endure system interruptions, reputational harm, delays in our development activities, lengthy interruptions in service, data breaches or other security incidents and loss of critical data, any of which could adversely affect our business, results of operations and financial condition.</w:t>
      </w:r>
    </w:p>
    <w:p>
      <w:pPr>
        <w:spacing w:after="0" w:line="123" w:lineRule="exact"/>
        <w:rPr>
          <w:sz w:val="20"/>
          <w:szCs w:val="20"/>
          <w:color w:val="auto"/>
        </w:rPr>
      </w:pPr>
    </w:p>
    <w:p>
      <w:pPr>
        <w:ind w:right="140" w:firstLine="470"/>
        <w:spacing w:after="0" w:line="276" w:lineRule="auto"/>
        <w:rPr>
          <w:sz w:val="20"/>
          <w:szCs w:val="20"/>
          <w:color w:val="auto"/>
        </w:rPr>
      </w:pPr>
      <w:r>
        <w:rPr>
          <w:rFonts w:ascii="Times New Roman" w:cs="Times New Roman" w:eastAsia="Times New Roman" w:hAnsi="Times New Roman"/>
          <w:sz w:val="17"/>
          <w:szCs w:val="17"/>
          <w:color w:val="auto"/>
        </w:rPr>
        <w:t>In addition, data security threats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10" w:lineRule="exact"/>
        <w:rPr>
          <w:sz w:val="20"/>
          <w:szCs w:val="20"/>
          <w:color w:val="auto"/>
        </w:rPr>
      </w:pPr>
    </w:p>
    <w:p>
      <w:pPr>
        <w:ind w:right="40" w:firstLine="470"/>
        <w:spacing w:after="0" w:line="276" w:lineRule="auto"/>
        <w:rPr>
          <w:sz w:val="20"/>
          <w:szCs w:val="20"/>
          <w:color w:val="auto"/>
        </w:rPr>
      </w:pPr>
      <w:r>
        <w:rPr>
          <w:rFonts w:ascii="Times New Roman" w:cs="Times New Roman" w:eastAsia="Times New Roman" w:hAnsi="Times New Roman"/>
          <w:sz w:val="17"/>
          <w:szCs w:val="17"/>
          <w:color w:val="auto"/>
        </w:rPr>
        <w:t>To the extent any of the above or similar events occur and adversely affect our business and results of operations, such event may also have the effect of heightening many of the other risks and uncertainties described in this “Risk Factors” section which may materially and adversely affect our business and results of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related to our environmental, social, and governance activities and disclosures</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ind w:firstLine="470"/>
        <w:spacing w:after="0" w:line="243" w:lineRule="auto"/>
        <w:rPr>
          <w:sz w:val="20"/>
          <w:szCs w:val="20"/>
          <w:color w:val="auto"/>
        </w:rPr>
      </w:pPr>
      <w:r>
        <w:rPr>
          <w:rFonts w:ascii="Times New Roman" w:cs="Times New Roman" w:eastAsia="Times New Roman" w:hAnsi="Times New Roman"/>
          <w:sz w:val="17"/>
          <w:szCs w:val="17"/>
          <w:color w:val="auto"/>
        </w:rPr>
        <w:t>We communicate certain environmental, social and governance (“ESG”) related initiatives and goals regarding environmental matters, diversity and other matters in our annually released ESG Report (formerly known as the Corporate Sustainability Report), on our website and elsewhere. The implementation of any of our current or future initiatives, goals and commitments may be difficult to achieve and may require considerable investment. Additionally, if these initiatives are not perceived to be adequate, or if the positions we take (or choose not to take) on social and ethical issues are unpopular with some of our employees, partners, or with our customers or potential customers, our reputation could be harmed, which could negatively impact our ability to attract or retain employees, partners or customers. If we fail to satisfy the expectations of investors, regulators, customers and other stakeholders, if our initiatives are not executed as planned, or if we fail to implement sufficient oversight or accurately capture and disclose ESG matters, our reputation and business, operating results and financial condition could be adversely impacted.</w:t>
      </w:r>
    </w:p>
    <w:p>
      <w:pPr>
        <w:spacing w:after="0" w:line="207" w:lineRule="exact"/>
        <w:rPr>
          <w:sz w:val="20"/>
          <w:szCs w:val="20"/>
          <w:color w:val="auto"/>
        </w:rPr>
      </w:pPr>
    </w:p>
    <w:p>
      <w:pPr>
        <w:jc w:val="both"/>
        <w:ind w:right="160" w:firstLine="470"/>
        <w:spacing w:after="0" w:line="260" w:lineRule="auto"/>
        <w:rPr>
          <w:sz w:val="20"/>
          <w:szCs w:val="20"/>
          <w:color w:val="auto"/>
        </w:rPr>
      </w:pPr>
      <w:r>
        <w:rPr>
          <w:rFonts w:ascii="Times New Roman" w:cs="Times New Roman" w:eastAsia="Times New Roman" w:hAnsi="Times New Roman"/>
          <w:sz w:val="17"/>
          <w:szCs w:val="17"/>
          <w:color w:val="auto"/>
        </w:rPr>
        <w:t>In addition, there is an increasing focus from regulators, certain investors, customers and other stakeholders concerning ESG matters, both in the United States and internationally. Some investors may use these non-financial performance factors to guide their investment strategies and, in some cases, may choose not to invest in us if they believe our</w:t>
      </w:r>
    </w:p>
    <w:p>
      <w:pPr>
        <w:spacing w:after="0" w:line="11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ESG-related policies and actions are inadequate. The growing investor demand for measurement of non-financial performance is addressed by third-party providers of sustainability assessment and ESG ratings on companies. The criteria by which our ESG practices are assessed may change due to the constant evolution of the sustainability landscape, which could result in greater expectations of us and cause us to undertake costly initiatives to satisfy such new criteria. If we elect not to or are unable to satisfy such new criteria, investors and other stakeholders may conclude that our ESG-related policies and/or actions with respect to corporate social responsibility are inadequate. There have also been increasing allegations of greenwashing against companies making significant ESG claims due to a variety of perceived deficiencies in performance. As stakeholder perceptions of sustainability continue to evolve, we may face reputational damage and potential stakeholder engagement and/or litigation in the event that we do not meet the ESG standards set by various constituencies. In addition, there exists certain “anti-ESG” sentiment among some individuals and government institutions, and we may also face scrutiny, reputational risk, lawsuits, or market access restrictions from these parties regarding our ESG initiatives.</w:t>
      </w:r>
    </w:p>
    <w:p>
      <w:pPr>
        <w:spacing w:after="0" w:line="205" w:lineRule="exact"/>
        <w:rPr>
          <w:sz w:val="20"/>
          <w:szCs w:val="20"/>
          <w:color w:val="auto"/>
        </w:rPr>
      </w:pPr>
    </w:p>
    <w:p>
      <w:pPr>
        <w:ind w:firstLine="470"/>
        <w:spacing w:after="0" w:line="245" w:lineRule="auto"/>
        <w:rPr>
          <w:sz w:val="20"/>
          <w:szCs w:val="20"/>
          <w:color w:val="auto"/>
        </w:rPr>
      </w:pPr>
      <w:r>
        <w:rPr>
          <w:rFonts w:ascii="Times New Roman" w:cs="Times New Roman" w:eastAsia="Times New Roman" w:hAnsi="Times New Roman"/>
          <w:sz w:val="17"/>
          <w:szCs w:val="17"/>
          <w:color w:val="auto"/>
        </w:rPr>
        <w:t>Standards for tracking and reporting ESG matters continue to evolve. Accordingly, there can be no assurance that our reporting frameworks and principles will be in compliance with any new environmental and social laws and regulations that may be promulgated in the United States and elsewhere, and the costs of changing any of our current practices to comply with any new legal and regulatory requirements, and to keep up with market trends and stay competitive among our peers, in the United States and elsewhere may be substantial. Our selection of voluntary disclosure frameworks and standards, and the interpretation or application of those frameworks and standards, may change from time to time or differ from those of others. Our processes and controls for reporting ESG matters across our operations and supply chain are evolving along with multiple disparate standards for identifying, measuring, and reporting metrics, including ESG -related disclosures pursuant to voluntary disclosure standards and those that are or may be required by the SEC and other regulators, and such standards, or interpretation and guidance thereof, may change over time, which could result in significant revisions to our current goals, reported progress in achieving such goals, or ability to achieve such goals in the future.</w:t>
      </w:r>
    </w:p>
    <w:p>
      <w:pPr>
        <w:spacing w:after="0" w:line="199"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Social, ethical, security and regulatory issues relating to the use of new and evolving technologies, such as AI, in our offerings or partnerships may result in reputational harm and liability.</w:t>
      </w:r>
    </w:p>
    <w:p>
      <w:pPr>
        <w:spacing w:after="0" w:line="156" w:lineRule="exact"/>
        <w:rPr>
          <w:sz w:val="20"/>
          <w:szCs w:val="20"/>
          <w:color w:val="auto"/>
        </w:rPr>
      </w:pPr>
    </w:p>
    <w:p>
      <w:pPr>
        <w:ind w:firstLine="627"/>
        <w:spacing w:after="0" w:line="242" w:lineRule="auto"/>
        <w:rPr>
          <w:sz w:val="20"/>
          <w:szCs w:val="20"/>
          <w:color w:val="auto"/>
        </w:rPr>
      </w:pPr>
      <w:r>
        <w:rPr>
          <w:rFonts w:ascii="Times New Roman" w:cs="Times New Roman" w:eastAsia="Times New Roman" w:hAnsi="Times New Roman"/>
          <w:sz w:val="17"/>
          <w:szCs w:val="17"/>
          <w:color w:val="auto"/>
        </w:rPr>
        <w:t>Social, ethical, security and regulatory issues relating to the use of new and evolving technologies such as AI, including generative AI, in our offerings or partnerships, may result in reputational harm and liability, and may cause us to incur additional research and development costs to resolve such issues. As with many innovations, AI presents risks and challenges that could affect its adoption, and therefore our business. No assurance can be provided that our use of AI will enhance our products or services or produce the intended results. For example, AI algorithms may be flawed, insufficient, of poor quality, reflect unwanted forms of bias, or contain other errors or inadequacies, any of which may not be easily detectable and AI, particularly generative AI, has been known to produce false or “hallucinatory” inferences or outputs. If we enable or offer solutions that draw controversy due to their perceived or actual impact on society or if the content, analyses or recommendations that AI-powered solutions assist in producing in our products and services are, or are perceived to be, deficient, inaccurate, biased, unethical or otherwise flawed, we may experience brand or reputational harm, competitive harm or legal liability. Potential government regulation related to AI use and ethics may also increase the burden and cost of research and development in this area, and failure to properly remediate AI usage or ethics issues may cause public confidence in AI to be undermined. AI and machine learning may change the way our industry identifies and responds to cybersecurity threats, and businesses that are slow to adopt or fail to adopt such new technologies may face a competitive disadvantage. Our competitors or other third parties may incorporate AI into their products more quickly or more successfully than us, which could impair our ability to compete effectively. The rapid evolution of AI will require the application of resources to develop, test and maintain any potential offerings or partnerships to help ensure that AI is implemented ethically in order to minimize unintended, harmful impact.</w:t>
      </w:r>
    </w:p>
    <w:p>
      <w:pPr>
        <w:spacing w:after="0" w:line="207" w:lineRule="exact"/>
        <w:rPr>
          <w:sz w:val="20"/>
          <w:szCs w:val="20"/>
          <w:color w:val="auto"/>
        </w:rPr>
      </w:pPr>
    </w:p>
    <w:p>
      <w:pPr>
        <w:ind w:firstLine="627"/>
        <w:spacing w:after="0" w:line="242" w:lineRule="auto"/>
        <w:rPr>
          <w:sz w:val="20"/>
          <w:szCs w:val="20"/>
          <w:color w:val="auto"/>
        </w:rPr>
      </w:pPr>
      <w:r>
        <w:rPr>
          <w:rFonts w:ascii="Times New Roman" w:cs="Times New Roman" w:eastAsia="Times New Roman" w:hAnsi="Times New Roman"/>
          <w:sz w:val="17"/>
          <w:szCs w:val="17"/>
          <w:color w:val="auto"/>
        </w:rPr>
        <w:t>In addition, the use of AI may enhance intellectual property, cybersecurity, operational and technological risks. Examples of heightened cybersecurity threats emerging from the rise of generative AI include the use of deepfake technologies in phishing and social engineering attacks, and more sophisticated malware that can evade conventional detection tools. AI also makes it cheaper for attackers to create malware, phishing, code reviews, or other tools at a high volume. As the regulatory framework for AI and related technologies evolves, it is possible that new laws and regulations will be adopted, or that existing laws and regulations, including intellectual property, privacy, data protection and cybersecurity, consumer protection, competition and equal opportunity laws and regulations, may be interpreted in ways that would affect our business and the ways in which we or our partners use AI or related technologies, our financial condition and our results of operations, including as a result of the cost to comply with such laws or regulations. For example, if we or our third-party AI providers do not have sufficient rights to use the data or other material or content on which AI tools rely, or the output generated by our use of such AI tools, we may incur liability through the violation of such laws, third-party intellectual property, privacy or other rights, or contracts to which we are a party. Moreover, use of generative AI in our code development process, while offering various potential benefits, could also pose certain ownership and security risks with respect to our codebase, given the current legal uncertainties relating to ownership of AI-generated works and the potential for security flaws in output code. If any of our employees, contractors, vendors or service providers use any third-party AI-</w:t>
      </w:r>
    </w:p>
    <w:p>
      <w:pPr>
        <w:spacing w:after="0" w:line="13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powered software in connection with our business or the services they provide to us, it may lead to the inadvertent disclosure of our confidential information, including inadvertent disclosure of our confidential information into publicly available third-party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AI-powered software, will depend on our implementation, maintenance, monitoring and enforcement of appropriate technical and administrative safeguards, policies and procedures governing the use of AI in our business. Moreover, any content created by us using generative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the outcome of any one of which may, amongst other things, require us to limit the ways in which we use AI in our business. For example, the output produced by generative AI tools may include information subject to certain rights of publicity or privacy laws or constitute an unauthorized derivative work of the copyrighted material used in training the underlying AI model, any of which could also create a risk of liability for us, or adversely affect our business or operations. In addition, the use of AI has resulted in, and may in the future result in, security breaches or other security incidents that implicate the personal data of users of AI-powered applications. If we experience security breaches or incidents in connection with our use of AI, it could adversely affect our reputation and expose us to legal liability or regulatory risk.</w:t>
      </w:r>
    </w:p>
    <w:p>
      <w:pPr>
        <w:spacing w:after="0" w:line="208" w:lineRule="exact"/>
        <w:rPr>
          <w:sz w:val="20"/>
          <w:szCs w:val="20"/>
          <w:color w:val="auto"/>
        </w:rPr>
      </w:pPr>
    </w:p>
    <w:p>
      <w:pPr>
        <w:ind w:right="60" w:firstLine="627"/>
        <w:spacing w:after="0" w:line="242" w:lineRule="auto"/>
        <w:rPr>
          <w:sz w:val="20"/>
          <w:szCs w:val="20"/>
          <w:color w:val="auto"/>
        </w:rPr>
      </w:pPr>
      <w:r>
        <w:rPr>
          <w:rFonts w:ascii="Times New Roman" w:cs="Times New Roman" w:eastAsia="Times New Roman" w:hAnsi="Times New Roman"/>
          <w:sz w:val="17"/>
          <w:szCs w:val="17"/>
          <w:color w:val="auto"/>
        </w:rPr>
        <w:t>Further, potential government regulation related to AI use and ethics may also increase the burden and cost of research and development in this area, and failure to properly remediate AI usage or ethics issues may cause public confidence in AI to be undermined, which could slow adoption of AI in our products and services. For example, the EU AI Act was published in the Official Journal of the EU on July 12, 2024 and entered into force on August 1, 2024. The EU AI Act establishes, among other things, a risk-based governance framework for regulating AI systems operating in the EU. This framework categorizes AI systems, based on the risks associated with such AI systems’ intended purposes, as creating unacceptable or high risks, with all other AI systems being considered low risk. The EU AI Act prohibits certain uses of AI systems and places numerous obligations on providers and deployers of permitted AI systems, with heightened requirements based on AI systems that are considered high risk. We may not be able to anticipate how to respond to these rapidly evolving frameworks, and we may need to expend resources to adjust our operations or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 The cost to comply with such laws or regulations could be significant and would increase our operating expenses, which could adversely affect our business, financial condition and results of operations.</w:t>
      </w:r>
    </w:p>
    <w:p>
      <w:pPr>
        <w:spacing w:after="0" w:line="210" w:lineRule="exact"/>
        <w:rPr>
          <w:sz w:val="20"/>
          <w:szCs w:val="20"/>
          <w:color w:val="auto"/>
        </w:rPr>
      </w:pPr>
    </w:p>
    <w:p>
      <w:pPr>
        <w:ind w:right="320" w:firstLine="627"/>
        <w:spacing w:after="0" w:line="248" w:lineRule="auto"/>
        <w:rPr>
          <w:sz w:val="20"/>
          <w:szCs w:val="20"/>
          <w:color w:val="auto"/>
        </w:rPr>
      </w:pPr>
      <w:r>
        <w:rPr>
          <w:rFonts w:ascii="Times New Roman" w:cs="Times New Roman" w:eastAsia="Times New Roman" w:hAnsi="Times New Roman"/>
          <w:sz w:val="17"/>
          <w:szCs w:val="17"/>
          <w:color w:val="auto"/>
        </w:rPr>
        <w:t>As the utilization of AI becomes more prevalent, we anticipate that it will continue to present new or unanticipated ethical, reputational, technical, operational, legal, competitive and regulatory issues, among others. We expect that our incorporation of AI in our business will require additional resources, including the incurrence of additional costs, to develop and maintain our products and solutions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could adversely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common stock has been and is likely to continue to be volatile, which could cause the value of our common stock to decline.</w:t>
      </w:r>
    </w:p>
    <w:p>
      <w:pPr>
        <w:spacing w:after="0" w:line="174" w:lineRule="exact"/>
        <w:rPr>
          <w:sz w:val="20"/>
          <w:szCs w:val="20"/>
          <w:color w:val="auto"/>
        </w:rPr>
      </w:pPr>
    </w:p>
    <w:p>
      <w:pPr>
        <w:ind w:right="540" w:firstLine="470"/>
        <w:spacing w:after="0" w:line="295" w:lineRule="auto"/>
        <w:rPr>
          <w:sz w:val="20"/>
          <w:szCs w:val="20"/>
          <w:color w:val="auto"/>
        </w:rPr>
      </w:pPr>
      <w:r>
        <w:rPr>
          <w:rFonts w:ascii="Times New Roman" w:cs="Times New Roman" w:eastAsia="Times New Roman" w:hAnsi="Times New Roman"/>
          <w:sz w:val="17"/>
          <w:szCs w:val="17"/>
          <w:color w:val="auto"/>
        </w:rPr>
        <w:t>Technology stocks have historically experienced high levels of volatility. The trading price of our common has been and is likely to continue to be volatile. Factors that could cause fluctuations in the trading price of our common stock include the following:</w:t>
      </w:r>
    </w:p>
    <w:p>
      <w:pPr>
        <w:spacing w:after="0" w:line="94" w:lineRule="exact"/>
        <w:rPr>
          <w:sz w:val="20"/>
          <w:szCs w:val="20"/>
          <w:color w:val="auto"/>
        </w:rPr>
      </w:pPr>
    </w:p>
    <w:p>
      <w:pPr>
        <w:ind w:left="780" w:hanging="305"/>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or fluctuations in our results of operations;</w:t>
      </w:r>
    </w:p>
    <w:p>
      <w:pPr>
        <w:spacing w:after="0" w:line="170"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our results of operations meet the expectations of securities analysts or investors;</w:t>
      </w:r>
    </w:p>
    <w:p>
      <w:pPr>
        <w:spacing w:after="0" w:line="170"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products or technologies, commercial relationships, acquisitions or other events by us or our competitors;</w:t>
      </w:r>
    </w:p>
    <w:p>
      <w:pPr>
        <w:spacing w:after="0" w:line="170"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how customers perceive the benefits of our product and future product offerings and releases;</w:t>
      </w:r>
    </w:p>
    <w:p>
      <w:pPr>
        <w:spacing w:after="0" w:line="170"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departures of key personnel;</w:t>
      </w:r>
    </w:p>
    <w:p>
      <w:pPr>
        <w:spacing w:after="0" w:line="31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780" w:hanging="305"/>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from time to time;</w:t>
      </w:r>
    </w:p>
    <w:p>
      <w:pPr>
        <w:spacing w:after="0" w:line="170"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trading volume of our shares or the size of our public float;</w:t>
      </w:r>
    </w:p>
    <w:p>
      <w:pPr>
        <w:spacing w:after="0" w:line="170"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large blocks of our common stock;</w:t>
      </w:r>
    </w:p>
    <w:p>
      <w:pPr>
        <w:spacing w:after="0" w:line="170"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actual or future expectations of investors or securities analysts;</w:t>
      </w:r>
    </w:p>
    <w:p>
      <w:pPr>
        <w:spacing w:after="0" w:line="170"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data breach or other security incident involving our software;</w:t>
      </w:r>
    </w:p>
    <w:p>
      <w:pPr>
        <w:spacing w:after="0" w:line="170"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us, our industry, or both;</w:t>
      </w:r>
    </w:p>
    <w:p>
      <w:pPr>
        <w:spacing w:after="0" w:line="170"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in the United States, foreign countries or both;</w:t>
      </w:r>
    </w:p>
    <w:p>
      <w:pPr>
        <w:spacing w:after="0" w:line="170"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trends;</w:t>
      </w:r>
    </w:p>
    <w:p>
      <w:pPr>
        <w:spacing w:after="0" w:line="170"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catastrophic events in our domestic and foreign markets; and</w:t>
      </w:r>
    </w:p>
    <w:p>
      <w:pPr>
        <w:spacing w:after="0" w:line="170" w:lineRule="exact"/>
        <w:rPr>
          <w:rFonts w:ascii="Times New Roman" w:cs="Times New Roman" w:eastAsia="Times New Roman" w:hAnsi="Times New Roman"/>
          <w:sz w:val="17"/>
          <w:szCs w:val="17"/>
          <w:color w:val="auto"/>
        </w:rPr>
      </w:pPr>
    </w:p>
    <w:p>
      <w:pPr>
        <w:ind w:left="780" w:hanging="305"/>
        <w:spacing w:after="0"/>
        <w:tabs>
          <w:tab w:leader="none" w:pos="7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“flash crashes,” “freeze flashes” or other glitches that disrupt trading on the securities exchange on which we are listed.</w:t>
      </w:r>
    </w:p>
    <w:p>
      <w:pPr>
        <w:spacing w:after="0" w:line="170" w:lineRule="exact"/>
        <w:rPr>
          <w:sz w:val="20"/>
          <w:szCs w:val="20"/>
          <w:color w:val="auto"/>
        </w:rPr>
      </w:pPr>
    </w:p>
    <w:p>
      <w:pPr>
        <w:ind w:right="120" w:firstLine="470"/>
        <w:spacing w:after="0" w:line="264" w:lineRule="auto"/>
        <w:rPr>
          <w:sz w:val="20"/>
          <w:szCs w:val="20"/>
          <w:color w:val="auto"/>
        </w:rPr>
      </w:pPr>
      <w:r>
        <w:rPr>
          <w:rFonts w:ascii="Times New Roman" w:cs="Times New Roman" w:eastAsia="Times New Roman" w:hAnsi="Times New Roman"/>
          <w:sz w:val="17"/>
          <w:szCs w:val="17"/>
          <w:color w:val="auto"/>
        </w:rPr>
        <w:t>In addition, if the market for technology stocks or the stock market in general experiences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17" w:lineRule="exact"/>
        <w:rPr>
          <w:sz w:val="20"/>
          <w:szCs w:val="20"/>
          <w:color w:val="auto"/>
        </w:rPr>
      </w:pPr>
    </w:p>
    <w:p>
      <w:pPr>
        <w:ind w:right="20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We may fail to meet our publicly announced guidance or other expectations about our business and future operating results, which would cause our stock price to decline.</w:t>
      </w:r>
    </w:p>
    <w:p>
      <w:pPr>
        <w:spacing w:after="0" w:line="77" w:lineRule="exact"/>
        <w:rPr>
          <w:sz w:val="20"/>
          <w:szCs w:val="20"/>
          <w:color w:val="auto"/>
        </w:rPr>
      </w:pPr>
    </w:p>
    <w:p>
      <w:pPr>
        <w:ind w:firstLine="470"/>
        <w:spacing w:after="0" w:line="242" w:lineRule="auto"/>
        <w:rPr>
          <w:sz w:val="20"/>
          <w:szCs w:val="20"/>
          <w:color w:val="auto"/>
        </w:rPr>
      </w:pPr>
      <w:r>
        <w:rPr>
          <w:rFonts w:ascii="Times New Roman" w:cs="Times New Roman" w:eastAsia="Times New Roman" w:hAnsi="Times New Roman"/>
          <w:sz w:val="17"/>
          <w:szCs w:val="17"/>
          <w:color w:val="auto"/>
        </w:rPr>
        <w:t>We release earnings guidance in our quarterly and annual earnings conference calls, quarterly and annual earnings releases, or otherwise, regarding our future performance that represents our management’s estimates as of the date of release. This guidance includes forward-looking statements based on projections prepared by our management. Projections are based upon a number of assumptions and estimates that, while presented with numerical specificity, are inherently subject to significant business, economic and competitive uncertainties and contingencies on our business, many of which are beyond our control and are based upon specific assumptions with respect to future business decisions, some of which will change. Some of those key assumptions relate to the macroeconomic environment, including inflation and interest rates, which are inherently difficult to predict.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volatility, instability in the banking sector, the ongoing geopolitical instability resulting from the conflicts between Russia and Ukraine and Israel and Hamas, severely diminished liquidity and credit availability, declines in consumer confidence, declines in economic growth, increases in unemployment rates, increases in inflation rates, higher interest rates and uncertainty about economic stability, any of which or combination thereof could materially and adversely affect our business and future operating results. Furthermore, if we make downward revisions of our previously announced guidance, if we withdraw our previously announced guidance, or if our publicly announced guidance of future operating results fails to meet expectations of securities analysts, investors or other interested parties, the price of our common stock would decline.</w:t>
      </w:r>
    </w:p>
    <w:p>
      <w:pPr>
        <w:spacing w:after="0" w:line="218" w:lineRule="exact"/>
        <w:rPr>
          <w:sz w:val="20"/>
          <w:szCs w:val="20"/>
          <w:color w:val="auto"/>
        </w:rPr>
      </w:pPr>
    </w:p>
    <w:p>
      <w:pPr>
        <w:ind w:right="100" w:firstLine="470"/>
        <w:spacing w:after="0" w:line="269" w:lineRule="auto"/>
        <w:rPr>
          <w:sz w:val="20"/>
          <w:szCs w:val="20"/>
          <w:color w:val="auto"/>
        </w:rPr>
      </w:pPr>
      <w:r>
        <w:rPr>
          <w:rFonts w:ascii="Times New Roman" w:cs="Times New Roman" w:eastAsia="Times New Roman" w:hAnsi="Times New Roman"/>
          <w:sz w:val="17"/>
          <w:szCs w:val="17"/>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6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80" w:firstLine="470"/>
        <w:spacing w:after="0" w:line="295" w:lineRule="auto"/>
        <w:rPr>
          <w:sz w:val="20"/>
          <w:szCs w:val="20"/>
          <w:color w:val="auto"/>
        </w:rPr>
      </w:pPr>
      <w:r>
        <w:rPr>
          <w:rFonts w:ascii="Times New Roman" w:cs="Times New Roman" w:eastAsia="Times New Roman" w:hAnsi="Times New Roman"/>
          <w:sz w:val="17"/>
          <w:szCs w:val="17"/>
          <w:color w:val="auto"/>
        </w:rPr>
        <w:t>Any failure to successfully implement our operating strategy or the occurrence of any of the events or circumstances set forth in this “Risk Factors” section in this report could result in the actual operating results being different from our guidance, and the differences may be adverse and material.</w:t>
      </w:r>
    </w:p>
    <w:p>
      <w:pPr>
        <w:spacing w:after="0" w:line="90" w:lineRule="exact"/>
        <w:rPr>
          <w:sz w:val="20"/>
          <w:szCs w:val="20"/>
          <w:color w:val="auto"/>
        </w:rPr>
      </w:pPr>
    </w:p>
    <w:p>
      <w:pPr>
        <w:ind w:right="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Our issuance of additional capital stock in connection with financings, acquisitions, investments, our equity incentive plans or otherwise will dilute all other stockholders.</w:t>
      </w:r>
    </w:p>
    <w:p>
      <w:pPr>
        <w:spacing w:after="0" w:line="90" w:lineRule="exact"/>
        <w:rPr>
          <w:sz w:val="20"/>
          <w:szCs w:val="20"/>
          <w:color w:val="auto"/>
        </w:rPr>
      </w:pPr>
    </w:p>
    <w:p>
      <w:pPr>
        <w:ind w:right="100" w:firstLine="470"/>
        <w:spacing w:after="0" w:line="266" w:lineRule="auto"/>
        <w:rPr>
          <w:sz w:val="20"/>
          <w:szCs w:val="20"/>
          <w:color w:val="auto"/>
        </w:rPr>
      </w:pPr>
      <w:r>
        <w:rPr>
          <w:rFonts w:ascii="Times New Roman" w:cs="Times New Roman" w:eastAsia="Times New Roman" w:hAnsi="Times New Roman"/>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our common stock for the foreseeable future.</w:t>
      </w:r>
    </w:p>
    <w:p>
      <w:pPr>
        <w:spacing w:after="0" w:line="174" w:lineRule="exact"/>
        <w:rPr>
          <w:sz w:val="20"/>
          <w:szCs w:val="20"/>
          <w:color w:val="auto"/>
        </w:rPr>
      </w:pPr>
    </w:p>
    <w:p>
      <w:pPr>
        <w:ind w:right="340" w:firstLine="470"/>
        <w:spacing w:after="0" w:line="276" w:lineRule="auto"/>
        <w:rPr>
          <w:sz w:val="20"/>
          <w:szCs w:val="20"/>
          <w:color w:val="auto"/>
        </w:rPr>
      </w:pPr>
      <w:r>
        <w:rPr>
          <w:rFonts w:ascii="Times New Roman" w:cs="Times New Roman" w:eastAsia="Times New Roman" w:hAnsi="Times New Roman"/>
          <w:sz w:val="17"/>
          <w:szCs w:val="17"/>
          <w:color w:val="auto"/>
        </w:rPr>
        <w:t>We have never declared or paid any dividends on our capital stock. We intend to retain any earnings to finance the operation and expansion of our business and we do not anticipate paying any dividends in the foreseeable future. As a result, investors in our common stock may only receive a return if the market price of our common stock increases.</w:t>
      </w:r>
    </w:p>
    <w:p>
      <w:pPr>
        <w:spacing w:after="0" w:line="106" w:lineRule="exact"/>
        <w:rPr>
          <w:sz w:val="20"/>
          <w:szCs w:val="20"/>
          <w:color w:val="auto"/>
        </w:rPr>
      </w:pPr>
    </w:p>
    <w:p>
      <w:pPr>
        <w:ind w:right="14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may strain our resources, divert management's attention and affect our ability to attract and retain additional executive management and qualified board members.</w:t>
      </w:r>
    </w:p>
    <w:p>
      <w:pPr>
        <w:spacing w:after="0" w:line="90" w:lineRule="exact"/>
        <w:rPr>
          <w:sz w:val="20"/>
          <w:szCs w:val="20"/>
          <w:color w:val="auto"/>
        </w:rPr>
      </w:pPr>
    </w:p>
    <w:p>
      <w:pPr>
        <w:ind w:right="40" w:firstLine="470"/>
        <w:spacing w:after="0" w:line="261"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the Sarbanes-Oxley Act, the Dodd-Frank Wall Street Reform and Consumer Protection Act, the listing requirements of the Nasdaq and other applicable securities rules and regulations. Our management and other personnel devote a substantial amount of time to compliance with these requirements. Moreover, these laws, regulations and standards are subject to varying interpretations and their application in practice may evolve over time as regulatory and governing bodies issue revisions to, or new interpretations of, these public company requirements. Such changes could result in continuing uncertainty regarding compliance matters and higher legal and financial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334" w:lineRule="exact"/>
        <w:rPr>
          <w:sz w:val="20"/>
          <w:szCs w:val="20"/>
          <w:color w:val="auto"/>
        </w:rPr>
      </w:pPr>
    </w:p>
    <w:p>
      <w:pPr>
        <w:ind w:right="100" w:firstLine="470"/>
        <w:spacing w:after="0" w:line="276" w:lineRule="auto"/>
        <w:rPr>
          <w:sz w:val="20"/>
          <w:szCs w:val="20"/>
          <w:color w:val="auto"/>
        </w:rPr>
      </w:pPr>
      <w:r>
        <w:rPr>
          <w:rFonts w:ascii="Times New Roman" w:cs="Times New Roman" w:eastAsia="Times New Roman" w:hAnsi="Times New Roman"/>
          <w:sz w:val="17"/>
          <w:szCs w:val="17"/>
          <w:color w:val="auto"/>
        </w:rPr>
        <w:t>Being a public company under these rules and regulations has made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executive officers or members of our Board of Directors, particularly to serve on our audit and compensation committees.</w:t>
      </w:r>
    </w:p>
    <w:p>
      <w:pPr>
        <w:spacing w:after="0" w:line="110" w:lineRule="exact"/>
        <w:rPr>
          <w:sz w:val="20"/>
          <w:szCs w:val="20"/>
          <w:color w:val="auto"/>
        </w:rPr>
      </w:pPr>
    </w:p>
    <w:p>
      <w:pPr>
        <w:ind w:firstLine="470"/>
        <w:spacing w:after="0" w:line="269" w:lineRule="auto"/>
        <w:rPr>
          <w:sz w:val="20"/>
          <w:szCs w:val="20"/>
          <w:color w:val="auto"/>
        </w:rPr>
      </w:pPr>
      <w:r>
        <w:rPr>
          <w:rFonts w:ascii="Times New Roman" w:cs="Times New Roman" w:eastAsia="Times New Roman" w:hAnsi="Times New Roman"/>
          <w:sz w:val="17"/>
          <w:szCs w:val="17"/>
          <w:color w:val="auto"/>
        </w:rPr>
        <w:t>As a result of the disclosures within our filings with the SEC, information about our business and our financial condition is available to competitors and other third parties, which may result in threatened or actual litigation, including by competitors and other third parties. If such claims are successful, our business and results of operations could be adversely affected. Even if the claims do not result in litigation or are resolved in our favor, these claims and the time and resources necessary to resolve them, could divert the resources of our management and adversely affect our business and results of operations.</w:t>
      </w:r>
    </w:p>
    <w:p>
      <w:pPr>
        <w:spacing w:after="0" w:line="113" w:lineRule="exact"/>
        <w:rPr>
          <w:sz w:val="20"/>
          <w:szCs w:val="20"/>
          <w:color w:val="auto"/>
        </w:rPr>
      </w:pPr>
    </w:p>
    <w:p>
      <w:pPr>
        <w:jc w:val="both"/>
        <w:ind w:right="3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09" w:lineRule="exact"/>
        <w:rPr>
          <w:sz w:val="20"/>
          <w:szCs w:val="20"/>
          <w:color w:val="auto"/>
        </w:rPr>
      </w:pPr>
    </w:p>
    <w:p>
      <w:pPr>
        <w:ind w:right="660" w:firstLine="470"/>
        <w:spacing w:after="0" w:line="295" w:lineRule="auto"/>
        <w:rPr>
          <w:sz w:val="20"/>
          <w:szCs w:val="20"/>
          <w:color w:val="auto"/>
        </w:rPr>
      </w:pPr>
      <w:r>
        <w:rPr>
          <w:rFonts w:ascii="Times New Roman" w:cs="Times New Roman" w:eastAsia="Times New Roman" w:hAnsi="Times New Roman"/>
          <w:sz w:val="17"/>
          <w:szCs w:val="17"/>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94" w:lineRule="exact"/>
        <w:rPr>
          <w:sz w:val="20"/>
          <w:szCs w:val="20"/>
          <w:color w:val="auto"/>
        </w:rPr>
      </w:pPr>
    </w:p>
    <w:p>
      <w:pPr>
        <w:ind w:left="940" w:hanging="465"/>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our behalf;</w:t>
      </w:r>
    </w:p>
    <w:p>
      <w:pPr>
        <w:spacing w:after="0" w:line="170"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breach of fiduciary duty;</w:t>
      </w:r>
    </w:p>
    <w:p>
      <w:pPr>
        <w:spacing w:after="0" w:line="31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940" w:right="40" w:hanging="465"/>
        <w:spacing w:after="0" w:line="295" w:lineRule="auto"/>
        <w:tabs>
          <w:tab w:leader="none" w:pos="93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us arising under the Delaware General Corporation Law, our amended and restated certificate of incorporation, or our amended and restated bylaws; and</w:t>
      </w:r>
    </w:p>
    <w:p>
      <w:pPr>
        <w:spacing w:after="0" w:line="94"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us that is governed by the internal-affairs doctrine.</w:t>
      </w:r>
    </w:p>
    <w:p>
      <w:pPr>
        <w:spacing w:after="0" w:line="170" w:lineRule="exact"/>
        <w:rPr>
          <w:sz w:val="20"/>
          <w:szCs w:val="20"/>
          <w:color w:val="auto"/>
        </w:rPr>
      </w:pPr>
    </w:p>
    <w:p>
      <w:pPr>
        <w:ind w:firstLine="470"/>
        <w:spacing w:after="0" w:line="260" w:lineRule="auto"/>
        <w:rPr>
          <w:sz w:val="20"/>
          <w:szCs w:val="20"/>
          <w:color w:val="auto"/>
        </w:rPr>
      </w:pPr>
      <w:r>
        <w:rPr>
          <w:rFonts w:ascii="Times New Roman" w:cs="Times New Roman" w:eastAsia="Times New Roman" w:hAnsi="Times New Roman"/>
          <w:sz w:val="17"/>
          <w:szCs w:val="17"/>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and there can be no assurance that the provisions will be enforced by a court in those other jurisdictions. If a court were to find either exclusive-forum provision in our amended and restated certificate of incorporation to be inapplicable or unenforceable in an action, we may incur further significant additional costs associated with resolving the dispute in other jurisdictions.</w:t>
      </w:r>
    </w:p>
    <w:p>
      <w:pPr>
        <w:spacing w:after="0" w:line="121"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Delaware law and our corporate charter and bylaws contain anti-takeover provisions that could delay or discourage takeover attempts that stockholders may consider favorable.</w:t>
      </w:r>
    </w:p>
    <w:p>
      <w:pPr>
        <w:spacing w:after="0" w:line="90" w:lineRule="exact"/>
        <w:rPr>
          <w:sz w:val="20"/>
          <w:szCs w:val="20"/>
          <w:color w:val="auto"/>
        </w:rPr>
      </w:pPr>
    </w:p>
    <w:p>
      <w:pPr>
        <w:jc w:val="both"/>
        <w:ind w:right="20" w:firstLine="470"/>
        <w:spacing w:after="0" w:line="276"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110" w:lineRule="exact"/>
        <w:rPr>
          <w:sz w:val="20"/>
          <w:szCs w:val="20"/>
          <w:color w:val="auto"/>
        </w:rPr>
      </w:pPr>
    </w:p>
    <w:p>
      <w:pPr>
        <w:ind w:left="940" w:right="500" w:hanging="465"/>
        <w:spacing w:after="0" w:line="295"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classified Board of Directors with three-year staggered terms, which could delay the ability of stockholders to change the membership of a majority of our Board of Directors;</w:t>
      </w:r>
    </w:p>
    <w:p>
      <w:pPr>
        <w:spacing w:after="0" w:line="94" w:lineRule="exact"/>
        <w:rPr>
          <w:rFonts w:ascii="Times New Roman" w:cs="Times New Roman" w:eastAsia="Times New Roman" w:hAnsi="Times New Roman"/>
          <w:sz w:val="17"/>
          <w:szCs w:val="17"/>
          <w:color w:val="auto"/>
        </w:rPr>
      </w:pPr>
    </w:p>
    <w:p>
      <w:pPr>
        <w:jc w:val="both"/>
        <w:ind w:left="940" w:right="560" w:hanging="465"/>
        <w:spacing w:after="0" w:line="295"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94" w:lineRule="exact"/>
        <w:rPr>
          <w:rFonts w:ascii="Times New Roman" w:cs="Times New Roman" w:eastAsia="Times New Roman" w:hAnsi="Times New Roman"/>
          <w:sz w:val="17"/>
          <w:szCs w:val="17"/>
          <w:color w:val="auto"/>
        </w:rPr>
      </w:pPr>
    </w:p>
    <w:p>
      <w:pPr>
        <w:ind w:left="940" w:right="740" w:hanging="465"/>
        <w:spacing w:after="0" w:line="295"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94" w:lineRule="exact"/>
        <w:rPr>
          <w:rFonts w:ascii="Times New Roman" w:cs="Times New Roman" w:eastAsia="Times New Roman" w:hAnsi="Times New Roman"/>
          <w:sz w:val="17"/>
          <w:szCs w:val="17"/>
          <w:color w:val="auto"/>
        </w:rPr>
      </w:pPr>
    </w:p>
    <w:p>
      <w:pPr>
        <w:ind w:left="940" w:right="720" w:hanging="465"/>
        <w:spacing w:after="0" w:line="295"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prohibition on stockholder action by written consent, which forces stockholder action to be taken at an annual or special meeting of our stockholders;</w:t>
      </w:r>
    </w:p>
    <w:p>
      <w:pPr>
        <w:spacing w:after="0" w:line="94" w:lineRule="exact"/>
        <w:rPr>
          <w:rFonts w:ascii="Times New Roman" w:cs="Times New Roman" w:eastAsia="Times New Roman" w:hAnsi="Times New Roman"/>
          <w:sz w:val="17"/>
          <w:szCs w:val="17"/>
          <w:color w:val="auto"/>
        </w:rPr>
      </w:pPr>
    </w:p>
    <w:p>
      <w:pPr>
        <w:ind w:left="940" w:right="140" w:hanging="465"/>
        <w:spacing w:after="0" w:line="276"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that a special meeting of stockholders may be called only by our Board of Directors, the chairperson of our Board of Directors or our chief executive officer, which limitations could delay the ability of our stockholders to force consideration of a proposal or to take action, including the removal of directors;</w:t>
      </w:r>
    </w:p>
    <w:p>
      <w:pPr>
        <w:spacing w:after="0" w:line="109" w:lineRule="exact"/>
        <w:rPr>
          <w:rFonts w:ascii="Times New Roman" w:cs="Times New Roman" w:eastAsia="Times New Roman" w:hAnsi="Times New Roman"/>
          <w:sz w:val="17"/>
          <w:szCs w:val="17"/>
          <w:color w:val="auto"/>
        </w:rPr>
      </w:pPr>
    </w:p>
    <w:p>
      <w:pPr>
        <w:ind w:left="940" w:right="80" w:hanging="465"/>
        <w:spacing w:after="0" w:line="269"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requirement for the affirmative vote of holders of a majority of the voting power of all of the then outstanding shares of the voting stock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116" w:lineRule="exact"/>
        <w:rPr>
          <w:rFonts w:ascii="Times New Roman" w:cs="Times New Roman" w:eastAsia="Times New Roman" w:hAnsi="Times New Roman"/>
          <w:sz w:val="17"/>
          <w:szCs w:val="17"/>
          <w:color w:val="auto"/>
        </w:rPr>
      </w:pPr>
    </w:p>
    <w:p>
      <w:pPr>
        <w:ind w:left="940" w:right="600" w:hanging="465"/>
        <w:spacing w:after="0" w:line="295"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 and</w:t>
      </w:r>
    </w:p>
    <w:p>
      <w:pPr>
        <w:spacing w:after="0" w:line="94" w:lineRule="exact"/>
        <w:rPr>
          <w:rFonts w:ascii="Times New Roman" w:cs="Times New Roman" w:eastAsia="Times New Roman" w:hAnsi="Times New Roman"/>
          <w:sz w:val="17"/>
          <w:szCs w:val="17"/>
          <w:color w:val="auto"/>
        </w:rPr>
      </w:pPr>
    </w:p>
    <w:p>
      <w:pPr>
        <w:ind w:left="940" w:right="380" w:hanging="465"/>
        <w:spacing w:after="0" w:line="295"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with which stockholders must comply to nominate candidates to our Board of Directors or to propose matters to be acted upon at a stockholders’ meeting, which may discourage or deter a</w:t>
      </w:r>
    </w:p>
    <w:p>
      <w:pPr>
        <w:spacing w:after="0" w:line="23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940" w:right="20"/>
        <w:spacing w:after="0" w:line="267" w:lineRule="auto"/>
        <w:rPr>
          <w:sz w:val="20"/>
          <w:szCs w:val="20"/>
          <w:color w:val="auto"/>
        </w:rPr>
      </w:pPr>
      <w:r>
        <w:rPr>
          <w:rFonts w:ascii="Times New Roman" w:cs="Times New Roman" w:eastAsia="Times New Roman" w:hAnsi="Times New Roman"/>
          <w:sz w:val="17"/>
          <w:szCs w:val="17"/>
          <w:color w:val="auto"/>
        </w:rPr>
        <w:t>potential acquirer from conducting a solicitation of proxies to elect the acquirer’s own slate of directors or otherwise attempting to obtain control of us.</w:t>
      </w:r>
    </w:p>
    <w:p>
      <w:pPr>
        <w:spacing w:after="0" w:line="358"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90" w:lineRule="exact"/>
        <w:rPr>
          <w:sz w:val="20"/>
          <w:szCs w:val="20"/>
          <w:color w:val="auto"/>
        </w:rPr>
      </w:pPr>
    </w:p>
    <w:p>
      <w:pPr>
        <w:ind w:right="560"/>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Sales of substantial amounts of our common stock in the public markets, or the perception that they might occur, could cause the market price of our common stock to decline.</w:t>
      </w:r>
    </w:p>
    <w:p>
      <w:pPr>
        <w:spacing w:after="0" w:line="90" w:lineRule="exact"/>
        <w:rPr>
          <w:sz w:val="20"/>
          <w:szCs w:val="20"/>
          <w:color w:val="auto"/>
        </w:rPr>
      </w:pPr>
    </w:p>
    <w:p>
      <w:pPr>
        <w:ind w:right="200" w:firstLine="470"/>
        <w:spacing w:after="0" w:line="295"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94" w:lineRule="exact"/>
        <w:rPr>
          <w:sz w:val="20"/>
          <w:szCs w:val="20"/>
          <w:color w:val="auto"/>
        </w:rPr>
      </w:pPr>
    </w:p>
    <w:p>
      <w:pPr>
        <w:ind w:right="20" w:firstLine="470"/>
        <w:spacing w:after="0" w:line="269" w:lineRule="auto"/>
        <w:rPr>
          <w:sz w:val="20"/>
          <w:szCs w:val="20"/>
          <w:color w:val="auto"/>
        </w:rPr>
      </w:pPr>
      <w:r>
        <w:rPr>
          <w:rFonts w:ascii="Times New Roman" w:cs="Times New Roman" w:eastAsia="Times New Roman" w:hAnsi="Times New Roman"/>
          <w:sz w:val="17"/>
          <w:szCs w:val="17"/>
          <w:color w:val="auto"/>
        </w:rPr>
        <w:t>In addition, we have options outstanding that, if fully exercised, would result in the issuance of shares of our common stock. We also have restricted stock units (“RSUs”) outstanding that, if vested and settled, would result in the issuance of shares of common stock. All of the shares of common stock issuable upon the exercise of stock options and vesting of RSUs and the shares reserved for future issuance under our equity incentive plans, are registered for public resale under the Securities Act. Accordingly, these shares will be able to be freely sold in the public market upon issuance, subject to applicable vesting requirements.</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Indebtedness</w:t>
      </w:r>
    </w:p>
    <w:p>
      <w:pPr>
        <w:spacing w:after="0" w:line="168" w:lineRule="exact"/>
        <w:rPr>
          <w:sz w:val="20"/>
          <w:szCs w:val="20"/>
          <w:color w:val="auto"/>
        </w:rPr>
      </w:pPr>
    </w:p>
    <w:p>
      <w:pPr>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In the past, we incurred significant amounts of debt and may in the future incur additional indebtedness. We may not have sufficient cash flow from our business to make payments on such debt when due.</w:t>
      </w:r>
    </w:p>
    <w:p>
      <w:pPr>
        <w:spacing w:after="0" w:line="90" w:lineRule="exact"/>
        <w:rPr>
          <w:sz w:val="20"/>
          <w:szCs w:val="20"/>
          <w:color w:val="auto"/>
        </w:rPr>
      </w:pPr>
    </w:p>
    <w:p>
      <w:pPr>
        <w:ind w:right="20" w:firstLine="470"/>
        <w:spacing w:after="0" w:line="260" w:lineRule="auto"/>
        <w:rPr>
          <w:sz w:val="20"/>
          <w:szCs w:val="20"/>
          <w:color w:val="auto"/>
        </w:rPr>
      </w:pPr>
      <w:r>
        <w:rPr>
          <w:rFonts w:ascii="Times New Roman" w:cs="Times New Roman" w:eastAsia="Times New Roman" w:hAnsi="Times New Roman"/>
          <w:sz w:val="17"/>
          <w:szCs w:val="17"/>
          <w:color w:val="auto"/>
        </w:rPr>
        <w:t>We and our subsidiaries may incur substantial additional debt in the future, subject to the restrictions contained in our future debt agreements, some of which may be secured debt. We may be required to use a substantial portion of our cash flows from operations to pay interest and principal on our indebtedness. Our ability to make scheduled payments of the principal of, to pay interest on or to refinance our indebtedness, depends on our future performance, which is subject to economic, financial, competitive and other factors beyond our control. Such payments will reduce the funds available to us for working capital, capital expenditures and other corporate purposes and limit our ability to obtain additional financing for working capital, capital expenditures, expansion plans and other investments, which may in turn limit our ability to implement our business strategy, heighten our vulnerability to downturns in our business, the industry, or in the general economy, limit our flexibility in planning for, or reacting to, changes in our business and the industry and prevent us from taking advantage of business opportunities as they arise. Our business may not be able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We may not be able to engage in any of these activities or engage in these activities on desirable terms, which could result in a default on our debt obligations. Additionally, weakness and volatility in capital markets and the economy, in general or as a result of macroeconomic conditions such as rising inflation, could limit our access to capital markets and increase our costs of borrowing.</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capped call transactions may affect the value of our common stock.</w:t>
      </w:r>
    </w:p>
    <w:p>
      <w:pPr>
        <w:spacing w:after="0" w:line="174" w:lineRule="exact"/>
        <w:rPr>
          <w:sz w:val="20"/>
          <w:szCs w:val="20"/>
          <w:color w:val="auto"/>
        </w:rPr>
      </w:pPr>
    </w:p>
    <w:p>
      <w:pPr>
        <w:ind w:right="400" w:firstLine="470"/>
        <w:spacing w:after="0" w:line="269" w:lineRule="auto"/>
        <w:rPr>
          <w:sz w:val="20"/>
          <w:szCs w:val="20"/>
          <w:color w:val="auto"/>
        </w:rPr>
      </w:pPr>
      <w:r>
        <w:rPr>
          <w:rFonts w:ascii="Times New Roman" w:cs="Times New Roman" w:eastAsia="Times New Roman" w:hAnsi="Times New Roman"/>
          <w:sz w:val="17"/>
          <w:szCs w:val="17"/>
          <w:color w:val="auto"/>
        </w:rPr>
        <w:t>In connection with the pricing of the 2026 Notes, all of which were redeemed in December 2024, we entered into privately negotiated capped call transactions with certain counterparties. The capped call transactions cover, subject to customary adjustments, the number of shares of our common stock initially underlying the 2026 Notes. In connection with establishing their initial hedges of the capped call transactions, the counterparties or their respective affiliates entered into various derivative transactions with respect to our common stock concurrently with or shortly after the pricing of the 2026 Notes.</w:t>
      </w:r>
    </w:p>
    <w:p>
      <w:pPr>
        <w:spacing w:after="0" w:line="117" w:lineRule="exact"/>
        <w:rPr>
          <w:sz w:val="20"/>
          <w:szCs w:val="20"/>
          <w:color w:val="auto"/>
        </w:rPr>
      </w:pPr>
    </w:p>
    <w:p>
      <w:pPr>
        <w:ind w:right="180" w:firstLine="470"/>
        <w:spacing w:after="0" w:line="269" w:lineRule="auto"/>
        <w:rPr>
          <w:sz w:val="20"/>
          <w:szCs w:val="20"/>
          <w:color w:val="auto"/>
        </w:rPr>
      </w:pPr>
      <w:r>
        <w:rPr>
          <w:rFonts w:ascii="Times New Roman" w:cs="Times New Roman" w:eastAsia="Times New Roman" w:hAnsi="Times New Roman"/>
          <w:sz w:val="17"/>
          <w:szCs w:val="17"/>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expiration of the capped call transactions (and are likely to do so on each exercise date of the capped call transactions, which are scheduled to occur during a 40 day trading day period prior to expiration of the capped call transactions). This activity could also cause or avoid an increase or a decrease in the market</w:t>
      </w:r>
    </w:p>
    <w:p>
      <w:pPr>
        <w:spacing w:after="0" w:line="10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600"/>
        <w:spacing w:after="0" w:line="295" w:lineRule="auto"/>
        <w:rPr>
          <w:sz w:val="20"/>
          <w:szCs w:val="20"/>
          <w:color w:val="auto"/>
        </w:rPr>
      </w:pPr>
      <w:r>
        <w:rPr>
          <w:rFonts w:ascii="Times New Roman" w:cs="Times New Roman" w:eastAsia="Times New Roman" w:hAnsi="Times New Roman"/>
          <w:sz w:val="17"/>
          <w:szCs w:val="17"/>
          <w:color w:val="auto"/>
        </w:rPr>
        <w:t>price of our common stock. We do not make any representation or prediction as to the direction or magnitude of any potential effect that the transactions described above may have on the price of shares of our common stock.</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Cybersecurity Risk Management</w:t>
      </w:r>
    </w:p>
    <w:p>
      <w:pPr>
        <w:spacing w:after="0" w:line="172" w:lineRule="exact"/>
        <w:rPr>
          <w:sz w:val="20"/>
          <w:szCs w:val="20"/>
          <w:color w:val="auto"/>
        </w:rPr>
      </w:pPr>
    </w:p>
    <w:p>
      <w:pPr>
        <w:ind w:right="20" w:firstLine="470"/>
        <w:spacing w:after="0" w:line="260" w:lineRule="auto"/>
        <w:rPr>
          <w:sz w:val="20"/>
          <w:szCs w:val="20"/>
          <w:color w:val="auto"/>
        </w:rPr>
      </w:pPr>
      <w:r>
        <w:rPr>
          <w:rFonts w:ascii="Times New Roman" w:cs="Times New Roman" w:eastAsia="Times New Roman" w:hAnsi="Times New Roman"/>
          <w:sz w:val="17"/>
          <w:szCs w:val="17"/>
          <w:color w:val="auto"/>
        </w:rPr>
        <w:t>At MongoDB, cybersecurity risk management is an integral part of our overall information security program, which we review and update at least annually to reflect changes to our organization, business practices, technology and services, and applicable legislation and regulations. Our information security program is designed to align with the National Institute of Standards and Technology Cyber Security Framework and provides a framework for handling cybersecurity threats and incidents, including threats and incidents associated with the use of services provided by third parties. This framework includes steps for assessing the severity of a cybersecurity threat or incident, identifying the source of a cybersecurity threat or incident including whether the cybersecurity threat or incident is associated with a third-party service provider, implementing cybersecurity countermeasures and mitigation strategies and informing management and our board of directors of material cybersecurity threats and incidents. In addition, our information security team provides ongoing education to and requires mandatory training at least once annually of all employees. To bolster the security of our products and services, we have appropriate technical and organizational measures in place to protect data that our customers upload to MongoDB Atlas, which is certified against ISO 27001:2022, ISO 27017:2015, ISO 27018:2019, ISO 9001:2015, SOC 2 Type II, Payment Card Industry Data Security Standard v.4, and Cloud Security Alliance (“CSA”) Security, Trust, Assurance, Information Security Registered Assessors Program and Risk (“STAR”) Level 2. We also engage third parties to perform annual audits of our standards-based certifications and we have undergone a Health Insurance Portability and Accountability Act examination validated by a qualified third-party assessor.</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Governance</w:t>
      </w:r>
    </w:p>
    <w:p>
      <w:pPr>
        <w:spacing w:after="0" w:line="172"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Our board of directors has overall oversight responsibility for our enterprise risk management, and delegates cybersecurity risk management oversight to its Security Committee, which was established this past year. The Security Committee is responsible for ensuring that management has processes in place designed to identify and assess cybersecurity risks to which the Company is exposed and implement processes and programs designed to manage cybersecurity risks, including mitigation and remediation of cybersecurity threats and incidents. On a quarterly basis, the Security Committee meets with our Chief Information Security Officer, (“CISO”), and other senior executives to perform more in-depth reviews of the Company’s cybersecurity programs, as well as relevant cybersecurity risks and mitigation strategies. Ahead of each such quarterly meeting, management, including the CISO and our information security team, prepares and provides cybersecurity reports that cover, among other topics, developments in cybersecurity and updates to the company’s cybersecurity programs and mitigation strategies, legislative developments affecting MongoDB's information security program, and notable security incidents and investigations. The Security Committee subsequently reports material cybersecurity matters to our full board of directors. In addition, our management follows a risk-based escalation process to notify the Security Committee outside of the regular reporting cycle when they identify an emerging cybersecurity risk.</w:t>
      </w:r>
    </w:p>
    <w:p>
      <w:pPr>
        <w:spacing w:after="0" w:line="122" w:lineRule="exact"/>
        <w:rPr>
          <w:sz w:val="20"/>
          <w:szCs w:val="20"/>
          <w:color w:val="auto"/>
        </w:rPr>
      </w:pPr>
    </w:p>
    <w:p>
      <w:pPr>
        <w:ind w:right="140" w:firstLine="470"/>
        <w:spacing w:after="0" w:line="266" w:lineRule="auto"/>
        <w:rPr>
          <w:sz w:val="20"/>
          <w:szCs w:val="20"/>
          <w:color w:val="auto"/>
        </w:rPr>
      </w:pPr>
      <w:r>
        <w:rPr>
          <w:rFonts w:ascii="Times New Roman" w:cs="Times New Roman" w:eastAsia="Times New Roman" w:hAnsi="Times New Roman"/>
          <w:sz w:val="17"/>
          <w:szCs w:val="17"/>
          <w:color w:val="auto"/>
        </w:rPr>
        <w:t>Our cybersecurity programs are under the direction of our CISO, who receives reports from our security teams and monitors the prevention, detection, mitigation, and remediation of cybersecurity incidents. Our CISO and key security leaders are certified and experienced information systems security professionals, security engineers, and information security managers each with well over a decade of experience. Our CISO and security teams, along with our management, are responsible for identifying, considering and assessing material cybersecurity risks on an ongoing basis, establishing processes to ensure that such potential cybersecurity risk exposures are monitored, putting in place appropriate mitigation measures and maintaining our cybersecurity programs.</w:t>
      </w:r>
    </w:p>
    <w:p>
      <w:pPr>
        <w:spacing w:after="0" w:line="119" w:lineRule="exact"/>
        <w:rPr>
          <w:sz w:val="20"/>
          <w:szCs w:val="20"/>
          <w:color w:val="auto"/>
        </w:rPr>
      </w:pPr>
    </w:p>
    <w:p>
      <w:pPr>
        <w:ind w:right="180" w:firstLine="470"/>
        <w:spacing w:after="0" w:line="276" w:lineRule="auto"/>
        <w:rPr>
          <w:sz w:val="20"/>
          <w:szCs w:val="20"/>
          <w:color w:val="auto"/>
        </w:rPr>
      </w:pPr>
      <w:r>
        <w:rPr>
          <w:rFonts w:ascii="Times New Roman" w:cs="Times New Roman" w:eastAsia="Times New Roman" w:hAnsi="Times New Roman"/>
          <w:sz w:val="17"/>
          <w:szCs w:val="17"/>
          <w:color w:val="auto"/>
        </w:rPr>
        <w:t>Despite our efforts, we cannot eliminate all risks from cybersecurity threats, or provide assurances that we have not experienced an undetected cybersecurity incident. For more information about these risks, please see “Risk Factors – Risks Related to our Business and Industry”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72" w:lineRule="exact"/>
        <w:rPr>
          <w:sz w:val="20"/>
          <w:szCs w:val="20"/>
          <w:color w:val="auto"/>
        </w:rPr>
      </w:pPr>
    </w:p>
    <w:p>
      <w:pPr>
        <w:ind w:right="40" w:firstLine="470"/>
        <w:spacing w:after="0" w:line="295" w:lineRule="auto"/>
        <w:rPr>
          <w:sz w:val="20"/>
          <w:szCs w:val="20"/>
          <w:color w:val="auto"/>
        </w:rPr>
      </w:pPr>
      <w:r>
        <w:rPr>
          <w:rFonts w:ascii="Times New Roman" w:cs="Times New Roman" w:eastAsia="Times New Roman" w:hAnsi="Times New Roman"/>
          <w:sz w:val="17"/>
          <w:szCs w:val="17"/>
          <w:color w:val="auto"/>
        </w:rPr>
        <w:t>Our current principal executive office is located in New York, New York and, as of January 31, 2025, consists of approximately 106,230 square feet of space under a lease that expires in December 2029.</w:t>
      </w:r>
    </w:p>
    <w:p>
      <w:pPr>
        <w:spacing w:after="0" w:line="94" w:lineRule="exact"/>
        <w:rPr>
          <w:sz w:val="20"/>
          <w:szCs w:val="20"/>
          <w:color w:val="auto"/>
        </w:rPr>
      </w:pPr>
    </w:p>
    <w:p>
      <w:pPr>
        <w:ind w:right="60" w:firstLine="470"/>
        <w:spacing w:after="0" w:line="295" w:lineRule="auto"/>
        <w:rPr>
          <w:sz w:val="20"/>
          <w:szCs w:val="20"/>
          <w:color w:val="auto"/>
        </w:rPr>
      </w:pPr>
      <w:r>
        <w:rPr>
          <w:rFonts w:ascii="Times New Roman" w:cs="Times New Roman" w:eastAsia="Times New Roman" w:hAnsi="Times New Roman"/>
          <w:sz w:val="17"/>
          <w:szCs w:val="17"/>
          <w:color w:val="auto"/>
        </w:rPr>
        <w:t>We lease over 60 other offices of varying sizes around the world for our employees, with the largest located in Dublin, Palo Alto, Singapore, Gurgaon, and London.</w:t>
      </w:r>
    </w:p>
    <w:p>
      <w:pPr>
        <w:spacing w:after="0" w:line="94" w:lineRule="exact"/>
        <w:rPr>
          <w:sz w:val="20"/>
          <w:szCs w:val="20"/>
          <w:color w:val="auto"/>
        </w:rPr>
      </w:pPr>
    </w:p>
    <w:p>
      <w:pPr>
        <w:ind w:firstLine="470"/>
        <w:spacing w:after="0" w:line="276" w:lineRule="auto"/>
        <w:rPr>
          <w:sz w:val="20"/>
          <w:szCs w:val="20"/>
          <w:color w:val="auto"/>
        </w:rPr>
      </w:pPr>
      <w:r>
        <w:rPr>
          <w:rFonts w:ascii="Times New Roman" w:cs="Times New Roman" w:eastAsia="Times New Roman" w:hAnsi="Times New Roman"/>
          <w:sz w:val="17"/>
          <w:szCs w:val="17"/>
          <w:color w:val="auto"/>
        </w:rPr>
        <w:t>We lease all of our facilities and do not own any real property. We may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70" w:lineRule="exact"/>
        <w:rPr>
          <w:sz w:val="20"/>
          <w:szCs w:val="20"/>
          <w:color w:val="auto"/>
        </w:rPr>
      </w:pPr>
    </w:p>
    <w:p>
      <w:pPr>
        <w:ind w:right="400" w:firstLine="470"/>
        <w:spacing w:after="0" w:line="298" w:lineRule="auto"/>
        <w:rPr>
          <w:sz w:val="20"/>
          <w:szCs w:val="20"/>
          <w:color w:val="auto"/>
        </w:rPr>
      </w:pPr>
      <w:r>
        <w:rPr>
          <w:rFonts w:ascii="Times New Roman" w:cs="Times New Roman" w:eastAsia="Times New Roman" w:hAnsi="Times New Roman"/>
          <w:sz w:val="17"/>
          <w:szCs w:val="17"/>
          <w:color w:val="auto"/>
        </w:rPr>
        <w:t xml:space="preserve">The information required to be set forth under this Item 3 is incorporated by reference to Note 8,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xml:space="preserve"> of the Notes to Consolidated Financial Statements included in this Annual Report on Form 10-K.</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Not applicable.</w:t>
      </w:r>
    </w:p>
    <w:p>
      <w:pPr>
        <w:spacing w:after="0" w:line="31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b w:val="1"/>
          <w:bCs w:val="1"/>
          <w:color w:val="auto"/>
        </w:rPr>
        <w:t>PART II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 for Common Stock</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common stock is traded on The Nasdaq Global Market (the “Nasdaq”) under the symbol “MDB.”</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172" w:lineRule="exact"/>
        <w:rPr>
          <w:sz w:val="20"/>
          <w:szCs w:val="20"/>
          <w:color w:val="auto"/>
        </w:rPr>
      </w:pPr>
    </w:p>
    <w:p>
      <w:pPr>
        <w:ind w:right="60" w:firstLine="470"/>
        <w:spacing w:after="0" w:line="276" w:lineRule="auto"/>
        <w:rPr>
          <w:sz w:val="20"/>
          <w:szCs w:val="20"/>
          <w:color w:val="auto"/>
        </w:rPr>
      </w:pPr>
      <w:r>
        <w:rPr>
          <w:rFonts w:ascii="Times New Roman" w:cs="Times New Roman" w:eastAsia="Times New Roman" w:hAnsi="Times New Roman"/>
          <w:sz w:val="17"/>
          <w:szCs w:val="17"/>
          <w:color w:val="auto"/>
        </w:rPr>
        <w:t>As of March 18, 2025, there were 44 stockholders of record of our common stock and the closing price of our common stock was $188.68 per share as reported on the Nasdaq. Because many of our shares of common stock are held by brokers and other institutions on behalf of stockholders, we are unable to estimate the total number of stockholders represented by these record holders.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72"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We have never declared or paid any dividends on our common stock. We currently intend to retain all available funds and any future earnings for the operation and expansion of our business. Accordingly,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Purchases of Equity Securities by the Issuer and Affiliated Purchasers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There were no repurchases of shares of our common stock during the three months ended January 31, 2025.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172"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The graph below shows a comparison, from January 31, 2020 through January 31, 2025, of the cumulative total return to stockholders of our common stock relative to the Nasdaq Composite Index (“Nasdaq Composite”) and the Nasdaq Computer Index (“Nasdaq Computer”).</w:t>
      </w:r>
    </w:p>
    <w:p>
      <w:pPr>
        <w:spacing w:after="0" w:line="94" w:lineRule="exact"/>
        <w:rPr>
          <w:sz w:val="20"/>
          <w:szCs w:val="20"/>
          <w:color w:val="auto"/>
        </w:rPr>
      </w:pPr>
    </w:p>
    <w:p>
      <w:pPr>
        <w:jc w:val="both"/>
        <w:ind w:right="80" w:firstLine="470"/>
        <w:spacing w:after="0" w:line="276" w:lineRule="auto"/>
        <w:rPr>
          <w:sz w:val="20"/>
          <w:szCs w:val="20"/>
          <w:color w:val="auto"/>
        </w:rPr>
      </w:pPr>
      <w:r>
        <w:rPr>
          <w:rFonts w:ascii="Times New Roman" w:cs="Times New Roman" w:eastAsia="Times New Roman" w:hAnsi="Times New Roman"/>
          <w:sz w:val="17"/>
          <w:szCs w:val="17"/>
          <w:color w:val="auto"/>
        </w:rPr>
        <w:t>The graph assumes that $100 was invested in each of our common stock, the Nasdaq Composite and the Nasdaq Computer at their respective closing prices on January 31, 2020 and assumes reinvestment of gross dividends. The stock price performance shown in the graph represents past performance and should not be considered an indication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81280</wp:posOffset>
            </wp:positionV>
            <wp:extent cx="5576570" cy="2804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6570" cy="280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right="240" w:firstLine="470"/>
        <w:spacing w:after="0" w:line="276" w:lineRule="auto"/>
        <w:rPr>
          <w:sz w:val="20"/>
          <w:szCs w:val="20"/>
          <w:color w:val="auto"/>
        </w:rPr>
      </w:pPr>
      <w:r>
        <w:rPr>
          <w:rFonts w:ascii="Times New Roman" w:cs="Times New Roman" w:eastAsia="Times New Roman" w:hAnsi="Times New Roman"/>
          <w:sz w:val="17"/>
          <w:szCs w:val="17"/>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MongoDB, Inc. under the Securities Act or the Exchange Act.</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40"/>
          </w:cols>
          <w:pgMar w:left="320" w:top="118" w:right="6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70" w:lineRule="exact"/>
        <w:rPr>
          <w:sz w:val="20"/>
          <w:szCs w:val="20"/>
          <w:color w:val="auto"/>
        </w:rPr>
      </w:pPr>
    </w:p>
    <w:p>
      <w:pPr>
        <w:jc w:val="both"/>
        <w:ind w:right="80" w:firstLine="470"/>
        <w:spacing w:after="0" w:line="277" w:lineRule="auto"/>
        <w:rPr>
          <w:sz w:val="20"/>
          <w:szCs w:val="20"/>
          <w:color w:val="auto"/>
        </w:rPr>
      </w:pPr>
      <w:r>
        <w:rPr>
          <w:rFonts w:ascii="Times New Roman" w:cs="Times New Roman" w:eastAsia="Times New Roman" w:hAnsi="Times New Roman"/>
          <w:sz w:val="17"/>
          <w:szCs w:val="17"/>
          <w:color w:val="auto"/>
        </w:rPr>
        <w:t xml:space="preserve">The following discussion should be read in conjunction with the consolidated financial statements and notes thereto included in Part II, Item 8,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Statements and Supplementary Data, </w:t>
      </w:r>
      <w:r>
        <w:rPr>
          <w:rFonts w:ascii="Times New Roman" w:cs="Times New Roman" w:eastAsia="Times New Roman" w:hAnsi="Times New Roman"/>
          <w:sz w:val="17"/>
          <w:szCs w:val="17"/>
          <w:color w:val="auto"/>
        </w:rPr>
        <w:t>of this Form 10-K. All information presented herein is based on our fiscal calendar. Unless otherwise stated, references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particular years, quarters, months or periods refer to our fiscal years ended January 31 and the associated quarters, months and periods of those fiscal years.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72" w:lineRule="exact"/>
        <w:rPr>
          <w:sz w:val="20"/>
          <w:szCs w:val="20"/>
          <w:color w:val="auto"/>
        </w:rPr>
      </w:pPr>
    </w:p>
    <w:p>
      <w:pPr>
        <w:ind w:right="40" w:firstLine="470"/>
        <w:spacing w:after="0" w:line="263" w:lineRule="auto"/>
        <w:rPr>
          <w:sz w:val="20"/>
          <w:szCs w:val="20"/>
          <w:color w:val="auto"/>
        </w:rPr>
      </w:pPr>
      <w:r>
        <w:rPr>
          <w:rFonts w:ascii="Times New Roman" w:cs="Times New Roman" w:eastAsia="Times New Roman" w:hAnsi="Times New Roman"/>
          <w:sz w:val="17"/>
          <w:szCs w:val="17"/>
          <w:color w:val="auto"/>
        </w:rPr>
        <w:t>MongoDB is the developer data platform company whose mission is to empower developers to create, transform, and disrupt industries by unleashing the power of software and data. The foundation of our offering is the world’s leading, modern general purpose database. Organizations can deploy our database at scale in the cloud, on-premises, or in a hybrid environment. Built on our unique document-based architecture, our database is designed to meet the needs of organizations for performance, scalability, flexibility and reliability while maintaining the strengths of relational databases. In addition to the database, our developer data platform includes a set of, tightly integrated, capabilities such as search, time series, data lifecycle, application-driven analytics and stream processing that allow developers to address a broader range of application requirements. Our business model combines the developer mindshare and adoption benefits of open source with the economic benefits of a proprietary software subscription business model.</w:t>
      </w:r>
    </w:p>
    <w:p>
      <w:pPr>
        <w:spacing w:after="0" w:line="121" w:lineRule="exact"/>
        <w:rPr>
          <w:sz w:val="20"/>
          <w:szCs w:val="20"/>
          <w:color w:val="auto"/>
        </w:rPr>
      </w:pPr>
    </w:p>
    <w:p>
      <w:pPr>
        <w:ind w:right="240" w:firstLine="470"/>
        <w:spacing w:after="0" w:line="295" w:lineRule="auto"/>
        <w:rPr>
          <w:sz w:val="20"/>
          <w:szCs w:val="20"/>
          <w:color w:val="auto"/>
        </w:rPr>
      </w:pPr>
      <w:r>
        <w:rPr>
          <w:rFonts w:ascii="Times New Roman" w:cs="Times New Roman" w:eastAsia="Times New Roman" w:hAnsi="Times New Roman"/>
          <w:sz w:val="17"/>
          <w:szCs w:val="17"/>
          <w:color w:val="auto"/>
        </w:rPr>
        <w:t>We generate revenue primarily from sales of subscriptions, which accounted for 97% of our total revenue for each of the years ended January 31, 2025 and 2024 and 96% for the year ended January 31, 2023.</w:t>
      </w:r>
    </w:p>
    <w:p>
      <w:pPr>
        <w:spacing w:after="0" w:line="94" w:lineRule="exact"/>
        <w:rPr>
          <w:sz w:val="20"/>
          <w:szCs w:val="20"/>
          <w:color w:val="auto"/>
        </w:rPr>
      </w:pPr>
    </w:p>
    <w:p>
      <w:pPr>
        <w:ind w:firstLine="470"/>
        <w:spacing w:after="0" w:line="262" w:lineRule="auto"/>
        <w:rPr>
          <w:sz w:val="20"/>
          <w:szCs w:val="20"/>
          <w:color w:val="auto"/>
        </w:rPr>
      </w:pPr>
      <w:r>
        <w:rPr>
          <w:rFonts w:ascii="Times New Roman" w:cs="Times New Roman" w:eastAsia="Times New Roman" w:hAnsi="Times New Roman"/>
          <w:sz w:val="17"/>
          <w:szCs w:val="17"/>
          <w:color w:val="auto"/>
        </w:rPr>
        <w:t>MongoDB Atlas is our hosted multi-cloud database-as-a-service (“DBaaS”) offering, which we run and manage in the cloud, and includes comprehensive infrastructure and management, as well as a host of additional features, such as MongoDB Atlas Search, Vector Search, time series, data lifecycle, application-driven analytics, and stream processing. During the year ended January 31, 2025, MongoDB Atlas revenue represented 70% of our total revenue, as compared to 66% in the prior year, reflecting the continued growth of MongoDB Atlas since its introduction in June 2016. We have experienced strong growth in self-serve customers of MongoDB Atlas, which are charged monthly in arrears based on their usage. We have also seen growth in MongoDB Atlas customers sold by our sales force, which typically sign annual contracts and pay in advance or are invoiced monthly in arrears based on usage. Customers sold by our sales force may also sign contracts that remain in effect until terminated and are invoiced monthly in arrears based on usage. We expect to continue to see a higher portion of our MongoDB Atlas contracts to be billed monthly in arrears based on usage without requiring upfront commitments.</w:t>
      </w:r>
    </w:p>
    <w:p>
      <w:pPr>
        <w:spacing w:after="0" w:line="122" w:lineRule="exact"/>
        <w:rPr>
          <w:sz w:val="20"/>
          <w:szCs w:val="20"/>
          <w:color w:val="auto"/>
        </w:rPr>
      </w:pPr>
    </w:p>
    <w:p>
      <w:pPr>
        <w:ind w:right="80" w:firstLine="470"/>
        <w:spacing w:after="0" w:line="266" w:lineRule="auto"/>
        <w:rPr>
          <w:sz w:val="20"/>
          <w:szCs w:val="20"/>
          <w:color w:val="auto"/>
        </w:rPr>
      </w:pPr>
      <w:r>
        <w:rPr>
          <w:rFonts w:ascii="Times New Roman" w:cs="Times New Roman" w:eastAsia="Times New Roman" w:hAnsi="Times New Roman"/>
          <w:sz w:val="17"/>
          <w:szCs w:val="17"/>
          <w:color w:val="auto"/>
        </w:rPr>
        <w:t>MongoDB Enterprise Advanced is our proprietary commercial database server offering for enterprise customers that can run in the cloud, on-premises or in a hybrid environment. MongoDB Enterprise Advanced revenue represented 24%, 26% and 29% of our subscription revenue for the years ended January 31, 2025, 2024 and 2023, respectively. We sell subscriptions directly through our field and inside sales teams, as well as indirectly through channel partners. The majority of our subscription contracts are one year in duration and are invoiced upfront. When we enter into multi-year subscriptions, the customer is typically invoiced on an annual basis or pays upfront.</w:t>
      </w:r>
    </w:p>
    <w:p>
      <w:pPr>
        <w:spacing w:after="0" w:line="119" w:lineRule="exact"/>
        <w:rPr>
          <w:sz w:val="20"/>
          <w:szCs w:val="20"/>
          <w:color w:val="auto"/>
        </w:rPr>
      </w:pPr>
    </w:p>
    <w:p>
      <w:pPr>
        <w:ind w:right="40" w:firstLine="470"/>
        <w:spacing w:after="0" w:line="262" w:lineRule="auto"/>
        <w:rPr>
          <w:sz w:val="20"/>
          <w:szCs w:val="20"/>
          <w:color w:val="auto"/>
        </w:rPr>
      </w:pPr>
      <w:r>
        <w:rPr>
          <w:rFonts w:ascii="Times New Roman" w:cs="Times New Roman" w:eastAsia="Times New Roman" w:hAnsi="Times New Roman"/>
          <w:sz w:val="17"/>
          <w:szCs w:val="17"/>
          <w:color w:val="auto"/>
        </w:rPr>
        <w:t>Many of our enterprise customers initially get to know our software by using Community Server, which is our free-to-download version of our database that includes the core functionality developers need to get started with MongoDB without all the features of our commercial platform. Our platform has been downloaded from our website more than 500 million times since February 2009. We also offer a free tier of MongoDB Atlas, which provides access to our hosted database solution with limited processing power and storage, as well as certain operational limitations. As a result, with the availability of both Community Server and MongoDB Atlas free tier offerings, our direct sales prospects are often familiar with our platform and may have already built applications using our technology. A core component of our growth strategy for MongoDB Atlas and MongoDB Enterprise Advanced is to convert developers and their organizations who are already using Community Server or the free tier of MongoDB Atlas to become customers of our commercial products and enjoy the benefits of either a self-managed or hosted offering.</w:t>
      </w:r>
    </w:p>
    <w:p>
      <w:pPr>
        <w:spacing w:after="0" w:line="122" w:lineRule="exact"/>
        <w:rPr>
          <w:sz w:val="20"/>
          <w:szCs w:val="20"/>
          <w:color w:val="auto"/>
        </w:rPr>
      </w:pPr>
    </w:p>
    <w:p>
      <w:pPr>
        <w:ind w:right="120" w:firstLine="470"/>
        <w:spacing w:after="0" w:line="269" w:lineRule="auto"/>
        <w:rPr>
          <w:sz w:val="20"/>
          <w:szCs w:val="20"/>
          <w:color w:val="auto"/>
        </w:rPr>
      </w:pPr>
      <w:r>
        <w:rPr>
          <w:rFonts w:ascii="Times New Roman" w:cs="Times New Roman" w:eastAsia="Times New Roman" w:hAnsi="Times New Roman"/>
          <w:sz w:val="17"/>
          <w:szCs w:val="17"/>
          <w:color w:val="auto"/>
        </w:rPr>
        <w:t>We also generate revenue from services, which consist primarily of fees associated with consulting and training services. Revenue from services accounted for 3% of our total revenue for each of the years ended January 31, 2025 and 2024 and 4% for the year ended January 31, 2023. We expect to continue to invest in our services organization as we believe it plays an important role in accelerating our customers’ realization of the benefits of our platform, which helps drive customer retention and expansion.</w:t>
      </w:r>
    </w:p>
    <w:p>
      <w:pPr>
        <w:spacing w:after="0" w:line="26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We believe the market for our offerings is large and growing. We have experienced rapid growth and have made substantial investments in developing our platform and expanding our sales and marketing footprint. We intend to continue to invest to grow our business to take advantage of our market opportunity.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and Other Factors</w:t>
      </w:r>
    </w:p>
    <w:p>
      <w:pPr>
        <w:spacing w:after="0" w:line="172" w:lineRule="exact"/>
        <w:rPr>
          <w:sz w:val="20"/>
          <w:szCs w:val="20"/>
          <w:color w:val="auto"/>
        </w:rPr>
      </w:pPr>
    </w:p>
    <w:p>
      <w:pPr>
        <w:ind w:right="360" w:firstLine="470"/>
        <w:spacing w:after="0" w:line="295" w:lineRule="auto"/>
        <w:rPr>
          <w:sz w:val="20"/>
          <w:szCs w:val="20"/>
          <w:color w:val="auto"/>
        </w:rPr>
      </w:pPr>
      <w:r>
        <w:rPr>
          <w:rFonts w:ascii="Times New Roman" w:cs="Times New Roman" w:eastAsia="Times New Roman" w:hAnsi="Times New Roman"/>
          <w:sz w:val="17"/>
          <w:szCs w:val="17"/>
          <w:color w:val="auto"/>
        </w:rPr>
        <w:t>Our operational and financial performance is subject to risks including those caused by the adverse macroeconomic environment and the geopolitical landscape.</w:t>
      </w:r>
    </w:p>
    <w:p>
      <w:pPr>
        <w:spacing w:after="0" w:line="81" w:lineRule="exact"/>
        <w:rPr>
          <w:sz w:val="20"/>
          <w:szCs w:val="20"/>
          <w:color w:val="auto"/>
        </w:rPr>
      </w:pPr>
    </w:p>
    <w:p>
      <w:pPr>
        <w:ind w:right="40" w:firstLine="470"/>
        <w:spacing w:after="0" w:line="253" w:lineRule="auto"/>
        <w:rPr>
          <w:sz w:val="20"/>
          <w:szCs w:val="20"/>
          <w:color w:val="auto"/>
        </w:rPr>
      </w:pPr>
      <w:r>
        <w:rPr>
          <w:rFonts w:ascii="Times New Roman" w:cs="Times New Roman" w:eastAsia="Times New Roman" w:hAnsi="Times New Roman"/>
          <w:sz w:val="17"/>
          <w:szCs w:val="17"/>
          <w:color w:val="auto"/>
        </w:rPr>
        <w:t>Adverse macroeconomic conditions include slower or negative economic growth, higher inflation and higher interest rates. During the year ended January 31, 2025, the macroeconomic environment negatively impacted our business. For instance, we experienced slower than historical growth rates for our existing MongoDB Atlas applications. While the impact of these macroeconomic conditions on our business, results of operations and financial position remain uncertain over the long term, we expect to experience macroeconomic headwinds on growth rate for our existing MongoDB Atlas applications in the short term.</w:t>
      </w:r>
    </w:p>
    <w:p>
      <w:pPr>
        <w:spacing w:after="0" w:line="208" w:lineRule="exact"/>
        <w:rPr>
          <w:sz w:val="20"/>
          <w:szCs w:val="20"/>
          <w:color w:val="auto"/>
        </w:rPr>
      </w:pPr>
    </w:p>
    <w:p>
      <w:pPr>
        <w:ind w:right="160" w:firstLine="470"/>
        <w:spacing w:after="0" w:line="269" w:lineRule="auto"/>
        <w:rPr>
          <w:sz w:val="20"/>
          <w:szCs w:val="20"/>
          <w:color w:val="auto"/>
        </w:rPr>
      </w:pPr>
      <w:r>
        <w:rPr>
          <w:rFonts w:ascii="Times New Roman" w:cs="Times New Roman" w:eastAsia="Times New Roman" w:hAnsi="Times New Roman"/>
          <w:sz w:val="17"/>
          <w:szCs w:val="17"/>
          <w:color w:val="auto"/>
        </w:rPr>
        <w:t>We continue to monitor the developments of the macroeconomic environment and the geopolitical landscape. As these factors develop and we evaluate their impact on our business, we may adjust our business practices accordingly. For further discussion of the potential impacts of these factors on our business, operating results, and financial condition, see the section titled “Risk Factors” included in Part I, Item 1A of this Form 10-K. Other factors affecting our performance are discussed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Extending Product Leadership and Maintaining Developer Mindshare</w:t>
      </w:r>
    </w:p>
    <w:p>
      <w:pPr>
        <w:spacing w:after="0" w:line="172" w:lineRule="exact"/>
        <w:rPr>
          <w:sz w:val="20"/>
          <w:szCs w:val="20"/>
          <w:color w:val="auto"/>
        </w:rPr>
      </w:pPr>
    </w:p>
    <w:p>
      <w:pPr>
        <w:ind w:right="60" w:firstLine="470"/>
        <w:spacing w:after="0" w:line="263" w:lineRule="auto"/>
        <w:rPr>
          <w:sz w:val="20"/>
          <w:szCs w:val="20"/>
          <w:color w:val="auto"/>
        </w:rPr>
      </w:pPr>
      <w:r>
        <w:rPr>
          <w:rFonts w:ascii="Times New Roman" w:cs="Times New Roman" w:eastAsia="Times New Roman" w:hAnsi="Times New Roman"/>
          <w:sz w:val="17"/>
          <w:szCs w:val="17"/>
          <w:color w:val="auto"/>
        </w:rPr>
        <w:t>We are committed to delivering market-leading products to continue to build and maintain credibility with the global software developer community. We believe we must maintain our product leadership position and the strength of our brand to drive further revenue growth. We intend to continue to invest in our product offerings with the goal of expanding the functionality and adoption of our developer data platform. During 2024, we introduced MongoDB version 8.0 enhancing enterprise-grade security, resilience and availability for a wide variety of applications. We added additional features to Queryable Encryption, an encrypted search scheme, to support equality and range searches. We also added additional capabilities such as Atlas Stream Processing, as well as expanded availability of Atlas Search Nodes in more cloud regions, which now provide dedicated infrastructure for search use cases so customers can scale independently of their database to manage their workloads with greater flexibility and operational efficiency.</w:t>
      </w:r>
    </w:p>
    <w:p>
      <w:pPr>
        <w:spacing w:after="0" w:line="121" w:lineRule="exact"/>
        <w:rPr>
          <w:sz w:val="20"/>
          <w:szCs w:val="20"/>
          <w:color w:val="auto"/>
        </w:rPr>
      </w:pPr>
    </w:p>
    <w:p>
      <w:pPr>
        <w:ind w:right="200" w:firstLine="470"/>
        <w:spacing w:after="0" w:line="276" w:lineRule="auto"/>
        <w:rPr>
          <w:sz w:val="20"/>
          <w:szCs w:val="20"/>
          <w:color w:val="auto"/>
        </w:rPr>
      </w:pPr>
      <w:r>
        <w:rPr>
          <w:rFonts w:ascii="Times New Roman" w:cs="Times New Roman" w:eastAsia="Times New Roman" w:hAnsi="Times New Roman"/>
          <w:sz w:val="17"/>
          <w:szCs w:val="17"/>
          <w:color w:val="auto"/>
        </w:rPr>
        <w:t>We intend to continue to invest in our engineering capabilities and marketing activities to maintain our strong position in the developer community. We have spent $2.5 billion on research and development since our inception. Our results of operations may fluctuate as we make these investments to drive increased customer adoption and usage.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Growing Our Customer Base and Expanding Our Global Reach</w:t>
      </w:r>
    </w:p>
    <w:p>
      <w:pPr>
        <w:spacing w:after="0" w:line="172" w:lineRule="exact"/>
        <w:rPr>
          <w:sz w:val="20"/>
          <w:szCs w:val="20"/>
          <w:color w:val="auto"/>
        </w:rPr>
      </w:pPr>
    </w:p>
    <w:p>
      <w:pPr>
        <w:ind w:right="80" w:firstLine="470"/>
        <w:spacing w:after="0" w:line="269" w:lineRule="auto"/>
        <w:rPr>
          <w:sz w:val="20"/>
          <w:szCs w:val="20"/>
          <w:color w:val="auto"/>
        </w:rPr>
      </w:pPr>
      <w:r>
        <w:rPr>
          <w:rFonts w:ascii="Times New Roman" w:cs="Times New Roman" w:eastAsia="Times New Roman" w:hAnsi="Times New Roman"/>
          <w:sz w:val="17"/>
          <w:szCs w:val="17"/>
          <w:color w:val="auto"/>
        </w:rPr>
        <w:t>We are intensely focused on continuing to grow our customer base. We have invested, and expect to continue to invest, in our sales and marketing efforts and developer community outreach, which are critical to driving customer acquisition. As of January 31, 2025, we had over 54,500 customers across a wide range of industries and in over 100 countries, compared to over 47,800 customers and over 40,800 customers as of January 31, 2024 and 2023, respectively. All affiliated entities are counted as a single customer and our definition of “customer” excludes users of our free offerings.</w:t>
      </w:r>
    </w:p>
    <w:p>
      <w:pPr>
        <w:spacing w:after="0" w:line="117" w:lineRule="exact"/>
        <w:rPr>
          <w:sz w:val="20"/>
          <w:szCs w:val="20"/>
          <w:color w:val="auto"/>
        </w:rPr>
      </w:pPr>
    </w:p>
    <w:p>
      <w:pPr>
        <w:ind w:right="20" w:firstLine="470"/>
        <w:spacing w:after="0" w:line="262" w:lineRule="auto"/>
        <w:rPr>
          <w:sz w:val="20"/>
          <w:szCs w:val="20"/>
          <w:color w:val="auto"/>
        </w:rPr>
      </w:pPr>
      <w:r>
        <w:rPr>
          <w:rFonts w:ascii="Times New Roman" w:cs="Times New Roman" w:eastAsia="Times New Roman" w:hAnsi="Times New Roman"/>
          <w:sz w:val="17"/>
          <w:szCs w:val="17"/>
          <w:color w:val="auto"/>
        </w:rPr>
        <w:t>As of January 31, 2025, we had over 7,500 customers that were sold through our direct sales force and channel partners, as compared to over 7,000 and over 6,400 such customers as of January 31, 2024 and 2023, respectively. These customers, which we refer to as our Direct Sales Customers, accounted for 88% of our subscription revenue for each of the years ended January 31, 2025 and 2024 and 87% for the year ended January 31, 2023. The percentage of our subscription revenue from Direct Sales Customers increased, in part, due to existing self-serve customers of MongoDB Atlas becoming Direct Sales Customers. We are also focused on increasing the number of overall MongoDB Atlas customers as we emphasize the on-demand scalability of MongoDB Atlas by allowing our customers to consume the product with minimal commitment. We had over 53,100 MongoDB Atlas customers as of January 31, 2025. The growth in MongoDB Atlas customers included new customers to MongoDB and existing MongoDB Enterprise Advanced customers adding incremental MongoDB Atlas workloads.</w:t>
      </w:r>
    </w:p>
    <w:p>
      <w:pPr>
        <w:spacing w:after="0" w:line="200" w:lineRule="exact"/>
        <w:rPr>
          <w:sz w:val="20"/>
          <w:szCs w:val="20"/>
          <w:color w:val="auto"/>
        </w:rPr>
      </w:pPr>
    </w:p>
    <w:p>
      <w:pPr>
        <w:spacing w:after="0" w:line="28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Retaining and Expanding Revenue from Existing Customers</w:t>
      </w:r>
    </w:p>
    <w:p>
      <w:pPr>
        <w:spacing w:after="0" w:line="172" w:lineRule="exact"/>
        <w:rPr>
          <w:sz w:val="20"/>
          <w:szCs w:val="20"/>
          <w:color w:val="auto"/>
        </w:rPr>
      </w:pPr>
    </w:p>
    <w:p>
      <w:pPr>
        <w:ind w:right="20" w:firstLine="470"/>
        <w:spacing w:after="0" w:line="260" w:lineRule="auto"/>
        <w:rPr>
          <w:sz w:val="20"/>
          <w:szCs w:val="20"/>
          <w:color w:val="auto"/>
        </w:rPr>
      </w:pPr>
      <w:r>
        <w:rPr>
          <w:rFonts w:ascii="Times New Roman" w:cs="Times New Roman" w:eastAsia="Times New Roman" w:hAnsi="Times New Roman"/>
          <w:sz w:val="17"/>
          <w:szCs w:val="17"/>
          <w:color w:val="auto"/>
        </w:rPr>
        <w:t>The economic attractiveness of our subscription-based model is demonstrated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If an application grows and requires additional capacity, our customers increase their usage of our platform. Growth of an application is impacted by a number of factors including the macroeconomic environment. During the year ended January 31, 2025, we believe we experienced a negative impact from the macroeconomic environment on the growth of existing Atlas applications, which affected our revenue growth. We expect the macroeconomic environment to continue to negatively impact our revenue growth. In addition, our customers add incremental workloads or expand their subscriptions to our platform as they migrate additional existing applications or build new applications, either within the same department or in other lines of business or geographies. Also, as customers modernize their information technology infrastructure and move to the cloud, they may migrate applications from legacy databases. Our goal is to increase the number of customers that standardize on our platform within their organization, as well as add new workloads with new and existing customers. Over time, the subscription amount for our typical Direct Sales Customer has increased.</w:t>
      </w:r>
    </w:p>
    <w:p>
      <w:pPr>
        <w:spacing w:after="0" w:line="127" w:lineRule="exact"/>
        <w:rPr>
          <w:sz w:val="20"/>
          <w:szCs w:val="20"/>
          <w:color w:val="auto"/>
        </w:rPr>
      </w:pPr>
    </w:p>
    <w:p>
      <w:pPr>
        <w:ind w:right="20" w:firstLine="470"/>
        <w:spacing w:after="0" w:line="262" w:lineRule="auto"/>
        <w:rPr>
          <w:sz w:val="20"/>
          <w:szCs w:val="20"/>
          <w:color w:val="auto"/>
        </w:rPr>
      </w:pPr>
      <w:r>
        <w:rPr>
          <w:rFonts w:ascii="Times New Roman" w:cs="Times New Roman" w:eastAsia="Times New Roman" w:hAnsi="Times New Roman"/>
          <w:sz w:val="17"/>
          <w:szCs w:val="17"/>
          <w:color w:val="auto"/>
        </w:rPr>
        <w:t>We calculate annualized recurring revenue (“ARR”) and annualized monthly recurring revenue (“MRR”) to help us measure our subscription revenue performance. ARR includes the revenue we expect to receive from our customers over the following 12 months based on contractual commitments and, in the case of Direct Sales Customers of MongoDB Atlas, by annualizing the prior 90 days of their actual usage of MongoDB Atlas, assuming no increases or reductions in their subscriptions or usage. For all other customers of our self-serve products, we calculate annualized MRR by annualizing the prior 30 days of their actual usage of such products, assuming no increases or reductions in usage. ARR and annualized MRR exclude professional services. The number of customers with $100,000 or greater in ARR and annualized MRR was 2,396, 2,052 and 1,651 as of January 31, 2025, 2024 and 2023, respectively.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22" w:lineRule="exact"/>
        <w:rPr>
          <w:sz w:val="20"/>
          <w:szCs w:val="20"/>
          <w:color w:val="auto"/>
        </w:rPr>
      </w:pPr>
    </w:p>
    <w:p>
      <w:pPr>
        <w:ind w:firstLine="470"/>
        <w:spacing w:after="0" w:line="262" w:lineRule="auto"/>
        <w:rPr>
          <w:sz w:val="20"/>
          <w:szCs w:val="20"/>
          <w:color w:val="auto"/>
        </w:rPr>
      </w:pPr>
      <w:r>
        <w:rPr>
          <w:rFonts w:ascii="Times New Roman" w:cs="Times New Roman" w:eastAsia="Times New Roman" w:hAnsi="Times New Roman"/>
          <w:sz w:val="17"/>
          <w:szCs w:val="17"/>
          <w:color w:val="auto"/>
        </w:rPr>
        <w:t>We also examine the rate at which our customers increase their spend with us, which we call net ARR expansion rate. We calculate net ARR expansion rate by dividing the ARR at the close of a given period (the “measurement period”), from customers who were also customers at the close of the same period in the prior year (the “base period”), by the ARR from all customers at the close of the base period, including those who churned or reduced their subscriptions. For Direct Sales Customers included in the base period, measurement period or both such periods that were self-serve customers in any such period, we also include annualized MRR from those customers in the calculation of the net ARR expansion rate. As of January 31, 2025, our net ARR expansion rate was approximately 118%. Historically, our net ARR expansion rate has been over 120%. The decline versus most historical periods is attributable to a smaller contribution from expanding customers. Our net ARR expansion rate may fluctuate in future periods due to a variety of factors, including the volume and type of workloads that we onboard, growth rate of historical workloads on our platform and changes in the macroeconomic environment.</w:t>
      </w:r>
    </w:p>
    <w:p>
      <w:pPr>
        <w:spacing w:after="0" w:line="122" w:lineRule="exact"/>
        <w:rPr>
          <w:sz w:val="20"/>
          <w:szCs w:val="20"/>
          <w:color w:val="auto"/>
        </w:rPr>
      </w:pPr>
    </w:p>
    <w:p>
      <w:pPr>
        <w:ind w:right="580" w:firstLine="470"/>
        <w:spacing w:after="0" w:line="295" w:lineRule="auto"/>
        <w:rPr>
          <w:sz w:val="20"/>
          <w:szCs w:val="20"/>
          <w:color w:val="auto"/>
        </w:rPr>
      </w:pPr>
      <w:r>
        <w:rPr>
          <w:rFonts w:ascii="Times New Roman" w:cs="Times New Roman" w:eastAsia="Times New Roman" w:hAnsi="Times New Roman"/>
          <w:sz w:val="17"/>
          <w:szCs w:val="17"/>
          <w:color w:val="auto"/>
        </w:rPr>
        <w:t>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Investing in Growth and Scaling Our Business</w:t>
      </w:r>
    </w:p>
    <w:p>
      <w:pPr>
        <w:spacing w:after="0" w:line="172" w:lineRule="exact"/>
        <w:rPr>
          <w:sz w:val="20"/>
          <w:szCs w:val="20"/>
          <w:color w:val="auto"/>
        </w:rPr>
      </w:pPr>
    </w:p>
    <w:p>
      <w:pPr>
        <w:ind w:right="180" w:firstLine="470"/>
        <w:spacing w:after="0" w:line="266" w:lineRule="auto"/>
        <w:rPr>
          <w:sz w:val="20"/>
          <w:szCs w:val="20"/>
          <w:color w:val="auto"/>
        </w:rPr>
      </w:pPr>
      <w:r>
        <w:rPr>
          <w:rFonts w:ascii="Times New Roman" w:cs="Times New Roman" w:eastAsia="Times New Roman" w:hAnsi="Times New Roman"/>
          <w:sz w:val="17"/>
          <w:szCs w:val="17"/>
          <w:color w:val="auto"/>
        </w:rPr>
        <w:t>We are focused on our long-term revenue potential. We believe that our market opportunity is large and we will continue to invest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 We have increased our sales and marketing headcount to 2,542 employees as of January 31, 2025 from 2,338 employees and 2,249 employees as of January 31,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Revenue</w:t>
      </w:r>
    </w:p>
    <w:p>
      <w:pPr>
        <w:spacing w:after="0" w:line="170" w:lineRule="exact"/>
        <w:rPr>
          <w:sz w:val="20"/>
          <w:szCs w:val="20"/>
          <w:color w:val="auto"/>
        </w:rPr>
      </w:pPr>
    </w:p>
    <w:p>
      <w:pPr>
        <w:ind w:right="280" w:firstLine="47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Subscription Revenue. </w:t>
      </w:r>
      <w:r>
        <w:rPr>
          <w:rFonts w:ascii="Times New Roman" w:cs="Times New Roman" w:eastAsia="Times New Roman" w:hAnsi="Times New Roman"/>
          <w:sz w:val="17"/>
          <w:szCs w:val="17"/>
          <w:color w:val="auto"/>
        </w:rPr>
        <w:t>Our subscription revenue is comprised of term licenses and database-as-a-service solutions. Revenue from our MongoDB Atlas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database-as-a-service offering is primarily generated on a usage basis and is billed either</w:t>
      </w:r>
    </w:p>
    <w:p>
      <w:pPr>
        <w:spacing w:after="0" w:line="23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monthly in arrears or paid upfront. Subscriptions to term licenses include technical support and access to new software versions on a when-and-if available basis. Revenue from our term licenses is recognized upfront for the license component and ratably for the technical support and when-and-if available update components. Associated contracts are typically billed annually in advance. The majority of our subscription contracts are one year in duration. When we enter into multi-year subscriptions, the customer is typically invoiced on an annual basis or pays upfront. Our subscription contracts are generally non-cancelable and non-refundable.</w:t>
      </w:r>
    </w:p>
    <w:p>
      <w:pPr>
        <w:spacing w:after="0" w:line="327" w:lineRule="exact"/>
        <w:rPr>
          <w:sz w:val="20"/>
          <w:szCs w:val="20"/>
          <w:color w:val="auto"/>
        </w:rPr>
      </w:pPr>
    </w:p>
    <w:p>
      <w:pPr>
        <w:ind w:right="540" w:firstLine="47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Services Revenue. </w:t>
      </w:r>
      <w:r>
        <w:rPr>
          <w:rFonts w:ascii="Times New Roman" w:cs="Times New Roman" w:eastAsia="Times New Roman" w:hAnsi="Times New Roman"/>
          <w:sz w:val="17"/>
          <w:szCs w:val="17"/>
          <w:color w:val="auto"/>
        </w:rPr>
        <w:t>Services revenue is comprised of consulting and training services and is recognized over the period of delivery of the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w:t>
      </w:r>
    </w:p>
    <w:p>
      <w:pPr>
        <w:spacing w:after="0" w:line="92" w:lineRule="exact"/>
        <w:rPr>
          <w:sz w:val="20"/>
          <w:szCs w:val="20"/>
          <w:color w:val="auto"/>
        </w:rPr>
      </w:pPr>
    </w:p>
    <w:p>
      <w:pPr>
        <w:ind w:right="140" w:firstLine="470"/>
        <w:spacing w:after="0" w:line="276" w:lineRule="auto"/>
        <w:rPr>
          <w:sz w:val="20"/>
          <w:szCs w:val="20"/>
          <w:color w:val="auto"/>
        </w:rPr>
      </w:pPr>
      <w:r>
        <w:rPr>
          <w:rFonts w:ascii="Times New Roman" w:cs="Times New Roman" w:eastAsia="Times New Roman" w:hAnsi="Times New Roman"/>
          <w:sz w:val="17"/>
          <w:szCs w:val="17"/>
          <w:color w:val="auto"/>
        </w:rPr>
        <w:t>We expect our revenue may vary from period to period based on, among other things, the timing and size of new subscriptions, customer usage patterns, the proportion of term license contracts that commence within the period, the rate of customer renewals and expansions, delivery of professional services, the impact of significant transactions and seasonality of or fluctuations in usage from our MongoDB Atlas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Cost of Revenue</w:t>
      </w:r>
    </w:p>
    <w:p>
      <w:pPr>
        <w:spacing w:after="0" w:line="170" w:lineRule="exact"/>
        <w:rPr>
          <w:sz w:val="20"/>
          <w:szCs w:val="20"/>
          <w:color w:val="auto"/>
        </w:rPr>
      </w:pPr>
    </w:p>
    <w:p>
      <w:pPr>
        <w:ind w:firstLine="47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Cost of Subscription Revenue. </w:t>
      </w:r>
      <w:r>
        <w:rPr>
          <w:rFonts w:ascii="Times New Roman" w:cs="Times New Roman" w:eastAsia="Times New Roman" w:hAnsi="Times New Roman"/>
          <w:sz w:val="17"/>
          <w:szCs w:val="17"/>
          <w:color w:val="auto"/>
        </w:rPr>
        <w:t>Cost of subscription revenue primarily includes third-party cloud infrastructure expenses for our database-as-a-service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We expect our cost of subscription revenue to increase in absolute dollars as our subscription revenue increases and, depending on the results of MongoDB Atlas, our cost of subscription revenue may increase as a percentage of subscription revenue as well. Cost of subscription revenue also includes personnel costs, including salaries, bonuses and benefits and stock-based compensation, for employees associated with our subscription arrangements principally related to technical support and allocated shared costs, as well as depreciation and amortization.</w:t>
      </w:r>
    </w:p>
    <w:p>
      <w:pPr>
        <w:spacing w:after="0" w:line="115" w:lineRule="exact"/>
        <w:rPr>
          <w:sz w:val="20"/>
          <w:szCs w:val="20"/>
          <w:color w:val="auto"/>
        </w:rPr>
      </w:pPr>
    </w:p>
    <w:p>
      <w:pPr>
        <w:ind w:right="780" w:firstLine="47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Cost of Services Revenue. </w:t>
      </w:r>
      <w:r>
        <w:rPr>
          <w:rFonts w:ascii="Times New Roman" w:cs="Times New Roman" w:eastAsia="Times New Roman" w:hAnsi="Times New Roman"/>
          <w:sz w:val="17"/>
          <w:szCs w:val="17"/>
          <w:color w:val="auto"/>
        </w:rPr>
        <w:t>Cost of services revenue primarily includes personnel costs, including salaries, bonuses and benefits and stock-based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for employees associated with our professional service contracts, as well as, travel costs, allocated shared costs and depreciation and amortization. We expect our cost of services revenue to increase in absolute dollars as our services revenue increases.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Gross Profit and Gross Margin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Gross profit represents revenue less cost of revenue.</w:t>
      </w:r>
    </w:p>
    <w:p>
      <w:pPr>
        <w:spacing w:after="0" w:line="170" w:lineRule="exact"/>
        <w:rPr>
          <w:sz w:val="20"/>
          <w:szCs w:val="20"/>
          <w:color w:val="auto"/>
        </w:rPr>
      </w:pPr>
    </w:p>
    <w:p>
      <w:pPr>
        <w:ind w:firstLine="47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Gross Margin. </w:t>
      </w:r>
      <w:r>
        <w:rPr>
          <w:rFonts w:ascii="Times New Roman" w:cs="Times New Roman" w:eastAsia="Times New Roman" w:hAnsi="Times New Roman"/>
          <w:sz w:val="17"/>
          <w:szCs w:val="17"/>
          <w:color w:val="auto"/>
        </w:rPr>
        <w:t>Gross margin, or gross profit as a percentage of revenue, has been and will continue to be affected by a variety of factors, including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Operating Expenses</w:t>
      </w:r>
    </w:p>
    <w:p>
      <w:pPr>
        <w:spacing w:after="0" w:line="172" w:lineRule="exact"/>
        <w:rPr>
          <w:sz w:val="20"/>
          <w:szCs w:val="20"/>
          <w:color w:val="auto"/>
        </w:rPr>
      </w:pPr>
    </w:p>
    <w:p>
      <w:pPr>
        <w:ind w:right="160" w:firstLine="470"/>
        <w:spacing w:after="0" w:line="276" w:lineRule="auto"/>
        <w:rPr>
          <w:sz w:val="20"/>
          <w:szCs w:val="20"/>
          <w:color w:val="auto"/>
        </w:rPr>
      </w:pPr>
      <w:r>
        <w:rPr>
          <w:rFonts w:ascii="Times New Roman" w:cs="Times New Roman" w:eastAsia="Times New Roman" w:hAnsi="Times New Roman"/>
          <w:sz w:val="17"/>
          <w:szCs w:val="17"/>
          <w:color w:val="auto"/>
        </w:rPr>
        <w:t>Our operating expenses consist of sales and marketing, research and development and general and administrative expenses. Personnel costs are the most significant component of each category of operating expenses. Operating expenses also include travel and related costs and allocated overhead costs for facilities, information technology and employee benefit costs.</w:t>
      </w:r>
    </w:p>
    <w:p>
      <w:pPr>
        <w:spacing w:after="0" w:line="108" w:lineRule="exact"/>
        <w:rPr>
          <w:sz w:val="20"/>
          <w:szCs w:val="20"/>
          <w:color w:val="auto"/>
        </w:rPr>
      </w:pPr>
    </w:p>
    <w:p>
      <w:pPr>
        <w:ind w:right="100" w:firstLine="47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expense consists primarily of personnel costs, including salaries, sales commission and benefits, bonuses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stock-based compensation. These expenses also include costs related to marketing programs, travel-related expenses and allocated overhead. Marketing programs consist of advertising, events, corporate communications, and brand-building and developer-community activities. We expect our sales and marketing expense to increase in absolute dollars over time as we expand our sales force and increase our marketing resources, expand into new markets and further develop our self-serve and partner channels.</w:t>
      </w:r>
    </w:p>
    <w:p>
      <w:pPr>
        <w:spacing w:after="0" w:line="115" w:lineRule="exact"/>
        <w:rPr>
          <w:sz w:val="20"/>
          <w:szCs w:val="20"/>
          <w:color w:val="auto"/>
        </w:rPr>
      </w:pPr>
    </w:p>
    <w:p>
      <w:pPr>
        <w:ind w:right="40" w:firstLine="47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w:t>
      </w:r>
      <w:r>
        <w:rPr>
          <w:rFonts w:ascii="Times New Roman" w:cs="Times New Roman" w:eastAsia="Times New Roman" w:hAnsi="Times New Roman"/>
          <w:sz w:val="17"/>
          <w:szCs w:val="17"/>
          <w:color w:val="auto"/>
        </w:rPr>
        <w:t>Research and development expense consists primarily of personnel costs, including salaries, bonuses and benefits, and stock-based compensation. It also includes amortization associated with intangible acquired assets and allocated overhead. We expect our research and development expenses to continue to increase in absolute dollars, as we continue to invest in our developer data platform and develop new products.</w:t>
      </w:r>
    </w:p>
    <w:p>
      <w:pPr>
        <w:spacing w:after="0" w:line="107" w:lineRule="exact"/>
        <w:rPr>
          <w:sz w:val="20"/>
          <w:szCs w:val="20"/>
          <w:color w:val="auto"/>
        </w:rPr>
      </w:pPr>
    </w:p>
    <w:p>
      <w:pPr>
        <w:ind w:firstLine="47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 consists primarily of personnel costs, including salaries, bonuses and benefits, and stock-based compensation for administrative functions including finance, legal, human</w:t>
      </w:r>
    </w:p>
    <w:p>
      <w:pPr>
        <w:spacing w:after="0" w:line="23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resources and external legal and accounting fees, as well as allocated overhead. We expect general and administrative expense to increase in absolute dollars over time as we continue to invest in the growth of our business, as well as incur the ongoing costs of compliance associated with being a publicly traded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Other Income (Expense), Net</w:t>
      </w:r>
    </w:p>
    <w:p>
      <w:pPr>
        <w:spacing w:after="0" w:line="172" w:lineRule="exact"/>
        <w:rPr>
          <w:sz w:val="20"/>
          <w:szCs w:val="20"/>
          <w:color w:val="auto"/>
        </w:rPr>
      </w:pPr>
    </w:p>
    <w:p>
      <w:pPr>
        <w:ind w:right="280" w:firstLine="470"/>
        <w:spacing w:after="0" w:line="295" w:lineRule="auto"/>
        <w:rPr>
          <w:sz w:val="20"/>
          <w:szCs w:val="20"/>
          <w:color w:val="auto"/>
        </w:rPr>
      </w:pPr>
      <w:r>
        <w:rPr>
          <w:rFonts w:ascii="Times New Roman" w:cs="Times New Roman" w:eastAsia="Times New Roman" w:hAnsi="Times New Roman"/>
          <w:sz w:val="17"/>
          <w:szCs w:val="17"/>
          <w:color w:val="auto"/>
        </w:rPr>
        <w:t>Other income (expense), net consists primarily of interest income, interest expense, gains and losses on financial instruments, net and gains and losses from foreign currency transactions.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Provision for Income Taxes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Provision for income taxes consists primarily of state income taxes in the United States and income taxes in certain foreign jurisdictions in which we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conduct business. As of January 31, 2025, we had net operating loss (“NOL”) carryforwards for U.S. federal and state, Irish and U.K. income tax purposes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approximately $2.1 billion, $2.0 billion, $834.3 million and $52.9 million, respectively, which begin to expire in the year ending January 31, 2028 for 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purposes and January 31, 2026 for state purposes. Operating losses in the United States, for years after January 31, 2019, in Ireland and the U.K. may be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carried forward indefinitely. The deferred tax assets associated with the NOL carryforwards in each of these jurisdictions are subject to a full valuation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allowance. Under Section 382 of the U.S. Internal Revenue Code of 1986 (the “Code”), a corporation that experiences an “ownership change” is subject to 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limitation on its ability to utilize its pre-change NOLs to offset future taxable income. We also have U.S. federal and state research credit carryforwards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$178.1 million and $16.3 million, respectively, which begin to expire in the year ending January 31, 2029 for federal purposes and January 31, 2026 for state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purposes. Beginning in fiscal year 2023, provisions in the U.S. Tax Cuts and Jobs Act of 2017 require the Company to capitalize and amortize research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development (“R&amp;D”) expenditures rather than deducting the costs as incurred. As the result of the new R&amp;D capitalization effective in fiscal year 2023,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capitalized amounts resulted in a decrease of the current year net operating loss. Capitalized R&amp;D expenditures are deductible as amortized in future periods.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Therefore, the Company recorded a deferred tax asset for the capitalized R&amp;D expenditures.</w:t>
      </w:r>
    </w:p>
    <w:p>
      <w:pPr>
        <w:spacing w:after="0" w:line="152" w:lineRule="exact"/>
        <w:rPr>
          <w:sz w:val="20"/>
          <w:szCs w:val="20"/>
          <w:color w:val="auto"/>
        </w:rPr>
      </w:pPr>
    </w:p>
    <w:p>
      <w:pPr>
        <w:ind w:right="160" w:firstLine="470"/>
        <w:spacing w:after="0" w:line="276" w:lineRule="auto"/>
        <w:rPr>
          <w:sz w:val="20"/>
          <w:szCs w:val="20"/>
          <w:color w:val="auto"/>
        </w:rPr>
      </w:pPr>
      <w:r>
        <w:rPr>
          <w:rFonts w:ascii="Times New Roman" w:cs="Times New Roman" w:eastAsia="Times New Roman" w:hAnsi="Times New Roman"/>
          <w:sz w:val="17"/>
          <w:szCs w:val="17"/>
          <w:color w:val="auto"/>
        </w:rPr>
        <w:t>Utilization of the federal NOL carryforwards and credits may be subject to a substantial annual limitation due to the ownership change limitations provided by the Code, as amended and similar state provisions. The annual limitation, should we undergo an ownership change, may result in the expiration of U.S. federal or state net operating losses and credits before utilization; however we do not expect any such limitation to be material.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Highlights for the Years Ended January 31, 2025, 2024 and 2023</w:t>
      </w:r>
    </w:p>
    <w:p>
      <w:pPr>
        <w:spacing w:after="0" w:line="172"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For the years ended January 31, 2025, 2024 and 2023, our total revenue was $2,006.4 million, $1,683.0 million and $1,284.0 million, respectively. The increase in total revenue was primarily driven by an increase in subscription revenue from our Direct Sales Customers. Our net loss was $129.1 million, $176.6 million and $345.4 million for the years ended January 31, 2025, 2024 and 2023, respectively, driven primarily by higher sales and marketing spend and research and development costs. Our operating cash flow was $150.2 million, $121.5 million and $(13.0) million for the years ended January 31, 2025, 2024 and 2023, respectively.</w:t>
      </w:r>
    </w:p>
    <w:p>
      <w:pPr>
        <w:spacing w:after="0" w:line="26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in U.S. dollars (in thousands) and as a percentage of our total revenue.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Percentage of revenue figures are rounded and therefore may not subtotal exactly.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6"/>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7"/>
              </w:rPr>
              <w:t>Years Ended January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6"/>
        </w:trPr>
        <w:tc>
          <w:tcPr>
            <w:tcW w:w="30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3"/>
        </w:trPr>
        <w:tc>
          <w:tcPr>
            <w:tcW w:w="30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Borders>
              <w:bottom w:val="single" w:sz="8" w:color="auto"/>
            </w:tcBorders>
          </w:tcPr>
          <w:p>
            <w:pPr>
              <w:spacing w:after="0"/>
              <w:rPr>
                <w:sz w:val="15"/>
                <w:szCs w:val="15"/>
                <w:color w:val="auto"/>
              </w:rPr>
            </w:pPr>
          </w:p>
        </w:tc>
      </w:tr>
      <w:tr>
        <w:trPr>
          <w:trHeight w:val="208"/>
        </w:trPr>
        <w:tc>
          <w:tcPr>
            <w:tcW w:w="30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150"/>
        </w:trPr>
        <w:tc>
          <w:tcPr>
            <w:tcW w:w="3080" w:type="dxa"/>
            <w:vAlign w:val="bottom"/>
          </w:tcPr>
          <w:p>
            <w:pPr>
              <w:ind w:left="60"/>
              <w:spacing w:after="0" w:line="150" w:lineRule="exact"/>
              <w:rPr>
                <w:sz w:val="20"/>
                <w:szCs w:val="20"/>
                <w:color w:val="auto"/>
              </w:rPr>
            </w:pPr>
            <w:r>
              <w:rPr>
                <w:rFonts w:ascii="Times New Roman" w:cs="Times New Roman" w:eastAsia="Times New Roman" w:hAnsi="Times New Roman"/>
                <w:sz w:val="17"/>
                <w:szCs w:val="17"/>
                <w:b w:val="1"/>
                <w:bCs w:val="1"/>
                <w:color w:val="auto"/>
              </w:rPr>
              <w:t>Consolidated Statements of Operations</w:t>
            </w: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232"/>
        </w:trPr>
        <w:tc>
          <w:tcPr>
            <w:tcW w:w="30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Data:</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5"/>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1"/>
        </w:trPr>
        <w:tc>
          <w:tcPr>
            <w:tcW w:w="3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Subscription</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1,943,864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97 %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1,627,326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97 %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1,235,122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96 %</w:t>
            </w:r>
          </w:p>
        </w:tc>
      </w:tr>
      <w:tr>
        <w:trPr>
          <w:trHeight w:val="275"/>
        </w:trPr>
        <w:tc>
          <w:tcPr>
            <w:tcW w:w="3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Services</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62,579</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55,685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48,918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w:t>
            </w:r>
          </w:p>
        </w:tc>
      </w:tr>
      <w:tr>
        <w:trPr>
          <w:trHeight w:val="241"/>
        </w:trPr>
        <w:tc>
          <w:tcPr>
            <w:tcW w:w="30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2,006,443</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1,683,011</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1,284,040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100</w:t>
            </w:r>
          </w:p>
        </w:tc>
      </w:tr>
      <w:tr>
        <w:trPr>
          <w:trHeight w:val="222"/>
        </w:trPr>
        <w:tc>
          <w:tcPr>
            <w:tcW w:w="3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61"/>
        </w:trPr>
        <w:tc>
          <w:tcPr>
            <w:tcW w:w="3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Subscription</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441,404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345,233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284,583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w:t>
            </w:r>
          </w:p>
        </w:tc>
      </w:tr>
      <w:tr>
        <w:trPr>
          <w:trHeight w:val="274"/>
        </w:trPr>
        <w:tc>
          <w:tcPr>
            <w:tcW w:w="3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Services</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93,892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79,252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64,721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w:t>
            </w:r>
          </w:p>
        </w:tc>
      </w:tr>
      <w:tr>
        <w:trPr>
          <w:trHeight w:val="254"/>
        </w:trPr>
        <w:tc>
          <w:tcPr>
            <w:tcW w:w="30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Total cost of revenue</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535,296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424,485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349,304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27</w:t>
            </w:r>
          </w:p>
        </w:tc>
      </w:tr>
      <w:tr>
        <w:trPr>
          <w:trHeight w:val="242"/>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1,471,147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1,258,526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75</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934,736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73</w:t>
            </w:r>
          </w:p>
        </w:tc>
      </w:tr>
      <w:tr>
        <w:trPr>
          <w:trHeight w:val="222"/>
        </w:trPr>
        <w:tc>
          <w:tcPr>
            <w:tcW w:w="30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1"/>
        </w:trPr>
        <w:tc>
          <w:tcPr>
            <w:tcW w:w="3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Sales and marketing</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871,148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782,760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699,201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54</w:t>
            </w:r>
          </w:p>
        </w:tc>
      </w:tr>
      <w:tr>
        <w:trPr>
          <w:trHeight w:val="261"/>
        </w:trPr>
        <w:tc>
          <w:tcPr>
            <w:tcW w:w="30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Research and development</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596,837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515,940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421,692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33</w:t>
            </w:r>
          </w:p>
        </w:tc>
      </w:tr>
      <w:tr>
        <w:trPr>
          <w:trHeight w:val="274"/>
        </w:trPr>
        <w:tc>
          <w:tcPr>
            <w:tcW w:w="3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General and administrative</w:t>
            </w:r>
            <w:r>
              <w:rPr>
                <w:rFonts w:ascii="Times New Roman" w:cs="Times New Roman" w:eastAsia="Times New Roman" w:hAnsi="Times New Roman"/>
                <w:sz w:val="22"/>
                <w:szCs w:val="22"/>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219,226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193,558</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160,498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w:t>
            </w:r>
          </w:p>
        </w:tc>
      </w:tr>
      <w:tr>
        <w:trPr>
          <w:trHeight w:val="254"/>
        </w:trPr>
        <w:tc>
          <w:tcPr>
            <w:tcW w:w="30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1,687,211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1,492,258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89</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1,281,391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100</w:t>
            </w:r>
          </w:p>
        </w:tc>
      </w:tr>
      <w:tr>
        <w:trPr>
          <w:trHeight w:val="242"/>
        </w:trPr>
        <w:tc>
          <w:tcPr>
            <w:tcW w:w="3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Loss from operations</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(216,064)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(233,732)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(346,655)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(27)</w:t>
            </w:r>
          </w:p>
        </w:tc>
      </w:tr>
    </w:tbl>
    <w:p>
      <w:pPr>
        <w:spacing w:after="0" w:line="8" w:lineRule="exact"/>
        <w:rPr>
          <w:sz w:val="20"/>
          <w:szCs w:val="20"/>
          <w:color w:val="auto"/>
        </w:rPr>
      </w:pPr>
    </w:p>
    <w:p>
      <w:pPr>
        <w:sectPr>
          <w:pgSz w:w="11900" w:h="16838" w:orient="portrait"/>
          <w:cols w:equalWidth="0" w:num="1">
            <w:col w:w="11240"/>
          </w:cols>
          <w:pgMar w:left="320" w:top="118" w:right="339" w:bottom="1440" w:gutter="0" w:footer="0" w:header="0"/>
        </w:sectPr>
      </w:pPr>
    </w:p>
    <w:p>
      <w:pPr>
        <w:ind w:left="60"/>
        <w:spacing w:after="0"/>
        <w:rPr>
          <w:sz w:val="20"/>
          <w:szCs w:val="20"/>
          <w:color w:val="auto"/>
        </w:rPr>
      </w:pPr>
      <w:r>
        <w:rPr>
          <w:rFonts w:ascii="Times New Roman" w:cs="Times New Roman" w:eastAsia="Times New Roman" w:hAnsi="Times New Roman"/>
          <w:sz w:val="17"/>
          <w:szCs w:val="17"/>
          <w:color w:val="auto"/>
        </w:rPr>
        <w:t>Other income, net</w:t>
      </w:r>
    </w:p>
    <w:p>
      <w:pPr>
        <w:spacing w:after="0" w:line="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Loss before provision for (benefit from)</w:t>
      </w:r>
    </w:p>
    <w:p>
      <w:pPr>
        <w:spacing w:after="0" w:line="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income taxes</w:t>
      </w:r>
    </w:p>
    <w:p>
      <w:pPr>
        <w:spacing w:after="0" w:line="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Provision for income taxes</w:t>
      </w:r>
    </w:p>
    <w:p>
      <w:pPr>
        <w:spacing w:after="0" w:line="66" w:lineRule="exact"/>
        <w:rPr>
          <w:sz w:val="20"/>
          <w:szCs w:val="20"/>
          <w:color w:val="auto"/>
        </w:rPr>
      </w:pPr>
    </w:p>
    <w:p>
      <w:pPr>
        <w:ind w:left="20"/>
        <w:spacing w:after="0"/>
        <w:tabs>
          <w:tab w:leader="none" w:pos="3080" w:val="left"/>
        </w:tabs>
        <w:rPr>
          <w:sz w:val="20"/>
          <w:szCs w:val="20"/>
          <w:color w:val="auto"/>
        </w:rPr>
      </w:pPr>
      <w:r>
        <w:rPr>
          <w:rFonts w:ascii="Times New Roman" w:cs="Times New Roman" w:eastAsia="Times New Roman" w:hAnsi="Times New Roman"/>
          <w:sz w:val="17"/>
          <w:szCs w:val="17"/>
          <w:color w:val="auto"/>
        </w:rPr>
        <w:t>Net loss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161290</wp:posOffset>
            </wp:positionV>
            <wp:extent cx="1809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84,465</w:t>
            </w:r>
          </w:p>
        </w:tc>
        <w:tc>
          <w:tcPr>
            <w:tcW w:w="12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70,216</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13,401</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ind w:left="633"/>
              <w:spacing w:after="0"/>
              <w:rPr>
                <w:sz w:val="20"/>
                <w:szCs w:val="20"/>
                <w:color w:val="auto"/>
              </w:rPr>
            </w:pPr>
            <w:r>
              <w:rPr>
                <w:rFonts w:ascii="Times New Roman" w:cs="Times New Roman" w:eastAsia="Times New Roman" w:hAnsi="Times New Roman"/>
                <w:sz w:val="17"/>
                <w:szCs w:val="17"/>
                <w:color w:val="auto"/>
              </w:rPr>
              <w:t>1</w:t>
            </w:r>
          </w:p>
        </w:tc>
      </w:tr>
      <w:tr>
        <w:trPr>
          <w:trHeight w:val="450"/>
        </w:trPr>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9"/>
              </w:rPr>
              <w:t>(131,599)</w:t>
            </w:r>
          </w:p>
        </w:tc>
        <w:tc>
          <w:tcPr>
            <w:tcW w:w="120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(163,516)</w:t>
            </w:r>
          </w:p>
        </w:tc>
        <w:tc>
          <w:tcPr>
            <w:tcW w:w="120" w:type="dxa"/>
            <w:vAlign w:val="bottom"/>
          </w:tcPr>
          <w:p>
            <w:pPr>
              <w:spacing w:after="0"/>
              <w:rPr>
                <w:sz w:val="24"/>
                <w:szCs w:val="24"/>
                <w:color w:val="auto"/>
              </w:rPr>
            </w:pPr>
          </w:p>
        </w:tc>
        <w:tc>
          <w:tcPr>
            <w:tcW w:w="12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(333,254)</w:t>
            </w:r>
          </w:p>
        </w:tc>
        <w:tc>
          <w:tcPr>
            <w:tcW w:w="100" w:type="dxa"/>
            <w:vAlign w:val="bottom"/>
          </w:tcPr>
          <w:p>
            <w:pPr>
              <w:spacing w:after="0"/>
              <w:rPr>
                <w:sz w:val="24"/>
                <w:szCs w:val="24"/>
                <w:color w:val="auto"/>
              </w:rPr>
            </w:pPr>
          </w:p>
        </w:tc>
        <w:tc>
          <w:tcPr>
            <w:tcW w:w="12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(26)</w:t>
            </w:r>
          </w:p>
        </w:tc>
      </w:tr>
      <w:tr>
        <w:trPr>
          <w:trHeight w:val="261"/>
        </w:trPr>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(2,527)</w:t>
            </w:r>
          </w:p>
        </w:tc>
        <w:tc>
          <w:tcPr>
            <w:tcW w:w="12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13,084</w:t>
            </w:r>
          </w:p>
        </w:tc>
        <w:tc>
          <w:tcPr>
            <w:tcW w:w="120" w:type="dxa"/>
            <w:vAlign w:val="bottom"/>
          </w:tcPr>
          <w:p>
            <w:pPr>
              <w:spacing w:after="0"/>
              <w:rPr>
                <w:sz w:val="22"/>
                <w:szCs w:val="22"/>
                <w:color w:val="auto"/>
              </w:rPr>
            </w:pPr>
          </w:p>
        </w:tc>
        <w:tc>
          <w:tcPr>
            <w:tcW w:w="12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12,144</w:t>
            </w:r>
          </w:p>
        </w:tc>
        <w:tc>
          <w:tcPr>
            <w:tcW w:w="100" w:type="dxa"/>
            <w:vAlign w:val="bottom"/>
          </w:tcPr>
          <w:p>
            <w:pPr>
              <w:spacing w:after="0"/>
              <w:rPr>
                <w:sz w:val="22"/>
                <w:szCs w:val="22"/>
                <w:color w:val="auto"/>
              </w:rPr>
            </w:pPr>
          </w:p>
        </w:tc>
        <w:tc>
          <w:tcPr>
            <w:tcW w:w="1220" w:type="dxa"/>
            <w:vAlign w:val="bottom"/>
            <w:tcBorders>
              <w:bottom w:val="single" w:sz="8" w:color="auto"/>
            </w:tcBorders>
          </w:tcPr>
          <w:p>
            <w:pPr>
              <w:jc w:val="center"/>
              <w:ind w:left="633"/>
              <w:spacing w:after="0"/>
              <w:rPr>
                <w:sz w:val="20"/>
                <w:szCs w:val="20"/>
                <w:color w:val="auto"/>
              </w:rPr>
            </w:pPr>
            <w:r>
              <w:rPr>
                <w:rFonts w:ascii="Times New Roman" w:cs="Times New Roman" w:eastAsia="Times New Roman" w:hAnsi="Times New Roman"/>
                <w:sz w:val="17"/>
                <w:szCs w:val="17"/>
                <w:color w:val="auto"/>
              </w:rPr>
              <w:t>1</w:t>
            </w:r>
          </w:p>
        </w:tc>
      </w:tr>
      <w:tr>
        <w:trPr>
          <w:trHeight w:val="216"/>
        </w:trPr>
        <w:tc>
          <w:tcPr>
            <w:tcW w:w="8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9"/>
              </w:rPr>
              <w:t>(129,072)</w:t>
            </w:r>
          </w:p>
        </w:tc>
        <w:tc>
          <w:tcPr>
            <w:tcW w:w="12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w w:val="99"/>
              </w:rPr>
              <w:t>(6)%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(176,600)</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(345,398)</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center"/>
              <w:ind w:left="653"/>
              <w:spacing w:after="0"/>
              <w:rPr>
                <w:sz w:val="20"/>
                <w:szCs w:val="20"/>
                <w:color w:val="auto"/>
              </w:rPr>
            </w:pPr>
            <w:r>
              <w:rPr>
                <w:rFonts w:ascii="Times New Roman" w:cs="Times New Roman" w:eastAsia="Times New Roman" w:hAnsi="Times New Roman"/>
                <w:sz w:val="17"/>
                <w:szCs w:val="17"/>
                <w:color w:val="auto"/>
              </w:rPr>
              <w:t>(27)%</w:t>
            </w:r>
          </w:p>
        </w:tc>
      </w:tr>
      <w:tr>
        <w:trPr>
          <w:trHeight w:val="20"/>
        </w:trPr>
        <w:tc>
          <w:tcPr>
            <w:tcW w:w="8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-182245</wp:posOffset>
            </wp:positionV>
            <wp:extent cx="7136765" cy="182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765" cy="18288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-646430</wp:posOffset>
            </wp:positionV>
            <wp:extent cx="7136765" cy="298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765" cy="298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520"/>
            <w:col w:w="7540"/>
          </w:cols>
          <w:pgMar w:left="320" w:top="118" w:right="339" w:bottom="1440" w:gutter="0" w:footer="0" w:header="0"/>
          <w:type w:val="continuous"/>
        </w:sectPr>
      </w:pPr>
    </w:p>
    <w:p>
      <w:pPr>
        <w:spacing w:after="0" w:line="58" w:lineRule="exact"/>
        <w:rPr>
          <w:sz w:val="20"/>
          <w:szCs w:val="20"/>
          <w:color w:val="auto"/>
        </w:rPr>
      </w:pPr>
    </w:p>
    <w:p>
      <w:pPr>
        <w:ind w:left="320" w:hanging="315"/>
        <w:spacing w:after="0"/>
        <w:tabs>
          <w:tab w:leader="none" w:pos="32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Includes stock-based compensation expense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January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6"/>
        </w:trPr>
        <w:tc>
          <w:tcPr>
            <w:tcW w:w="63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3"/>
        </w:trPr>
        <w:tc>
          <w:tcPr>
            <w:tcW w:w="63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8"/>
        </w:trPr>
        <w:tc>
          <w:tcPr>
            <w:tcW w:w="6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Cost of revenue—subscription</w:t>
            </w:r>
          </w:p>
        </w:tc>
        <w:tc>
          <w:tcPr>
            <w:tcW w:w="980" w:type="dxa"/>
            <w:vAlign w:val="bottom"/>
            <w:tcBorders>
              <w:bottom w:val="single" w:sz="8" w:color="CCEEFF"/>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19,682</w:t>
            </w:r>
          </w:p>
        </w:tc>
      </w:tr>
      <w:tr>
        <w:trPr>
          <w:trHeight w:val="199"/>
        </w:trPr>
        <w:tc>
          <w:tcPr>
            <w:tcW w:w="6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Cost of revenue—services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10,565</w:t>
            </w:r>
          </w:p>
        </w:tc>
      </w:tr>
      <w:tr>
        <w:trPr>
          <w:trHeight w:val="23"/>
        </w:trPr>
        <w:tc>
          <w:tcPr>
            <w:tcW w:w="6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2"/>
        </w:trPr>
        <w:tc>
          <w:tcPr>
            <w:tcW w:w="6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Sales and marketing</w:t>
            </w:r>
          </w:p>
        </w:tc>
        <w:tc>
          <w:tcPr>
            <w:tcW w:w="9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161,317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159,907</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143,073</w:t>
            </w:r>
          </w:p>
        </w:tc>
      </w:tr>
      <w:tr>
        <w:trPr>
          <w:trHeight w:val="199"/>
        </w:trPr>
        <w:tc>
          <w:tcPr>
            <w:tcW w:w="6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226,367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159,099</w:t>
            </w:r>
          </w:p>
        </w:tc>
      </w:tr>
      <w:tr>
        <w:trPr>
          <w:trHeight w:val="23"/>
        </w:trPr>
        <w:tc>
          <w:tcPr>
            <w:tcW w:w="6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5"/>
        </w:trPr>
        <w:tc>
          <w:tcPr>
            <w:tcW w:w="63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49,035</w:t>
            </w:r>
          </w:p>
        </w:tc>
      </w:tr>
      <w:tr>
        <w:trPr>
          <w:trHeight w:val="179"/>
        </w:trPr>
        <w:tc>
          <w:tcPr>
            <w:tcW w:w="6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98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493,940</w:t>
            </w:r>
          </w:p>
        </w:tc>
        <w:tc>
          <w:tcPr>
            <w:tcW w:w="100" w:type="dxa"/>
            <w:vAlign w:val="bottom"/>
          </w:tcPr>
          <w:p>
            <w:pPr>
              <w:spacing w:after="0"/>
              <w:rPr>
                <w:sz w:val="15"/>
                <w:szCs w:val="15"/>
                <w:color w:val="auto"/>
              </w:rPr>
            </w:pPr>
          </w:p>
        </w:tc>
        <w:tc>
          <w:tcPr>
            <w:tcW w:w="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456,907</w:t>
            </w:r>
          </w:p>
        </w:tc>
        <w:tc>
          <w:tcPr>
            <w:tcW w:w="100" w:type="dxa"/>
            <w:vAlign w:val="bottom"/>
          </w:tcPr>
          <w:p>
            <w:pPr>
              <w:spacing w:after="0"/>
              <w:rPr>
                <w:sz w:val="15"/>
                <w:szCs w:val="15"/>
                <w:color w:val="auto"/>
              </w:rPr>
            </w:pPr>
          </w:p>
        </w:tc>
        <w:tc>
          <w:tcPr>
            <w:tcW w:w="3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381,454</w:t>
            </w:r>
          </w:p>
        </w:tc>
      </w:tr>
      <w:tr>
        <w:trPr>
          <w:trHeight w:val="23"/>
        </w:trPr>
        <w:tc>
          <w:tcPr>
            <w:tcW w:w="63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6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Years Ended January 31, 2025 and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Years Ended January 31,</w:t>
            </w:r>
          </w:p>
        </w:tc>
        <w:tc>
          <w:tcPr>
            <w:tcW w:w="780" w:type="dxa"/>
            <w:vAlign w:val="bottom"/>
          </w:tcPr>
          <w:p>
            <w:pPr>
              <w:spacing w:after="0"/>
              <w:rPr>
                <w:sz w:val="16"/>
                <w:szCs w:val="16"/>
                <w:color w:val="auto"/>
              </w:rPr>
            </w:pPr>
          </w:p>
        </w:tc>
        <w:tc>
          <w:tcPr>
            <w:tcW w:w="12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Subscription</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1,943,864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1,627,326</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316,538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74"/>
        </w:trPr>
        <w:tc>
          <w:tcPr>
            <w:tcW w:w="50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Services</w:t>
            </w: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62,579</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55,685</w:t>
            </w:r>
          </w:p>
        </w:tc>
        <w:tc>
          <w:tcPr>
            <w:tcW w:w="12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6,894</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0" w:type="dxa"/>
            <w:vAlign w:val="bottom"/>
          </w:tcPr>
          <w:p>
            <w:pPr>
              <w:spacing w:after="0"/>
              <w:rPr>
                <w:sz w:val="1"/>
                <w:szCs w:val="1"/>
                <w:color w:val="auto"/>
              </w:rPr>
            </w:pPr>
          </w:p>
        </w:tc>
      </w:tr>
      <w:tr>
        <w:trPr>
          <w:trHeight w:val="280"/>
        </w:trPr>
        <w:tc>
          <w:tcPr>
            <w:tcW w:w="50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revenue</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2,006,443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1,683,011</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323,432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p>
      <w:pPr>
        <w:spacing w:after="0" w:line="17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454660</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20" w:firstLine="470"/>
        <w:spacing w:after="0" w:line="276" w:lineRule="auto"/>
        <w:rPr>
          <w:sz w:val="20"/>
          <w:szCs w:val="20"/>
          <w:color w:val="auto"/>
        </w:rPr>
      </w:pPr>
      <w:r>
        <w:rPr>
          <w:rFonts w:ascii="Times New Roman" w:cs="Times New Roman" w:eastAsia="Times New Roman" w:hAnsi="Times New Roman"/>
          <w:sz w:val="17"/>
          <w:szCs w:val="17"/>
          <w:color w:val="auto"/>
        </w:rPr>
        <w:t>Total revenue growth reflects increased demand for our platform and related services. Subscription revenue increased by $316.5 million primarily due to an increase of $269.4 million from our Direct Sales Customers, inclusive of the impact from Direct Sales Customers who were self-serve customers of MongoDB Atlas in the prior-year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Cost of Revenue, Gross Profit and Gross Margin Percentage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Years Ended January 31,</w:t>
            </w:r>
          </w:p>
        </w:tc>
        <w:tc>
          <w:tcPr>
            <w:tcW w:w="760" w:type="dxa"/>
            <w:vAlign w:val="bottom"/>
          </w:tcPr>
          <w:p>
            <w:pPr>
              <w:spacing w:after="0"/>
              <w:rPr>
                <w:sz w:val="16"/>
                <w:szCs w:val="16"/>
                <w:color w:val="auto"/>
              </w:rPr>
            </w:pPr>
          </w:p>
        </w:tc>
        <w:tc>
          <w:tcPr>
            <w:tcW w:w="122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4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8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Subscription cost of revenue</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441,404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345,233</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96,171</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74"/>
        </w:trPr>
        <w:tc>
          <w:tcPr>
            <w:tcW w:w="48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Services cost of revenue</w:t>
            </w: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93,892</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79,252</w:t>
            </w:r>
          </w:p>
        </w:tc>
        <w:tc>
          <w:tcPr>
            <w:tcW w:w="1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14,640</w:t>
            </w:r>
          </w:p>
        </w:tc>
        <w:tc>
          <w:tcPr>
            <w:tcW w:w="120" w:type="dxa"/>
            <w:vAlign w:val="bottom"/>
            <w:tcBorders>
              <w:bottom w:val="single" w:sz="8" w:color="CCEEFF"/>
            </w:tcBorders>
          </w:tcPr>
          <w:p>
            <w:pPr>
              <w:spacing w:after="0"/>
              <w:rPr>
                <w:sz w:val="23"/>
                <w:szCs w:val="23"/>
                <w:color w:val="auto"/>
              </w:rPr>
            </w:pPr>
          </w:p>
        </w:tc>
        <w:tc>
          <w:tcPr>
            <w:tcW w:w="460" w:type="dxa"/>
            <w:vAlign w:val="bottom"/>
            <w:tcBorders>
              <w:bottom w:val="single" w:sz="8" w:color="CCEEFF"/>
            </w:tcBorders>
          </w:tcPr>
          <w:p>
            <w:pPr>
              <w:spacing w:after="0"/>
              <w:rPr>
                <w:sz w:val="23"/>
                <w:szCs w:val="23"/>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42"/>
        </w:trPr>
        <w:tc>
          <w:tcPr>
            <w:tcW w:w="48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cost of revenue</w:t>
            </w: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535,296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424,485</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110,811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0" w:type="dxa"/>
            <w:vAlign w:val="bottom"/>
          </w:tcPr>
          <w:p>
            <w:pPr>
              <w:spacing w:after="0"/>
              <w:rPr>
                <w:sz w:val="1"/>
                <w:szCs w:val="1"/>
                <w:color w:val="auto"/>
              </w:rPr>
            </w:pPr>
          </w:p>
        </w:tc>
      </w:tr>
      <w:tr>
        <w:trPr>
          <w:trHeight w:val="254"/>
        </w:trPr>
        <w:tc>
          <w:tcPr>
            <w:tcW w:w="48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color w:val="auto"/>
              </w:rPr>
              <w:t>1,471,147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1,258,526</w:t>
            </w:r>
          </w:p>
        </w:tc>
        <w:tc>
          <w:tcPr>
            <w:tcW w:w="100" w:type="dxa"/>
            <w:vAlign w:val="bottom"/>
          </w:tcPr>
          <w:p>
            <w:pPr>
              <w:spacing w:after="0"/>
              <w:rPr>
                <w:sz w:val="22"/>
                <w:szCs w:val="22"/>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212,621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36765" cy="165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5"/>
        </w:trPr>
        <w:tc>
          <w:tcPr>
            <w:tcW w:w="35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Gross margin</w:t>
            </w:r>
          </w:p>
        </w:tc>
        <w:tc>
          <w:tcPr>
            <w:tcW w:w="346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73 %</w:t>
            </w:r>
          </w:p>
        </w:tc>
        <w:tc>
          <w:tcPr>
            <w:tcW w:w="4220" w:type="dxa"/>
            <w:vAlign w:val="bottom"/>
          </w:tcPr>
          <w:p>
            <w:pPr>
              <w:jc w:val="right"/>
              <w:ind w:right="3073"/>
              <w:spacing w:after="0"/>
              <w:rPr>
                <w:sz w:val="20"/>
                <w:szCs w:val="20"/>
                <w:color w:val="auto"/>
              </w:rPr>
            </w:pPr>
            <w:r>
              <w:rPr>
                <w:rFonts w:ascii="Times New Roman" w:cs="Times New Roman" w:eastAsia="Times New Roman" w:hAnsi="Times New Roman"/>
                <w:sz w:val="17"/>
                <w:szCs w:val="17"/>
                <w:color w:val="auto"/>
              </w:rPr>
              <w:t>75 %</w:t>
            </w:r>
          </w:p>
        </w:tc>
      </w:tr>
      <w:tr>
        <w:trPr>
          <w:trHeight w:val="262"/>
        </w:trPr>
        <w:tc>
          <w:tcPr>
            <w:tcW w:w="35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Subscription</w:t>
            </w:r>
          </w:p>
        </w:tc>
        <w:tc>
          <w:tcPr>
            <w:tcW w:w="346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77 %</w:t>
            </w:r>
          </w:p>
        </w:tc>
        <w:tc>
          <w:tcPr>
            <w:tcW w:w="4220" w:type="dxa"/>
            <w:vAlign w:val="bottom"/>
          </w:tcPr>
          <w:p>
            <w:pPr>
              <w:jc w:val="right"/>
              <w:ind w:right="3073"/>
              <w:spacing w:after="0"/>
              <w:rPr>
                <w:sz w:val="20"/>
                <w:szCs w:val="20"/>
                <w:color w:val="auto"/>
              </w:rPr>
            </w:pPr>
            <w:r>
              <w:rPr>
                <w:rFonts w:ascii="Times New Roman" w:cs="Times New Roman" w:eastAsia="Times New Roman" w:hAnsi="Times New Roman"/>
                <w:sz w:val="17"/>
                <w:szCs w:val="17"/>
                <w:color w:val="auto"/>
              </w:rPr>
              <w:t>79 %</w:t>
            </w:r>
          </w:p>
        </w:tc>
      </w:tr>
      <w:tr>
        <w:trPr>
          <w:trHeight w:val="262"/>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Services</w:t>
            </w:r>
          </w:p>
        </w:tc>
        <w:tc>
          <w:tcPr>
            <w:tcW w:w="346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7"/>
                <w:szCs w:val="17"/>
                <w:color w:val="auto"/>
              </w:rPr>
              <w:t>(50)%</w:t>
            </w:r>
          </w:p>
        </w:tc>
        <w:tc>
          <w:tcPr>
            <w:tcW w:w="4220" w:type="dxa"/>
            <w:vAlign w:val="bottom"/>
            <w:shd w:val="clear" w:color="auto" w:fill="CCEEFF"/>
          </w:tcPr>
          <w:p>
            <w:pPr>
              <w:jc w:val="right"/>
              <w:ind w:right="3073"/>
              <w:spacing w:after="0"/>
              <w:rPr>
                <w:sz w:val="20"/>
                <w:szCs w:val="20"/>
                <w:color w:val="auto"/>
              </w:rPr>
            </w:pPr>
            <w:r>
              <w:rPr>
                <w:rFonts w:ascii="Times New Roman" w:cs="Times New Roman" w:eastAsia="Times New Roman" w:hAnsi="Times New Roman"/>
                <w:sz w:val="17"/>
                <w:szCs w:val="17"/>
                <w:color w:val="auto"/>
              </w:rPr>
              <w:t>(42)%</w:t>
            </w:r>
          </w:p>
        </w:tc>
      </w:tr>
    </w:tbl>
    <w:p>
      <w:pPr>
        <w:spacing w:after="0" w:line="191" w:lineRule="exact"/>
        <w:rPr>
          <w:sz w:val="20"/>
          <w:szCs w:val="20"/>
          <w:color w:val="auto"/>
        </w:rPr>
      </w:pPr>
    </w:p>
    <w:p>
      <w:pPr>
        <w:ind w:right="120" w:firstLine="470"/>
        <w:spacing w:after="0" w:line="221" w:lineRule="exact"/>
        <w:rPr>
          <w:sz w:val="20"/>
          <w:szCs w:val="20"/>
          <w:color w:val="auto"/>
        </w:rPr>
      </w:pPr>
      <w:r>
        <w:rPr>
          <w:rFonts w:ascii="Times New Roman" w:cs="Times New Roman" w:eastAsia="Times New Roman" w:hAnsi="Times New Roman"/>
          <w:sz w:val="17"/>
          <w:szCs w:val="17"/>
          <w:color w:val="auto"/>
        </w:rPr>
        <w:t>The increase in subscription cost of revenue was primarily due to a $71.6 million increase in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cloud infrastructure costs, including costs associated with the growth of MongoDB Atlas. The increase in third-party infrastructure costs was partly offset by continued cost efficiencies realized as we scale MongoDB Atlas. In addition, cost of revenue was higher due to a $16.7 million increase in personnel costs and stock-based compensation associated with increased headcount in our support organization. The increase in services cost of revenue was primarily due to a $6.7 million increase in personnel costs and stock-based compensation associated with headcount in our services organization, and a $6.1 million increase in third-party consultant costs related to the delivery of consulting and training services. Total headcount in our support and services organizations increased 23% from January 31, 2024 to January 31, 2025.</w:t>
      </w:r>
    </w:p>
    <w:p>
      <w:pPr>
        <w:spacing w:after="0" w:line="335" w:lineRule="exact"/>
        <w:rPr>
          <w:sz w:val="20"/>
          <w:szCs w:val="20"/>
          <w:color w:val="auto"/>
        </w:rPr>
      </w:pPr>
    </w:p>
    <w:p>
      <w:pPr>
        <w:ind w:right="140" w:firstLine="470"/>
        <w:spacing w:after="0" w:line="276" w:lineRule="auto"/>
        <w:rPr>
          <w:sz w:val="20"/>
          <w:szCs w:val="20"/>
          <w:color w:val="auto"/>
        </w:rPr>
      </w:pPr>
      <w:r>
        <w:rPr>
          <w:rFonts w:ascii="Times New Roman" w:cs="Times New Roman" w:eastAsia="Times New Roman" w:hAnsi="Times New Roman"/>
          <w:sz w:val="17"/>
          <w:szCs w:val="17"/>
          <w:color w:val="auto"/>
        </w:rPr>
        <w:t>Our overall gross margin declined to 73%. Our subscription gross margin declined to 77% due to an increase of third-party cloud infrastructure costs which was primarily driven by the growth of MongoDB Atlas revenue as a percent of total revenue. Services gross margin declined due to the impact of higher third-party consultant and training costs, services personnel costs and stock-based compensation.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Sales and Marketing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4"/>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Years Ended January 31,</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Sales and marketing</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871,148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782,760</w:t>
            </w:r>
          </w:p>
        </w:tc>
        <w:tc>
          <w:tcPr>
            <w:tcW w:w="94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88,388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increase in sales and marketing expense was primarily driven by a $38.8 million increase in personnel costs and stock-based compensation, 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$22.5 million increase in spend on in-person events and marketing programs and a $20.5 million increase in commission expense. Our headcount was 2,542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January 31, 2025 compared to 2,338 as of January 31,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Research and Development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4"/>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Years Ended January 31,</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596,837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515,940</w:t>
            </w:r>
          </w:p>
        </w:tc>
        <w:tc>
          <w:tcPr>
            <w:tcW w:w="94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80,897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right="160" w:firstLine="470"/>
        <w:spacing w:after="0" w:line="276" w:lineRule="auto"/>
        <w:rPr>
          <w:sz w:val="20"/>
          <w:szCs w:val="20"/>
          <w:color w:val="auto"/>
        </w:rPr>
      </w:pPr>
      <w:r>
        <w:rPr>
          <w:rFonts w:ascii="Times New Roman" w:cs="Times New Roman" w:eastAsia="Times New Roman" w:hAnsi="Times New Roman"/>
          <w:sz w:val="17"/>
          <w:szCs w:val="17"/>
          <w:color w:val="auto"/>
        </w:rPr>
        <w:t>The increase in research and development expense was primarily driven by a $67.0 million increase in personnel costs and stock-based compensation as we grew our headcount by 8%. In addition, research and development expense increased by $10.6 million due to higher third-party infrastructure expenses related to development costs of our MongoDB Atlas offering.</w:t>
      </w:r>
    </w:p>
    <w:p>
      <w:pPr>
        <w:spacing w:after="0" w:line="25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General and Administrative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20" w:type="dxa"/>
            <w:vAlign w:val="bottom"/>
            <w:gridSpan w:val="4"/>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Years Ended January 31,</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219,226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193,558</w:t>
            </w:r>
          </w:p>
        </w:tc>
        <w:tc>
          <w:tcPr>
            <w:tcW w:w="94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25,668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both"/>
        <w:ind w:right="20" w:firstLine="470"/>
        <w:spacing w:after="0" w:line="295" w:lineRule="auto"/>
        <w:rPr>
          <w:sz w:val="20"/>
          <w:szCs w:val="20"/>
          <w:color w:val="auto"/>
        </w:rPr>
      </w:pPr>
      <w:r>
        <w:rPr>
          <w:rFonts w:ascii="Times New Roman" w:cs="Times New Roman" w:eastAsia="Times New Roman" w:hAnsi="Times New Roman"/>
          <w:sz w:val="17"/>
          <w:szCs w:val="17"/>
          <w:color w:val="auto"/>
        </w:rPr>
        <w:t>The increase in general and administrative expense was primarily driven by an increase in headcount resulting in $15.4 million higher personnel costs and stock-based compensation, a $7.3 million increase related to value-added tax expense and a $2.8 million increase due to higher consulting costs.</w:t>
      </w: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Other Income, Net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420" w:type="dxa"/>
            <w:vAlign w:val="bottom"/>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Years Ended January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income, net</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84,465</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70,216</w:t>
            </w:r>
          </w:p>
        </w:tc>
        <w:tc>
          <w:tcPr>
            <w:tcW w:w="92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14,249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right="1100" w:firstLine="470"/>
        <w:spacing w:after="0" w:line="469" w:lineRule="auto"/>
        <w:rPr>
          <w:sz w:val="20"/>
          <w:szCs w:val="20"/>
          <w:color w:val="auto"/>
        </w:rPr>
      </w:pPr>
      <w:r>
        <w:rPr>
          <w:rFonts w:ascii="Times New Roman" w:cs="Times New Roman" w:eastAsia="Times New Roman" w:hAnsi="Times New Roman"/>
          <w:sz w:val="17"/>
          <w:szCs w:val="17"/>
          <w:color w:val="auto"/>
        </w:rPr>
        <w:t xml:space="preserve">Other income, net, for the year ended January 31, 2025 improved primarily due to higher interest income from our short-term investments. </w:t>
      </w:r>
      <w:r>
        <w:rPr>
          <w:rFonts w:ascii="Times New Roman" w:cs="Times New Roman" w:eastAsia="Times New Roman" w:hAnsi="Times New Roman"/>
          <w:sz w:val="17"/>
          <w:szCs w:val="17"/>
          <w:b w:val="1"/>
          <w:bCs w:val="1"/>
          <w:color w:val="auto"/>
        </w:rPr>
        <w:t>Provision for (Benefit From) Income Taxes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420" w:type="dxa"/>
            <w:vAlign w:val="bottom"/>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Years Ended January 31,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50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13,084</w:t>
            </w:r>
          </w:p>
        </w:tc>
        <w:tc>
          <w:tcPr>
            <w:tcW w:w="88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right="120" w:firstLine="470"/>
        <w:spacing w:after="0" w:line="449" w:lineRule="auto"/>
        <w:rPr>
          <w:sz w:val="20"/>
          <w:szCs w:val="20"/>
          <w:color w:val="auto"/>
        </w:rPr>
      </w:pPr>
      <w:r>
        <w:rPr>
          <w:rFonts w:ascii="Times New Roman" w:cs="Times New Roman" w:eastAsia="Times New Roman" w:hAnsi="Times New Roman"/>
          <w:sz w:val="17"/>
          <w:szCs w:val="17"/>
          <w:color w:val="auto"/>
        </w:rPr>
        <w:t xml:space="preserve">The decrease in the provision for income taxes during the year ended January 31, 2025 was primarily due to the release of our U.K. valuation allowance. </w:t>
      </w:r>
      <w:r>
        <w:rPr>
          <w:rFonts w:ascii="Times New Roman" w:cs="Times New Roman" w:eastAsia="Times New Roman" w:hAnsi="Times New Roman"/>
          <w:sz w:val="17"/>
          <w:szCs w:val="17"/>
          <w:b w:val="1"/>
          <w:bCs w:val="1"/>
          <w:color w:val="auto"/>
        </w:rPr>
        <w:t>Comparison of the Years Ended January 31, 2024 and 2023</w:t>
      </w:r>
    </w:p>
    <w:p>
      <w:pPr>
        <w:jc w:val="both"/>
        <w:ind w:right="60" w:firstLine="470"/>
        <w:spacing w:after="0" w:line="276" w:lineRule="auto"/>
        <w:rPr>
          <w:sz w:val="20"/>
          <w:szCs w:val="20"/>
          <w:color w:val="auto"/>
        </w:rPr>
      </w:pPr>
      <w:r>
        <w:rPr>
          <w:rFonts w:ascii="Times New Roman" w:cs="Times New Roman" w:eastAsia="Times New Roman" w:hAnsi="Times New Roman"/>
          <w:sz w:val="17"/>
          <w:szCs w:val="17"/>
          <w:color w:val="auto"/>
        </w:rPr>
        <w:t>For a discussion of our results of operations for the year ended January 31, 2024 as compared to the year ended January 31, 2023, refer to Part II, Item 7, Management’s Discussion and Analysis of Financial Condition and Results of Operations, of our Annual Report on Form 10-K filed with the SEC on March 15,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72" w:lineRule="exact"/>
        <w:rPr>
          <w:sz w:val="20"/>
          <w:szCs w:val="20"/>
          <w:color w:val="auto"/>
        </w:rPr>
      </w:pPr>
    </w:p>
    <w:p>
      <w:pPr>
        <w:ind w:firstLine="470"/>
        <w:spacing w:after="0" w:line="269" w:lineRule="auto"/>
        <w:rPr>
          <w:sz w:val="20"/>
          <w:szCs w:val="20"/>
          <w:color w:val="auto"/>
        </w:rPr>
      </w:pPr>
      <w:r>
        <w:rPr>
          <w:rFonts w:ascii="Times New Roman" w:cs="Times New Roman" w:eastAsia="Times New Roman" w:hAnsi="Times New Roman"/>
          <w:sz w:val="17"/>
          <w:szCs w:val="17"/>
          <w:color w:val="auto"/>
        </w:rPr>
        <w:t>As of January 31, 2025, our principal sources of liquidity were cash, cash equivalents, short-term investments and restricted cash totaling $2.3 billion. Our cash and cash equivalents primarily consist of bank deposits and money market funds. Our short-term investments consist of U.S. government treasury securities and our restricted cash represents collateral for our available credit on corporate credit cards. We believe our existing cash and cash equivalents and short-term investments will be sufficient to fund our operating and capital needs for at least the next 12 months.</w:t>
      </w:r>
    </w:p>
    <w:p>
      <w:pPr>
        <w:spacing w:after="0" w:line="117" w:lineRule="exact"/>
        <w:rPr>
          <w:sz w:val="20"/>
          <w:szCs w:val="20"/>
          <w:color w:val="auto"/>
        </w:rPr>
      </w:pPr>
    </w:p>
    <w:p>
      <w:pPr>
        <w:ind w:right="120" w:firstLine="470"/>
        <w:spacing w:after="0" w:line="276" w:lineRule="auto"/>
        <w:rPr>
          <w:sz w:val="20"/>
          <w:szCs w:val="20"/>
          <w:color w:val="auto"/>
        </w:rPr>
      </w:pPr>
      <w:r>
        <w:rPr>
          <w:rFonts w:ascii="Times New Roman" w:cs="Times New Roman" w:eastAsia="Times New Roman" w:hAnsi="Times New Roman"/>
          <w:sz w:val="17"/>
          <w:szCs w:val="17"/>
          <w:color w:val="auto"/>
        </w:rPr>
        <w:t xml:space="preserve">During the three months ended April 30, 2024, the Company elected to cash settle its Capped Calls associated with the 2024 Notes. In June 2024, the Capped Calls associated with the 2024 Notes settled and the Company received $170.6 million in cash. For further discussion on the Capped Calls, please refer to Note 6, </w:t>
      </w:r>
      <w:r>
        <w:rPr>
          <w:rFonts w:ascii="Times New Roman" w:cs="Times New Roman" w:eastAsia="Times New Roman" w:hAnsi="Times New Roman"/>
          <w:sz w:val="17"/>
          <w:szCs w:val="17"/>
          <w:i w:val="1"/>
          <w:iCs w:val="1"/>
          <w:color w:val="auto"/>
        </w:rPr>
        <w:t>Convertible Senior Notes</w:t>
      </w:r>
      <w:r>
        <w:rPr>
          <w:rFonts w:ascii="Times New Roman" w:cs="Times New Roman" w:eastAsia="Times New Roman" w:hAnsi="Times New Roman"/>
          <w:sz w:val="17"/>
          <w:szCs w:val="17"/>
          <w:color w:val="auto"/>
        </w:rPr>
        <w:t>, in Part II, Item 8, Financial Statements and Supplementary Data, of this Form 10-K.</w:t>
      </w:r>
    </w:p>
    <w:p>
      <w:pPr>
        <w:spacing w:after="0" w:line="110"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 xml:space="preserve">In October 2024, the optional redemption feature of the 2026 Notes was satisfied as the last reported sale price of our common stock was more than or equal to 130% of the conversion price for at least 20 trading days in the period of 30 consecutive trading days. On October 16, 2024, we issued a notice of redemption (the “Redemption Notice”) for all aggregate principal amount outstanding of our 2026 Notes. Approximately $1.1 billion aggregate principal amount was converted to 5,662,979 shares of the Company’s common stock with $0.4 million settled in cash. For further discussion on the 2026 Notes, please refer to Note 6, </w:t>
      </w:r>
      <w:r>
        <w:rPr>
          <w:rFonts w:ascii="Times New Roman" w:cs="Times New Roman" w:eastAsia="Times New Roman" w:hAnsi="Times New Roman"/>
          <w:sz w:val="17"/>
          <w:szCs w:val="17"/>
          <w:i w:val="1"/>
          <w:iCs w:val="1"/>
          <w:color w:val="auto"/>
        </w:rPr>
        <w:t>Convertible Senior Notes</w:t>
      </w:r>
      <w:r>
        <w:rPr>
          <w:rFonts w:ascii="Times New Roman" w:cs="Times New Roman" w:eastAsia="Times New Roman" w:hAnsi="Times New Roman"/>
          <w:sz w:val="17"/>
          <w:szCs w:val="17"/>
          <w:color w:val="auto"/>
        </w:rPr>
        <w:t>, in Part II, Item 8, Financial Statements and Supplementary Data, of this Form 10-K.</w:t>
      </w:r>
    </w:p>
    <w:p>
      <w:pPr>
        <w:spacing w:after="0" w:line="119" w:lineRule="exact"/>
        <w:rPr>
          <w:sz w:val="20"/>
          <w:szCs w:val="20"/>
          <w:color w:val="auto"/>
        </w:rPr>
      </w:pPr>
    </w:p>
    <w:p>
      <w:pPr>
        <w:ind w:right="80" w:firstLine="470"/>
        <w:spacing w:after="0" w:line="276" w:lineRule="auto"/>
        <w:rPr>
          <w:sz w:val="20"/>
          <w:szCs w:val="20"/>
          <w:color w:val="auto"/>
        </w:rPr>
      </w:pPr>
      <w:r>
        <w:rPr>
          <w:rFonts w:ascii="Times New Roman" w:cs="Times New Roman" w:eastAsia="Times New Roman" w:hAnsi="Times New Roman"/>
          <w:sz w:val="17"/>
          <w:szCs w:val="17"/>
          <w:color w:val="auto"/>
        </w:rPr>
        <w:t>We have generated significant operating losses as reflected in our accumulated deficit of $1.8 billion as of January 31, 2025. While we generated positive cash flows from operations in recent years, we have generated negative cash flows from operations in the past as reflected in our historical consolidated statements of cash flows. We expect to continue to incur</w:t>
      </w:r>
    </w:p>
    <w:p>
      <w:pPr>
        <w:spacing w:after="0" w:line="25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operating losses, may experience negative cash flows from operations in the future and may require additional capital resources to execute strategic initiatives to grow our business. Our future capital requirements and adequacy of available funds will depend on many factors, including our growth rate and any impact on it from global macroeconomic conditions, including rising interest rates, inflation, the timing and extent of spending to support development efforts, the expansion of sales and marketing and international operation activities, the timing and size of new subscription introductions and customer usage of our developer data platform, the continuing market acceptance of our subscriptions and services and the impact of the macroeconomic conditions on the global economy and our business, financial condition and results of operations. As the impact of macroeconomic conditions on the global economy and our operations continues to evolve, we will continue to assess our liquidity needs. In the future, we may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January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6"/>
        </w:trPr>
        <w:tc>
          <w:tcPr>
            <w:tcW w:w="66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2"/>
        </w:trPr>
        <w:tc>
          <w:tcPr>
            <w:tcW w:w="66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8"/>
        </w:trPr>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cash provided by (used in) operating activities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rPr>
              <w:t>150,191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121,477</w:t>
            </w:r>
          </w:p>
        </w:tc>
        <w:tc>
          <w:tcPr>
            <w:tcW w:w="120" w:type="dxa"/>
            <w:vAlign w:val="bottom"/>
          </w:tcPr>
          <w:p>
            <w:pPr>
              <w:spacing w:after="0"/>
              <w:rPr>
                <w:sz w:val="21"/>
                <w:szCs w:val="21"/>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center"/>
              <w:ind w:left="377"/>
              <w:spacing w:after="0"/>
              <w:rPr>
                <w:sz w:val="20"/>
                <w:szCs w:val="20"/>
                <w:color w:val="auto"/>
              </w:rPr>
            </w:pPr>
            <w:r>
              <w:rPr>
                <w:rFonts w:ascii="Times New Roman" w:cs="Times New Roman" w:eastAsia="Times New Roman" w:hAnsi="Times New Roman"/>
                <w:sz w:val="17"/>
                <w:szCs w:val="17"/>
                <w:color w:val="auto"/>
              </w:rPr>
              <w:t>(12,970)</w:t>
            </w:r>
          </w:p>
        </w:tc>
      </w:tr>
      <w:tr>
        <w:trPr>
          <w:trHeight w:val="262"/>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center"/>
              <w:ind w:left="277"/>
              <w:spacing w:after="0"/>
              <w:rPr>
                <w:sz w:val="20"/>
                <w:szCs w:val="20"/>
                <w:color w:val="auto"/>
              </w:rPr>
            </w:pPr>
            <w:r>
              <w:rPr>
                <w:rFonts w:ascii="Times New Roman" w:cs="Times New Roman" w:eastAsia="Times New Roman" w:hAnsi="Times New Roman"/>
                <w:sz w:val="17"/>
                <w:szCs w:val="17"/>
                <w:color w:val="auto"/>
              </w:rPr>
              <w:t>(657,440)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188,019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7"/>
                <w:szCs w:val="17"/>
                <w:color w:val="auto"/>
              </w:rPr>
              <w:t>(33,308)</w:t>
            </w:r>
          </w:p>
        </w:tc>
      </w:tr>
      <w:tr>
        <w:trPr>
          <w:trHeight w:val="261"/>
        </w:trPr>
        <w:tc>
          <w:tcPr>
            <w:tcW w:w="6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40" w:type="dxa"/>
            <w:vAlign w:val="bottom"/>
          </w:tcPr>
          <w:p>
            <w:pPr>
              <w:spacing w:after="0"/>
              <w:rPr>
                <w:sz w:val="22"/>
                <w:szCs w:val="22"/>
                <w:color w:val="auto"/>
              </w:rPr>
            </w:pPr>
          </w:p>
        </w:tc>
        <w:tc>
          <w:tcPr>
            <w:tcW w:w="1120" w:type="dxa"/>
            <w:vAlign w:val="bottom"/>
          </w:tcPr>
          <w:p>
            <w:pPr>
              <w:jc w:val="center"/>
              <w:ind w:left="317"/>
              <w:spacing w:after="0"/>
              <w:rPr>
                <w:sz w:val="20"/>
                <w:szCs w:val="20"/>
                <w:color w:val="auto"/>
              </w:rPr>
            </w:pPr>
            <w:r>
              <w:rPr>
                <w:rFonts w:ascii="Times New Roman" w:cs="Times New Roman" w:eastAsia="Times New Roman" w:hAnsi="Times New Roman"/>
                <w:sz w:val="17"/>
                <w:szCs w:val="17"/>
                <w:color w:val="auto"/>
              </w:rPr>
              <w:t>202,060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center"/>
              <w:ind w:left="417"/>
              <w:spacing w:after="0"/>
              <w:rPr>
                <w:sz w:val="20"/>
                <w:szCs w:val="20"/>
                <w:color w:val="auto"/>
              </w:rPr>
            </w:pPr>
            <w:r>
              <w:rPr>
                <w:rFonts w:ascii="Times New Roman" w:cs="Times New Roman" w:eastAsia="Times New Roman" w:hAnsi="Times New Roman"/>
                <w:sz w:val="17"/>
                <w:szCs w:val="17"/>
                <w:color w:val="auto"/>
              </w:rPr>
              <w:t>30,200</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Operating Activities</w:t>
      </w:r>
    </w:p>
    <w:p>
      <w:pPr>
        <w:spacing w:after="0" w:line="159" w:lineRule="exact"/>
        <w:rPr>
          <w:sz w:val="20"/>
          <w:szCs w:val="20"/>
          <w:color w:val="auto"/>
        </w:rPr>
      </w:pPr>
    </w:p>
    <w:p>
      <w:pPr>
        <w:ind w:right="120" w:firstLine="627"/>
        <w:spacing w:after="0" w:line="191" w:lineRule="exact"/>
        <w:rPr>
          <w:sz w:val="20"/>
          <w:szCs w:val="20"/>
          <w:color w:val="auto"/>
        </w:rPr>
      </w:pPr>
      <w:r>
        <w:rPr>
          <w:rFonts w:ascii="Times New Roman" w:cs="Times New Roman" w:eastAsia="Times New Roman" w:hAnsi="Times New Roman"/>
          <w:sz w:val="17"/>
          <w:szCs w:val="17"/>
          <w:color w:val="auto"/>
        </w:rPr>
        <w:t>Cash provided by operating activities during the year ended January 31, 2025 was $150.2 million, driven primarily by an increase in our cash collections reflecting the overall growth of our sales and expansion of our customer base. Accordingly, our accounts receivable increased by $69.2 million. In addition, our net loss of $129.1 million, includes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cash charges of $493.9 million for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and $11.8 million for depreciation and amortization. Our accrued liabilities increased by $25.3 million reflecting our increase in expenses and timing of payments. Partially offsetting these benefits to our operating cash flow were amortization of premium and accretion of discount on short-term investments, net of $25.1 million, an increase in deferred commissions of $69.1 million, an increase in prepaid expenses and other current assets of $24.8 million, an increase in other long-term assets of $30.7 million and other net non-cash charges of $32.8 million.</w:t>
      </w:r>
    </w:p>
    <w:p>
      <w:pPr>
        <w:spacing w:after="0" w:line="208" w:lineRule="exact"/>
        <w:rPr>
          <w:sz w:val="20"/>
          <w:szCs w:val="20"/>
          <w:color w:val="auto"/>
        </w:rPr>
      </w:pPr>
    </w:p>
    <w:p>
      <w:pPr>
        <w:ind w:firstLine="627"/>
        <w:spacing w:after="0" w:line="193" w:lineRule="exact"/>
        <w:rPr>
          <w:sz w:val="20"/>
          <w:szCs w:val="20"/>
          <w:color w:val="auto"/>
        </w:rPr>
      </w:pPr>
      <w:r>
        <w:rPr>
          <w:rFonts w:ascii="Times New Roman" w:cs="Times New Roman" w:eastAsia="Times New Roman" w:hAnsi="Times New Roman"/>
          <w:sz w:val="17"/>
          <w:szCs w:val="17"/>
          <w:color w:val="auto"/>
        </w:rPr>
        <w:t>Cash provided by operating activities during the year ended January 31, 2024 was $121.5 million driven primarily by an increase in our cash collections reflecting overall growth of our sales and expansion of our customer base. Our net loss of $176.6 million, included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cash charges of $456.9 million for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and $18.9 million for depreciation and amortization. Our accrued liabilities increased by $39.5 million reflecting our increase in expenses and timing of payments. Partially offsetting these benefits to our operating cash flow were a decrease in deferred revenue of $82.4 million, accretion of the discount on our short-term investments of $44.6 million and an increase in deferred commissions of $41.8 million, accounts receivable of $41.6 million, driven by continued growth of our sales and our expanding customer base and other net non-cash charges of $6.8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Investing Activities</w:t>
      </w:r>
    </w:p>
    <w:p>
      <w:pPr>
        <w:spacing w:after="0" w:line="172" w:lineRule="exact"/>
        <w:rPr>
          <w:sz w:val="20"/>
          <w:szCs w:val="20"/>
          <w:color w:val="auto"/>
        </w:rPr>
      </w:pPr>
    </w:p>
    <w:p>
      <w:pPr>
        <w:jc w:val="both"/>
        <w:ind w:right="160" w:firstLine="470"/>
        <w:spacing w:after="0" w:line="276" w:lineRule="auto"/>
        <w:rPr>
          <w:sz w:val="20"/>
          <w:szCs w:val="20"/>
          <w:color w:val="auto"/>
        </w:rPr>
      </w:pPr>
      <w:r>
        <w:rPr>
          <w:rFonts w:ascii="Times New Roman" w:cs="Times New Roman" w:eastAsia="Times New Roman" w:hAnsi="Times New Roman"/>
          <w:sz w:val="17"/>
          <w:szCs w:val="17"/>
          <w:color w:val="auto"/>
        </w:rPr>
        <w:t>Cash used in investing activities during the year ended January 31, 2025 was $657.4 million, due to purchases of marketable securities, net of maturities and sales, of $616.6 million, cash used for investments in non-marketable securities of $11.3 million and purchases of property, equipment and other assets of $29.6 million.</w:t>
      </w:r>
    </w:p>
    <w:p>
      <w:pPr>
        <w:spacing w:after="0" w:line="110" w:lineRule="exact"/>
        <w:rPr>
          <w:sz w:val="20"/>
          <w:szCs w:val="20"/>
          <w:color w:val="auto"/>
        </w:rPr>
      </w:pPr>
    </w:p>
    <w:p>
      <w:pPr>
        <w:ind w:right="60" w:firstLine="470"/>
        <w:spacing w:after="0" w:line="276" w:lineRule="auto"/>
        <w:rPr>
          <w:sz w:val="20"/>
          <w:szCs w:val="20"/>
          <w:color w:val="auto"/>
        </w:rPr>
      </w:pPr>
      <w:r>
        <w:rPr>
          <w:rFonts w:ascii="Times New Roman" w:cs="Times New Roman" w:eastAsia="Times New Roman" w:hAnsi="Times New Roman"/>
          <w:sz w:val="17"/>
          <w:szCs w:val="17"/>
          <w:color w:val="auto"/>
        </w:rPr>
        <w:t>Cash provided by investing activities during the during the year ended January 31, 2024 was $188.0 million, primarily due to proceeds from maturities of marketable securities, net of purchases, of $211.1 million, $6.1 million of cash used for purchases of property and equipment and $2.1 million of additional investment in non-marketable securities. In addition, on September 27, 2023, we used $15.0 million of net cash to acquire the assets of Grainite, Inc.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Financing Activities</w:t>
      </w:r>
    </w:p>
    <w:p>
      <w:pPr>
        <w:spacing w:after="0" w:line="172" w:lineRule="exact"/>
        <w:rPr>
          <w:sz w:val="20"/>
          <w:szCs w:val="20"/>
          <w:color w:val="auto"/>
        </w:rPr>
      </w:pPr>
    </w:p>
    <w:p>
      <w:pPr>
        <w:ind w:right="20" w:firstLine="470"/>
        <w:spacing w:after="0" w:line="295" w:lineRule="auto"/>
        <w:rPr>
          <w:sz w:val="20"/>
          <w:szCs w:val="20"/>
          <w:color w:val="auto"/>
        </w:rPr>
      </w:pPr>
      <w:r>
        <w:rPr>
          <w:rFonts w:ascii="Times New Roman" w:cs="Times New Roman" w:eastAsia="Times New Roman" w:hAnsi="Times New Roman"/>
          <w:sz w:val="17"/>
          <w:szCs w:val="17"/>
          <w:color w:val="auto"/>
        </w:rPr>
        <w:t>Cash provided by financing activities during the year ended January 31, 2025 was $202.1 million, due to proceeds from the settlement of capped calls and other of $170.2 million, proceeds from the issuance of common stock under the</w:t>
      </w:r>
    </w:p>
    <w:p>
      <w:pPr>
        <w:spacing w:after="0" w:line="23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Employee Stock Purchase Plan and exercises of stock options of $38.0 million, partly offset by principal payments of finance leases of $6.2 million.</w:t>
      </w:r>
    </w:p>
    <w:p>
      <w:pPr>
        <w:spacing w:after="0" w:line="170"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Cash provided by financing activities during the year ended January 31, 2024 was $38.2 million, due to $36.9 million of proceeds from the issuance of common stock under the Employee Stock Purchase Plan and $6.8 million exercises of stock options, partly offset by $5.5 million of principal repayments of finance leases.</w:t>
      </w:r>
    </w:p>
    <w:p>
      <w:pPr>
        <w:spacing w:after="0" w:line="25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80"/>
          </w:cols>
          <w:pgMar w:left="320" w:top="118" w:right="5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our contractual obligations as of January 31, 2025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r>
      <w:tr>
        <w:trPr>
          <w:trHeight w:val="183"/>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8"/>
              </w:rPr>
              <w:t>Less Than 1 Year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1 to 3 Years</w:t>
            </w:r>
          </w:p>
        </w:tc>
        <w:tc>
          <w:tcPr>
            <w:tcW w:w="200" w:type="dxa"/>
            <w:vAlign w:val="bottom"/>
          </w:tcPr>
          <w:p>
            <w:pPr>
              <w:spacing w:after="0"/>
              <w:rPr>
                <w:sz w:val="15"/>
                <w:szCs w:val="15"/>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221"/>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obligations</w:t>
            </w: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16,696</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obligations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4,757</w:t>
            </w:r>
          </w:p>
        </w:tc>
      </w:tr>
      <w:tr>
        <w:trPr>
          <w:trHeight w:val="22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Purchase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945,306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379,846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560,460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4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1,030,327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400,408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593,556</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31,606</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4,757</w:t>
            </w:r>
          </w:p>
        </w:tc>
      </w:tr>
      <w:tr>
        <w:trPr>
          <w:trHeight w:val="20"/>
        </w:trPr>
        <w:tc>
          <w:tcPr>
            <w:tcW w:w="4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right="300" w:firstLine="627"/>
        <w:spacing w:after="0" w:line="295" w:lineRule="auto"/>
        <w:rPr>
          <w:sz w:val="20"/>
          <w:szCs w:val="20"/>
          <w:color w:val="auto"/>
        </w:rPr>
      </w:pPr>
      <w:r>
        <w:rPr>
          <w:rFonts w:ascii="Times New Roman" w:cs="Times New Roman" w:eastAsia="Times New Roman" w:hAnsi="Times New Roman"/>
          <w:sz w:val="17"/>
          <w:szCs w:val="17"/>
          <w:color w:val="auto"/>
        </w:rPr>
        <w:t>At January 31, 2025, our material short-term and long-term cash requirements for various contractual obligations and commitments consisted of the following:</w:t>
      </w:r>
    </w:p>
    <w:p>
      <w:pPr>
        <w:spacing w:after="0" w:line="94" w:lineRule="exact"/>
        <w:rPr>
          <w:sz w:val="20"/>
          <w:szCs w:val="20"/>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purchase obligations under non-cancelable agreements for cloud infrastructure capacity commitments and subscription and marketing services;</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finance and operating lease obligations under non-cancelable leases for office space expiring through 2032; and</w:t>
      </w:r>
    </w:p>
    <w:p>
      <w:pPr>
        <w:spacing w:after="0" w:line="170"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payable and accrued liabilities on our consolidated balance sheet (primarily short-term in nature).</w:t>
      </w:r>
    </w:p>
    <w:p>
      <w:pPr>
        <w:spacing w:after="0" w:line="170" w:lineRule="exact"/>
        <w:rPr>
          <w:sz w:val="20"/>
          <w:szCs w:val="20"/>
          <w:color w:val="auto"/>
        </w:rPr>
      </w:pPr>
    </w:p>
    <w:p>
      <w:pPr>
        <w:ind w:right="140" w:firstLine="470"/>
        <w:spacing w:after="0" w:line="276" w:lineRule="auto"/>
        <w:rPr>
          <w:sz w:val="20"/>
          <w:szCs w:val="20"/>
          <w:color w:val="auto"/>
        </w:rPr>
      </w:pPr>
      <w:r>
        <w:rPr>
          <w:rFonts w:ascii="Times New Roman" w:cs="Times New Roman" w:eastAsia="Times New Roman" w:hAnsi="Times New Roman"/>
          <w:sz w:val="17"/>
          <w:szCs w:val="17"/>
          <w:color w:val="auto"/>
        </w:rPr>
        <w:t xml:space="preserve">For further details of our contractual obligations and lease agreements, refer to our Notes to Consolidated Financial Statements, within Part II, Item 8, </w:t>
      </w:r>
      <w:r>
        <w:rPr>
          <w:rFonts w:ascii="Times New Roman" w:cs="Times New Roman" w:eastAsia="Times New Roman" w:hAnsi="Times New Roman"/>
          <w:sz w:val="17"/>
          <w:szCs w:val="17"/>
          <w:i w:val="1"/>
          <w:iCs w:val="1"/>
          <w:color w:val="auto"/>
        </w:rPr>
        <w:t xml:space="preserve">Financial Statements and Supplementary Data </w:t>
      </w:r>
      <w:r>
        <w:rPr>
          <w:rFonts w:ascii="Times New Roman" w:cs="Times New Roman" w:eastAsia="Times New Roman" w:hAnsi="Times New Roman"/>
          <w:sz w:val="17"/>
          <w:szCs w:val="17"/>
          <w:color w:val="auto"/>
        </w:rPr>
        <w:t>of this Form 10-K, specifically Note 6,</w:t>
      </w:r>
      <w:r>
        <w:rPr>
          <w:rFonts w:ascii="Times New Roman" w:cs="Times New Roman" w:eastAsia="Times New Roman" w:hAnsi="Times New Roman"/>
          <w:sz w:val="17"/>
          <w:szCs w:val="17"/>
          <w:i w:val="1"/>
          <w:iCs w:val="1"/>
          <w:color w:val="auto"/>
        </w:rPr>
        <w:t xml:space="preserve"> Convertible Senior Notes</w:t>
      </w:r>
      <w:r>
        <w:rPr>
          <w:rFonts w:ascii="Times New Roman" w:cs="Times New Roman" w:eastAsia="Times New Roman" w:hAnsi="Times New Roman"/>
          <w:sz w:val="17"/>
          <w:szCs w:val="17"/>
          <w:color w:val="auto"/>
        </w:rPr>
        <w:t>, Note 7,</w:t>
      </w:r>
      <w:r>
        <w:rPr>
          <w:rFonts w:ascii="Times New Roman" w:cs="Times New Roman" w:eastAsia="Times New Roman" w:hAnsi="Times New Roman"/>
          <w:sz w:val="17"/>
          <w:szCs w:val="17"/>
          <w:i w:val="1"/>
          <w:iCs w:val="1"/>
          <w:color w:val="auto"/>
        </w:rPr>
        <w:t xml:space="preserve"> Leases </w:t>
      </w:r>
      <w:r>
        <w:rPr>
          <w:rFonts w:ascii="Times New Roman" w:cs="Times New Roman" w:eastAsia="Times New Roman" w:hAnsi="Times New Roman"/>
          <w:sz w:val="17"/>
          <w:szCs w:val="17"/>
          <w:color w:val="auto"/>
        </w:rPr>
        <w:t>and Note 8,</w:t>
      </w:r>
      <w:r>
        <w:rPr>
          <w:rFonts w:ascii="Times New Roman" w:cs="Times New Roman" w:eastAsia="Times New Roman" w:hAnsi="Times New Roman"/>
          <w:sz w:val="17"/>
          <w:szCs w:val="17"/>
          <w:i w:val="1"/>
          <w:iCs w:val="1"/>
          <w:color w:val="auto"/>
        </w:rPr>
        <w:t xml:space="preserve">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72" w:lineRule="exact"/>
        <w:rPr>
          <w:sz w:val="20"/>
          <w:szCs w:val="20"/>
          <w:color w:val="auto"/>
        </w:rPr>
      </w:pPr>
    </w:p>
    <w:p>
      <w:pPr>
        <w:ind w:right="220" w:firstLine="470"/>
        <w:spacing w:after="0" w:line="269" w:lineRule="auto"/>
        <w:rPr>
          <w:sz w:val="20"/>
          <w:szCs w:val="20"/>
          <w:color w:val="auto"/>
        </w:rPr>
      </w:pPr>
      <w:r>
        <w:rPr>
          <w:rFonts w:ascii="Times New Roman" w:cs="Times New Roman" w:eastAsia="Times New Roman" w:hAnsi="Times New Roman"/>
          <w:sz w:val="17"/>
          <w:szCs w:val="17"/>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17" w:lineRule="exact"/>
        <w:rPr>
          <w:sz w:val="20"/>
          <w:szCs w:val="20"/>
          <w:color w:val="auto"/>
        </w:rPr>
      </w:pPr>
    </w:p>
    <w:p>
      <w:pPr>
        <w:ind w:right="200" w:firstLine="470"/>
        <w:spacing w:after="0" w:line="295" w:lineRule="auto"/>
        <w:rPr>
          <w:sz w:val="20"/>
          <w:szCs w:val="20"/>
          <w:color w:val="auto"/>
        </w:rPr>
      </w:pPr>
      <w:r>
        <w:rPr>
          <w:rFonts w:ascii="Times New Roman" w:cs="Times New Roman" w:eastAsia="Times New Roman" w:hAnsi="Times New Roman"/>
          <w:sz w:val="17"/>
          <w:szCs w:val="17"/>
          <w:color w:val="auto"/>
        </w:rPr>
        <w:t>The critical accounting estimates, assumptions and judgments that we believe have the most significant impact on our consolidated financial statements are described below.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Revenue Recognition</w:t>
      </w:r>
    </w:p>
    <w:p>
      <w:pPr>
        <w:spacing w:after="0" w:line="170" w:lineRule="exact"/>
        <w:rPr>
          <w:sz w:val="20"/>
          <w:szCs w:val="20"/>
          <w:color w:val="auto"/>
        </w:rPr>
      </w:pPr>
    </w:p>
    <w:p>
      <w:pPr>
        <w:ind w:right="60" w:firstLine="470"/>
        <w:spacing w:after="0" w:line="269" w:lineRule="auto"/>
        <w:rPr>
          <w:sz w:val="20"/>
          <w:szCs w:val="20"/>
          <w:color w:val="auto"/>
        </w:rPr>
      </w:pPr>
      <w:r>
        <w:rPr>
          <w:rFonts w:ascii="Times New Roman" w:cs="Times New Roman" w:eastAsia="Times New Roman" w:hAnsi="Times New Roman"/>
          <w:sz w:val="17"/>
          <w:szCs w:val="17"/>
          <w:color w:val="auto"/>
        </w:rPr>
        <w:t>We derive our revenue from two sources: (1) the sales of subscriptions, which includes the usage-based database-as-a-service offering, term license and post-contract customer support (“PCS”); and (2) services revenue comprised of consulting and training arrangements. We recognize revenue when our customer obtains control of promised goods or services in an amount that reflects the consideration that we expect to receive in exchange for those goods or services. In determining the appropriate amount of revenue to be recognized as we fulfill our obligations under each of our agreements, we perform the following steps:</w:t>
      </w:r>
    </w:p>
    <w:p>
      <w:pPr>
        <w:spacing w:after="0" w:line="115" w:lineRule="exact"/>
        <w:rPr>
          <w:sz w:val="20"/>
          <w:szCs w:val="20"/>
          <w:color w:val="auto"/>
        </w:rPr>
      </w:pPr>
    </w:p>
    <w:p>
      <w:pPr>
        <w:ind w:left="640" w:right="60" w:hanging="322"/>
        <w:spacing w:after="0" w:line="264" w:lineRule="auto"/>
        <w:tabs>
          <w:tab w:leader="none" w:pos="62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Identification of the contract, or contracts, with a customer. </w:t>
      </w:r>
      <w:r>
        <w:rPr>
          <w:rFonts w:ascii="Times New Roman" w:cs="Times New Roman" w:eastAsia="Times New Roman" w:hAnsi="Times New Roman"/>
          <w:sz w:val="17"/>
          <w:szCs w:val="17"/>
          <w:color w:val="auto"/>
        </w:rPr>
        <w:t>We determine we have a contract with a customer when the contract is approved,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party’s rights regarding the products or services to be transferred is identified, the payment terms for the services can be identified, we have determined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we evaluate whether two or more contracts should be combined and accounted for as a single contract and whether the combined or single contract includes more than one performance obligation.</w:t>
      </w:r>
    </w:p>
    <w:p>
      <w:pPr>
        <w:spacing w:after="0" w:line="121" w:lineRule="exact"/>
        <w:rPr>
          <w:rFonts w:ascii="Times New Roman" w:cs="Times New Roman" w:eastAsia="Times New Roman" w:hAnsi="Times New Roman"/>
          <w:sz w:val="17"/>
          <w:szCs w:val="17"/>
          <w:color w:val="auto"/>
        </w:rPr>
      </w:pPr>
    </w:p>
    <w:p>
      <w:pPr>
        <w:ind w:left="640" w:right="60" w:hanging="322"/>
        <w:spacing w:after="0" w:line="264" w:lineRule="auto"/>
        <w:tabs>
          <w:tab w:leader="none" w:pos="63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Identification of the performance obligations in the contract. </w:t>
      </w:r>
      <w:r>
        <w:rPr>
          <w:rFonts w:ascii="Times New Roman" w:cs="Times New Roman" w:eastAsia="Times New Roman" w:hAnsi="Times New Roman"/>
          <w:sz w:val="17"/>
          <w:szCs w:val="17"/>
          <w:color w:val="auto"/>
        </w:rPr>
        <w:t>Performance obligations promised in a contract are identified based on the services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products that will be transferred to the customer that are both (1) capable of being distinct, whereby the customer can benefit from the service or product either on its own or together with other resources that are readily available from third parties or from us and (2) distinct in the context of the contract, whereby the transfer of the services or products is separately identifiable from other promises in the contract. To the extent a contract includes multiple promised services or products, we apply judgment to determine whether promised services or products are capable of being distinct and distinct in the context of the contract. If these criteria are not met, the promised services or products are combined and accounted for as a single performance obligation.</w:t>
      </w:r>
    </w:p>
    <w:p>
      <w:pPr>
        <w:spacing w:after="0" w:line="330" w:lineRule="exact"/>
        <w:rPr>
          <w:rFonts w:ascii="Times New Roman" w:cs="Times New Roman" w:eastAsia="Times New Roman" w:hAnsi="Times New Roman"/>
          <w:sz w:val="17"/>
          <w:szCs w:val="17"/>
          <w:color w:val="auto"/>
        </w:rPr>
      </w:pPr>
    </w:p>
    <w:p>
      <w:pPr>
        <w:jc w:val="both"/>
        <w:ind w:left="640" w:hanging="322"/>
        <w:spacing w:after="0" w:line="270" w:lineRule="auto"/>
        <w:tabs>
          <w:tab w:leader="none" w:pos="633"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Determination of the transaction price. </w:t>
      </w:r>
      <w:r>
        <w:rPr>
          <w:rFonts w:ascii="Times New Roman" w:cs="Times New Roman" w:eastAsia="Times New Roman" w:hAnsi="Times New Roman"/>
          <w:sz w:val="17"/>
          <w:szCs w:val="17"/>
          <w:color w:val="auto"/>
        </w:rPr>
        <w:t>The transaction price is determined based on the consideration to which we expect to be entitled in exchange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transferring services and products to the customer. Variable consideration is included in the transaction price if, in our judgment, it is probable that a significant future reversal of cumulative revenue recognized under the contract will not occur. We apply the practical expedient to not evaluate contracts of one year or less for the existence of a significant financing component. None of our contracts contain a significant financing component.</w:t>
      </w:r>
    </w:p>
    <w:p>
      <w:pPr>
        <w:spacing w:after="0" w:line="113" w:lineRule="exact"/>
        <w:rPr>
          <w:rFonts w:ascii="Times New Roman" w:cs="Times New Roman" w:eastAsia="Times New Roman" w:hAnsi="Times New Roman"/>
          <w:sz w:val="17"/>
          <w:szCs w:val="17"/>
          <w:color w:val="auto"/>
        </w:rPr>
      </w:pPr>
    </w:p>
    <w:p>
      <w:pPr>
        <w:ind w:left="640" w:right="20" w:hanging="322"/>
        <w:spacing w:after="0" w:line="262" w:lineRule="auto"/>
        <w:tabs>
          <w:tab w:leader="none" w:pos="62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Allocation of the transaction price to the performance obligations in the contract. </w:t>
      </w:r>
      <w:r>
        <w:rPr>
          <w:rFonts w:ascii="Times New Roman" w:cs="Times New Roman" w:eastAsia="Times New Roman" w:hAnsi="Times New Roman"/>
          <w:sz w:val="17"/>
          <w:szCs w:val="17"/>
          <w:color w:val="auto"/>
        </w:rPr>
        <w:t>If the contract contains a single performance obligation,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entire transaction price is allocated to the single performance obligation. For contracts that contain multiple performance obligations, we allocate the transaction price to each performance obligation based on a relative standalone selling price (“SSP”) basis. We also consider if there are any additional material rights inherent in a contract and if so, we allocate a portion of the transaction price to such rights based on SSP. We determine each SSP based on multiple factors, including past history of selling such performance obligations as standalone products. We estimate SSP for performance obligations with no observable evidence using adjusted market, cost plus and residual methods to establish the SSPs. In cases where directly observable standalone sales are not available, such as when the term license is not sold separately, we consider all observable data points including competitor pricing for a similar or identical product, market and industry data points and our pricing practices to establish the SSP.</w:t>
      </w:r>
    </w:p>
    <w:p>
      <w:pPr>
        <w:spacing w:after="0" w:line="122" w:lineRule="exact"/>
        <w:rPr>
          <w:rFonts w:ascii="Times New Roman" w:cs="Times New Roman" w:eastAsia="Times New Roman" w:hAnsi="Times New Roman"/>
          <w:sz w:val="17"/>
          <w:szCs w:val="17"/>
          <w:color w:val="auto"/>
        </w:rPr>
      </w:pPr>
    </w:p>
    <w:p>
      <w:pPr>
        <w:ind w:left="640" w:right="280" w:hanging="322"/>
        <w:spacing w:after="0" w:line="298" w:lineRule="auto"/>
        <w:tabs>
          <w:tab w:leader="none" w:pos="62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Recognition of revenue when, or as, we satisfy a performance obligation. </w:t>
      </w:r>
      <w:r>
        <w:rPr>
          <w:rFonts w:ascii="Times New Roman" w:cs="Times New Roman" w:eastAsia="Times New Roman" w:hAnsi="Times New Roman"/>
          <w:sz w:val="17"/>
          <w:szCs w:val="17"/>
          <w:color w:val="auto"/>
        </w:rPr>
        <w:t>We recognize revenue at the time the related performance obligation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satisfied when control of the services or products are transferred to the customers,</w:t>
      </w:r>
    </w:p>
    <w:p>
      <w:pPr>
        <w:spacing w:after="0" w:line="23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40" w:right="320"/>
        <w:spacing w:after="0" w:line="295" w:lineRule="auto"/>
        <w:rPr>
          <w:sz w:val="20"/>
          <w:szCs w:val="20"/>
          <w:color w:val="auto"/>
        </w:rPr>
      </w:pPr>
      <w:r>
        <w:rPr>
          <w:rFonts w:ascii="Times New Roman" w:cs="Times New Roman" w:eastAsia="Times New Roman" w:hAnsi="Times New Roman"/>
          <w:sz w:val="17"/>
          <w:szCs w:val="17"/>
          <w:color w:val="auto"/>
        </w:rPr>
        <w:t>in an amount that reflects the consideration we expect to be entitled to in exchange for those services or products. We record our revenue net of any value added or sales tax.</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72" w:lineRule="exact"/>
        <w:rPr>
          <w:sz w:val="20"/>
          <w:szCs w:val="20"/>
          <w:color w:val="auto"/>
        </w:rPr>
      </w:pPr>
    </w:p>
    <w:p>
      <w:pPr>
        <w:ind w:right="780" w:firstLine="470"/>
        <w:spacing w:after="0" w:line="295" w:lineRule="auto"/>
        <w:rPr>
          <w:sz w:val="20"/>
          <w:szCs w:val="20"/>
          <w:color w:val="auto"/>
        </w:rPr>
      </w:pPr>
      <w:r>
        <w:rPr>
          <w:rFonts w:ascii="Times New Roman" w:cs="Times New Roman" w:eastAsia="Times New Roman" w:hAnsi="Times New Roman"/>
          <w:sz w:val="17"/>
          <w:szCs w:val="17"/>
          <w:color w:val="auto"/>
        </w:rPr>
        <w:t>We have operations both within the United States and internationally and we are exposed to market risk in the ordinary course of business. The uncertainty that exists in the global economic environment has introduced significant volatility in the financial markets.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Interest Rate Risk</w:t>
      </w:r>
    </w:p>
    <w:p>
      <w:pPr>
        <w:spacing w:after="0" w:line="172" w:lineRule="exact"/>
        <w:rPr>
          <w:sz w:val="20"/>
          <w:szCs w:val="20"/>
          <w:color w:val="auto"/>
        </w:rPr>
      </w:pPr>
    </w:p>
    <w:p>
      <w:pPr>
        <w:ind w:right="20" w:firstLine="470"/>
        <w:spacing w:after="0" w:line="263" w:lineRule="auto"/>
        <w:rPr>
          <w:sz w:val="20"/>
          <w:szCs w:val="20"/>
          <w:color w:val="auto"/>
        </w:rPr>
      </w:pPr>
      <w:r>
        <w:rPr>
          <w:rFonts w:ascii="Times New Roman" w:cs="Times New Roman" w:eastAsia="Times New Roman" w:hAnsi="Times New Roman"/>
          <w:sz w:val="17"/>
          <w:szCs w:val="17"/>
          <w:color w:val="auto"/>
        </w:rPr>
        <w:t>Our cash and cash equivalents primarily consist of bank deposits and money market funds and our short-term investments consist of U.S. government treasury securities. As of January 31, 2025 and 2024, we had cash, cash equivalents, restricted cash and short-term investments of $2.3 billion.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the fair market value of our investments as of January 31, 2025 and 2024.</w:t>
      </w:r>
    </w:p>
    <w:p>
      <w:pPr>
        <w:spacing w:after="0" w:line="121" w:lineRule="exact"/>
        <w:rPr>
          <w:sz w:val="20"/>
          <w:szCs w:val="20"/>
          <w:color w:val="auto"/>
        </w:rPr>
      </w:pPr>
    </w:p>
    <w:p>
      <w:pPr>
        <w:ind w:right="20" w:firstLine="470"/>
        <w:spacing w:after="0" w:line="263" w:lineRule="auto"/>
        <w:rPr>
          <w:sz w:val="20"/>
          <w:szCs w:val="20"/>
          <w:color w:val="auto"/>
        </w:rPr>
      </w:pPr>
      <w:r>
        <w:rPr>
          <w:rFonts w:ascii="Times New Roman" w:cs="Times New Roman" w:eastAsia="Times New Roman" w:hAnsi="Times New Roman"/>
          <w:sz w:val="17"/>
          <w:szCs w:val="17"/>
          <w:color w:val="auto"/>
        </w:rPr>
        <w:t xml:space="preserve">In January 2020, we issued $1.15 billion aggregate principal amount of 0.25% convertible senior notes due 2026 in a private placement (the “2026 Notes”). The fair value of the 2026 Notes was subject to interest rate risk, market risk and other factors due to the conversion feature. The fair value of the 2026 Notes generally increased as our common stock price increased and generally decreased as our common stock price decreased. The interest and market value changes affected the fair value of the 2026 Notes, but did not impact our financial position, cash flows or results of operations due to the fixed nature of the debt obligation. On October 16, 2024, we issued a notice of redemption (the “Redemption Notice”) for all aggregate principal amount outstanding of our 2026 Notes. Approximately $1.1 billion aggregate principal amount was converted to 5,662,979 shares of the Company’s common stock with $0.4 million settled in cash. Refer to Note 6, </w:t>
      </w:r>
      <w:r>
        <w:rPr>
          <w:rFonts w:ascii="Times New Roman" w:cs="Times New Roman" w:eastAsia="Times New Roman" w:hAnsi="Times New Roman"/>
          <w:sz w:val="17"/>
          <w:szCs w:val="17"/>
          <w:i w:val="1"/>
          <w:iCs w:val="1"/>
          <w:color w:val="auto"/>
        </w:rPr>
        <w:t>Convertible Senior Notes</w:t>
      </w:r>
      <w:r>
        <w:rPr>
          <w:rFonts w:ascii="Times New Roman" w:cs="Times New Roman" w:eastAsia="Times New Roman" w:hAnsi="Times New Roman"/>
          <w:sz w:val="17"/>
          <w:szCs w:val="17"/>
          <w:color w:val="auto"/>
        </w:rPr>
        <w:t>, in Part II, Item 8, Financial Statements and Supplementary Data, of this Form 10-K for further details.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Foreign Currency Risk</w:t>
      </w:r>
    </w:p>
    <w:p>
      <w:pPr>
        <w:spacing w:after="0" w:line="172" w:lineRule="exact"/>
        <w:rPr>
          <w:sz w:val="20"/>
          <w:szCs w:val="20"/>
          <w:color w:val="auto"/>
        </w:rPr>
      </w:pPr>
    </w:p>
    <w:p>
      <w:pPr>
        <w:ind w:firstLine="470"/>
        <w:spacing w:after="0" w:line="262" w:lineRule="auto"/>
        <w:rPr>
          <w:sz w:val="20"/>
          <w:szCs w:val="20"/>
          <w:color w:val="auto"/>
        </w:rPr>
      </w:pPr>
      <w:r>
        <w:rPr>
          <w:rFonts w:ascii="Times New Roman" w:cs="Times New Roman" w:eastAsia="Times New Roman" w:hAnsi="Times New Roman"/>
          <w:sz w:val="17"/>
          <w:szCs w:val="17"/>
          <w:color w:val="auto"/>
        </w:rPr>
        <w:t>Our sales contracts are primarily denominated in U.S. dollars, British pounds (“GBP”) or Euros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statements of operations. The effect of a hypothetical 10% change in foreign currency exchange rates applicable to our business would not have a material impact on our historical consolidated financial statements for the years ended January 31, 2025 and 2024.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Market Risk</w:t>
      </w:r>
    </w:p>
    <w:p>
      <w:pPr>
        <w:spacing w:after="0" w:line="172" w:lineRule="exact"/>
        <w:rPr>
          <w:sz w:val="20"/>
          <w:szCs w:val="20"/>
          <w:color w:val="auto"/>
        </w:rPr>
      </w:pPr>
    </w:p>
    <w:p>
      <w:pPr>
        <w:ind w:right="260" w:firstLine="470"/>
        <w:spacing w:after="0" w:line="269" w:lineRule="auto"/>
        <w:rPr>
          <w:sz w:val="20"/>
          <w:szCs w:val="20"/>
          <w:color w:val="auto"/>
        </w:rPr>
      </w:pPr>
      <w:r>
        <w:rPr>
          <w:rFonts w:ascii="Times New Roman" w:cs="Times New Roman" w:eastAsia="Times New Roman" w:hAnsi="Times New Roman"/>
          <w:sz w:val="17"/>
          <w:szCs w:val="17"/>
          <w:color w:val="auto"/>
        </w:rPr>
        <w:t>We could experience additional volatility to our consolidated statements of operations due to observable price changes and impairments to our non-marketable securities. These changes could be material based on market conditions and events, particularly in periods of significant market fluctuations that affect our non-marketable securities. Our non-marketable securities are subject to a risk of partial or total loss of invested capital. As of January 31, 2025 and 2024, the total amount of non-marketable securities included in other assets on our balance sheets was $24.2 million and $12.9 million, respectively.</w:t>
      </w:r>
    </w:p>
    <w:p>
      <w:pPr>
        <w:spacing w:after="0" w:line="26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January 31, 2025</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CONSOLIDATED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68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(PCAOB ID </w:t>
            </w:r>
            <w:r>
              <w:rPr>
                <w:rFonts w:ascii="Times New Roman" w:cs="Times New Roman" w:eastAsia="Times New Roman" w:hAnsi="Times New Roman"/>
                <w:sz w:val="17"/>
                <w:szCs w:val="17"/>
                <w:color w:val="000000"/>
              </w:rPr>
              <w:t>238)</w:t>
            </w: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80" w:type="dxa"/>
            <w:vAlign w:val="bottom"/>
            <w:gridSpan w:val="8"/>
            <w:vMerge w:val="continue"/>
          </w:tcPr>
          <w:p>
            <w:pPr>
              <w:spacing w:after="0"/>
              <w:rPr>
                <w:sz w:val="15"/>
                <w:szCs w:val="15"/>
                <w:color w:val="auto"/>
              </w:rPr>
            </w:pPr>
          </w:p>
        </w:tc>
        <w:tc>
          <w:tcPr>
            <w:tcW w:w="540" w:type="dxa"/>
            <w:vAlign w:val="bottom"/>
            <w:gridSpan w:val="3"/>
          </w:tcPr>
          <w:p>
            <w:pPr>
              <w:jc w:val="right"/>
              <w:ind w:right="20"/>
              <w:spacing w:after="0" w:line="176" w:lineRule="exact"/>
              <w:rPr>
                <w:sz w:val="20"/>
                <w:szCs w:val="20"/>
                <w:color w:val="auto"/>
              </w:rPr>
            </w:pPr>
            <w:r>
              <w:rPr>
                <w:rFonts w:ascii="Times New Roman" w:cs="Times New Roman" w:eastAsia="Times New Roman" w:hAnsi="Times New Roman"/>
                <w:sz w:val="17"/>
                <w:szCs w:val="17"/>
                <w:color w:val="0000FF"/>
              </w:rPr>
              <w:t>66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5680" w:type="dxa"/>
            <w:vAlign w:val="bottom"/>
            <w:gridSpan w:val="4"/>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8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color w:val="0000FF"/>
              </w:rPr>
              <w:t>Consolidated Balance Sheets as of January 31, 2025 and 2024</w:t>
            </w:r>
          </w:p>
        </w:tc>
        <w:tc>
          <w:tcPr>
            <w:tcW w:w="5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7"/>
                <w:szCs w:val="17"/>
                <w:color w:val="0000FF"/>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January 31, 2025, 2024 and 2023</w:t>
            </w:r>
          </w:p>
        </w:tc>
        <w:tc>
          <w:tcPr>
            <w:tcW w:w="4020" w:type="dxa"/>
            <w:vAlign w:val="bottom"/>
            <w:gridSpan w:val="2"/>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Loss for the years ended January 31, 2025, 2024 and 2023</w:t>
            </w:r>
          </w:p>
        </w:tc>
        <w:tc>
          <w:tcPr>
            <w:tcW w:w="332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January 31, 2025, 2024 and 2023</w:t>
            </w: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years ended January 31, 2025, 2024 and 2023</w:t>
            </w:r>
          </w:p>
        </w:tc>
        <w:tc>
          <w:tcPr>
            <w:tcW w:w="900" w:type="dxa"/>
            <w:vAlign w:val="bottom"/>
            <w:gridSpan w:val="2"/>
          </w:tcPr>
          <w:p>
            <w:pPr>
              <w:spacing w:after="0"/>
              <w:rPr>
                <w:sz w:val="17"/>
                <w:szCs w:val="17"/>
                <w:color w:val="auto"/>
              </w:rPr>
            </w:pPr>
          </w:p>
        </w:tc>
        <w:tc>
          <w:tcPr>
            <w:tcW w:w="332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4220" w:type="dxa"/>
            <w:vAlign w:val="bottom"/>
            <w:gridSpan w:val="3"/>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73</w:t>
            </w:r>
          </w:p>
        </w:tc>
        <w:tc>
          <w:tcPr>
            <w:tcW w:w="0" w:type="dxa"/>
            <w:vAlign w:val="bottom"/>
          </w:tcPr>
          <w:p>
            <w:pPr>
              <w:spacing w:after="0"/>
              <w:rPr>
                <w:sz w:val="1"/>
                <w:szCs w:val="1"/>
                <w:color w:val="auto"/>
              </w:rPr>
            </w:pPr>
          </w:p>
        </w:tc>
      </w:tr>
      <w:tr>
        <w:trPr>
          <w:trHeight w:val="855"/>
        </w:trPr>
        <w:tc>
          <w:tcPr>
            <w:tcW w:w="220" w:type="dxa"/>
            <w:vAlign w:val="bottom"/>
            <w:gridSpan w:val="2"/>
          </w:tcPr>
          <w:p>
            <w:pPr>
              <w:spacing w:after="0"/>
              <w:rPr>
                <w:sz w:val="24"/>
                <w:szCs w:val="24"/>
                <w:color w:val="auto"/>
              </w:rPr>
            </w:pPr>
          </w:p>
        </w:tc>
        <w:tc>
          <w:tcPr>
            <w:tcW w:w="3040" w:type="dxa"/>
            <w:vAlign w:val="bottom"/>
            <w:tcBorders>
              <w:top w:val="single" w:sz="8" w:color="0000FF"/>
            </w:tcBorders>
          </w:tcPr>
          <w:p>
            <w:pPr>
              <w:spacing w:after="0"/>
              <w:rPr>
                <w:sz w:val="24"/>
                <w:szCs w:val="24"/>
                <w:color w:val="auto"/>
              </w:rPr>
            </w:pPr>
          </w:p>
        </w:tc>
        <w:tc>
          <w:tcPr>
            <w:tcW w:w="3220" w:type="dxa"/>
            <w:vAlign w:val="bottom"/>
            <w:gridSpan w:val="3"/>
          </w:tcPr>
          <w:p>
            <w:pPr>
              <w:jc w:val="right"/>
              <w:ind w:right="540"/>
              <w:spacing w:after="0"/>
              <w:rPr>
                <w:sz w:val="20"/>
                <w:szCs w:val="20"/>
                <w:color w:val="auto"/>
              </w:rPr>
            </w:pPr>
            <w:r>
              <w:rPr>
                <w:rFonts w:ascii="Times New Roman" w:cs="Times New Roman" w:eastAsia="Times New Roman" w:hAnsi="Times New Roman"/>
                <w:sz w:val="17"/>
                <w:szCs w:val="17"/>
                <w:color w:val="auto"/>
              </w:rPr>
              <w:t>65</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9"/>
        </w:trPr>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 MongoDB,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Opinions on the Financial Statements and Internal Control over Financial Reporting</w:t>
      </w:r>
    </w:p>
    <w:p>
      <w:pPr>
        <w:spacing w:after="0" w:line="17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 xml:space="preserve">We have audited the accompanying consolidated balance sheets of MongoDB, Inc. and its subsidiaries (the “Company”) as of January 31, 2025 and 2024, and the related consolidated statements of operations, of comprehensive loss, of stockholders’ equity and of cash flows for each of the three years in the period ended January 31, 2025, including the related notes (collectively referred to as the “consolidated financial statements”). We also have audited the Company's internal control over financial reporting as of January 31,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Committee of Sponsoring Organizations of the Treadway Commission (COSO).</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7"/>
          <w:szCs w:val="17"/>
          <w:color w:val="auto"/>
        </w:rPr>
        <w:t xml:space="preserve">In our opinion, the consolidated financial statements referred to above present fairly, in all material respects, the financial position of the Company as of January 31, 2025 and 2024, and the results of its operations and its cash flows for each of the three years in the period ended January 31, 2025 in conformity with accounting principles generally accepted in the United States of America. Also in our opinion, the Company maintained, in all material respects, effective internal control over financial reporting as of January 31, 2025, based on criteria established in </w:t>
      </w:r>
      <w:r>
        <w:rPr>
          <w:rFonts w:ascii="Times New Roman" w:cs="Times New Roman" w:eastAsia="Times New Roman" w:hAnsi="Times New Roman"/>
          <w:sz w:val="17"/>
          <w:szCs w:val="17"/>
          <w:i w:val="1"/>
          <w:iCs w:val="1"/>
          <w:color w:val="auto"/>
        </w:rPr>
        <w:t>Internal Control - Integrated Framework</w:t>
      </w:r>
      <w:r>
        <w:rPr>
          <w:rFonts w:ascii="Times New Roman" w:cs="Times New Roman" w:eastAsia="Times New Roman" w:hAnsi="Times New Roman"/>
          <w:sz w:val="17"/>
          <w:szCs w:val="17"/>
          <w:color w:val="auto"/>
        </w:rPr>
        <w:t xml:space="preserve"> (2013) issued by the COSO.</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for Opinions</w:t>
      </w:r>
    </w:p>
    <w:p>
      <w:pPr>
        <w:spacing w:after="0" w:line="16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8"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 and Limitations of Internal Control over Financial Reporting</w:t>
      </w:r>
    </w:p>
    <w:p>
      <w:pPr>
        <w:spacing w:after="0" w:line="16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5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439420</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Audit Matters</w:t>
      </w:r>
    </w:p>
    <w:p>
      <w:pPr>
        <w:spacing w:after="0" w:line="16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w:t>
      </w:r>
    </w:p>
    <w:p>
      <w:pPr>
        <w:spacing w:after="0" w:line="2" w:lineRule="exact"/>
        <w:rPr>
          <w:sz w:val="20"/>
          <w:szCs w:val="20"/>
          <w:color w:val="auto"/>
        </w:rPr>
      </w:pPr>
    </w:p>
    <w:p>
      <w:pPr>
        <w:ind w:right="60" w:firstLine="5"/>
        <w:spacing w:after="0" w:line="239" w:lineRule="auto"/>
        <w:tabs>
          <w:tab w:leader="none" w:pos="25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 Recognition - Subscription Revenue</w:t>
      </w:r>
    </w:p>
    <w:p>
      <w:pPr>
        <w:spacing w:after="0" w:line="15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7"/>
          <w:szCs w:val="17"/>
          <w:color w:val="auto"/>
        </w:rPr>
        <w:t>As described in Note 2 to the consolidated financial statements, the Company’s subscription revenue was $1,943.9 million for the year ended January 31, 2025. Subscription revenue is derived from the sales of subscriptions, which includes the usage-based database-as-a-service offering, term license and post-contract customer support (PCS). For contracts that contain multiple performance obligations, the Company allocates the transaction price to each performance obligation based on a relative standalone selling price (SSP) basis. The Company recognizes revenue when its customer obtains control of promised goods or services in an amount that reflects the consideration that the Company expects to receive in exchange for those goods or services. Performance obligations related to database-as-a-service solutions are recognized on a usage-basis, as the use of this service represents a direct measurement of the value of the goods or services transferred to date relative to the remaining goods or services promised under the contract. License revenue is recognized at a point in time, upon delivery and transfer of control of the underlying license to the customer, which is typically the subscription start date. Revenue from PCS is recognized ratably over the contract duration.</w:t>
      </w:r>
    </w:p>
    <w:p>
      <w:pPr>
        <w:spacing w:after="0" w:line="200" w:lineRule="exact"/>
        <w:rPr>
          <w:sz w:val="20"/>
          <w:szCs w:val="20"/>
          <w:color w:val="auto"/>
        </w:rPr>
      </w:pPr>
    </w:p>
    <w:p>
      <w:pPr>
        <w:spacing w:after="0" w:line="203"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7"/>
          <w:szCs w:val="17"/>
          <w:color w:val="auto"/>
        </w:rPr>
        <w:t>The principal consideration for our determination that performing procedures relating to subscription revenue recognition is a critical audit matter is a high degree of auditor effort in performing procedures related to the Company’s subscription revenue recognition.</w:t>
      </w:r>
    </w:p>
    <w:p>
      <w:pPr>
        <w:spacing w:after="0" w:line="173"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subscription revenue when the customer obtains control of promised goods or services in an amount that reflects the consideration that the Company expects to receive in exchange for those goods or services. These procedures also included, among others, for a sample of subscription revenue transactions (i) testing revenue recognized by obtaining and inspecting source documents, such as order forms, customer contracts, invoices, and usage reports;</w:t>
      </w:r>
    </w:p>
    <w:p>
      <w:pPr>
        <w:spacing w:after="0" w:line="2" w:lineRule="exact"/>
        <w:rPr>
          <w:sz w:val="20"/>
          <w:szCs w:val="20"/>
          <w:color w:val="auto"/>
        </w:rPr>
      </w:pPr>
    </w:p>
    <w:p>
      <w:pPr>
        <w:ind w:right="580" w:firstLine="5"/>
        <w:spacing w:after="0" w:line="268" w:lineRule="auto"/>
        <w:tabs>
          <w:tab w:leader="none" w:pos="25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evaluating the terms and conditions of the contracts and the appropriateness of the identified performance obligations; and (iii) recalculating revenue, including </w:t>
      </w:r>
      <w:r>
        <w:rPr>
          <w:rFonts w:ascii="Times New Roman" w:cs="Times New Roman" w:eastAsia="Times New Roman" w:hAnsi="Times New Roman"/>
          <w:sz w:val="20"/>
          <w:szCs w:val="20"/>
          <w:color w:val="auto"/>
        </w:rPr>
        <w:t>testing</w:t>
      </w:r>
      <w:r>
        <w:rPr>
          <w:rFonts w:ascii="Times New Roman" w:cs="Times New Roman" w:eastAsia="Times New Roman" w:hAnsi="Times New Roman"/>
          <w:sz w:val="17"/>
          <w:szCs w:val="17"/>
          <w:color w:val="auto"/>
        </w:rPr>
        <w:t xml:space="preserve"> the allocation of transaction price to the performance obligations based on relative standalone selling price.</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20, 2025</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2013.</w:t>
      </w:r>
    </w:p>
    <w:p>
      <w:pPr>
        <w:spacing w:after="0" w:line="15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8240" w:type="dxa"/>
            <w:vAlign w:val="bottom"/>
          </w:tcPr>
          <w:p>
            <w:pPr>
              <w:jc w:val="center"/>
              <w:ind w:left="2805"/>
              <w:spacing w:after="0"/>
              <w:rPr>
                <w:sz w:val="20"/>
                <w:szCs w:val="20"/>
                <w:color w:val="auto"/>
              </w:rPr>
            </w:pPr>
            <w:r>
              <w:rPr>
                <w:rFonts w:ascii="Times New Roman" w:cs="Times New Roman" w:eastAsia="Times New Roman" w:hAnsi="Times New Roman"/>
                <w:sz w:val="17"/>
                <w:szCs w:val="17"/>
                <w:b w:val="1"/>
                <w:bCs w:val="1"/>
                <w:color w:val="auto"/>
              </w:rPr>
              <w:t>MONGODB, INC.</w:t>
            </w:r>
          </w:p>
        </w:tc>
        <w:tc>
          <w:tcPr>
            <w:tcW w:w="500" w:type="dxa"/>
            <w:vAlign w:val="bottom"/>
          </w:tcPr>
          <w:p>
            <w:pPr>
              <w:spacing w:after="0"/>
              <w:rPr>
                <w:sz w:val="18"/>
                <w:szCs w:val="18"/>
                <w:color w:val="auto"/>
              </w:rPr>
            </w:pPr>
          </w:p>
        </w:tc>
      </w:tr>
      <w:tr>
        <w:trPr>
          <w:trHeight w:val="209"/>
        </w:trPr>
        <w:tc>
          <w:tcPr>
            <w:tcW w:w="8240" w:type="dxa"/>
            <w:vAlign w:val="bottom"/>
          </w:tcPr>
          <w:p>
            <w:pPr>
              <w:jc w:val="center"/>
              <w:ind w:left="2825"/>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500" w:type="dxa"/>
            <w:vAlign w:val="bottom"/>
          </w:tcPr>
          <w:p>
            <w:pPr>
              <w:spacing w:after="0"/>
              <w:rPr>
                <w:sz w:val="18"/>
                <w:szCs w:val="18"/>
                <w:color w:val="auto"/>
              </w:rPr>
            </w:pPr>
          </w:p>
        </w:tc>
      </w:tr>
      <w:tr>
        <w:trPr>
          <w:trHeight w:val="229"/>
        </w:trPr>
        <w:tc>
          <w:tcPr>
            <w:tcW w:w="8240" w:type="dxa"/>
            <w:vAlign w:val="bottom"/>
          </w:tcPr>
          <w:p>
            <w:pPr>
              <w:jc w:val="center"/>
              <w:ind w:left="2825"/>
              <w:spacing w:after="0"/>
              <w:rPr>
                <w:sz w:val="20"/>
                <w:szCs w:val="20"/>
                <w:color w:val="auto"/>
              </w:rPr>
            </w:pPr>
            <w:r>
              <w:rPr>
                <w:rFonts w:ascii="Times New Roman" w:cs="Times New Roman" w:eastAsia="Times New Roman" w:hAnsi="Times New Roman"/>
                <w:sz w:val="17"/>
                <w:szCs w:val="17"/>
                <w:i w:val="1"/>
                <w:iCs w:val="1"/>
                <w:color w:val="auto"/>
              </w:rPr>
              <w:t>(in thousands of U.S. dollars, except share and per share data)</w:t>
            </w:r>
          </w:p>
        </w:tc>
        <w:tc>
          <w:tcPr>
            <w:tcW w:w="500" w:type="dxa"/>
            <w:vAlign w:val="bottom"/>
          </w:tcPr>
          <w:p>
            <w:pPr>
              <w:spacing w:after="0"/>
              <w:rPr>
                <w:sz w:val="19"/>
                <w:szCs w:val="19"/>
                <w:color w:val="auto"/>
              </w:rPr>
            </w:pPr>
          </w:p>
        </w:tc>
      </w:tr>
      <w:tr>
        <w:trPr>
          <w:trHeight w:val="724"/>
        </w:trPr>
        <w:tc>
          <w:tcPr>
            <w:tcW w:w="8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500" w:type="dxa"/>
            <w:vAlign w:val="bottom"/>
          </w:tcPr>
          <w:p>
            <w:pPr>
              <w:spacing w:after="0"/>
              <w:rPr>
                <w:sz w:val="24"/>
                <w:szCs w:val="24"/>
                <w:color w:val="auto"/>
              </w:rPr>
            </w:pPr>
          </w:p>
        </w:tc>
      </w:tr>
      <w:tr>
        <w:trPr>
          <w:trHeight w:val="196"/>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500" w:type="dxa"/>
            <w:vAlign w:val="bottom"/>
          </w:tcPr>
          <w:p>
            <w:pPr>
              <w:spacing w:after="0"/>
              <w:rPr>
                <w:sz w:val="17"/>
                <w:szCs w:val="17"/>
                <w:color w:val="auto"/>
              </w:rPr>
            </w:pPr>
          </w:p>
        </w:tc>
      </w:tr>
      <w:tr>
        <w:trPr>
          <w:trHeight w:val="235"/>
        </w:trPr>
        <w:tc>
          <w:tcPr>
            <w:tcW w:w="8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8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Short-term investments</w:t>
            </w:r>
          </w:p>
        </w:tc>
        <w:tc>
          <w:tcPr>
            <w:tcW w:w="500" w:type="dxa"/>
            <w:vAlign w:val="bottom"/>
          </w:tcPr>
          <w:p>
            <w:pPr>
              <w:spacing w:after="0"/>
              <w:rPr>
                <w:sz w:val="18"/>
                <w:szCs w:val="18"/>
                <w:color w:val="auto"/>
              </w:rPr>
            </w:pPr>
          </w:p>
        </w:tc>
      </w:tr>
      <w:tr>
        <w:trPr>
          <w:trHeight w:val="235"/>
        </w:trPr>
        <w:tc>
          <w:tcPr>
            <w:tcW w:w="82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Accounts receivable, net of allowance for doubtful accounts of $8,888 and $8,054 as of January 31, 2025 and 2024, respectively</w:t>
            </w:r>
          </w:p>
        </w:tc>
        <w:tc>
          <w:tcPr>
            <w:tcW w:w="500" w:type="dxa"/>
            <w:vAlign w:val="bottom"/>
          </w:tcPr>
          <w:p>
            <w:pPr>
              <w:spacing w:after="0"/>
              <w:rPr>
                <w:sz w:val="20"/>
                <w:szCs w:val="20"/>
                <w:color w:val="auto"/>
              </w:rPr>
            </w:pPr>
          </w:p>
        </w:tc>
      </w:tr>
      <w:tr>
        <w:trPr>
          <w:trHeight w:val="235"/>
        </w:trPr>
        <w:tc>
          <w:tcPr>
            <w:tcW w:w="8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commissions</w:t>
            </w:r>
          </w:p>
        </w:tc>
        <w:tc>
          <w:tcPr>
            <w:tcW w:w="500" w:type="dxa"/>
            <w:vAlign w:val="bottom"/>
          </w:tcPr>
          <w:p>
            <w:pPr>
              <w:spacing w:after="0"/>
              <w:rPr>
                <w:sz w:val="20"/>
                <w:szCs w:val="20"/>
                <w:color w:val="auto"/>
              </w:rPr>
            </w:pPr>
          </w:p>
        </w:tc>
      </w:tr>
      <w:tr>
        <w:trPr>
          <w:trHeight w:val="235"/>
        </w:trPr>
        <w:tc>
          <w:tcPr>
            <w:tcW w:w="8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500" w:type="dxa"/>
            <w:vAlign w:val="bottom"/>
          </w:tcPr>
          <w:p>
            <w:pPr>
              <w:spacing w:after="0"/>
              <w:rPr>
                <w:sz w:val="20"/>
                <w:szCs w:val="20"/>
                <w:color w:val="auto"/>
              </w:rPr>
            </w:pPr>
          </w:p>
        </w:tc>
      </w:tr>
      <w:tr>
        <w:trPr>
          <w:trHeight w:val="248"/>
        </w:trPr>
        <w:tc>
          <w:tcPr>
            <w:tcW w:w="82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current assets</w:t>
            </w:r>
          </w:p>
        </w:tc>
        <w:tc>
          <w:tcPr>
            <w:tcW w:w="500" w:type="dxa"/>
            <w:vAlign w:val="bottom"/>
          </w:tcPr>
          <w:p>
            <w:pPr>
              <w:spacing w:after="0"/>
              <w:rPr>
                <w:sz w:val="21"/>
                <w:szCs w:val="21"/>
                <w:color w:val="auto"/>
              </w:rPr>
            </w:pPr>
          </w:p>
        </w:tc>
      </w:tr>
      <w:tr>
        <w:trPr>
          <w:trHeight w:val="235"/>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500" w:type="dxa"/>
            <w:vAlign w:val="bottom"/>
          </w:tcPr>
          <w:p>
            <w:pPr>
              <w:spacing w:after="0"/>
              <w:rPr>
                <w:sz w:val="20"/>
                <w:szCs w:val="20"/>
                <w:color w:val="auto"/>
              </w:rPr>
            </w:pPr>
          </w:p>
        </w:tc>
      </w:tr>
      <w:tr>
        <w:trPr>
          <w:trHeight w:val="235"/>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500" w:type="dxa"/>
            <w:vAlign w:val="bottom"/>
          </w:tcPr>
          <w:p>
            <w:pPr>
              <w:spacing w:after="0"/>
              <w:rPr>
                <w:sz w:val="20"/>
                <w:szCs w:val="20"/>
                <w:color w:val="auto"/>
              </w:rPr>
            </w:pPr>
          </w:p>
        </w:tc>
      </w:tr>
      <w:tr>
        <w:trPr>
          <w:trHeight w:val="235"/>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Goodwill</w:t>
            </w:r>
          </w:p>
        </w:tc>
        <w:tc>
          <w:tcPr>
            <w:tcW w:w="500" w:type="dxa"/>
            <w:vAlign w:val="bottom"/>
          </w:tcPr>
          <w:p>
            <w:pPr>
              <w:spacing w:after="0"/>
              <w:rPr>
                <w:sz w:val="20"/>
                <w:szCs w:val="20"/>
                <w:color w:val="auto"/>
              </w:rPr>
            </w:pPr>
          </w:p>
        </w:tc>
      </w:tr>
      <w:tr>
        <w:trPr>
          <w:trHeight w:val="235"/>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500" w:type="dxa"/>
            <w:vAlign w:val="bottom"/>
          </w:tcPr>
          <w:p>
            <w:pPr>
              <w:spacing w:after="0"/>
              <w:rPr>
                <w:sz w:val="20"/>
                <w:szCs w:val="20"/>
                <w:color w:val="auto"/>
              </w:rPr>
            </w:pPr>
          </w:p>
        </w:tc>
      </w:tr>
      <w:tr>
        <w:trPr>
          <w:trHeight w:val="235"/>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assets</w:t>
            </w:r>
          </w:p>
        </w:tc>
        <w:tc>
          <w:tcPr>
            <w:tcW w:w="500" w:type="dxa"/>
            <w:vAlign w:val="bottom"/>
          </w:tcPr>
          <w:p>
            <w:pPr>
              <w:spacing w:after="0"/>
              <w:rPr>
                <w:sz w:val="20"/>
                <w:szCs w:val="20"/>
                <w:color w:val="auto"/>
              </w:rPr>
            </w:pPr>
          </w:p>
        </w:tc>
      </w:tr>
      <w:tr>
        <w:trPr>
          <w:trHeight w:val="235"/>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Other assets</w:t>
            </w:r>
          </w:p>
        </w:tc>
        <w:tc>
          <w:tcPr>
            <w:tcW w:w="500" w:type="dxa"/>
            <w:vAlign w:val="bottom"/>
          </w:tcPr>
          <w:p>
            <w:pPr>
              <w:spacing w:after="0"/>
              <w:rPr>
                <w:sz w:val="20"/>
                <w:szCs w:val="20"/>
                <w:color w:val="auto"/>
              </w:rPr>
            </w:pPr>
          </w:p>
        </w:tc>
      </w:tr>
      <w:tr>
        <w:trPr>
          <w:trHeight w:val="274"/>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22"/>
        </w:trPr>
        <w:tc>
          <w:tcPr>
            <w:tcW w:w="82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500" w:type="dxa"/>
            <w:vAlign w:val="bottom"/>
          </w:tcPr>
          <w:p>
            <w:pPr>
              <w:spacing w:after="0"/>
              <w:rPr>
                <w:sz w:val="19"/>
                <w:szCs w:val="19"/>
                <w:color w:val="auto"/>
              </w:rPr>
            </w:pPr>
          </w:p>
        </w:tc>
      </w:tr>
      <w:tr>
        <w:trPr>
          <w:trHeight w:val="196"/>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500" w:type="dxa"/>
            <w:vAlign w:val="bottom"/>
          </w:tcPr>
          <w:p>
            <w:pPr>
              <w:spacing w:after="0"/>
              <w:rPr>
                <w:sz w:val="17"/>
                <w:szCs w:val="17"/>
                <w:color w:val="auto"/>
              </w:rPr>
            </w:pPr>
          </w:p>
        </w:tc>
      </w:tr>
      <w:tr>
        <w:trPr>
          <w:trHeight w:val="235"/>
        </w:trPr>
        <w:tc>
          <w:tcPr>
            <w:tcW w:w="8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Accounts payable</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8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Accrued compensation and benefits</w:t>
            </w:r>
          </w:p>
        </w:tc>
        <w:tc>
          <w:tcPr>
            <w:tcW w:w="500" w:type="dxa"/>
            <w:vAlign w:val="bottom"/>
          </w:tcPr>
          <w:p>
            <w:pPr>
              <w:spacing w:after="0"/>
              <w:rPr>
                <w:sz w:val="18"/>
                <w:szCs w:val="18"/>
                <w:color w:val="auto"/>
              </w:rPr>
            </w:pPr>
          </w:p>
        </w:tc>
      </w:tr>
      <w:tr>
        <w:trPr>
          <w:trHeight w:val="235"/>
        </w:trPr>
        <w:tc>
          <w:tcPr>
            <w:tcW w:w="8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500" w:type="dxa"/>
            <w:vAlign w:val="bottom"/>
          </w:tcPr>
          <w:p>
            <w:pPr>
              <w:spacing w:after="0"/>
              <w:rPr>
                <w:sz w:val="20"/>
                <w:szCs w:val="20"/>
                <w:color w:val="auto"/>
              </w:rPr>
            </w:pPr>
          </w:p>
        </w:tc>
      </w:tr>
      <w:tr>
        <w:trPr>
          <w:trHeight w:val="235"/>
        </w:trPr>
        <w:tc>
          <w:tcPr>
            <w:tcW w:w="8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500" w:type="dxa"/>
            <w:vAlign w:val="bottom"/>
          </w:tcPr>
          <w:p>
            <w:pPr>
              <w:spacing w:after="0"/>
              <w:rPr>
                <w:sz w:val="20"/>
                <w:szCs w:val="20"/>
                <w:color w:val="auto"/>
              </w:rPr>
            </w:pPr>
          </w:p>
        </w:tc>
      </w:tr>
      <w:tr>
        <w:trPr>
          <w:trHeight w:val="235"/>
        </w:trPr>
        <w:tc>
          <w:tcPr>
            <w:tcW w:w="824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Deferred revenue</w:t>
            </w:r>
          </w:p>
        </w:tc>
        <w:tc>
          <w:tcPr>
            <w:tcW w:w="500" w:type="dxa"/>
            <w:vAlign w:val="bottom"/>
          </w:tcPr>
          <w:p>
            <w:pPr>
              <w:spacing w:after="0"/>
              <w:rPr>
                <w:sz w:val="20"/>
                <w:szCs w:val="20"/>
                <w:color w:val="auto"/>
              </w:rPr>
            </w:pPr>
          </w:p>
        </w:tc>
      </w:tr>
      <w:tr>
        <w:trPr>
          <w:trHeight w:val="248"/>
        </w:trPr>
        <w:tc>
          <w:tcPr>
            <w:tcW w:w="824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500" w:type="dxa"/>
            <w:vAlign w:val="bottom"/>
          </w:tcPr>
          <w:p>
            <w:pPr>
              <w:spacing w:after="0"/>
              <w:rPr>
                <w:sz w:val="21"/>
                <w:szCs w:val="21"/>
                <w:color w:val="auto"/>
              </w:rPr>
            </w:pPr>
          </w:p>
        </w:tc>
      </w:tr>
      <w:tr>
        <w:trPr>
          <w:trHeight w:val="235"/>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liability</w:t>
            </w:r>
          </w:p>
        </w:tc>
        <w:tc>
          <w:tcPr>
            <w:tcW w:w="500" w:type="dxa"/>
            <w:vAlign w:val="bottom"/>
          </w:tcPr>
          <w:p>
            <w:pPr>
              <w:spacing w:after="0"/>
              <w:rPr>
                <w:sz w:val="20"/>
                <w:szCs w:val="20"/>
                <w:color w:val="auto"/>
              </w:rPr>
            </w:pPr>
          </w:p>
        </w:tc>
      </w:tr>
      <w:tr>
        <w:trPr>
          <w:trHeight w:val="235"/>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500" w:type="dxa"/>
            <w:vAlign w:val="bottom"/>
          </w:tcPr>
          <w:p>
            <w:pPr>
              <w:spacing w:after="0"/>
              <w:rPr>
                <w:sz w:val="20"/>
                <w:szCs w:val="20"/>
                <w:color w:val="auto"/>
              </w:rPr>
            </w:pPr>
          </w:p>
        </w:tc>
      </w:tr>
      <w:tr>
        <w:trPr>
          <w:trHeight w:val="248"/>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w:t>
            </w:r>
          </w:p>
        </w:tc>
        <w:tc>
          <w:tcPr>
            <w:tcW w:w="500" w:type="dxa"/>
            <w:vAlign w:val="bottom"/>
          </w:tcPr>
          <w:p>
            <w:pPr>
              <w:spacing w:after="0"/>
              <w:rPr>
                <w:sz w:val="21"/>
                <w:szCs w:val="21"/>
                <w:color w:val="auto"/>
              </w:rPr>
            </w:pPr>
          </w:p>
        </w:tc>
      </w:tr>
      <w:tr>
        <w:trPr>
          <w:trHeight w:val="248"/>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Convertible senior notes, net</w:t>
            </w:r>
          </w:p>
        </w:tc>
        <w:tc>
          <w:tcPr>
            <w:tcW w:w="500" w:type="dxa"/>
            <w:vAlign w:val="bottom"/>
          </w:tcPr>
          <w:p>
            <w:pPr>
              <w:spacing w:after="0"/>
              <w:rPr>
                <w:sz w:val="21"/>
                <w:szCs w:val="21"/>
                <w:color w:val="auto"/>
              </w:rPr>
            </w:pPr>
          </w:p>
        </w:tc>
      </w:tr>
      <w:tr>
        <w:trPr>
          <w:trHeight w:val="248"/>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Other liabilities</w:t>
            </w:r>
          </w:p>
        </w:tc>
        <w:tc>
          <w:tcPr>
            <w:tcW w:w="500" w:type="dxa"/>
            <w:vAlign w:val="bottom"/>
          </w:tcPr>
          <w:p>
            <w:pPr>
              <w:spacing w:after="0"/>
              <w:rPr>
                <w:sz w:val="21"/>
                <w:szCs w:val="21"/>
                <w:color w:val="auto"/>
              </w:rPr>
            </w:pPr>
          </w:p>
        </w:tc>
      </w:tr>
      <w:tr>
        <w:trPr>
          <w:trHeight w:val="248"/>
        </w:trPr>
        <w:tc>
          <w:tcPr>
            <w:tcW w:w="824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5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-4159885</wp:posOffset>
            </wp:positionV>
            <wp:extent cx="7136765" cy="1244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7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-3886200</wp:posOffset>
            </wp:positionV>
            <wp:extent cx="7136765" cy="149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-3587115</wp:posOffset>
            </wp:positionV>
            <wp:extent cx="7136765" cy="149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-2981325</wp:posOffset>
            </wp:positionV>
            <wp:extent cx="7136765" cy="149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-2682875</wp:posOffset>
            </wp:positionV>
            <wp:extent cx="7136765" cy="1492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-2383790</wp:posOffset>
            </wp:positionV>
            <wp:extent cx="7136765" cy="157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-1811655</wp:posOffset>
            </wp:positionV>
            <wp:extent cx="7136765" cy="1492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-1512570</wp:posOffset>
            </wp:positionV>
            <wp:extent cx="7136765" cy="149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-1214120</wp:posOffset>
            </wp:positionV>
            <wp:extent cx="7136765" cy="157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-906780</wp:posOffset>
            </wp:positionV>
            <wp:extent cx="7136765" cy="1492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765" cy="14922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-600075</wp:posOffset>
            </wp:positionV>
            <wp:extent cx="7136765" cy="157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-284480</wp:posOffset>
            </wp:positionV>
            <wp:extent cx="7136765" cy="157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765" cy="1574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-2060575</wp:posOffset>
            </wp:positionV>
            <wp:extent cx="7136765" cy="1244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7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-3280410</wp:posOffset>
            </wp:positionV>
            <wp:extent cx="7136765" cy="149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136765" cy="1244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765" cy="12446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36765" cy="3733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765" cy="373380"/>
                    </a:xfrm>
                    <a:prstGeom prst="rect">
                      <a:avLst/>
                    </a:prstGeom>
                    <a:noFill/>
                  </pic:spPr>
                </pic:pic>
              </a:graphicData>
            </a:graphic>
          </wp:anchor>
        </w:drawing>
      </w:r>
    </w:p>
    <w:p>
      <w:pPr>
        <w:spacing w:after="0" w:line="17" w:lineRule="exact"/>
        <w:rPr>
          <w:sz w:val="20"/>
          <w:szCs w:val="20"/>
          <w:color w:val="auto"/>
        </w:rPr>
      </w:pPr>
    </w:p>
    <w:p>
      <w:pPr>
        <w:ind w:left="380" w:right="100" w:hanging="77"/>
        <w:spacing w:after="0" w:line="258" w:lineRule="auto"/>
        <w:rPr>
          <w:sz w:val="20"/>
          <w:szCs w:val="20"/>
          <w:color w:val="auto"/>
        </w:rPr>
      </w:pPr>
      <w:r>
        <w:rPr>
          <w:rFonts w:ascii="Times New Roman" w:cs="Times New Roman" w:eastAsia="Times New Roman" w:hAnsi="Times New Roman"/>
          <w:sz w:val="15"/>
          <w:szCs w:val="15"/>
          <w:color w:val="auto"/>
        </w:rPr>
        <w:t>Common stock, par value of $0.001 per share; 1,000,000,000 shares authorized as of January 31, 2025 and 2024; 80,558,847 shares issued and 80,467,811 shares outstanding as of January 31, 2025 and 72,840,692 shares issued and 72,741,321 shares outstanding as of January 31, 2024</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49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Treasury stock, 99,371 shares (repurchased at an average of $13.27 per share) as of January 31, 2025 and 2024</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7136765" cy="157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6765" cy="15748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Accumulated deficit</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wp:posOffset>
            </wp:positionV>
            <wp:extent cx="7136765" cy="165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765" cy="165735"/>
                    </a:xfrm>
                    <a:prstGeom prst="rect">
                      <a:avLst/>
                    </a:prstGeom>
                    <a:noFill/>
                  </pic:spPr>
                </pic:pic>
              </a:graphicData>
            </a:graphic>
          </wp:anchor>
        </w:drawing>
      </w:r>
    </w:p>
    <w:p>
      <w:pPr>
        <w:spacing w:after="0" w:line="69" w:lineRule="exact"/>
        <w:rPr>
          <w:sz w:val="20"/>
          <w:szCs w:val="20"/>
          <w:color w:val="auto"/>
        </w:rPr>
      </w:pPr>
    </w:p>
    <w:p>
      <w:pPr>
        <w:ind w:left="60"/>
        <w:spacing w:after="0"/>
        <w:tabs>
          <w:tab w:leader="none" w:pos="8700" w:val="left"/>
        </w:tabs>
        <w:rPr>
          <w:sz w:val="20"/>
          <w:szCs w:val="20"/>
          <w:color w:val="auto"/>
        </w:rPr>
      </w:pPr>
      <w:r>
        <w:rPr>
          <w:rFonts w:ascii="Times New Roman" w:cs="Times New Roman" w:eastAsia="Times New Roman" w:hAnsi="Times New Roman"/>
          <w:sz w:val="15"/>
          <w:szCs w:val="15"/>
          <w:color w:val="auto"/>
        </w:rPr>
        <w:t>Total liabilities and stockholders’ equity</w:t>
      </w:r>
      <w:r>
        <w:rPr>
          <w:sz w:val="20"/>
          <w:szCs w:val="20"/>
          <w:color w:val="auto"/>
        </w:rPr>
        <w:tab/>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278"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1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As of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38100</wp:posOffset>
            </wp:positionV>
            <wp:extent cx="1609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pacing w:after="0" w:line="41"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29210</wp:posOffset>
            </wp:positionV>
            <wp:extent cx="1609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490,133</w:t>
            </w:r>
          </w:p>
        </w:tc>
        <w:tc>
          <w:tcPr>
            <w:tcW w:w="34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802,959</w:t>
            </w:r>
          </w:p>
        </w:tc>
      </w:tr>
      <w:tr>
        <w:trPr>
          <w:trHeight w:val="235"/>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96"/>
              </w:rPr>
              <w:t>1,846,444</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1,212,448</w:t>
            </w:r>
          </w:p>
        </w:tc>
      </w:tr>
      <w:tr>
        <w:trPr>
          <w:trHeight w:val="235"/>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393,099</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325,610</w:t>
            </w:r>
          </w:p>
        </w:tc>
      </w:tr>
      <w:tr>
        <w:trPr>
          <w:trHeight w:val="235"/>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112,632</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92,512</w:t>
            </w:r>
          </w:p>
        </w:tc>
      </w:tr>
      <w:tr>
        <w:trPr>
          <w:trHeight w:val="252"/>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81,214</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50,107</w:t>
            </w:r>
          </w:p>
        </w:tc>
      </w:tr>
      <w:tr>
        <w:trPr>
          <w:trHeight w:val="211"/>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96"/>
              </w:rPr>
              <w:t>2,923,522</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2,483,636</w:t>
            </w:r>
          </w:p>
        </w:tc>
      </w:tr>
      <w:tr>
        <w:trPr>
          <w:trHeight w:val="235"/>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46,377</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53,042</w:t>
            </w:r>
          </w:p>
        </w:tc>
      </w:tr>
      <w:tr>
        <w:trPr>
          <w:trHeight w:val="235"/>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34,607</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37,365</w:t>
            </w:r>
          </w:p>
        </w:tc>
      </w:tr>
      <w:tr>
        <w:trPr>
          <w:trHeight w:val="235"/>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69,679</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69,679</w:t>
            </w:r>
          </w:p>
        </w:tc>
      </w:tr>
      <w:tr>
        <w:trPr>
          <w:trHeight w:val="235"/>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24,597</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3,957</w:t>
            </w:r>
          </w:p>
        </w:tc>
      </w:tr>
      <w:tr>
        <w:trPr>
          <w:trHeight w:val="235"/>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20,810</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4,116</w:t>
            </w:r>
          </w:p>
        </w:tc>
      </w:tr>
      <w:tr>
        <w:trPr>
          <w:trHeight w:val="252"/>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310,701</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217,847</w:t>
            </w:r>
          </w:p>
        </w:tc>
      </w:tr>
      <w:tr>
        <w:trPr>
          <w:trHeight w:val="215"/>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96"/>
              </w:rPr>
              <w:t>3,430,293</w:t>
            </w:r>
          </w:p>
        </w:tc>
        <w:tc>
          <w:tcPr>
            <w:tcW w:w="3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2,869,642</w:t>
            </w:r>
          </w:p>
        </w:tc>
      </w:tr>
      <w:tr>
        <w:trPr>
          <w:trHeight w:val="23"/>
        </w:trPr>
        <w:tc>
          <w:tcPr>
            <w:tcW w:w="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86"/>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10,467</w:t>
            </w:r>
          </w:p>
        </w:tc>
        <w:tc>
          <w:tcPr>
            <w:tcW w:w="340" w:type="dxa"/>
            <w:vAlign w:val="bottom"/>
          </w:tcPr>
          <w:p>
            <w:pPr>
              <w:jc w:val="right"/>
              <w:ind w:right="166"/>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9,905</w:t>
            </w:r>
          </w:p>
        </w:tc>
      </w:tr>
      <w:tr>
        <w:trPr>
          <w:trHeight w:val="235"/>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120,354</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112,579</w:t>
            </w:r>
          </w:p>
        </w:tc>
      </w:tr>
      <w:tr>
        <w:trPr>
          <w:trHeight w:val="235"/>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9,126</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9,797</w:t>
            </w:r>
          </w:p>
        </w:tc>
      </w:tr>
      <w:tr>
        <w:trPr>
          <w:trHeight w:val="235"/>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87,659</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74,831</w:t>
            </w:r>
          </w:p>
        </w:tc>
      </w:tr>
      <w:tr>
        <w:trPr>
          <w:trHeight w:val="252"/>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334,381</w:t>
            </w: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357,108</w:t>
            </w:r>
          </w:p>
        </w:tc>
      </w:tr>
      <w:tr>
        <w:trPr>
          <w:trHeight w:val="211"/>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561,987</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564,220</w:t>
            </w:r>
          </w:p>
        </w:tc>
      </w:tr>
      <w:tr>
        <w:trPr>
          <w:trHeight w:val="235"/>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262</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w:t>
            </w:r>
          </w:p>
        </w:tc>
      </w:tr>
      <w:tr>
        <w:trPr>
          <w:trHeight w:val="248"/>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27,374</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30,918</w:t>
            </w:r>
          </w:p>
        </w:tc>
      </w:tr>
      <w:tr>
        <w:trPr>
          <w:trHeight w:val="248"/>
        </w:trPr>
        <w:tc>
          <w:tcPr>
            <w:tcW w:w="76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25,404</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-608330</wp:posOffset>
            </wp:positionV>
            <wp:extent cx="7715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-1628775</wp:posOffset>
            </wp:positionV>
            <wp:extent cx="77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-299085</wp:posOffset>
            </wp:positionH>
            <wp:positionV relativeFrom="paragraph">
              <wp:posOffset>-1778000</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—1,143,273</w:t>
      </w:r>
    </w:p>
    <w:p>
      <w:pPr>
        <w:spacing w:after="0" w:line="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33,042</w:t>
      </w:r>
      <w:r>
        <w:rPr>
          <w:rFonts w:ascii="Times New Roman" w:cs="Times New Roman" w:eastAsia="Times New Roman" w:hAnsi="Times New Roman"/>
          <w:sz w:val="14"/>
          <w:szCs w:val="14"/>
          <w:color w:val="auto"/>
        </w:rPr>
        <w:t>41,661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17780</wp:posOffset>
            </wp:positionV>
            <wp:extent cx="1609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pacing w:after="0" w:line="56" w:lineRule="exact"/>
        <w:rPr>
          <w:sz w:val="20"/>
          <w:szCs w:val="20"/>
          <w:color w:val="auto"/>
        </w:rPr>
      </w:pPr>
    </w:p>
    <w:p>
      <w:pPr>
        <w:ind w:left="200"/>
        <w:spacing w:after="0"/>
        <w:tabs>
          <w:tab w:leader="none" w:pos="1380" w:val="left"/>
        </w:tabs>
        <w:rPr>
          <w:sz w:val="20"/>
          <w:szCs w:val="20"/>
          <w:color w:val="auto"/>
        </w:rPr>
      </w:pPr>
      <w:r>
        <w:rPr>
          <w:rFonts w:ascii="Times New Roman" w:cs="Times New Roman" w:eastAsia="Times New Roman" w:hAnsi="Times New Roman"/>
          <w:sz w:val="15"/>
          <w:szCs w:val="15"/>
          <w:color w:val="auto"/>
        </w:rPr>
        <w:t>648,069</w:t>
      </w:r>
      <w:r>
        <w:rPr>
          <w:sz w:val="20"/>
          <w:szCs w:val="20"/>
          <w:color w:val="auto"/>
        </w:rPr>
        <w:tab/>
      </w:r>
      <w:r>
        <w:rPr>
          <w:rFonts w:ascii="Times New Roman" w:cs="Times New Roman" w:eastAsia="Times New Roman" w:hAnsi="Times New Roman"/>
          <w:sz w:val="15"/>
          <w:szCs w:val="15"/>
          <w:color w:val="auto"/>
        </w:rPr>
        <w:t>1,800,653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60" w:hanging="1328"/>
        <w:spacing w:after="0"/>
        <w:tabs>
          <w:tab w:leader="none" w:pos="186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73</w:t>
      </w:r>
    </w:p>
    <w:p>
      <w:pPr>
        <w:spacing w:after="0" w:line="62" w:lineRule="exact"/>
        <w:rPr>
          <w:rFonts w:ascii="Times New Roman" w:cs="Times New Roman" w:eastAsia="Times New Roman" w:hAnsi="Times New Roman"/>
          <w:sz w:val="15"/>
          <w:szCs w:val="15"/>
          <w:color w:val="auto"/>
        </w:rPr>
      </w:pPr>
    </w:p>
    <w:p>
      <w:pPr>
        <w:ind w:left="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4,625,0932,777,322</w:t>
      </w:r>
    </w:p>
    <w:p>
      <w:pPr>
        <w:spacing w:after="0" w:line="63" w:lineRule="exact"/>
        <w:rPr>
          <w:sz w:val="20"/>
          <w:szCs w:val="20"/>
          <w:color w:val="auto"/>
        </w:rPr>
      </w:pPr>
    </w:p>
    <w:p>
      <w:pPr>
        <w:ind w:left="280"/>
        <w:spacing w:after="0"/>
        <w:tabs>
          <w:tab w:leader="none" w:pos="1580" w:val="left"/>
        </w:tabs>
        <w:rPr>
          <w:sz w:val="20"/>
          <w:szCs w:val="20"/>
          <w:color w:val="auto"/>
        </w:rPr>
      </w:pPr>
      <w:r>
        <w:rPr>
          <w:rFonts w:ascii="Times New Roman" w:cs="Times New Roman" w:eastAsia="Times New Roman" w:hAnsi="Times New Roman"/>
          <w:sz w:val="15"/>
          <w:szCs w:val="15"/>
          <w:color w:val="auto"/>
        </w:rPr>
        <w:t>(1,319)</w:t>
      </w:r>
      <w:r>
        <w:rPr>
          <w:sz w:val="20"/>
          <w:szCs w:val="20"/>
          <w:color w:val="auto"/>
        </w:rPr>
        <w:tab/>
      </w:r>
      <w:r>
        <w:rPr>
          <w:rFonts w:ascii="Times New Roman" w:cs="Times New Roman" w:eastAsia="Times New Roman" w:hAnsi="Times New Roman"/>
          <w:sz w:val="15"/>
          <w:szCs w:val="15"/>
          <w:color w:val="auto"/>
        </w:rPr>
        <w:t>(1,319)</w:t>
      </w:r>
    </w:p>
    <w:p>
      <w:pPr>
        <w:spacing w:after="0" w:line="63" w:lineRule="exact"/>
        <w:rPr>
          <w:sz w:val="20"/>
          <w:szCs w:val="20"/>
          <w:color w:val="auto"/>
        </w:rPr>
      </w:pPr>
    </w:p>
    <w:p>
      <w:pPr>
        <w:ind w:left="1660" w:hanging="1263"/>
        <w:spacing w:after="0"/>
        <w:tabs>
          <w:tab w:leader="none" w:pos="16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4,545</w:t>
      </w:r>
    </w:p>
    <w:p>
      <w:pPr>
        <w:spacing w:after="0" w:line="75" w:lineRule="exact"/>
        <w:rPr>
          <w:rFonts w:ascii="Times New Roman" w:cs="Times New Roman" w:eastAsia="Times New Roman" w:hAnsi="Times New Roman"/>
          <w:sz w:val="15"/>
          <w:szCs w:val="15"/>
          <w:color w:val="auto"/>
        </w:rPr>
      </w:pPr>
    </w:p>
    <w:p>
      <w:pPr>
        <w:ind w:left="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(1,840,704)</w:t>
      </w:r>
      <w:r>
        <w:rPr>
          <w:rFonts w:ascii="Times New Roman" w:cs="Times New Roman" w:eastAsia="Times New Roman" w:hAnsi="Times New Roman"/>
          <w:sz w:val="14"/>
          <w:szCs w:val="14"/>
          <w:color w:val="auto"/>
        </w:rPr>
        <w:t>(1,711,632)</w:t>
      </w:r>
    </w:p>
    <w:p>
      <w:pPr>
        <w:spacing w:after="0" w:line="88" w:lineRule="exact"/>
        <w:rPr>
          <w:rFonts w:ascii="Times New Roman" w:cs="Times New Roman" w:eastAsia="Times New Roman" w:hAnsi="Times New Roman"/>
          <w:sz w:val="15"/>
          <w:szCs w:val="15"/>
          <w:color w:val="auto"/>
        </w:rPr>
      </w:pPr>
    </w:p>
    <w:p>
      <w:pPr>
        <w:ind w:left="8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2,782,2241,068,989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-147955</wp:posOffset>
            </wp:positionV>
            <wp:extent cx="1609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pacing w:after="0" w:line="43" w:lineRule="exact"/>
        <w:rPr>
          <w:sz w:val="20"/>
          <w:szCs w:val="20"/>
          <w:color w:val="auto"/>
        </w:rPr>
      </w:pPr>
    </w:p>
    <w:p>
      <w:pPr>
        <w:ind w:left="80"/>
        <w:spacing w:after="0"/>
        <w:tabs>
          <w:tab w:leader="none" w:pos="840" w:val="left"/>
          <w:tab w:leader="none" w:pos="1380" w:val="left"/>
        </w:tabs>
        <w:rPr>
          <w:sz w:val="20"/>
          <w:szCs w:val="20"/>
          <w:color w:val="auto"/>
        </w:rPr>
      </w:pPr>
      <w:r>
        <w:rPr>
          <w:rFonts w:ascii="Times New Roman" w:cs="Times New Roman" w:eastAsia="Times New Roman" w:hAnsi="Times New Roman"/>
          <w:sz w:val="15"/>
          <w:szCs w:val="15"/>
          <w:color w:val="auto"/>
        </w:rPr>
        <w:t>3,430,293</w:t>
        <w:tab/>
        <w:t>$</w:t>
      </w:r>
      <w:r>
        <w:rPr>
          <w:sz w:val="20"/>
          <w:szCs w:val="20"/>
          <w:color w:val="auto"/>
        </w:rPr>
        <w:tab/>
      </w:r>
      <w:r>
        <w:rPr>
          <w:rFonts w:ascii="Times New Roman" w:cs="Times New Roman" w:eastAsia="Times New Roman" w:hAnsi="Times New Roman"/>
          <w:sz w:val="15"/>
          <w:szCs w:val="15"/>
          <w:color w:val="auto"/>
        </w:rPr>
        <w:t>2,869,642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42545</wp:posOffset>
            </wp:positionV>
            <wp:extent cx="1609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609725" cy="8255"/>
                    </a:xfrm>
                    <a:prstGeom prst="rect">
                      <a:avLst/>
                    </a:prstGeom>
                    <a:noFill/>
                  </pic:spPr>
                </pic:pic>
              </a:graphicData>
            </a:graphic>
          </wp:anchor>
        </w:drawing>
      </w:r>
    </w:p>
    <w:p>
      <w:pPr>
        <w:sectPr>
          <w:pgSz w:w="11900" w:h="16838" w:orient="portrait"/>
          <w:cols w:equalWidth="0" w:num="2">
            <w:col w:w="8800" w:space="380"/>
            <w:col w:w="206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of U.S. dollars, except share and per share data)</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January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6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Subscription</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1,943,864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1,627,326</w:t>
            </w:r>
          </w:p>
        </w:tc>
        <w:tc>
          <w:tcPr>
            <w:tcW w:w="120" w:type="dxa"/>
            <w:vAlign w:val="bottom"/>
          </w:tcPr>
          <w:p>
            <w:pPr>
              <w:spacing w:after="0"/>
              <w:rPr>
                <w:sz w:val="22"/>
                <w:szCs w:val="22"/>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1,235,122</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Services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62,579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55,685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48,918</w:t>
            </w:r>
          </w:p>
        </w:tc>
        <w:tc>
          <w:tcPr>
            <w:tcW w:w="0" w:type="dxa"/>
            <w:vAlign w:val="bottom"/>
          </w:tcPr>
          <w:p>
            <w:pPr>
              <w:spacing w:after="0"/>
              <w:rPr>
                <w:sz w:val="1"/>
                <w:szCs w:val="1"/>
                <w:color w:val="auto"/>
              </w:rPr>
            </w:pPr>
          </w:p>
        </w:tc>
      </w:tr>
      <w:tr>
        <w:trPr>
          <w:trHeight w:val="254"/>
        </w:trPr>
        <w:tc>
          <w:tcPr>
            <w:tcW w:w="66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2,006,443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1,683,011</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1,284,040</w:t>
            </w:r>
          </w:p>
        </w:tc>
        <w:tc>
          <w:tcPr>
            <w:tcW w:w="0" w:type="dxa"/>
            <w:vAlign w:val="bottom"/>
          </w:tcPr>
          <w:p>
            <w:pPr>
              <w:spacing w:after="0"/>
              <w:rPr>
                <w:sz w:val="1"/>
                <w:szCs w:val="1"/>
                <w:color w:val="auto"/>
              </w:rPr>
            </w:pPr>
          </w:p>
        </w:tc>
      </w:tr>
      <w:tr>
        <w:trPr>
          <w:trHeight w:val="202"/>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Cost of revenue: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6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Subscription</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441,404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345,233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284,583</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Services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93,892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79,252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64,721</w:t>
            </w:r>
          </w:p>
        </w:tc>
        <w:tc>
          <w:tcPr>
            <w:tcW w:w="0" w:type="dxa"/>
            <w:vAlign w:val="bottom"/>
          </w:tcPr>
          <w:p>
            <w:pPr>
              <w:spacing w:after="0"/>
              <w:rPr>
                <w:sz w:val="1"/>
                <w:szCs w:val="1"/>
                <w:color w:val="auto"/>
              </w:rPr>
            </w:pPr>
          </w:p>
        </w:tc>
      </w:tr>
      <w:tr>
        <w:trPr>
          <w:trHeight w:val="254"/>
        </w:trPr>
        <w:tc>
          <w:tcPr>
            <w:tcW w:w="66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Total cost of revenue</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535,296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424,485</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349,304</w:t>
            </w:r>
          </w:p>
        </w:tc>
        <w:tc>
          <w:tcPr>
            <w:tcW w:w="0" w:type="dxa"/>
            <w:vAlign w:val="bottom"/>
          </w:tcPr>
          <w:p>
            <w:pPr>
              <w:spacing w:after="0"/>
              <w:rPr>
                <w:sz w:val="1"/>
                <w:szCs w:val="1"/>
                <w:color w:val="auto"/>
              </w:rPr>
            </w:pPr>
          </w:p>
        </w:tc>
      </w:tr>
      <w:tr>
        <w:trPr>
          <w:trHeight w:val="242"/>
        </w:trPr>
        <w:tc>
          <w:tcPr>
            <w:tcW w:w="6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Gross profit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1,471,147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1,258,526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934,736</w:t>
            </w:r>
          </w:p>
        </w:tc>
        <w:tc>
          <w:tcPr>
            <w:tcW w:w="0" w:type="dxa"/>
            <w:vAlign w:val="bottom"/>
          </w:tcPr>
          <w:p>
            <w:pPr>
              <w:spacing w:after="0"/>
              <w:rPr>
                <w:sz w:val="1"/>
                <w:szCs w:val="1"/>
                <w:color w:val="auto"/>
              </w:rPr>
            </w:pPr>
          </w:p>
        </w:tc>
      </w:tr>
      <w:tr>
        <w:trPr>
          <w:trHeight w:val="222"/>
        </w:trPr>
        <w:tc>
          <w:tcPr>
            <w:tcW w:w="6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Operating expenses: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Sales and marketing</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871,148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782,760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699,201</w:t>
            </w:r>
          </w:p>
        </w:tc>
        <w:tc>
          <w:tcPr>
            <w:tcW w:w="0" w:type="dxa"/>
            <w:vAlign w:val="bottom"/>
          </w:tcPr>
          <w:p>
            <w:pPr>
              <w:spacing w:after="0"/>
              <w:rPr>
                <w:sz w:val="1"/>
                <w:szCs w:val="1"/>
                <w:color w:val="auto"/>
              </w:rPr>
            </w:pPr>
          </w:p>
        </w:tc>
      </w:tr>
      <w:tr>
        <w:trPr>
          <w:trHeight w:val="261"/>
        </w:trPr>
        <w:tc>
          <w:tcPr>
            <w:tcW w:w="6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596,837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515,940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421,692</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219,226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193,558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160,498</w:t>
            </w:r>
          </w:p>
        </w:tc>
        <w:tc>
          <w:tcPr>
            <w:tcW w:w="0" w:type="dxa"/>
            <w:vAlign w:val="bottom"/>
          </w:tcPr>
          <w:p>
            <w:pPr>
              <w:spacing w:after="0"/>
              <w:rPr>
                <w:sz w:val="1"/>
                <w:szCs w:val="1"/>
                <w:color w:val="auto"/>
              </w:rPr>
            </w:pPr>
          </w:p>
        </w:tc>
      </w:tr>
      <w:tr>
        <w:trPr>
          <w:trHeight w:val="254"/>
        </w:trPr>
        <w:tc>
          <w:tcPr>
            <w:tcW w:w="66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1,687,211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1,492,258</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1,281,391</w:t>
            </w:r>
          </w:p>
        </w:tc>
        <w:tc>
          <w:tcPr>
            <w:tcW w:w="0" w:type="dxa"/>
            <w:vAlign w:val="bottom"/>
          </w:tcPr>
          <w:p>
            <w:pPr>
              <w:spacing w:after="0"/>
              <w:rPr>
                <w:sz w:val="1"/>
                <w:szCs w:val="1"/>
                <w:color w:val="auto"/>
              </w:rPr>
            </w:pPr>
          </w:p>
        </w:tc>
      </w:tr>
      <w:tr>
        <w:trPr>
          <w:trHeight w:val="242"/>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Loss from operations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(216,064)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(233,732)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(346,655)</w:t>
            </w:r>
          </w:p>
        </w:tc>
        <w:tc>
          <w:tcPr>
            <w:tcW w:w="0" w:type="dxa"/>
            <w:vAlign w:val="bottom"/>
          </w:tcPr>
          <w:p>
            <w:pPr>
              <w:spacing w:after="0"/>
              <w:rPr>
                <w:sz w:val="1"/>
                <w:szCs w:val="1"/>
                <w:color w:val="auto"/>
              </w:rPr>
            </w:pPr>
          </w:p>
        </w:tc>
      </w:tr>
      <w:tr>
        <w:trPr>
          <w:trHeight w:val="222"/>
        </w:trPr>
        <w:tc>
          <w:tcPr>
            <w:tcW w:w="6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income (expense):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80,238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24,948</w:t>
            </w:r>
          </w:p>
        </w:tc>
        <w:tc>
          <w:tcPr>
            <w:tcW w:w="0" w:type="dxa"/>
            <w:vAlign w:val="bottom"/>
          </w:tcPr>
          <w:p>
            <w:pPr>
              <w:spacing w:after="0"/>
              <w:rPr>
                <w:sz w:val="1"/>
                <w:szCs w:val="1"/>
                <w:color w:val="auto"/>
              </w:rPr>
            </w:pPr>
          </w:p>
        </w:tc>
      </w:tr>
      <w:tr>
        <w:trPr>
          <w:trHeight w:val="261"/>
        </w:trPr>
        <w:tc>
          <w:tcPr>
            <w:tcW w:w="66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(9,797)</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w:t>
            </w:r>
          </w:p>
        </w:tc>
        <w:tc>
          <w:tcPr>
            <w:tcW w:w="0" w:type="dxa"/>
            <w:vAlign w:val="bottom"/>
          </w:tcPr>
          <w:p>
            <w:pPr>
              <w:spacing w:after="0"/>
              <w:rPr>
                <w:sz w:val="1"/>
                <w:szCs w:val="1"/>
                <w:color w:val="auto"/>
              </w:rPr>
            </w:pPr>
          </w:p>
        </w:tc>
      </w:tr>
      <w:tr>
        <w:trPr>
          <w:trHeight w:val="241"/>
        </w:trPr>
        <w:tc>
          <w:tcPr>
            <w:tcW w:w="6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Loss before provision for (benefit from) income taxes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(163,516)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(333,254)</w:t>
            </w:r>
          </w:p>
        </w:tc>
        <w:tc>
          <w:tcPr>
            <w:tcW w:w="0" w:type="dxa"/>
            <w:vAlign w:val="bottom"/>
          </w:tcPr>
          <w:p>
            <w:pPr>
              <w:spacing w:after="0"/>
              <w:rPr>
                <w:sz w:val="1"/>
                <w:szCs w:val="1"/>
                <w:color w:val="auto"/>
              </w:rPr>
            </w:pPr>
          </w:p>
        </w:tc>
      </w:tr>
      <w:tr>
        <w:trPr>
          <w:trHeight w:val="275"/>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12,144</w:t>
            </w:r>
          </w:p>
        </w:tc>
        <w:tc>
          <w:tcPr>
            <w:tcW w:w="0" w:type="dxa"/>
            <w:vAlign w:val="bottom"/>
          </w:tcPr>
          <w:p>
            <w:pPr>
              <w:spacing w:after="0"/>
              <w:rPr>
                <w:sz w:val="1"/>
                <w:szCs w:val="1"/>
                <w:color w:val="auto"/>
              </w:rPr>
            </w:pPr>
          </w:p>
        </w:tc>
      </w:tr>
      <w:tr>
        <w:trPr>
          <w:trHeight w:val="254"/>
        </w:trPr>
        <w:tc>
          <w:tcPr>
            <w:tcW w:w="6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(129,072)</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(176,600)</w:t>
            </w:r>
          </w:p>
        </w:tc>
        <w:tc>
          <w:tcPr>
            <w:tcW w:w="120" w:type="dxa"/>
            <w:vAlign w:val="bottom"/>
          </w:tcPr>
          <w:p>
            <w:pPr>
              <w:spacing w:after="0"/>
              <w:rPr>
                <w:sz w:val="22"/>
                <w:szCs w:val="22"/>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(345,398)</w:t>
            </w:r>
          </w:p>
        </w:tc>
        <w:tc>
          <w:tcPr>
            <w:tcW w:w="0" w:type="dxa"/>
            <w:vAlign w:val="bottom"/>
          </w:tcPr>
          <w:p>
            <w:pPr>
              <w:spacing w:after="0"/>
              <w:rPr>
                <w:sz w:val="1"/>
                <w:szCs w:val="1"/>
                <w:color w:val="auto"/>
              </w:rPr>
            </w:pP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Weighted-average shares used to compute net loss per share, basic and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8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74,555,001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71,248,982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68,628,267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LOSS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of U.S. dollars)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January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3"/>
        </w:trPr>
        <w:tc>
          <w:tcPr>
            <w:tcW w:w="66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7"/>
        </w:trPr>
        <w:tc>
          <w:tcPr>
            <w:tcW w:w="6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Net loss</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(129,072)</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(345,398)</w:t>
            </w:r>
          </w:p>
        </w:tc>
      </w:tr>
      <w:tr>
        <w:trPr>
          <w:trHeight w:val="222"/>
        </w:trPr>
        <w:tc>
          <w:tcPr>
            <w:tcW w:w="6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1"/>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Unrealized income (loss) on available-for-sale securities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r>
      <w:tr>
        <w:trPr>
          <w:trHeight w:val="274"/>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1,054</w:t>
            </w:r>
          </w:p>
        </w:tc>
      </w:tr>
      <w:tr>
        <w:trPr>
          <w:trHeight w:val="255"/>
        </w:trPr>
        <w:tc>
          <w:tcPr>
            <w:tcW w:w="6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w:t>
            </w:r>
          </w:p>
        </w:tc>
      </w:tr>
      <w:tr>
        <w:trPr>
          <w:trHeight w:val="254"/>
        </w:trPr>
        <w:tc>
          <w:tcPr>
            <w:tcW w:w="66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comprehensive loss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(134,541)</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(171,150)</w:t>
            </w:r>
          </w:p>
        </w:tc>
        <w:tc>
          <w:tcPr>
            <w:tcW w:w="120" w:type="dxa"/>
            <w:vAlign w:val="bottom"/>
          </w:tcPr>
          <w:p>
            <w:pPr>
              <w:spacing w:after="0"/>
              <w:rPr>
                <w:sz w:val="22"/>
                <w:szCs w:val="22"/>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(343,375)</w:t>
            </w:r>
          </w:p>
        </w:tc>
      </w:tr>
      <w:tr>
        <w:trPr>
          <w:trHeight w:val="20"/>
        </w:trPr>
        <w:tc>
          <w:tcPr>
            <w:tcW w:w="6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447675</wp:posOffset>
            </wp:positionV>
            <wp:extent cx="716216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of U.S. dollars, except share data)</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00" w:type="dxa"/>
            <w:vAlign w:val="bottom"/>
          </w:tcPr>
          <w:p>
            <w:pPr>
              <w:spacing w:after="0"/>
              <w:rPr>
                <w:sz w:val="11"/>
                <w:szCs w:val="11"/>
                <w:color w:val="auto"/>
              </w:rPr>
            </w:pPr>
          </w:p>
        </w:tc>
        <w:tc>
          <w:tcPr>
            <w:tcW w:w="1520" w:type="dxa"/>
            <w:vAlign w:val="bottom"/>
            <w:gridSpan w:val="3"/>
            <w:vMerge w:val="restart"/>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8"/>
        </w:trPr>
        <w:tc>
          <w:tcPr>
            <w:tcW w:w="510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ind w:left="40"/>
              <w:spacing w:after="0" w:line="105"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3"/>
            <w:vMerge w:val="restart"/>
          </w:tcPr>
          <w:p>
            <w:pPr>
              <w:jc w:val="center"/>
              <w:ind w:right="80"/>
              <w:spacing w:after="0" w:line="10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2"/>
                <w:szCs w:val="2"/>
                <w:color w:val="auto"/>
              </w:rPr>
            </w:pPr>
          </w:p>
        </w:tc>
        <w:tc>
          <w:tcPr>
            <w:tcW w:w="820" w:type="dxa"/>
            <w:vAlign w:val="bottom"/>
            <w:gridSpan w:val="2"/>
            <w:vMerge w:val="restart"/>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2"/>
                <w:szCs w:val="2"/>
                <w:color w:val="auto"/>
              </w:rPr>
            </w:pPr>
          </w:p>
        </w:tc>
        <w:tc>
          <w:tcPr>
            <w:tcW w:w="740" w:type="dxa"/>
            <w:vAlign w:val="bottom"/>
            <w:vMerge w:val="restart"/>
          </w:tcPr>
          <w:p>
            <w:pPr>
              <w:jc w:val="center"/>
              <w:ind w:right="3"/>
              <w:spacing w:after="0" w:line="105"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58"/>
        </w:trPr>
        <w:tc>
          <w:tcPr>
            <w:tcW w:w="5100" w:type="dxa"/>
            <w:vAlign w:val="bottom"/>
          </w:tcPr>
          <w:p>
            <w:pPr>
              <w:spacing w:after="0"/>
              <w:rPr>
                <w:sz w:val="5"/>
                <w:szCs w:val="5"/>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8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5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900" w:type="dxa"/>
            <w:vAlign w:val="bottom"/>
            <w:gridSpan w:val="3"/>
            <w:vMerge w:val="continue"/>
          </w:tcPr>
          <w:p>
            <w:pPr>
              <w:spacing w:after="0"/>
              <w:rPr>
                <w:sz w:val="13"/>
                <w:szCs w:val="13"/>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80" w:type="dxa"/>
            <w:vAlign w:val="bottom"/>
          </w:tcPr>
          <w:p>
            <w:pPr>
              <w:spacing w:after="0"/>
              <w:rPr>
                <w:sz w:val="13"/>
                <w:szCs w:val="13"/>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3"/>
                <w:szCs w:val="13"/>
                <w:color w:val="auto"/>
              </w:rPr>
            </w:pPr>
          </w:p>
        </w:tc>
        <w:tc>
          <w:tcPr>
            <w:tcW w:w="74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31"/>
        </w:trPr>
        <w:tc>
          <w:tcPr>
            <w:tcW w:w="5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5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Balances as of January 31, 2022</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67,444,360</w:t>
            </w: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0"/>
              </w:rPr>
              <w:t>67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1,860,514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(1,319)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(1,189,634)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666,700</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Stock option exercises</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801,272</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5,708</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1,511,529</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00"/>
        </w:trPr>
        <w:tc>
          <w:tcPr>
            <w:tcW w:w="51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Stock-based compensation</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381,454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7"/>
                <w:szCs w:val="17"/>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381,454</w:t>
            </w: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Issuance of common stock under the Employee Stock Purchase Plan</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149,352</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29,003</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Conversion of convertible senior notes</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73</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969</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1,054</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Net loss</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(345,398)</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(345,398)</w:t>
            </w:r>
          </w:p>
        </w:tc>
        <w:tc>
          <w:tcPr>
            <w:tcW w:w="0" w:type="dxa"/>
            <w:vAlign w:val="bottom"/>
          </w:tcPr>
          <w:p>
            <w:pPr>
              <w:spacing w:after="0"/>
              <w:rPr>
                <w:sz w:val="1"/>
                <w:szCs w:val="1"/>
                <w:color w:val="auto"/>
              </w:rPr>
            </w:pPr>
          </w:p>
        </w:tc>
      </w:tr>
      <w:tr>
        <w:trPr>
          <w:trHeight w:val="154"/>
        </w:trPr>
        <w:tc>
          <w:tcPr>
            <w:tcW w:w="5100" w:type="dxa"/>
            <w:vAlign w:val="bottom"/>
          </w:tcPr>
          <w:p>
            <w:pPr>
              <w:ind w:left="180"/>
              <w:spacing w:after="0"/>
              <w:rPr>
                <w:sz w:val="20"/>
                <w:szCs w:val="20"/>
                <w:color w:val="auto"/>
              </w:rPr>
            </w:pPr>
            <w:r>
              <w:rPr>
                <w:rFonts w:ascii="Times New Roman" w:cs="Times New Roman" w:eastAsia="Times New Roman" w:hAnsi="Times New Roman"/>
                <w:sz w:val="11"/>
                <w:szCs w:val="11"/>
                <w:b w:val="1"/>
                <w:bCs w:val="1"/>
                <w:color w:val="auto"/>
              </w:rPr>
              <w:t>Balances as of January 31, 2023</w:t>
            </w:r>
          </w:p>
        </w:tc>
        <w:tc>
          <w:tcPr>
            <w:tcW w:w="8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69,906,586</w:t>
            </w:r>
          </w:p>
        </w:tc>
        <w:tc>
          <w:tcPr>
            <w:tcW w:w="6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90"/>
              </w:rPr>
              <w:t>70</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2,276,694</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1"/>
                <w:szCs w:val="11"/>
                <w:color w:val="auto"/>
              </w:rPr>
              <w:t>(1,319)</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(905)</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(1,535,032)</w:t>
            </w: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739,508</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Stock option exercises</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953,643</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6,807</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6,808</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1,690,527</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Vesting of performance stock units</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22,991</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1"/>
        </w:trPr>
        <w:tc>
          <w:tcPr>
            <w:tcW w:w="51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Stock-based compensation</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456,907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456,907</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Issuance of common stock under the Employee Stock Purchase Plan</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167,574</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36,914</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Unrealized gain on available-for-sale securities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4,652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4,652</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798</w:t>
            </w:r>
          </w:p>
        </w:tc>
        <w:tc>
          <w:tcPr>
            <w:tcW w:w="0" w:type="dxa"/>
            <w:vAlign w:val="bottom"/>
          </w:tcPr>
          <w:p>
            <w:pPr>
              <w:spacing w:after="0"/>
              <w:rPr>
                <w:sz w:val="1"/>
                <w:szCs w:val="1"/>
                <w:color w:val="auto"/>
              </w:rPr>
            </w:pPr>
          </w:p>
        </w:tc>
      </w:tr>
      <w:tr>
        <w:trPr>
          <w:trHeight w:val="202"/>
        </w:trPr>
        <w:tc>
          <w:tcPr>
            <w:tcW w:w="51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Net loss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7"/>
                <w:szCs w:val="17"/>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(176,600)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(176,600)</w:t>
            </w:r>
          </w:p>
        </w:tc>
        <w:tc>
          <w:tcPr>
            <w:tcW w:w="0" w:type="dxa"/>
            <w:vAlign w:val="bottom"/>
          </w:tcPr>
          <w:p>
            <w:pPr>
              <w:spacing w:after="0"/>
              <w:rPr>
                <w:sz w:val="1"/>
                <w:szCs w:val="1"/>
                <w:color w:val="auto"/>
              </w:rPr>
            </w:pPr>
          </w:p>
        </w:tc>
      </w:tr>
      <w:tr>
        <w:trPr>
          <w:trHeight w:val="170"/>
        </w:trPr>
        <w:tc>
          <w:tcPr>
            <w:tcW w:w="51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Balances as of January 31, 2024</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72,741,321</w:t>
            </w:r>
          </w:p>
        </w:tc>
        <w:tc>
          <w:tcPr>
            <w:tcW w:w="6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0"/>
              </w:rPr>
              <w:t>73</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2,777,322</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(1,319)</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4,545</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(1,711,632)</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1,068,989</w:t>
            </w:r>
          </w:p>
        </w:tc>
        <w:tc>
          <w:tcPr>
            <w:tcW w:w="0" w:type="dxa"/>
            <w:vAlign w:val="bottom"/>
          </w:tcPr>
          <w:p>
            <w:pPr>
              <w:spacing w:after="0"/>
              <w:rPr>
                <w:sz w:val="1"/>
                <w:szCs w:val="1"/>
                <w:color w:val="auto"/>
              </w:rPr>
            </w:pPr>
          </w:p>
        </w:tc>
      </w:tr>
      <w:tr>
        <w:trPr>
          <w:trHeight w:val="174"/>
        </w:trPr>
        <w:tc>
          <w:tcPr>
            <w:tcW w:w="51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Stock option exercises</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267,931</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2,026</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Vesting of restricted stock units</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1,529,981</w:t>
            </w: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61"/>
        </w:trPr>
        <w:tc>
          <w:tcPr>
            <w:tcW w:w="51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Vesting of performance stock units</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77,444</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Stock-based compensation</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493,940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493,940</w:t>
            </w:r>
          </w:p>
        </w:tc>
        <w:tc>
          <w:tcPr>
            <w:tcW w:w="0" w:type="dxa"/>
            <w:vAlign w:val="bottom"/>
          </w:tcPr>
          <w:p>
            <w:pPr>
              <w:spacing w:after="0"/>
              <w:rPr>
                <w:sz w:val="1"/>
                <w:szCs w:val="1"/>
                <w:color w:val="auto"/>
              </w:rPr>
            </w:pPr>
          </w:p>
        </w:tc>
      </w:tr>
      <w:tr>
        <w:trPr>
          <w:trHeight w:val="161"/>
        </w:trPr>
        <w:tc>
          <w:tcPr>
            <w:tcW w:w="51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Conversion of convertible senior notes</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5,662,979</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1,145,320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1,145,324</w:t>
            </w:r>
          </w:p>
        </w:tc>
        <w:tc>
          <w:tcPr>
            <w:tcW w:w="0" w:type="dxa"/>
            <w:vAlign w:val="bottom"/>
          </w:tcPr>
          <w:p>
            <w:pPr>
              <w:spacing w:after="0"/>
              <w:rPr>
                <w:sz w:val="1"/>
                <w:szCs w:val="1"/>
                <w:color w:val="auto"/>
              </w:rPr>
            </w:pPr>
          </w:p>
        </w:tc>
      </w:tr>
      <w:tr>
        <w:trPr>
          <w:trHeight w:val="179"/>
        </w:trPr>
        <w:tc>
          <w:tcPr>
            <w:tcW w:w="5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Issuance of common stock under the Employee Stock Purchase Plan</w:t>
            </w:r>
          </w:p>
        </w:tc>
        <w:tc>
          <w:tcPr>
            <w:tcW w:w="8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188,155</w:t>
            </w: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36,047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36,047</w:t>
            </w:r>
          </w:p>
        </w:tc>
        <w:tc>
          <w:tcPr>
            <w:tcW w:w="0" w:type="dxa"/>
            <w:vAlign w:val="bottom"/>
          </w:tcPr>
          <w:p>
            <w:pPr>
              <w:spacing w:after="0"/>
              <w:rPr>
                <w:sz w:val="1"/>
                <w:szCs w:val="1"/>
                <w:color w:val="auto"/>
              </w:rPr>
            </w:pPr>
          </w:p>
        </w:tc>
      </w:tr>
      <w:tr>
        <w:trPr>
          <w:trHeight w:val="174"/>
        </w:trPr>
        <w:tc>
          <w:tcPr>
            <w:tcW w:w="510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Unrealized loss on available-for-sale securities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(4,779)</w:t>
            </w:r>
          </w:p>
        </w:tc>
        <w:tc>
          <w:tcPr>
            <w:tcW w:w="0" w:type="dxa"/>
            <w:vAlign w:val="bottom"/>
          </w:tcPr>
          <w:p>
            <w:pPr>
              <w:spacing w:after="0"/>
              <w:rPr>
                <w:sz w:val="1"/>
                <w:szCs w:val="1"/>
                <w:color w:val="auto"/>
              </w:rPr>
            </w:pPr>
          </w:p>
        </w:tc>
      </w:tr>
      <w:tr>
        <w:trPr>
          <w:trHeight w:val="174"/>
        </w:trPr>
        <w:tc>
          <w:tcPr>
            <w:tcW w:w="51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Reclassification of derivative related to the Capped Call associated with the 2024 Notes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169,692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20" w:type="dxa"/>
            <w:vAlign w:val="bottom"/>
            <w:gridSpan w:val="2"/>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5"/>
                <w:szCs w:val="15"/>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169,692</w:t>
            </w:r>
          </w:p>
        </w:tc>
        <w:tc>
          <w:tcPr>
            <w:tcW w:w="0" w:type="dxa"/>
            <w:vAlign w:val="bottom"/>
          </w:tcPr>
          <w:p>
            <w:pPr>
              <w:spacing w:after="0"/>
              <w:rPr>
                <w:sz w:val="1"/>
                <w:szCs w:val="1"/>
                <w:color w:val="auto"/>
              </w:rPr>
            </w:pPr>
          </w:p>
        </w:tc>
      </w:tr>
      <w:tr>
        <w:trPr>
          <w:trHeight w:val="192"/>
        </w:trPr>
        <w:tc>
          <w:tcPr>
            <w:tcW w:w="5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Other</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746</w:t>
            </w:r>
          </w:p>
        </w:tc>
        <w:tc>
          <w:tcPr>
            <w:tcW w:w="0" w:type="dxa"/>
            <w:vAlign w:val="bottom"/>
          </w:tcPr>
          <w:p>
            <w:pPr>
              <w:spacing w:after="0"/>
              <w:rPr>
                <w:sz w:val="1"/>
                <w:szCs w:val="1"/>
                <w:color w:val="auto"/>
              </w:rPr>
            </w:pPr>
          </w:p>
        </w:tc>
      </w:tr>
      <w:tr>
        <w:trPr>
          <w:trHeight w:val="176"/>
        </w:trPr>
        <w:tc>
          <w:tcPr>
            <w:tcW w:w="5100" w:type="dxa"/>
            <w:vAlign w:val="bottom"/>
          </w:tcPr>
          <w:p>
            <w:pPr>
              <w:ind w:left="280"/>
              <w:spacing w:after="0"/>
              <w:rPr>
                <w:sz w:val="20"/>
                <w:szCs w:val="20"/>
                <w:color w:val="auto"/>
              </w:rPr>
            </w:pPr>
            <w:r>
              <w:rPr>
                <w:rFonts w:ascii="Times New Roman" w:cs="Times New Roman" w:eastAsia="Times New Roman" w:hAnsi="Times New Roman"/>
                <w:sz w:val="11"/>
                <w:szCs w:val="11"/>
                <w:color w:val="auto"/>
              </w:rPr>
              <w:t>Net loss</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spacing w:after="0"/>
              <w:rPr>
                <w:sz w:val="15"/>
                <w:szCs w:val="15"/>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0"/>
              </w:rPr>
              <w:t>—</w:t>
            </w: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(129,072)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(129,072)</w:t>
            </w:r>
          </w:p>
        </w:tc>
        <w:tc>
          <w:tcPr>
            <w:tcW w:w="0" w:type="dxa"/>
            <w:vAlign w:val="bottom"/>
          </w:tcPr>
          <w:p>
            <w:pPr>
              <w:spacing w:after="0"/>
              <w:rPr>
                <w:sz w:val="1"/>
                <w:szCs w:val="1"/>
                <w:color w:val="auto"/>
              </w:rPr>
            </w:pPr>
          </w:p>
        </w:tc>
      </w:tr>
      <w:tr>
        <w:trPr>
          <w:trHeight w:val="188"/>
        </w:trPr>
        <w:tc>
          <w:tcPr>
            <w:tcW w:w="5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Balances as of January 31, 2025</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80,467,811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503"/>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90"/>
              </w:rPr>
              <w:t>78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4,625,093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(1,319)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(1,840,704)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2,782,224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3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of U.S. dollars)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gridSpan w:val="3"/>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Years Ended January 31,</w:t>
            </w: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66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5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(129,072)</w:t>
            </w:r>
          </w:p>
        </w:tc>
        <w:tc>
          <w:tcPr>
            <w:tcW w:w="100" w:type="dxa"/>
            <w:vAlign w:val="bottom"/>
          </w:tcPr>
          <w:p>
            <w:pPr>
              <w:spacing w:after="0"/>
              <w:rPr>
                <w:sz w:val="16"/>
                <w:szCs w:val="16"/>
                <w:color w:val="auto"/>
              </w:rPr>
            </w:pP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(176,600)</w:t>
            </w:r>
          </w:p>
        </w:tc>
        <w:tc>
          <w:tcPr>
            <w:tcW w:w="120" w:type="dxa"/>
            <w:vAlign w:val="bottom"/>
          </w:tcPr>
          <w:p>
            <w:pPr>
              <w:spacing w:after="0"/>
              <w:rPr>
                <w:sz w:val="16"/>
                <w:szCs w:val="16"/>
                <w:color w:val="auto"/>
              </w:rPr>
            </w:pPr>
          </w:p>
        </w:tc>
        <w:tc>
          <w:tcPr>
            <w:tcW w:w="340" w:type="dxa"/>
            <w:vAlign w:val="bottom"/>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(345,398)</w:t>
            </w:r>
          </w:p>
        </w:tc>
        <w:tc>
          <w:tcPr>
            <w:tcW w:w="0" w:type="dxa"/>
            <w:vAlign w:val="bottom"/>
          </w:tcPr>
          <w:p>
            <w:pPr>
              <w:spacing w:after="0"/>
              <w:rPr>
                <w:sz w:val="1"/>
                <w:szCs w:val="1"/>
                <w:color w:val="auto"/>
              </w:rPr>
            </w:pPr>
          </w:p>
        </w:tc>
      </w:tr>
      <w:tr>
        <w:trPr>
          <w:trHeight w:val="17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(used in) operating activities: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16,110</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Stock-based compensation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493,940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456,907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381,454</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Amortization of debt discount and issuance costs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3,375</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Amortization of finance right-of-use 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3,974</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Amortization of operating right-of-use assets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11,248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9,098</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Deferred income taxes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Amortization of premium and accretion of discount on short-term investments,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(44,556)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(5,954)</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Realized and unrealized gain on financial instruments, net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(1,857)</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Unrealized foreign exchange loss (gain)</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1,260</w:t>
            </w:r>
          </w:p>
        </w:tc>
        <w:tc>
          <w:tcPr>
            <w:tcW w:w="0" w:type="dxa"/>
            <w:vAlign w:val="bottom"/>
          </w:tcPr>
          <w:p>
            <w:pPr>
              <w:spacing w:after="0"/>
              <w:rPr>
                <w:sz w:val="1"/>
                <w:szCs w:val="1"/>
                <w:color w:val="auto"/>
              </w:rPr>
            </w:pPr>
          </w:p>
        </w:tc>
      </w:tr>
      <w:tr>
        <w:trPr>
          <w:trHeight w:val="178"/>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operating assets and liabilities: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Accounts receivable, net</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(69,236)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(91,450)</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2,315</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Deferred commissions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(69,127)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(41,830)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(49,077)</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Other long-term 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(30,677)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Accounts payable</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3,163</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Accrued liabilities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39,502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(16,189)</w:t>
            </w:r>
          </w:p>
        </w:tc>
        <w:tc>
          <w:tcPr>
            <w:tcW w:w="0" w:type="dxa"/>
            <w:vAlign w:val="bottom"/>
          </w:tcPr>
          <w:p>
            <w:pPr>
              <w:spacing w:after="0"/>
              <w:rPr>
                <w:sz w:val="1"/>
                <w:szCs w:val="1"/>
                <w:color w:val="auto"/>
              </w:rPr>
            </w:pPr>
          </w:p>
        </w:tc>
      </w:tr>
      <w:tr>
        <w:trPr>
          <w:trHeight w:val="214"/>
        </w:trPr>
        <w:tc>
          <w:tcPr>
            <w:tcW w:w="6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(9,692)</w:t>
            </w: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Deferred revenue</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(16,362)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(82,411)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85,759</w:t>
            </w:r>
          </w:p>
        </w:tc>
        <w:tc>
          <w:tcPr>
            <w:tcW w:w="0" w:type="dxa"/>
            <w:vAlign w:val="bottom"/>
          </w:tcPr>
          <w:p>
            <w:pPr>
              <w:spacing w:after="0"/>
              <w:rPr>
                <w:sz w:val="1"/>
                <w:szCs w:val="1"/>
                <w:color w:val="auto"/>
              </w:rPr>
            </w:pPr>
          </w:p>
        </w:tc>
      </w:tr>
      <w:tr>
        <w:trPr>
          <w:trHeight w:val="215"/>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Other liabilities, non-current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Net cash provided by (used in) operating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150,191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121,477</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(12,970)</w:t>
            </w:r>
          </w:p>
        </w:tc>
        <w:tc>
          <w:tcPr>
            <w:tcW w:w="0" w:type="dxa"/>
            <w:vAlign w:val="bottom"/>
          </w:tcPr>
          <w:p>
            <w:pPr>
              <w:spacing w:after="0"/>
              <w:rPr>
                <w:sz w:val="1"/>
                <w:szCs w:val="1"/>
                <w:color w:val="auto"/>
              </w:rPr>
            </w:pPr>
          </w:p>
        </w:tc>
      </w:tr>
      <w:tr>
        <w:trPr>
          <w:trHeight w:val="145"/>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Purchases of property, equipment and other assets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(29,550)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(6,074)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(7,244)</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Investments in non-marketable securities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(3,098)</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Business combinations, net of cash acquired</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Proceeds from the sales of marketable securities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44,984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Proceeds from maturities of marketable securities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752,600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1,445,000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1,425,000</w:t>
            </w:r>
          </w:p>
        </w:tc>
        <w:tc>
          <w:tcPr>
            <w:tcW w:w="0" w:type="dxa"/>
            <w:vAlign w:val="bottom"/>
          </w:tcPr>
          <w:p>
            <w:pPr>
              <w:spacing w:after="0"/>
              <w:rPr>
                <w:sz w:val="1"/>
                <w:szCs w:val="1"/>
                <w:color w:val="auto"/>
              </w:rPr>
            </w:pPr>
          </w:p>
        </w:tc>
      </w:tr>
      <w:tr>
        <w:trPr>
          <w:trHeight w:val="215"/>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Purchases of marketable securities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(1,414,224)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(1,233,851)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(1,447,966)</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Net cash provided by (used in) investing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(657,440)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188,019</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(33,308)</w:t>
            </w:r>
          </w:p>
        </w:tc>
        <w:tc>
          <w:tcPr>
            <w:tcW w:w="0" w:type="dxa"/>
            <w:vAlign w:val="bottom"/>
          </w:tcPr>
          <w:p>
            <w:pPr>
              <w:spacing w:after="0"/>
              <w:rPr>
                <w:sz w:val="1"/>
                <w:szCs w:val="1"/>
                <w:color w:val="auto"/>
              </w:rPr>
            </w:pPr>
          </w:p>
        </w:tc>
      </w:tr>
      <w:tr>
        <w:trPr>
          <w:trHeight w:val="145"/>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Proceeds from settlement of capped calls and other</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170,223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8"/>
        </w:trPr>
        <w:tc>
          <w:tcPr>
            <w:tcW w:w="6680" w:type="dxa"/>
            <w:vAlign w:val="bottom"/>
          </w:tcPr>
          <w:p>
            <w:pPr>
              <w:ind w:left="260"/>
              <w:spacing w:after="0"/>
              <w:rPr>
                <w:sz w:val="20"/>
                <w:szCs w:val="20"/>
                <w:color w:val="auto"/>
              </w:rPr>
            </w:pPr>
            <w:r>
              <w:rPr>
                <w:rFonts w:ascii="Times New Roman" w:cs="Times New Roman" w:eastAsia="Times New Roman" w:hAnsi="Times New Roman"/>
                <w:sz w:val="12"/>
                <w:szCs w:val="12"/>
                <w:color w:val="auto"/>
              </w:rPr>
              <w:t>Proceeds from exercise of stock options, including early exercised stock options</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5,707</w:t>
            </w: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Proceeds from the issuance of common stock under the Employee Stock Purchase Plan</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36,048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36,914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29,003</w:t>
            </w:r>
          </w:p>
        </w:tc>
        <w:tc>
          <w:tcPr>
            <w:tcW w:w="0" w:type="dxa"/>
            <w:vAlign w:val="bottom"/>
          </w:tcPr>
          <w:p>
            <w:pPr>
              <w:spacing w:after="0"/>
              <w:rPr>
                <w:sz w:val="1"/>
                <w:szCs w:val="1"/>
                <w:color w:val="auto"/>
              </w:rPr>
            </w:pPr>
          </w:p>
        </w:tc>
      </w:tr>
      <w:tr>
        <w:trPr>
          <w:trHeight w:val="215"/>
        </w:trPr>
        <w:tc>
          <w:tcPr>
            <w:tcW w:w="66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2"/>
                <w:szCs w:val="12"/>
                <w:color w:val="auto"/>
              </w:rPr>
              <w:t>Principal payments of finance leases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(6,179)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(4,510)</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202,060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38,241</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30,200</w:t>
            </w:r>
          </w:p>
        </w:tc>
        <w:tc>
          <w:tcPr>
            <w:tcW w:w="0" w:type="dxa"/>
            <w:vAlign w:val="bottom"/>
          </w:tcPr>
          <w:p>
            <w:pPr>
              <w:spacing w:after="0"/>
              <w:rPr>
                <w:sz w:val="1"/>
                <w:szCs w:val="1"/>
                <w:color w:val="auto"/>
              </w:rPr>
            </w:pPr>
          </w:p>
        </w:tc>
      </w:tr>
      <w:tr>
        <w:trPr>
          <w:trHeight w:val="195"/>
        </w:trPr>
        <w:tc>
          <w:tcPr>
            <w:tcW w:w="66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Effect of exchange rate changes on cash, cash equivalents and restricted cash</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(5,701)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(2,003)</w:t>
            </w:r>
          </w:p>
        </w:tc>
        <w:tc>
          <w:tcPr>
            <w:tcW w:w="0" w:type="dxa"/>
            <w:vAlign w:val="bottom"/>
          </w:tcPr>
          <w:p>
            <w:pPr>
              <w:spacing w:after="0"/>
              <w:rPr>
                <w:sz w:val="1"/>
                <w:szCs w:val="1"/>
                <w:color w:val="auto"/>
              </w:rPr>
            </w:pPr>
          </w:p>
        </w:tc>
      </w:tr>
      <w:tr>
        <w:trPr>
          <w:trHeight w:val="183"/>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increase (decrease) in cash, cash equivalents and restricted cash</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(310,890)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347,304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(18,081)</w:t>
            </w:r>
          </w:p>
        </w:tc>
        <w:tc>
          <w:tcPr>
            <w:tcW w:w="0" w:type="dxa"/>
            <w:vAlign w:val="bottom"/>
          </w:tcPr>
          <w:p>
            <w:pPr>
              <w:spacing w:after="0"/>
              <w:rPr>
                <w:sz w:val="1"/>
                <w:szCs w:val="1"/>
                <w:color w:val="auto"/>
              </w:rPr>
            </w:pPr>
          </w:p>
        </w:tc>
      </w:tr>
      <w:tr>
        <w:trPr>
          <w:trHeight w:val="215"/>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beginning of year</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803,643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456,339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474,420</w:t>
            </w:r>
          </w:p>
        </w:tc>
        <w:tc>
          <w:tcPr>
            <w:tcW w:w="0" w:type="dxa"/>
            <w:vAlign w:val="bottom"/>
          </w:tcPr>
          <w:p>
            <w:pPr>
              <w:spacing w:after="0"/>
              <w:rPr>
                <w:sz w:val="1"/>
                <w:szCs w:val="1"/>
                <w:color w:val="auto"/>
              </w:rPr>
            </w:pPr>
          </w:p>
        </w:tc>
      </w:tr>
      <w:tr>
        <w:trPr>
          <w:trHeight w:val="154"/>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end of year</w:t>
            </w:r>
          </w:p>
        </w:tc>
        <w:tc>
          <w:tcPr>
            <w:tcW w:w="34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492,753</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803,643</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456,339</w:t>
            </w:r>
          </w:p>
        </w:tc>
        <w:tc>
          <w:tcPr>
            <w:tcW w:w="0" w:type="dxa"/>
            <w:vAlign w:val="bottom"/>
          </w:tcPr>
          <w:p>
            <w:pPr>
              <w:spacing w:after="0"/>
              <w:rPr>
                <w:sz w:val="1"/>
                <w:szCs w:val="1"/>
                <w:color w:val="auto"/>
              </w:rPr>
            </w:pPr>
          </w:p>
        </w:tc>
      </w:tr>
      <w:tr>
        <w:trPr>
          <w:trHeight w:val="102"/>
        </w:trPr>
        <w:tc>
          <w:tcPr>
            <w:tcW w:w="66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auto"/>
            </w:tcBorders>
            <w:vMerge w:val="continue"/>
            <w:shd w:val="clear" w:color="auto" w:fill="CCEEFF"/>
          </w:tcPr>
          <w:p>
            <w:pPr>
              <w:spacing w:after="0"/>
              <w:rPr>
                <w:sz w:val="8"/>
                <w:szCs w:val="8"/>
                <w:color w:val="auto"/>
              </w:rPr>
            </w:pPr>
          </w:p>
        </w:tc>
        <w:tc>
          <w:tcPr>
            <w:tcW w:w="11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auto"/>
            </w:tcBorders>
            <w:vMerge w:val="continue"/>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auto"/>
            </w:tcBorders>
            <w:vMerge w:val="continue"/>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6680" w:type="dxa"/>
            <w:vAlign w:val="bottom"/>
            <w:tcBorders>
              <w:top w:val="single" w:sz="8" w:color="CCEEFF"/>
            </w:tcBorders>
          </w:tcPr>
          <w:p>
            <w:pPr>
              <w:ind w:left="180"/>
              <w:spacing w:after="0" w:line="111" w:lineRule="exact"/>
              <w:rPr>
                <w:sz w:val="20"/>
                <w:szCs w:val="20"/>
                <w:color w:val="auto"/>
              </w:rPr>
            </w:pPr>
            <w:r>
              <w:rPr>
                <w:rFonts w:ascii="Times New Roman" w:cs="Times New Roman" w:eastAsia="Times New Roman" w:hAnsi="Times New Roman"/>
                <w:sz w:val="12"/>
                <w:szCs w:val="12"/>
                <w:b w:val="1"/>
                <w:bCs w:val="1"/>
                <w:color w:val="auto"/>
              </w:rPr>
              <w:t>Supplemental cash flow disclosure</w:t>
            </w:r>
          </w:p>
        </w:tc>
        <w:tc>
          <w:tcPr>
            <w:tcW w:w="3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Cash paid during the period for:</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9"/>
        </w:trPr>
        <w:tc>
          <w:tcPr>
            <w:tcW w:w="6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6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Income taxes, net of refunds</w:t>
            </w:r>
          </w:p>
        </w:tc>
        <w:tc>
          <w:tcPr>
            <w:tcW w:w="340" w:type="dxa"/>
            <w:vAlign w:val="bottom"/>
            <w:vMerge w:val="restart"/>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14,976</w:t>
            </w:r>
          </w:p>
        </w:tc>
        <w:tc>
          <w:tcPr>
            <w:tcW w:w="100" w:type="dxa"/>
            <w:vAlign w:val="bottom"/>
          </w:tcPr>
          <w:p>
            <w:pPr>
              <w:spacing w:after="0"/>
              <w:rPr>
                <w:sz w:val="14"/>
                <w:szCs w:val="14"/>
                <w:color w:val="auto"/>
              </w:rPr>
            </w:pPr>
          </w:p>
        </w:tc>
        <w:tc>
          <w:tcPr>
            <w:tcW w:w="340" w:type="dxa"/>
            <w:vAlign w:val="bottom"/>
            <w:vMerge w:val="restart"/>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11,991</w:t>
            </w:r>
          </w:p>
        </w:tc>
        <w:tc>
          <w:tcPr>
            <w:tcW w:w="120" w:type="dxa"/>
            <w:vAlign w:val="bottom"/>
          </w:tcPr>
          <w:p>
            <w:pPr>
              <w:spacing w:after="0"/>
              <w:rPr>
                <w:sz w:val="14"/>
                <w:szCs w:val="14"/>
                <w:color w:val="auto"/>
              </w:rPr>
            </w:pPr>
          </w:p>
        </w:tc>
        <w:tc>
          <w:tcPr>
            <w:tcW w:w="340" w:type="dxa"/>
            <w:vAlign w:val="bottom"/>
            <w:vMerge w:val="restart"/>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11,164</w:t>
            </w:r>
          </w:p>
        </w:tc>
        <w:tc>
          <w:tcPr>
            <w:tcW w:w="0" w:type="dxa"/>
            <w:vAlign w:val="bottom"/>
          </w:tcPr>
          <w:p>
            <w:pPr>
              <w:spacing w:after="0"/>
              <w:rPr>
                <w:sz w:val="1"/>
                <w:szCs w:val="1"/>
                <w:color w:val="auto"/>
              </w:rPr>
            </w:pPr>
          </w:p>
        </w:tc>
      </w:tr>
      <w:tr>
        <w:trPr>
          <w:trHeight w:val="60"/>
        </w:trPr>
        <w:tc>
          <w:tcPr>
            <w:tcW w:w="66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Interest expense</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5,837</w:t>
            </w:r>
          </w:p>
        </w:tc>
        <w:tc>
          <w:tcPr>
            <w:tcW w:w="0" w:type="dxa"/>
            <w:vAlign w:val="bottom"/>
          </w:tcPr>
          <w:p>
            <w:pPr>
              <w:spacing w:after="0"/>
              <w:rPr>
                <w:sz w:val="1"/>
                <w:szCs w:val="1"/>
                <w:color w:val="auto"/>
              </w:rPr>
            </w:pPr>
          </w:p>
        </w:tc>
      </w:tr>
      <w:tr>
        <w:trPr>
          <w:trHeight w:val="69"/>
        </w:trPr>
        <w:tc>
          <w:tcPr>
            <w:tcW w:w="6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Non-cash investing and financing activities: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Common stock issued for conversion of convertible notes</w:t>
            </w: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1,145,326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69"/>
        </w:trPr>
        <w:tc>
          <w:tcPr>
            <w:tcW w:w="66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20" w:type="dxa"/>
            <w:vAlign w:val="bottom"/>
            <w:gridSpan w:val="2"/>
            <w:vMerge w:val="continue"/>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66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Purchases of property and equipment included in accounts payable and accrued liabilities</w:t>
            </w: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1,620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1,115</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366</w:t>
            </w:r>
          </w:p>
        </w:tc>
        <w:tc>
          <w:tcPr>
            <w:tcW w:w="0" w:type="dxa"/>
            <w:vAlign w:val="bottom"/>
          </w:tcPr>
          <w:p>
            <w:pPr>
              <w:spacing w:after="0"/>
              <w:rPr>
                <w:sz w:val="1"/>
                <w:szCs w:val="1"/>
                <w:color w:val="auto"/>
              </w:rPr>
            </w:pPr>
          </w:p>
        </w:tc>
      </w:tr>
      <w:tr>
        <w:trPr>
          <w:trHeight w:val="60"/>
        </w:trPr>
        <w:tc>
          <w:tcPr>
            <w:tcW w:w="6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668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2"/>
                <w:szCs w:val="12"/>
                <w:b w:val="1"/>
                <w:bCs w:val="1"/>
                <w:color w:val="auto"/>
              </w:rPr>
              <w:t>Reconciliation of cash, cash equivalents and restricted cash within the consolidated balance sheets to the amounts shown in</w:t>
            </w: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6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the statements of cash flows above:</w:t>
            </w:r>
          </w:p>
        </w:tc>
        <w:tc>
          <w:tcPr>
            <w:tcW w:w="3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6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40" w:type="dxa"/>
            <w:vAlign w:val="bottom"/>
            <w:vMerge w:val="restart"/>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490,133</w:t>
            </w:r>
          </w:p>
        </w:tc>
        <w:tc>
          <w:tcPr>
            <w:tcW w:w="100" w:type="dxa"/>
            <w:vAlign w:val="bottom"/>
          </w:tcPr>
          <w:p>
            <w:pPr>
              <w:spacing w:after="0"/>
              <w:rPr>
                <w:sz w:val="14"/>
                <w:szCs w:val="14"/>
                <w:color w:val="auto"/>
              </w:rPr>
            </w:pPr>
          </w:p>
        </w:tc>
        <w:tc>
          <w:tcPr>
            <w:tcW w:w="340" w:type="dxa"/>
            <w:vAlign w:val="bottom"/>
            <w:vMerge w:val="restart"/>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802,959</w:t>
            </w:r>
          </w:p>
        </w:tc>
        <w:tc>
          <w:tcPr>
            <w:tcW w:w="120" w:type="dxa"/>
            <w:vAlign w:val="bottom"/>
          </w:tcPr>
          <w:p>
            <w:pPr>
              <w:spacing w:after="0"/>
              <w:rPr>
                <w:sz w:val="14"/>
                <w:szCs w:val="14"/>
                <w:color w:val="auto"/>
              </w:rPr>
            </w:pPr>
          </w:p>
        </w:tc>
        <w:tc>
          <w:tcPr>
            <w:tcW w:w="340" w:type="dxa"/>
            <w:vAlign w:val="bottom"/>
            <w:vMerge w:val="restart"/>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455,826</w:t>
            </w:r>
          </w:p>
        </w:tc>
        <w:tc>
          <w:tcPr>
            <w:tcW w:w="0" w:type="dxa"/>
            <w:vAlign w:val="bottom"/>
          </w:tcPr>
          <w:p>
            <w:pPr>
              <w:spacing w:after="0"/>
              <w:rPr>
                <w:sz w:val="1"/>
                <w:szCs w:val="1"/>
                <w:color w:val="auto"/>
              </w:rPr>
            </w:pPr>
          </w:p>
        </w:tc>
      </w:tr>
      <w:tr>
        <w:trPr>
          <w:trHeight w:val="60"/>
        </w:trPr>
        <w:tc>
          <w:tcPr>
            <w:tcW w:w="66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Restricted cash, non-current</w:t>
            </w:r>
          </w:p>
        </w:tc>
        <w:tc>
          <w:tcPr>
            <w:tcW w:w="3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2,620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w:t>
            </w:r>
          </w:p>
        </w:tc>
        <w:tc>
          <w:tcPr>
            <w:tcW w:w="0" w:type="dxa"/>
            <w:vAlign w:val="bottom"/>
          </w:tcPr>
          <w:p>
            <w:pPr>
              <w:spacing w:after="0"/>
              <w:rPr>
                <w:sz w:val="1"/>
                <w:szCs w:val="1"/>
                <w:color w:val="auto"/>
              </w:rPr>
            </w:pPr>
          </w:p>
        </w:tc>
      </w:tr>
      <w:tr>
        <w:trPr>
          <w:trHeight w:val="69"/>
        </w:trPr>
        <w:tc>
          <w:tcPr>
            <w:tcW w:w="668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6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Total cash, cash equivalents and restricted cash</w:t>
            </w:r>
          </w:p>
        </w:tc>
        <w:tc>
          <w:tcPr>
            <w:tcW w:w="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492,753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803,643</w:t>
            </w:r>
          </w:p>
        </w:tc>
        <w:tc>
          <w:tcPr>
            <w:tcW w:w="120" w:type="dxa"/>
            <w:vAlign w:val="bottom"/>
          </w:tcPr>
          <w:p>
            <w:pPr>
              <w:spacing w:after="0"/>
              <w:rPr>
                <w:sz w:val="15"/>
                <w:szCs w:val="15"/>
                <w:color w:val="auto"/>
              </w:rPr>
            </w:pPr>
          </w:p>
        </w:tc>
        <w:tc>
          <w:tcPr>
            <w:tcW w:w="3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456,339</w:t>
            </w: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180975</wp:posOffset>
            </wp:positionV>
            <wp:extent cx="716216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Description of Business</w:t>
      </w:r>
    </w:p>
    <w:p>
      <w:pPr>
        <w:spacing w:after="0" w:line="172" w:lineRule="exact"/>
        <w:rPr>
          <w:sz w:val="20"/>
          <w:szCs w:val="20"/>
          <w:color w:val="auto"/>
        </w:rPr>
      </w:pPr>
    </w:p>
    <w:p>
      <w:pPr>
        <w:ind w:right="20" w:firstLine="470"/>
        <w:spacing w:after="0" w:line="264" w:lineRule="auto"/>
        <w:rPr>
          <w:sz w:val="20"/>
          <w:szCs w:val="20"/>
          <w:color w:val="auto"/>
        </w:rPr>
      </w:pPr>
      <w:r>
        <w:rPr>
          <w:rFonts w:ascii="Times New Roman" w:cs="Times New Roman" w:eastAsia="Times New Roman" w:hAnsi="Times New Roman"/>
          <w:sz w:val="17"/>
          <w:szCs w:val="17"/>
          <w:color w:val="auto"/>
        </w:rPr>
        <w:t>MongoDB, Inc. (“MongoDB” or the “Company”) was originally incorporated in the state of Delaware in November 2007 under the name 10Gen, Inc. In August 2013, the Company changed its name to MongoDB, Inc. The Company is headquartered in New York City. MongoDB is the developer data platform company. The foundation of the Company’s offering is the leading, modern general purpose database, which is built on a unique document-based architecture. Organizations can deploy the Company’s database at scale in the cloud, on-premises, or in a hybrid environment. The Company’s robust platform enables developers to build and modernize applications rapidly and cost-effectively across a broad range of use cases. In addition to selling subscriptions to its software, the Company provides post-contract support, training and consulting services for its offerings. The Company’s fiscal year ends on January 31.</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Basis of Presentation</w:t>
      </w:r>
    </w:p>
    <w:p>
      <w:pPr>
        <w:spacing w:after="0" w:line="172" w:lineRule="exact"/>
        <w:rPr>
          <w:sz w:val="20"/>
          <w:szCs w:val="20"/>
          <w:color w:val="auto"/>
        </w:rPr>
      </w:pPr>
    </w:p>
    <w:p>
      <w:pPr>
        <w:ind w:right="200" w:firstLine="470"/>
        <w:spacing w:after="0" w:line="276" w:lineRule="auto"/>
        <w:rPr>
          <w:sz w:val="20"/>
          <w:szCs w:val="20"/>
          <w:color w:val="auto"/>
        </w:rPr>
      </w:pPr>
      <w:r>
        <w:rPr>
          <w:rFonts w:ascii="Times New Roman" w:cs="Times New Roman" w:eastAsia="Times New Roman" w:hAnsi="Times New Roman"/>
          <w:sz w:val="17"/>
          <w:szCs w:val="17"/>
          <w:color w:val="auto"/>
        </w:rPr>
        <w:t>The consolidated financial statements have been prepared in accordance with generally accepted accounting principles in the United States of America (“U.S. GAAP”) and include the accounts of the Company and all of its wholly owned subsidiaries. All intercompany transactions and accounts have been eliminated.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Use of Estimates</w:t>
      </w:r>
    </w:p>
    <w:p>
      <w:pPr>
        <w:spacing w:after="0" w:line="172" w:lineRule="exact"/>
        <w:rPr>
          <w:sz w:val="20"/>
          <w:szCs w:val="20"/>
          <w:color w:val="auto"/>
        </w:rPr>
      </w:pPr>
    </w:p>
    <w:p>
      <w:pPr>
        <w:ind w:right="20" w:firstLine="470"/>
        <w:spacing w:after="0" w:line="263"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U.S. GAAP requires management to make estimates, assumptions and judgments that affect the reported amounts of assets and liabilities, the disclosure of contingent assets and liabilities at the date of the financial statements and the reported amounts of revenue and expenses during the reporting periods. Such estimates include, but are not limited to, revenue recognition, allowances for doubtful accounts, the period of benefit for deferred contract acquisition costs, the incremental borrowing rate related to the Company’s lease liabilities, stock-based compensation, legal contingencies, fair value of acquired intangible assets and goodwill, useful lives and carrying values of intangible assets and property and equipment, fair value of non-marketable securities and accounting for income taxes. The Company bases these estimates on historical and anticipated results, trends and various other assumptions that it believes are reasonable under the circumstances, including assumptions as to future events.</w:t>
      </w:r>
    </w:p>
    <w:p>
      <w:pPr>
        <w:spacing w:after="0" w:line="121" w:lineRule="exact"/>
        <w:rPr>
          <w:sz w:val="20"/>
          <w:szCs w:val="20"/>
          <w:color w:val="auto"/>
        </w:rPr>
      </w:pPr>
    </w:p>
    <w:p>
      <w:pPr>
        <w:ind w:right="320" w:firstLine="470"/>
        <w:spacing w:after="0" w:line="295" w:lineRule="auto"/>
        <w:rPr>
          <w:sz w:val="20"/>
          <w:szCs w:val="20"/>
          <w:color w:val="auto"/>
        </w:rPr>
      </w:pPr>
      <w:r>
        <w:rPr>
          <w:rFonts w:ascii="Times New Roman" w:cs="Times New Roman" w:eastAsia="Times New Roman" w:hAnsi="Times New Roman"/>
          <w:sz w:val="17"/>
          <w:szCs w:val="17"/>
          <w:color w:val="auto"/>
        </w:rPr>
        <w:t>The global macroeconomic conditions, including slower economic growth, persistent inflation and high interest rate environment, continue to impact demand and supply for a broad variety of goods and services, including demand from the Company’s customers.</w:t>
      </w:r>
    </w:p>
    <w:p>
      <w:pPr>
        <w:spacing w:after="0" w:line="94"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adjust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Foreign Currency</w:t>
      </w:r>
    </w:p>
    <w:p>
      <w:pPr>
        <w:spacing w:after="0" w:line="172" w:lineRule="exact"/>
        <w:rPr>
          <w:sz w:val="20"/>
          <w:szCs w:val="20"/>
          <w:color w:val="auto"/>
        </w:rPr>
      </w:pPr>
    </w:p>
    <w:p>
      <w:pPr>
        <w:ind w:right="40" w:firstLine="470"/>
        <w:spacing w:after="0" w:line="262" w:lineRule="auto"/>
        <w:rPr>
          <w:sz w:val="20"/>
          <w:szCs w:val="20"/>
          <w:color w:val="auto"/>
        </w:rPr>
      </w:pPr>
      <w:r>
        <w:rPr>
          <w:rFonts w:ascii="Times New Roman" w:cs="Times New Roman" w:eastAsia="Times New Roman" w:hAnsi="Times New Roman"/>
          <w:sz w:val="17"/>
          <w:szCs w:val="17"/>
          <w:color w:val="auto"/>
        </w:rPr>
        <w:t>The functional currency of the Company’s international subsidiaries is either the U.S. dollar or the local currency in which the international subsidiary operates. For foreign subsidiaries where the U.S. dollar is the functional currency, foreign currency denominated monetary assets and liabilities are re-measured into U.S. dollars at current exchange rates and foreign currency denominated non-monetary assets and liabilities are re-measured into U.S. dollars at historical exchange rates. Transaction gains or losses from foreign currency re-measurement and settlements are included in other income (expense), net in the consolidated statements of operations. For the foreign subsidiary where the functional currency is the local currency, the Company uses the exchange rate as of the balance sheet date to translate assets and liabilities and the average exchange rate during the period to translate revenue and expenses into U.S. dollars. Translation gains or losses resulting from translating foreign local currency financial statements into U.S. dollars are included in accumulated other comprehensive loss as a component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Comprehensive Loss</w:t>
      </w:r>
    </w:p>
    <w:p>
      <w:pPr>
        <w:spacing w:after="0" w:line="172" w:lineRule="exact"/>
        <w:rPr>
          <w:sz w:val="20"/>
          <w:szCs w:val="20"/>
          <w:color w:val="auto"/>
        </w:rPr>
      </w:pPr>
    </w:p>
    <w:p>
      <w:pPr>
        <w:ind w:right="280" w:firstLine="470"/>
        <w:spacing w:after="0" w:line="295" w:lineRule="auto"/>
        <w:rPr>
          <w:sz w:val="20"/>
          <w:szCs w:val="20"/>
          <w:color w:val="auto"/>
        </w:rPr>
      </w:pPr>
      <w:r>
        <w:rPr>
          <w:rFonts w:ascii="Times New Roman" w:cs="Times New Roman" w:eastAsia="Times New Roman" w:hAnsi="Times New Roman"/>
          <w:sz w:val="17"/>
          <w:szCs w:val="17"/>
          <w:color w:val="auto"/>
        </w:rPr>
        <w:t>The Company’s comprehensive loss includes net loss, unrealized gains and losses on available-for-sale debt securities and foreign currency translation adjustments.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Cash and Cash Equivalents</w:t>
      </w:r>
    </w:p>
    <w:p>
      <w:pPr>
        <w:spacing w:after="0" w:line="172" w:lineRule="exact"/>
        <w:rPr>
          <w:sz w:val="20"/>
          <w:szCs w:val="20"/>
          <w:color w:val="auto"/>
        </w:rPr>
      </w:pPr>
    </w:p>
    <w:p>
      <w:pPr>
        <w:ind w:right="80" w:firstLine="470"/>
        <w:spacing w:after="0" w:line="276"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three months or less at the date of purchase to be cash equivalents. The Company maintains such investments primarily in money market funds, which have readily determinable fair values. Money market funds are measured using quoted prices in active markets with changes recorded in other income (expense), net on the consolidated statements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Marketable Securities</w:t>
      </w:r>
    </w:p>
    <w:p>
      <w:pPr>
        <w:spacing w:after="0" w:line="172"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The Company considers all of its marketable securities as available for use in current operations, including those with maturity dates beyond one year, and therefore classifies these securities within current assets on the consolidated balance sheets. The Company determines the appropriate classification of its short-term investments at the time of purchase and reevaluates such designation at each balance sheet date. The Company has classified and accounted for its short-term investments as available-for-sale debt securities as the Company may sell these securities at any time for use in its current operations or for other purposes, even prior to maturity.</w:t>
      </w:r>
    </w:p>
    <w:p>
      <w:pPr>
        <w:spacing w:after="0" w:line="119" w:lineRule="exact"/>
        <w:rPr>
          <w:sz w:val="20"/>
          <w:szCs w:val="20"/>
          <w:color w:val="auto"/>
        </w:rPr>
      </w:pPr>
    </w:p>
    <w:p>
      <w:pPr>
        <w:ind w:right="300" w:firstLine="470"/>
        <w:spacing w:after="0" w:line="276" w:lineRule="auto"/>
        <w:rPr>
          <w:sz w:val="20"/>
          <w:szCs w:val="20"/>
          <w:color w:val="auto"/>
        </w:rPr>
      </w:pPr>
      <w:r>
        <w:rPr>
          <w:rFonts w:ascii="Times New Roman" w:cs="Times New Roman" w:eastAsia="Times New Roman" w:hAnsi="Times New Roman"/>
          <w:sz w:val="17"/>
          <w:szCs w:val="17"/>
          <w:color w:val="auto"/>
        </w:rPr>
        <w:t>Available-for-sale debt securities are recorded at fair value each reporting period. Realized gains and losses are determined based on the individual security level and are reported in other income (expense), net in the consolidated statements of operations. Unrealized gains and losses, net of taxes, on these short-term investments are reported as a separate component of accumulated other comprehensive loss on the consolidated balance sheets until realized.</w:t>
      </w:r>
    </w:p>
    <w:p>
      <w:pPr>
        <w:spacing w:after="0" w:line="110" w:lineRule="exact"/>
        <w:rPr>
          <w:sz w:val="20"/>
          <w:szCs w:val="20"/>
          <w:color w:val="auto"/>
        </w:rPr>
      </w:pPr>
    </w:p>
    <w:p>
      <w:pPr>
        <w:ind w:right="80" w:firstLine="470"/>
        <w:spacing w:after="0" w:line="262" w:lineRule="auto"/>
        <w:rPr>
          <w:sz w:val="20"/>
          <w:szCs w:val="20"/>
          <w:color w:val="auto"/>
        </w:rPr>
      </w:pPr>
      <w:r>
        <w:rPr>
          <w:rFonts w:ascii="Times New Roman" w:cs="Times New Roman" w:eastAsia="Times New Roman" w:hAnsi="Times New Roman"/>
          <w:sz w:val="17"/>
          <w:szCs w:val="17"/>
          <w:color w:val="auto"/>
        </w:rPr>
        <w:t>If the estimated fair value of an available-for-sale debt security is below its amortized cost basis, then the Company evaluates for impairment. The Company considers its intent to sell the security or whether it is more likely than not that it will be required to sell the security before recovery of its amortized basis. If either of these criteria are met, the debt security’s amortized cost basis is written down to fair value through other income (expense), net in the consolidated statements of operations. If neither of these criteria are met, the Company evaluates whether unrealized losses have resulted from a credit loss or other factors. When a credit loss exists, the Company compares the present value of cash flows expected to be collected from the debt security with the amortized cost basis of the security to determine what allowance amount, if any, should be recorded. An impairment relating to credit losses is recorded through an allowance for credit losses reported in other income (expense) in the consolidated statements of operations. The allowance is limited by the amount that the fair value of the debt security is below its amortized cost basis.</w:t>
      </w:r>
    </w:p>
    <w:p>
      <w:pPr>
        <w:spacing w:after="0" w:line="122" w:lineRule="exact"/>
        <w:rPr>
          <w:sz w:val="20"/>
          <w:szCs w:val="20"/>
          <w:color w:val="auto"/>
        </w:rPr>
      </w:pPr>
    </w:p>
    <w:p>
      <w:pPr>
        <w:ind w:right="580" w:firstLine="470"/>
        <w:spacing w:after="0" w:line="295" w:lineRule="auto"/>
        <w:rPr>
          <w:sz w:val="20"/>
          <w:szCs w:val="20"/>
          <w:color w:val="auto"/>
        </w:rPr>
      </w:pPr>
      <w:r>
        <w:rPr>
          <w:rFonts w:ascii="Times New Roman" w:cs="Times New Roman" w:eastAsia="Times New Roman" w:hAnsi="Times New Roman"/>
          <w:sz w:val="17"/>
          <w:szCs w:val="17"/>
          <w:color w:val="auto"/>
        </w:rPr>
        <w:t>For the years ended January 31, 2025, 2024 and 2023, the Company did not record any impairment charges for its marketable debt securities in its consolidated statements of operations.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Restricted Cash</w:t>
      </w:r>
    </w:p>
    <w:p>
      <w:pPr>
        <w:spacing w:after="0" w:line="172" w:lineRule="exact"/>
        <w:rPr>
          <w:sz w:val="20"/>
          <w:szCs w:val="20"/>
          <w:color w:val="auto"/>
        </w:rPr>
      </w:pPr>
    </w:p>
    <w:p>
      <w:pPr>
        <w:ind w:right="20" w:firstLine="470"/>
        <w:spacing w:after="0" w:line="276" w:lineRule="auto"/>
        <w:rPr>
          <w:sz w:val="20"/>
          <w:szCs w:val="20"/>
          <w:color w:val="auto"/>
        </w:rPr>
      </w:pPr>
      <w:r>
        <w:rPr>
          <w:rFonts w:ascii="Times New Roman" w:cs="Times New Roman" w:eastAsia="Times New Roman" w:hAnsi="Times New Roman"/>
          <w:sz w:val="17"/>
          <w:szCs w:val="17"/>
          <w:color w:val="auto"/>
        </w:rPr>
        <w:t>The Company pledged $2.6 million and $0.7 million of collateral as of January 31, 2025 and 2024, respectively, for its lease related letters of credit. Restricted cash balances have been excluded from the Company’s cash and cash equivalents balance and are included in other assets on the consolidated balance sheets.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Non-marketable Securities</w:t>
      </w:r>
    </w:p>
    <w:p>
      <w:pPr>
        <w:spacing w:after="0" w:line="172" w:lineRule="exact"/>
        <w:rPr>
          <w:sz w:val="20"/>
          <w:szCs w:val="20"/>
          <w:color w:val="auto"/>
        </w:rPr>
      </w:pPr>
    </w:p>
    <w:p>
      <w:pPr>
        <w:ind w:right="120" w:firstLine="470"/>
        <w:spacing w:after="0" w:line="266" w:lineRule="auto"/>
        <w:rPr>
          <w:sz w:val="20"/>
          <w:szCs w:val="20"/>
          <w:color w:val="auto"/>
        </w:rPr>
      </w:pPr>
      <w:r>
        <w:rPr>
          <w:rFonts w:ascii="Times New Roman" w:cs="Times New Roman" w:eastAsia="Times New Roman" w:hAnsi="Times New Roman"/>
          <w:sz w:val="17"/>
          <w:szCs w:val="17"/>
          <w:color w:val="auto"/>
        </w:rPr>
        <w:t>Non-marketable securities consist of equity investments in privately-held companies, which are classified as other assets on the consolidated balance sheets. The Company’s non-marketable equity securities do not have readily determinable fair values. These investments are accounted for using the measurement alternative at cost, and the Company adjusts for impairments and observable price changes (orderly transactions for the identical or a similar security from the same issuer) included in net loss as and when it occurs. The measurement alternative election is reassessed each reporting period to determine whether the non-marketable securities continue to be eligible for this election.</w:t>
      </w:r>
    </w:p>
    <w:p>
      <w:pPr>
        <w:spacing w:after="0" w:line="119" w:lineRule="exact"/>
        <w:rPr>
          <w:sz w:val="20"/>
          <w:szCs w:val="20"/>
          <w:color w:val="auto"/>
        </w:rPr>
      </w:pPr>
    </w:p>
    <w:p>
      <w:pPr>
        <w:ind w:right="180" w:firstLine="470"/>
        <w:spacing w:after="0" w:line="269" w:lineRule="auto"/>
        <w:rPr>
          <w:sz w:val="20"/>
          <w:szCs w:val="20"/>
          <w:color w:val="auto"/>
        </w:rPr>
      </w:pPr>
      <w:r>
        <w:rPr>
          <w:rFonts w:ascii="Times New Roman" w:cs="Times New Roman" w:eastAsia="Times New Roman" w:hAnsi="Times New Roman"/>
          <w:sz w:val="17"/>
          <w:szCs w:val="17"/>
          <w:color w:val="auto"/>
        </w:rPr>
        <w:t>The Company assesses investments for impairment whenever events or changes in circumstances indicate that the carrying value of an investment may not be recoverable. Impairment indicators may include, but are not limited to, a significant deterioration in earnings performance, credit rating, asset quality or business outlook or a significant adverse change in the regulatory, economic, or technological environment. If the non-marketable equity securities are considered impaired, the Company will record an impairment charge within other income (expense) on its consolidated statements of</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ind w:right="520"/>
        <w:spacing w:after="0" w:line="295" w:lineRule="auto"/>
        <w:rPr>
          <w:sz w:val="20"/>
          <w:szCs w:val="20"/>
          <w:color w:val="auto"/>
        </w:rPr>
      </w:pPr>
      <w:r>
        <w:rPr>
          <w:rFonts w:ascii="Times New Roman" w:cs="Times New Roman" w:eastAsia="Times New Roman" w:hAnsi="Times New Roman"/>
          <w:sz w:val="17"/>
          <w:szCs w:val="17"/>
          <w:color w:val="auto"/>
        </w:rPr>
        <w:t>operations for the amount by which the carrying value exceeds the fair value of the investment. For the years ended January 31, 2025, 2024 and 2023, the Company did not record any material impairment charges related to its non-marketable equity securities.</w:t>
      </w:r>
    </w:p>
    <w:p>
      <w:pPr>
        <w:spacing w:after="0" w:line="94" w:lineRule="exact"/>
        <w:rPr>
          <w:sz w:val="20"/>
          <w:szCs w:val="20"/>
          <w:color w:val="auto"/>
        </w:rPr>
      </w:pPr>
    </w:p>
    <w:p>
      <w:pPr>
        <w:ind w:right="220" w:firstLine="470"/>
        <w:spacing w:after="0" w:line="266" w:lineRule="auto"/>
        <w:rPr>
          <w:sz w:val="20"/>
          <w:szCs w:val="20"/>
          <w:color w:val="auto"/>
        </w:rPr>
      </w:pPr>
      <w:r>
        <w:rPr>
          <w:rFonts w:ascii="Times New Roman" w:cs="Times New Roman" w:eastAsia="Times New Roman" w:hAnsi="Times New Roman"/>
          <w:sz w:val="17"/>
          <w:szCs w:val="17"/>
          <w:color w:val="auto"/>
        </w:rPr>
        <w:t>During the years ended January 31, 2025 and 2024, the Company invested $11.3 million and $2.1 million, respectively, of its cash in non-marketable securities of privately-held companies. The Company evaluated its ownership, contractual and other interests of its investments and determined that as of January 31, 2025, there were no variable interest entities required to be consolidated in the Company’s consolidated financial statements, as the Company was not the primary beneficiary and did not have the power to direct activities that most significantly impact the entities’ economic performance. The Company’s maximum loss exposure is limited to the carrying value of these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Fair Value of Financial Instruments</w:t>
      </w:r>
    </w:p>
    <w:p>
      <w:pPr>
        <w:spacing w:after="0" w:line="172" w:lineRule="exact"/>
        <w:rPr>
          <w:sz w:val="20"/>
          <w:szCs w:val="20"/>
          <w:color w:val="auto"/>
        </w:rPr>
      </w:pPr>
    </w:p>
    <w:p>
      <w:pPr>
        <w:ind w:right="20" w:firstLine="470"/>
        <w:spacing w:after="0" w:line="269" w:lineRule="auto"/>
        <w:rPr>
          <w:sz w:val="20"/>
          <w:szCs w:val="20"/>
          <w:color w:val="auto"/>
        </w:rPr>
      </w:pPr>
      <w:r>
        <w:rPr>
          <w:rFonts w:ascii="Times New Roman" w:cs="Times New Roman" w:eastAsia="Times New Roman" w:hAnsi="Times New Roman"/>
          <w:sz w:val="17"/>
          <w:szCs w:val="17"/>
          <w:color w:val="auto"/>
        </w:rPr>
        <w:t xml:space="preserve">The Company’s financial instruments consist of cash and cash equivalents, short-term investments, accounts receivable, </w:t>
      </w:r>
      <w:r>
        <w:rPr>
          <w:rFonts w:ascii="Times New Roman" w:cs="Times New Roman" w:eastAsia="Times New Roman" w:hAnsi="Times New Roman"/>
          <w:sz w:val="17"/>
          <w:szCs w:val="17"/>
          <w:color w:val="212529"/>
        </w:rPr>
        <w:t>non-marketable securities,</w:t>
      </w:r>
      <w:r>
        <w:rPr>
          <w:rFonts w:ascii="Times New Roman" w:cs="Times New Roman" w:eastAsia="Times New Roman" w:hAnsi="Times New Roman"/>
          <w:sz w:val="17"/>
          <w:szCs w:val="17"/>
          <w:color w:val="auto"/>
        </w:rPr>
        <w:t xml:space="preserve"> accounts payable and accrued liabilities. Cash equivalents are measured at fair value on a recurring basis. Short-term investments classified as available-for-sale debt securities are recorded at fair value. </w:t>
      </w:r>
      <w:r>
        <w:rPr>
          <w:rFonts w:ascii="Times New Roman" w:cs="Times New Roman" w:eastAsia="Times New Roman" w:hAnsi="Times New Roman"/>
          <w:sz w:val="17"/>
          <w:szCs w:val="17"/>
          <w:color w:val="212529"/>
        </w:rPr>
        <w:t>Non-marketable securities consist of equity securities.</w:t>
      </w:r>
      <w:r>
        <w:rPr>
          <w:rFonts w:ascii="Times New Roman" w:cs="Times New Roman" w:eastAsia="Times New Roman" w:hAnsi="Times New Roman"/>
          <w:sz w:val="17"/>
          <w:szCs w:val="17"/>
          <w:color w:val="auto"/>
        </w:rPr>
        <w:t xml:space="preserve"> Accounts receivable, accounts payable and accrued liabilities are stated at their carrying value, which approximates fair value due to the short time to the expected receipt or payment date.</w:t>
      </w:r>
    </w:p>
    <w:p>
      <w:pPr>
        <w:spacing w:after="0" w:line="117" w:lineRule="exact"/>
        <w:rPr>
          <w:sz w:val="20"/>
          <w:szCs w:val="20"/>
          <w:color w:val="auto"/>
        </w:rPr>
      </w:pPr>
    </w:p>
    <w:p>
      <w:pPr>
        <w:ind w:right="100" w:firstLine="470"/>
        <w:spacing w:after="0" w:line="266" w:lineRule="auto"/>
        <w:rPr>
          <w:sz w:val="20"/>
          <w:szCs w:val="20"/>
          <w:color w:val="auto"/>
        </w:rPr>
      </w:pPr>
      <w:r>
        <w:rPr>
          <w:rFonts w:ascii="Times New Roman" w:cs="Times New Roman" w:eastAsia="Times New Roman" w:hAnsi="Times New Roman"/>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The standard establishes a fair value hierarchy, which requires an entity to maximize the use of observable inputs and minimize the use of unobservable inputs when measuring fair value. The standard describes three levels of inputs, as described below, of which the first two are considered observable and the last unobservable, that may be used to measure fair value:</w:t>
      </w:r>
    </w:p>
    <w:p>
      <w:pPr>
        <w:spacing w:after="0" w:line="119" w:lineRule="exact"/>
        <w:rPr>
          <w:sz w:val="20"/>
          <w:szCs w:val="20"/>
          <w:color w:val="auto"/>
        </w:rPr>
      </w:pPr>
    </w:p>
    <w:p>
      <w:pPr>
        <w:ind w:left="620" w:hanging="302"/>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(unadjusted) in active markets for identical assets or liabilities at the measurement date.</w:t>
      </w:r>
    </w:p>
    <w:p>
      <w:pPr>
        <w:spacing w:after="0" w:line="170" w:lineRule="exact"/>
        <w:rPr>
          <w:rFonts w:ascii="Times New Roman" w:cs="Times New Roman" w:eastAsia="Times New Roman" w:hAnsi="Times New Roman"/>
          <w:sz w:val="17"/>
          <w:szCs w:val="17"/>
          <w:color w:val="auto"/>
        </w:rPr>
      </w:pPr>
    </w:p>
    <w:p>
      <w:pPr>
        <w:ind w:left="640" w:right="100" w:hanging="322"/>
        <w:spacing w:after="0" w:line="276" w:lineRule="auto"/>
        <w:tabs>
          <w:tab w:leader="none" w:pos="63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spacing w:after="0" w:line="109"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are supported by little or no market activity and that are significant to the fair value of the assets or liabilities.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Concentration of Credit Risk</w:t>
      </w:r>
    </w:p>
    <w:p>
      <w:pPr>
        <w:spacing w:after="0" w:line="172" w:lineRule="exact"/>
        <w:rPr>
          <w:sz w:val="20"/>
          <w:szCs w:val="20"/>
          <w:color w:val="auto"/>
        </w:rPr>
      </w:pPr>
    </w:p>
    <w:p>
      <w:pPr>
        <w:ind w:right="20" w:firstLine="470"/>
        <w:spacing w:after="0" w:line="269"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are primarily cash and cash equivalents, restricted cash, short-term investments and accounts receivable. The primary focus of the Company’s investment strategy is to preserve capital and meet liquidity requirements. The Company maintains its cash accounts with financial institutions where, at times, deposits exceed insurance coverage limits. The Company invests its excess cash in highly-rated money market funds and in short-term investments consisting of U.S. government treasury securities.</w:t>
      </w:r>
    </w:p>
    <w:p>
      <w:pPr>
        <w:spacing w:after="0" w:line="117" w:lineRule="exact"/>
        <w:rPr>
          <w:sz w:val="20"/>
          <w:szCs w:val="20"/>
          <w:color w:val="auto"/>
        </w:rPr>
      </w:pPr>
    </w:p>
    <w:p>
      <w:pPr>
        <w:ind w:right="160" w:firstLine="470"/>
        <w:spacing w:after="0" w:line="266" w:lineRule="auto"/>
        <w:rPr>
          <w:sz w:val="20"/>
          <w:szCs w:val="20"/>
          <w:color w:val="auto"/>
        </w:rPr>
      </w:pPr>
      <w:r>
        <w:rPr>
          <w:rFonts w:ascii="Times New Roman" w:cs="Times New Roman" w:eastAsia="Times New Roman" w:hAnsi="Times New Roman"/>
          <w:sz w:val="17"/>
          <w:szCs w:val="17"/>
          <w:color w:val="auto"/>
        </w:rPr>
        <w:t>The Company extends credit to customers in the normal course of business. The Company performs credit analyses and monitors the financial health of its customers to reduce credit risk. The Company does not require collateral from customers to secure accounts receivable. Accounts receivable are recorded at the invoiced amount and do not bear interest. The Company records an allowance for doubtful accounts relating to certain trade accounts receivable based on various factors, including the review of credit profiles of its customers, contractual terms and conditions, current economic trends and historical customer payment experience.</w:t>
      </w:r>
    </w:p>
    <w:p>
      <w:pPr>
        <w:spacing w:after="0" w:line="119"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As of January 31, 2025 and 2024, no customer represented 10% or more of net accounts receivable. For the years ended January 31, 2025, 2024 and 2023, no customer represented 10% or more of revenue.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Software Development Costs</w:t>
      </w:r>
    </w:p>
    <w:p>
      <w:pPr>
        <w:spacing w:after="0" w:line="172" w:lineRule="exact"/>
        <w:rPr>
          <w:sz w:val="20"/>
          <w:szCs w:val="20"/>
          <w:color w:val="auto"/>
        </w:rPr>
      </w:pPr>
    </w:p>
    <w:p>
      <w:pPr>
        <w:ind w:right="300" w:firstLine="470"/>
        <w:spacing w:after="0" w:line="269" w:lineRule="auto"/>
        <w:rPr>
          <w:sz w:val="20"/>
          <w:szCs w:val="20"/>
          <w:color w:val="auto"/>
        </w:rPr>
      </w:pPr>
      <w:r>
        <w:rPr>
          <w:rFonts w:ascii="Times New Roman" w:cs="Times New Roman" w:eastAsia="Times New Roman" w:hAnsi="Times New Roman"/>
          <w:sz w:val="17"/>
          <w:szCs w:val="17"/>
          <w:color w:val="auto"/>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ind w:right="340"/>
        <w:spacing w:after="0" w:line="276" w:lineRule="auto"/>
        <w:rPr>
          <w:sz w:val="20"/>
          <w:szCs w:val="20"/>
          <w:color w:val="auto"/>
        </w:rPr>
      </w:pPr>
      <w:r>
        <w:rPr>
          <w:rFonts w:ascii="Times New Roman" w:cs="Times New Roman" w:eastAsia="Times New Roman" w:hAnsi="Times New Roman"/>
          <w:sz w:val="17"/>
          <w:szCs w:val="17"/>
          <w:color w:val="auto"/>
        </w:rPr>
        <w:t>and time incurred between the establishment of technological feasibility and product release have not been material, resulting in software development costs qualifying for capitalization being immaterial. As a result, the Company has not capitalized any related software development costs in any of the periods presented.</w:t>
      </w:r>
    </w:p>
    <w:p>
      <w:pPr>
        <w:spacing w:after="0" w:line="110" w:lineRule="exact"/>
        <w:rPr>
          <w:sz w:val="20"/>
          <w:szCs w:val="20"/>
          <w:color w:val="auto"/>
        </w:rPr>
      </w:pPr>
    </w:p>
    <w:p>
      <w:pPr>
        <w:ind w:right="20" w:firstLine="470"/>
        <w:spacing w:after="0" w:line="264" w:lineRule="auto"/>
        <w:rPr>
          <w:sz w:val="20"/>
          <w:szCs w:val="20"/>
          <w:color w:val="auto"/>
        </w:rPr>
      </w:pPr>
      <w:r>
        <w:rPr>
          <w:rFonts w:ascii="Times New Roman" w:cs="Times New Roman" w:eastAsia="Times New Roman" w:hAnsi="Times New Roman"/>
          <w:sz w:val="17"/>
          <w:szCs w:val="17"/>
          <w:color w:val="auto"/>
        </w:rPr>
        <w:t>Costs related to software acquired, developed, or modified solely to meet the Company’s internal requirements, with no substantive plans to market such software at the time of development, costs related to the development of web-based product, or implementation costs incurred in a hosting arrangement that is a service contract, are capitalized during the application development stage. Costs incurred during the preliminary planning and evaluation stage of the project and during post implementation operational stage are expensed as incurred. There were no material qualifying costs incurred during the application development stage and the Company did not capitalize any qualifying costs related to computer software developed for internal use, or implementation costs incurred in a hosting arrangement that is a service contract in the years ended January 31, 2025 and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Property and Equipment</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Property and equipment are recorded at cost and depreciated using the straight-line method over the following estimated useful lives: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53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r>
      <w:tr>
        <w:trPr>
          <w:trHeight w:val="215"/>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and office equipment</w:t>
            </w:r>
          </w:p>
        </w:tc>
        <w:tc>
          <w:tcPr>
            <w:tcW w:w="10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Two to three years</w:t>
            </w:r>
          </w:p>
        </w:tc>
      </w:tr>
      <w:tr>
        <w:trPr>
          <w:trHeight w:val="222"/>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Purchased software</w:t>
            </w:r>
          </w:p>
        </w:tc>
        <w:tc>
          <w:tcPr>
            <w:tcW w:w="5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Two years</w:t>
            </w:r>
          </w:p>
        </w:tc>
      </w:tr>
      <w:tr>
        <w:trPr>
          <w:trHeight w:val="222"/>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Servers</w:t>
            </w:r>
          </w:p>
        </w:tc>
        <w:tc>
          <w:tcPr>
            <w:tcW w:w="5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Three years</w:t>
            </w:r>
          </w:p>
        </w:tc>
      </w:tr>
      <w:tr>
        <w:trPr>
          <w:trHeight w:val="222"/>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5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Five years</w:t>
            </w:r>
          </w:p>
        </w:tc>
      </w:tr>
      <w:tr>
        <w:trPr>
          <w:trHeight w:val="222"/>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Website costs</w:t>
            </w:r>
          </w:p>
        </w:tc>
        <w:tc>
          <w:tcPr>
            <w:tcW w:w="5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Three years</w:t>
            </w:r>
          </w:p>
        </w:tc>
      </w:tr>
      <w:tr>
        <w:trPr>
          <w:trHeight w:val="22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53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Lesser of estimated useful life or remaining lease term</w:t>
            </w:r>
          </w:p>
        </w:tc>
      </w:tr>
    </w:tbl>
    <w:p>
      <w:pPr>
        <w:spacing w:after="0" w:line="225" w:lineRule="exact"/>
        <w:rPr>
          <w:sz w:val="20"/>
          <w:szCs w:val="20"/>
          <w:color w:val="auto"/>
        </w:rPr>
      </w:pPr>
    </w:p>
    <w:p>
      <w:pPr>
        <w:ind w:right="60" w:firstLine="470"/>
        <w:spacing w:after="0" w:line="276" w:lineRule="auto"/>
        <w:rPr>
          <w:sz w:val="20"/>
          <w:szCs w:val="20"/>
          <w:color w:val="auto"/>
        </w:rPr>
      </w:pPr>
      <w:r>
        <w:rPr>
          <w:rFonts w:ascii="Times New Roman" w:cs="Times New Roman" w:eastAsia="Times New Roman" w:hAnsi="Times New Roman"/>
          <w:sz w:val="17"/>
          <w:szCs w:val="17"/>
          <w:color w:val="auto"/>
        </w:rPr>
        <w:t>Depreciation commences once the asset is ready for its intended use. 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Business Combinations</w:t>
      </w:r>
    </w:p>
    <w:p>
      <w:pPr>
        <w:spacing w:after="0" w:line="172" w:lineRule="exact"/>
        <w:rPr>
          <w:sz w:val="20"/>
          <w:szCs w:val="20"/>
          <w:color w:val="auto"/>
        </w:rPr>
      </w:pPr>
    </w:p>
    <w:p>
      <w:pPr>
        <w:ind w:right="40" w:firstLine="470"/>
        <w:spacing w:after="0" w:line="262" w:lineRule="auto"/>
        <w:rPr>
          <w:sz w:val="20"/>
          <w:szCs w:val="20"/>
          <w:color w:val="auto"/>
        </w:rPr>
      </w:pPr>
      <w:r>
        <w:rPr>
          <w:rFonts w:ascii="Times New Roman" w:cs="Times New Roman" w:eastAsia="Times New Roman" w:hAnsi="Times New Roman"/>
          <w:sz w:val="17"/>
          <w:szCs w:val="17"/>
          <w:color w:val="auto"/>
        </w:rPr>
        <w:t>The Company uses its best estimates and assumptions to assign fair value to the tangible and intangible assets acquired and liabilities assumed as of the acquisition date. The excess of the fair value of purchase consideration over the fair values of the tangible and intangible assets acquired and liabilities assumed is recorded as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the Company’s consolidated statements of operations. Acquisition-related expenses are recognized separately from the business combination and are expensed as incurred.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Leases</w:t>
      </w:r>
    </w:p>
    <w:p>
      <w:pPr>
        <w:spacing w:after="0" w:line="172"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The Company determines if an arrangement is, or contains, a lease at inception. An arrangement is or contains a lease if the arrangement conveys the right to control the use of an identified asset for a period of time in exchange for consideration.</w:t>
      </w:r>
    </w:p>
    <w:p>
      <w:pPr>
        <w:spacing w:after="0" w:line="94" w:lineRule="exact"/>
        <w:rPr>
          <w:sz w:val="20"/>
          <w:szCs w:val="20"/>
          <w:color w:val="auto"/>
        </w:rPr>
      </w:pPr>
    </w:p>
    <w:p>
      <w:pPr>
        <w:ind w:firstLine="470"/>
        <w:spacing w:after="0" w:line="269" w:lineRule="auto"/>
        <w:rPr>
          <w:sz w:val="20"/>
          <w:szCs w:val="20"/>
          <w:color w:val="auto"/>
        </w:rPr>
      </w:pPr>
      <w:r>
        <w:rPr>
          <w:rFonts w:ascii="Times New Roman" w:cs="Times New Roman" w:eastAsia="Times New Roman" w:hAnsi="Times New Roman"/>
          <w:sz w:val="17"/>
          <w:szCs w:val="17"/>
          <w:color w:val="auto"/>
        </w:rPr>
        <w:t>The Company measures lease liabilities based on the present value of lease payments over the lease term at the lease commencement date. As the Company’s leases generally do not provide an implicit discount rate, the net present value of future minimum lease payments is determined using the Company’s incremental borrowing rate. Options in the lease terms to extend or terminate the lease are not reflected in the lease liabilities unless it is reasonably certain that any such option will be exercised.</w:t>
      </w:r>
    </w:p>
    <w:p>
      <w:pPr>
        <w:spacing w:after="0" w:line="117"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The Company measures right-of-use assets at the lease commencement date based on the corresponding lease liabilities adjusted for (i) prepayments made to the lessor at or before the commencement date, (ii) initial direct costs incurred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ind w:right="340"/>
        <w:spacing w:after="0" w:line="295" w:lineRule="auto"/>
        <w:rPr>
          <w:sz w:val="20"/>
          <w:szCs w:val="20"/>
          <w:color w:val="auto"/>
        </w:rPr>
      </w:pPr>
      <w:r>
        <w:rPr>
          <w:rFonts w:ascii="Times New Roman" w:cs="Times New Roman" w:eastAsia="Times New Roman" w:hAnsi="Times New Roman"/>
          <w:sz w:val="17"/>
          <w:szCs w:val="17"/>
          <w:color w:val="auto"/>
        </w:rPr>
        <w:t>and (iii) certain tenant incentives under the lease. The Company evaluates the recoverability of the right-of-use assets for possible impairment in accordance with the long-lived assets policy.</w:t>
      </w:r>
    </w:p>
    <w:p>
      <w:pPr>
        <w:spacing w:after="0" w:line="94" w:lineRule="exact"/>
        <w:rPr>
          <w:sz w:val="20"/>
          <w:szCs w:val="20"/>
          <w:color w:val="auto"/>
        </w:rPr>
      </w:pPr>
    </w:p>
    <w:p>
      <w:pPr>
        <w:ind w:firstLine="470"/>
        <w:spacing w:after="0" w:line="276" w:lineRule="auto"/>
        <w:rPr>
          <w:sz w:val="20"/>
          <w:szCs w:val="20"/>
          <w:color w:val="auto"/>
        </w:rPr>
      </w:pPr>
      <w:r>
        <w:rPr>
          <w:rFonts w:ascii="Times New Roman" w:cs="Times New Roman" w:eastAsia="Times New Roman" w:hAnsi="Times New Roman"/>
          <w:sz w:val="17"/>
          <w:szCs w:val="17"/>
          <w:color w:val="auto"/>
        </w:rPr>
        <w:t>The Company accounts for lease and non-lease components as a single lease component for all leases. The Company has elected not to recognize right-of-use assets or lease liabilities for leases with an initial lease term of twelve months or less, and instead recognize the associated lease payments for these short-term leases in the consolidated statements of operations on a straight-line basis over the lease term.</w:t>
      </w:r>
    </w:p>
    <w:p>
      <w:pPr>
        <w:spacing w:after="0" w:line="110" w:lineRule="exact"/>
        <w:rPr>
          <w:sz w:val="20"/>
          <w:szCs w:val="20"/>
          <w:color w:val="auto"/>
        </w:rPr>
      </w:pPr>
    </w:p>
    <w:p>
      <w:pPr>
        <w:ind w:right="100" w:firstLine="470"/>
        <w:spacing w:after="0" w:line="269" w:lineRule="auto"/>
        <w:rPr>
          <w:sz w:val="20"/>
          <w:szCs w:val="20"/>
          <w:color w:val="auto"/>
        </w:rPr>
      </w:pPr>
      <w:r>
        <w:rPr>
          <w:rFonts w:ascii="Times New Roman" w:cs="Times New Roman" w:eastAsia="Times New Roman" w:hAnsi="Times New Roman"/>
          <w:sz w:val="17"/>
          <w:szCs w:val="17"/>
          <w:color w:val="auto"/>
        </w:rPr>
        <w:t>Lease expenses for minimum lease payments for operating leases are recognized on a straight-line basis over the lease term. Amortization expense of the right-of-use assets for finance leases is generally recognized on a straight-line basis over the shorter of the lease term or the useful life of the asset. Interest expense for finance leases is recognized based on the incremental borrowing rate used to determine the finance lease liability. Variable lease payments are expensed as incurred and are not included within the lease liability and right-of-use assets calculation.</w:t>
      </w:r>
    </w:p>
    <w:p>
      <w:pPr>
        <w:spacing w:after="0" w:line="117" w:lineRule="exact"/>
        <w:rPr>
          <w:sz w:val="20"/>
          <w:szCs w:val="20"/>
          <w:color w:val="auto"/>
        </w:rPr>
      </w:pPr>
    </w:p>
    <w:p>
      <w:pPr>
        <w:ind w:right="60" w:firstLine="470"/>
        <w:spacing w:after="0" w:line="268" w:lineRule="auto"/>
        <w:rPr>
          <w:sz w:val="20"/>
          <w:szCs w:val="20"/>
          <w:color w:val="auto"/>
        </w:rPr>
      </w:pPr>
      <w:r>
        <w:rPr>
          <w:rFonts w:ascii="Times New Roman" w:cs="Times New Roman" w:eastAsia="Times New Roman" w:hAnsi="Times New Roman"/>
          <w:sz w:val="17"/>
          <w:szCs w:val="17"/>
          <w:color w:val="auto"/>
        </w:rPr>
        <w:t>Operating leases are reflected in operating lease right-of-use assets, operating lease liabilities and operating lease liabilities, non-current on the consolidated balance sheets. Finance leases are included in property and equipment, net, other accrued liabilities, and other liabilities, non-current on the consolidated balance sheets. Within the consolidated statements of cash flows, the Company classifies all cash payments associated with operating leases within operating activities and for finance leases, repayments of principal are presented within financing activities and interest payments are presented within operating activities.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Impairment of Long-Lived Assets</w:t>
      </w:r>
    </w:p>
    <w:p>
      <w:pPr>
        <w:spacing w:after="0" w:line="172" w:lineRule="exact"/>
        <w:rPr>
          <w:sz w:val="20"/>
          <w:szCs w:val="20"/>
          <w:color w:val="auto"/>
        </w:rPr>
      </w:pPr>
    </w:p>
    <w:p>
      <w:pPr>
        <w:ind w:right="40" w:firstLine="470"/>
        <w:spacing w:after="0" w:line="269" w:lineRule="auto"/>
        <w:rPr>
          <w:sz w:val="20"/>
          <w:szCs w:val="20"/>
          <w:color w:val="auto"/>
        </w:rPr>
      </w:pPr>
      <w:r>
        <w:rPr>
          <w:rFonts w:ascii="Times New Roman" w:cs="Times New Roman" w:eastAsia="Times New Roman" w:hAnsi="Times New Roman"/>
          <w:sz w:val="17"/>
          <w:szCs w:val="17"/>
          <w:color w:val="auto"/>
        </w:rPr>
        <w:t>The Company evaluates the recoverability of its long-lived assets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is not recoverable, the carrying amount of such assets is reduced to fair value. The Company did not record impairment charges related to long-lived assets during the years presented.</w:t>
      </w:r>
    </w:p>
    <w:p>
      <w:pPr>
        <w:spacing w:after="0" w:line="117" w:lineRule="exact"/>
        <w:rPr>
          <w:sz w:val="20"/>
          <w:szCs w:val="20"/>
          <w:color w:val="auto"/>
        </w:rPr>
      </w:pPr>
    </w:p>
    <w:p>
      <w:pPr>
        <w:jc w:val="both"/>
        <w:ind w:right="140" w:firstLine="470"/>
        <w:spacing w:after="0" w:line="276" w:lineRule="auto"/>
        <w:rPr>
          <w:sz w:val="20"/>
          <w:szCs w:val="20"/>
          <w:color w:val="auto"/>
        </w:rPr>
      </w:pPr>
      <w:r>
        <w:rPr>
          <w:rFonts w:ascii="Times New Roman" w:cs="Times New Roman" w:eastAsia="Times New Roman" w:hAnsi="Times New Roman"/>
          <w:sz w:val="17"/>
          <w:szCs w:val="17"/>
          <w:color w:val="auto"/>
        </w:rPr>
        <w:t>In addition to the recoverability assessment, the Company periodically reviews the remaining estimated useful lives of long-lived assets. If the estimated useful life assumption for any asset is changed due to new information, the remaining unamortized balance would be depreciated or amortized over the revised estimated useful life, on a prospective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Goodwill and Intangible Assets</w:t>
      </w:r>
    </w:p>
    <w:p>
      <w:pPr>
        <w:spacing w:after="0" w:line="172" w:lineRule="exact"/>
        <w:rPr>
          <w:sz w:val="20"/>
          <w:szCs w:val="20"/>
          <w:color w:val="auto"/>
        </w:rPr>
      </w:pPr>
    </w:p>
    <w:p>
      <w:pPr>
        <w:ind w:right="40" w:firstLine="470"/>
        <w:spacing w:after="0" w:line="266"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fair value of net assets acquired in business combinations. Other acquired intangible assets are stated at the fair value acquired as determined by a valuation technique commensurate with the intended use of the related asset. Definite-lived intangible assets are considered long-lived assets and are amortized on a straight-line basis over the periods that expected economic benefits will be provided. Goodwill and any indefinite-lived intangible assets are not amortized; rather, they are evaluated for impairment annually and whenever events or changes in circumstances indicate that the value of the asset may be impaired.</w:t>
      </w:r>
    </w:p>
    <w:p>
      <w:pPr>
        <w:spacing w:after="0" w:line="119" w:lineRule="exact"/>
        <w:rPr>
          <w:sz w:val="20"/>
          <w:szCs w:val="20"/>
          <w:color w:val="auto"/>
        </w:rPr>
      </w:pPr>
    </w:p>
    <w:p>
      <w:pPr>
        <w:ind w:right="140" w:firstLine="470"/>
        <w:spacing w:after="0" w:line="261" w:lineRule="auto"/>
        <w:rPr>
          <w:sz w:val="20"/>
          <w:szCs w:val="20"/>
          <w:color w:val="auto"/>
        </w:rPr>
      </w:pPr>
      <w:r>
        <w:rPr>
          <w:rFonts w:ascii="Times New Roman" w:cs="Times New Roman" w:eastAsia="Times New Roman" w:hAnsi="Times New Roman"/>
          <w:sz w:val="17"/>
          <w:szCs w:val="17"/>
          <w:color w:val="auto"/>
        </w:rPr>
        <w:t>The Company performs its annual impairment analysis in the fourth quarter of each fiscal year. The Company first assesses the qualitative factors to determine whether it is more likely than not that the fair value of the Company’s single operating segment is less than its carrying amount as a basis for determining whether it is necessary to perform the quantitative goodwill impairment test. If the Company determines that it is more likely than not that its fair value is less than its carrying amount, then the quantitative goodwill impairment test will be performed. The quantitative goodwill impairment test identifies goodwill impairment and measures the amount of goodwill impairment loss to be recognized by comparing the fair value of the Company’s single operating segment with its carrying amount. If the carrying amount exceeds its fair value, no further analysis is required; otherwise, any excess of the carrying amount over the implied fair value is recognized as an impairment loss and the carrying value of goodwill is written down to fair value. No indicators of impairment of goodwill were identified during the years ended January 31, 2025, 2024 and 2023, and accordingly, the Company has not recorded any impairment of goodwill during those periods.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Revenue Recognition</w:t>
      </w:r>
    </w:p>
    <w:p>
      <w:pPr>
        <w:spacing w:after="0" w:line="172" w:lineRule="exact"/>
        <w:rPr>
          <w:sz w:val="20"/>
          <w:szCs w:val="20"/>
          <w:color w:val="auto"/>
        </w:rPr>
      </w:pPr>
    </w:p>
    <w:p>
      <w:pPr>
        <w:ind w:right="260" w:firstLine="470"/>
        <w:spacing w:after="0" w:line="276" w:lineRule="auto"/>
        <w:rPr>
          <w:sz w:val="20"/>
          <w:szCs w:val="20"/>
          <w:color w:val="auto"/>
        </w:rPr>
      </w:pPr>
      <w:r>
        <w:rPr>
          <w:rFonts w:ascii="Times New Roman" w:cs="Times New Roman" w:eastAsia="Times New Roman" w:hAnsi="Times New Roman"/>
          <w:sz w:val="17"/>
          <w:szCs w:val="17"/>
          <w:color w:val="auto"/>
        </w:rPr>
        <w:t>The Company derives its revenue from two sources: (1) the sales of subscriptions, which includes the usage-based database-as-a-service offering, term license and post-contract customer support (“PCS”); and (2) services revenue comprised of consulting and training arrangements. The Company recognizes revenue when its customer obtains control of promised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ind w:right="240"/>
        <w:spacing w:after="0" w:line="295" w:lineRule="auto"/>
        <w:rPr>
          <w:sz w:val="20"/>
          <w:szCs w:val="20"/>
          <w:color w:val="auto"/>
        </w:rPr>
      </w:pPr>
      <w:r>
        <w:rPr>
          <w:rFonts w:ascii="Times New Roman" w:cs="Times New Roman" w:eastAsia="Times New Roman" w:hAnsi="Times New Roman"/>
          <w:sz w:val="17"/>
          <w:szCs w:val="17"/>
          <w:color w:val="auto"/>
        </w:rPr>
        <w:t>goods or services in an amount that reflects the consideration that the Company expects to receive in exchange for those goods or services. In determining the appropriate amount of revenue to be recognized as it fulfills its obligations under each of its agreements, the Company performs the following steps:</w:t>
      </w:r>
    </w:p>
    <w:p>
      <w:pPr>
        <w:spacing w:after="0" w:line="94" w:lineRule="exact"/>
        <w:rPr>
          <w:sz w:val="20"/>
          <w:szCs w:val="20"/>
          <w:color w:val="auto"/>
        </w:rPr>
      </w:pPr>
    </w:p>
    <w:p>
      <w:pPr>
        <w:ind w:left="640" w:right="120" w:hanging="322"/>
        <w:spacing w:after="0" w:line="263" w:lineRule="auto"/>
        <w:tabs>
          <w:tab w:leader="none" w:pos="62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 - The Company determines it has a contract with a customer when the contract is approved, each party’s rights regarding the products or services to be transferred is identified, the payment terms for the services can be identified, the Company has determined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reputation and financial or other information pertaining to the customer. At contract inception, the Company evaluates whether two or more contracts should be combined and accounted for as a single contract and whether the combined or single contract includes more than one performance obligation.</w:t>
      </w:r>
    </w:p>
    <w:p>
      <w:pPr>
        <w:spacing w:after="0" w:line="68" w:lineRule="exact"/>
        <w:rPr>
          <w:rFonts w:ascii="Times New Roman" w:cs="Times New Roman" w:eastAsia="Times New Roman" w:hAnsi="Times New Roman"/>
          <w:sz w:val="17"/>
          <w:szCs w:val="17"/>
          <w:color w:val="auto"/>
        </w:rPr>
      </w:pPr>
    </w:p>
    <w:p>
      <w:pPr>
        <w:ind w:left="640" w:right="280" w:hanging="322"/>
        <w:spacing w:after="0" w:line="263" w:lineRule="auto"/>
        <w:tabs>
          <w:tab w:leader="none" w:pos="637"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 - Performance obligations promised in a contract are identified based on the services or products that will be transferred to the customer that are both (1) capable of being distinct, whereby the customer can benefit from the service or product either on its own or together with other resources that are readily available from third parties or from the Company and (2) distinct in the context of the contract, whereby the transfer of the services or products is separately identifiable from other promises in the contract. To the extent a contract includes multiple promised services or products, the Company applies judgment to determine whether promised services or products are capable of being distinct and distinct in the context of the contract. If these criteria are not met, the promised services or products are combined and accounted for as a single performance obligation.</w:t>
      </w:r>
    </w:p>
    <w:p>
      <w:pPr>
        <w:spacing w:after="0" w:line="68" w:lineRule="exact"/>
        <w:rPr>
          <w:rFonts w:ascii="Times New Roman" w:cs="Times New Roman" w:eastAsia="Times New Roman" w:hAnsi="Times New Roman"/>
          <w:sz w:val="17"/>
          <w:szCs w:val="17"/>
          <w:color w:val="auto"/>
        </w:rPr>
      </w:pPr>
    </w:p>
    <w:p>
      <w:pPr>
        <w:ind w:left="640" w:hanging="322"/>
        <w:spacing w:after="0" w:line="266" w:lineRule="auto"/>
        <w:tabs>
          <w:tab w:leader="none" w:pos="633"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 - The transaction price is determined based on the consideration to which the Company expects to be entitled in exchange for transferring services and products to the customer. Variable consideration is included in the transaction price if, in the Company’s judgment, it is probable that a significant future reversal of cumulative revenue recognized under the contract will not occur. The Company applies the practical expedient to not evaluate contracts of one year or less for the existence of a significant financing component. None of the Company’s contracts contain a significant financing component.</w:t>
      </w:r>
    </w:p>
    <w:p>
      <w:pPr>
        <w:spacing w:after="0" w:line="66" w:lineRule="exact"/>
        <w:rPr>
          <w:rFonts w:ascii="Times New Roman" w:cs="Times New Roman" w:eastAsia="Times New Roman" w:hAnsi="Times New Roman"/>
          <w:sz w:val="17"/>
          <w:szCs w:val="17"/>
          <w:color w:val="auto"/>
        </w:rPr>
      </w:pPr>
    </w:p>
    <w:p>
      <w:pPr>
        <w:ind w:left="640" w:hanging="322"/>
        <w:spacing w:after="0" w:line="261" w:lineRule="auto"/>
        <w:tabs>
          <w:tab w:leader="none" w:pos="62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 - If the contract contains a single performance obligation, the entire transaction price is allocated to the single performance obligation. For contracts that contain multiple performance obligations, the Company allocates the transaction price to each performance obligation based on a relative standalone selling price (“SSP”) basis. The Company also considers if there are any additional material rights inherent in a contract and if so, the Company allocates a portion of the transaction price to such rights based on SSP. The Company determines each SSP based on multiple factors, including past history of selling such performance obligations as standalone products. The Company estimates SSP for performance obligations with no observable evidence using adjusted market, cost plus and residual methods to establish the SSPs. In cases where directly observable standalone sales are not available, such as when the term license is not sold separately, the Company considers observable data points including competitor pricing for a similar or identical product, market and industry data points and the Company’s pricing practices to establish the SSP.</w:t>
      </w:r>
    </w:p>
    <w:p>
      <w:pPr>
        <w:spacing w:after="0" w:line="73" w:lineRule="exact"/>
        <w:rPr>
          <w:rFonts w:ascii="Times New Roman" w:cs="Times New Roman" w:eastAsia="Times New Roman" w:hAnsi="Times New Roman"/>
          <w:sz w:val="17"/>
          <w:szCs w:val="17"/>
          <w:color w:val="auto"/>
        </w:rPr>
      </w:pPr>
    </w:p>
    <w:p>
      <w:pPr>
        <w:ind w:left="640" w:right="20" w:hanging="322"/>
        <w:spacing w:after="0" w:line="276" w:lineRule="auto"/>
        <w:tabs>
          <w:tab w:leader="none" w:pos="629"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 - The Company recognizes revenue at the time the related performance obligation is satisfied when control of the services or products are transferred to the customers, in an amount that reflects the consideration the Company expects to be entitled to in exchange for those services or products. The Company records its revenue net of any value added or sales tax.</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Subscription Revenue</w:t>
      </w:r>
    </w:p>
    <w:p>
      <w:pPr>
        <w:spacing w:after="0" w:line="170" w:lineRule="exact"/>
        <w:rPr>
          <w:sz w:val="20"/>
          <w:szCs w:val="20"/>
          <w:color w:val="auto"/>
        </w:rPr>
      </w:pPr>
    </w:p>
    <w:p>
      <w:pPr>
        <w:ind w:right="80" w:firstLine="470"/>
        <w:spacing w:after="0" w:line="269" w:lineRule="auto"/>
        <w:rPr>
          <w:sz w:val="20"/>
          <w:szCs w:val="20"/>
          <w:color w:val="auto"/>
        </w:rPr>
      </w:pPr>
      <w:r>
        <w:rPr>
          <w:rFonts w:ascii="Times New Roman" w:cs="Times New Roman" w:eastAsia="Times New Roman" w:hAnsi="Times New Roman"/>
          <w:sz w:val="17"/>
          <w:szCs w:val="17"/>
          <w:color w:val="auto"/>
        </w:rPr>
        <w:t>The Company sells subscriptions directly through its field and inside sales teams and indirectly through channel partners, as well as through its self-serve channel. The majority of the Company’s subscription contracts are one year in duration and are invoiced upfront or invoiced monthly in arrears. When the Company enters into multi-year subscription contracts, the customer is typically invoiced on an annual basis or pays upfront. The Company’s subscription contracts are generally non-cancelable and non-refundable.</w:t>
      </w:r>
    </w:p>
    <w:p>
      <w:pPr>
        <w:spacing w:after="0" w:line="117" w:lineRule="exact"/>
        <w:rPr>
          <w:sz w:val="20"/>
          <w:szCs w:val="20"/>
          <w:color w:val="auto"/>
        </w:rPr>
      </w:pPr>
    </w:p>
    <w:p>
      <w:pPr>
        <w:ind w:right="200" w:firstLine="470"/>
        <w:spacing w:after="0" w:line="276" w:lineRule="auto"/>
        <w:rPr>
          <w:sz w:val="20"/>
          <w:szCs w:val="20"/>
          <w:color w:val="auto"/>
        </w:rPr>
      </w:pPr>
      <w:r>
        <w:rPr>
          <w:rFonts w:ascii="Times New Roman" w:cs="Times New Roman" w:eastAsia="Times New Roman" w:hAnsi="Times New Roman"/>
          <w:sz w:val="17"/>
          <w:szCs w:val="17"/>
          <w:color w:val="auto"/>
        </w:rPr>
        <w:t>The Company derives subscription revenue from providing its software to customers with its database-as-a-service offering that include comprehensive infrastructure and management of the Company’s database and can also be purchased with additional enterprise features. Performance obligations related to database-as-a-service solutions are recognized on a</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7"/>
          <w:szCs w:val="17"/>
          <w:color w:val="auto"/>
        </w:rPr>
        <w:t>usage-basis, as the use of this service represents a direct measurement of the value of the goods or services transferred to date relative to the remaining goods or services promised under the contract.</w:t>
      </w:r>
    </w:p>
    <w:p>
      <w:pPr>
        <w:spacing w:after="0" w:line="94" w:lineRule="exact"/>
        <w:rPr>
          <w:sz w:val="20"/>
          <w:szCs w:val="20"/>
          <w:color w:val="auto"/>
        </w:rPr>
      </w:pPr>
    </w:p>
    <w:p>
      <w:pPr>
        <w:ind w:firstLine="470"/>
        <w:spacing w:after="0" w:line="269" w:lineRule="auto"/>
        <w:rPr>
          <w:sz w:val="20"/>
          <w:szCs w:val="20"/>
          <w:color w:val="auto"/>
        </w:rPr>
      </w:pPr>
      <w:r>
        <w:rPr>
          <w:rFonts w:ascii="Times New Roman" w:cs="Times New Roman" w:eastAsia="Times New Roman" w:hAnsi="Times New Roman"/>
          <w:sz w:val="17"/>
          <w:szCs w:val="17"/>
          <w:color w:val="auto"/>
        </w:rPr>
        <w:t>The Company’s subscription revenue also includes time-based software licenses sold in conjunction with PCS. The license element is recognized separately from the PCS as they are considered two distinct performance obligations. The transaction price is allocated to each separate performance obligation based on its relative SSP. License revenue is recognized at a point in time, upon delivery and transfer of control of the underlying license to the customer, which is typically the subscription start date.</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PCS includes unspecified updates, as well as support and maintenance. Revenue from PCS is recognized ratably over the contract duration.</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Services Revenue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Company’s services contracts are generally provisioned on a time-and-materials basis. Revenue is recognized as the services are performed.</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Contracts with Multiple Performance Obligations</w:t>
      </w:r>
    </w:p>
    <w:p>
      <w:pPr>
        <w:spacing w:after="0" w:line="170" w:lineRule="exact"/>
        <w:rPr>
          <w:sz w:val="20"/>
          <w:szCs w:val="20"/>
          <w:color w:val="auto"/>
        </w:rPr>
      </w:pPr>
    </w:p>
    <w:p>
      <w:pPr>
        <w:ind w:right="240" w:firstLine="470"/>
        <w:spacing w:after="0" w:line="276" w:lineRule="auto"/>
        <w:rPr>
          <w:sz w:val="20"/>
          <w:szCs w:val="20"/>
          <w:color w:val="auto"/>
        </w:rPr>
      </w:pPr>
      <w:r>
        <w:rPr>
          <w:rFonts w:ascii="Times New Roman" w:cs="Times New Roman" w:eastAsia="Times New Roman" w:hAnsi="Times New Roman"/>
          <w:sz w:val="17"/>
          <w:szCs w:val="17"/>
          <w:color w:val="auto"/>
        </w:rPr>
        <w:t>The Company enters into contracts that can include various combinations of products and services, which are generally capable of being distinct and accounted for as separate performance obligations. For these contracts, the transaction price is allocated to the separate performance obligations on a relative SSP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Cost of Revenue</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Cost of Subscription Revenue</w:t>
      </w:r>
    </w:p>
    <w:p>
      <w:pPr>
        <w:spacing w:after="0" w:line="170" w:lineRule="exact"/>
        <w:rPr>
          <w:sz w:val="20"/>
          <w:szCs w:val="20"/>
          <w:color w:val="auto"/>
        </w:rPr>
      </w:pPr>
    </w:p>
    <w:p>
      <w:pPr>
        <w:ind w:right="180" w:firstLine="470"/>
        <w:spacing w:after="0" w:line="276" w:lineRule="auto"/>
        <w:rPr>
          <w:sz w:val="20"/>
          <w:szCs w:val="20"/>
          <w:color w:val="auto"/>
        </w:rPr>
      </w:pPr>
      <w:r>
        <w:rPr>
          <w:rFonts w:ascii="Times New Roman" w:cs="Times New Roman" w:eastAsia="Times New Roman" w:hAnsi="Times New Roman"/>
          <w:sz w:val="17"/>
          <w:szCs w:val="17"/>
          <w:color w:val="auto"/>
        </w:rPr>
        <w:t>Cost of subscription revenue primarily includes third-party cloud infrastructure expenses for the Company’s database- as-a-service offering. Cost of subscription revenue also includes personnel costs, including salaries, bonuses and benefits and stock-based compensation, for employees associated with the Company’s subscription arrangements principally related to technical support and allocated shared costs, as well as depreciation and amortization.</w:t>
      </w:r>
    </w:p>
    <w:p>
      <w:pPr>
        <w:spacing w:after="0" w:line="1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u w:val="single" w:color="auto"/>
          <w:color w:val="auto"/>
        </w:rPr>
        <w:t>Cost of Services Revenue</w:t>
      </w:r>
    </w:p>
    <w:p>
      <w:pPr>
        <w:spacing w:after="0" w:line="170" w:lineRule="exact"/>
        <w:rPr>
          <w:sz w:val="20"/>
          <w:szCs w:val="20"/>
          <w:color w:val="auto"/>
        </w:rPr>
      </w:pPr>
    </w:p>
    <w:p>
      <w:pPr>
        <w:ind w:right="20" w:firstLine="470"/>
        <w:spacing w:after="0" w:line="295" w:lineRule="auto"/>
        <w:rPr>
          <w:sz w:val="20"/>
          <w:szCs w:val="20"/>
          <w:color w:val="auto"/>
        </w:rPr>
      </w:pPr>
      <w:r>
        <w:rPr>
          <w:rFonts w:ascii="Times New Roman" w:cs="Times New Roman" w:eastAsia="Times New Roman" w:hAnsi="Times New Roman"/>
          <w:sz w:val="17"/>
          <w:szCs w:val="17"/>
          <w:color w:val="auto"/>
        </w:rPr>
        <w:t>Cost of services revenue primarily includes personnel costs, including salaries and benefits and stock-based compensation for employees associated with the Company’s professional service contracts, as well as, travel costs, allocated shared costs and depreciation and amortization.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Deferred Commissions</w:t>
      </w:r>
    </w:p>
    <w:p>
      <w:pPr>
        <w:spacing w:after="0" w:line="172" w:lineRule="exact"/>
        <w:rPr>
          <w:sz w:val="20"/>
          <w:szCs w:val="20"/>
          <w:color w:val="auto"/>
        </w:rPr>
      </w:pPr>
    </w:p>
    <w:p>
      <w:pPr>
        <w:ind w:right="40" w:firstLine="470"/>
        <w:spacing w:after="0" w:line="260" w:lineRule="auto"/>
        <w:rPr>
          <w:sz w:val="20"/>
          <w:szCs w:val="20"/>
          <w:color w:val="auto"/>
        </w:rPr>
      </w:pPr>
      <w:r>
        <w:rPr>
          <w:rFonts w:ascii="Times New Roman" w:cs="Times New Roman" w:eastAsia="Times New Roman" w:hAnsi="Times New Roman"/>
          <w:sz w:val="17"/>
          <w:szCs w:val="17"/>
          <w:color w:val="auto"/>
        </w:rPr>
        <w:t xml:space="preserve">The Company capitalizes its incremental costs of obtaining subscription contracts with customers, which generally consist of sales commissions paid to the Company’s sales force and related payroll taxes, as well as fees paid to marketplace vendors. Incremental costs that are expected to be amortized during the succeeding twelve months are recorded on the Company’s consolidated balance sheets as deferred commissions with the remaining, non-current, portion recorded under other assets. Deferred commissions are amortized over a period of benefit that the Company has determined to be generally five years. The Company determined the period of benefit by taking into consideration the length of its customer contracts, its technology life cycle and other factors. Deferred commissions also include all other sales commissions and related payroll taxes for subscription contract renewals, which are amortized based on the pattern of the associated revenue recognition over the related contractual subscription period. Sales commissions are generally paid up front and one month in arrears, however, the timing of payment is based on contractual terms of the underlying subscription contract and is subject to an evaluation of customer credit-worthiness. The deferred commission amounts are recoverable through the future revenue under the non-cancelable customer contracts. Amortization of deferred commissions is included in sales and marketing expense in the consolidated statements of operations. The Company adopted the practical expedient that permits an entity to expense the costs to obtain a contract as incurred when the expected amortization period is one year or less. Deferred commissions are reviewed periodically for impairment. Refer to Note 9,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xml:space="preserve"> for more information.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Deferred Revenue</w:t>
      </w:r>
    </w:p>
    <w:p>
      <w:pPr>
        <w:spacing w:after="0" w:line="172" w:lineRule="exact"/>
        <w:rPr>
          <w:sz w:val="20"/>
          <w:szCs w:val="20"/>
          <w:color w:val="auto"/>
        </w:rPr>
      </w:pPr>
    </w:p>
    <w:p>
      <w:pPr>
        <w:ind w:right="120" w:firstLine="470"/>
        <w:spacing w:after="0" w:line="295" w:lineRule="auto"/>
        <w:rPr>
          <w:sz w:val="20"/>
          <w:szCs w:val="20"/>
          <w:color w:val="auto"/>
        </w:rPr>
      </w:pPr>
      <w:r>
        <w:rPr>
          <w:rFonts w:ascii="Times New Roman" w:cs="Times New Roman" w:eastAsia="Times New Roman" w:hAnsi="Times New Roman"/>
          <w:sz w:val="17"/>
          <w:szCs w:val="17"/>
          <w:color w:val="auto"/>
        </w:rPr>
        <w:t>Deferred revenue primarily consists of customer billings or payments received in advance of the Company satisfying the performance obligations on its subscription and services contracts. The Company generally invoices its customers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annually in advance for its subscription services. Typical payment terms provide that customers pay the amount due within 30 days of the invoice date. Deferred revenue that is anticipated to be recognized during the succeeding twelve-month period is recorded as current deferred revenue and the remaining portion is recorded as non-current. The Company’s contract liabilities are classified as deferred revenue upon the right to invoice or when payments have been received for undelivered products or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Accounts Receivable and Allowance for Doubtful Accounts</w:t>
      </w:r>
    </w:p>
    <w:p>
      <w:pPr>
        <w:spacing w:after="0" w:line="172" w:lineRule="exact"/>
        <w:rPr>
          <w:sz w:val="20"/>
          <w:szCs w:val="20"/>
          <w:color w:val="auto"/>
        </w:rPr>
      </w:pPr>
    </w:p>
    <w:p>
      <w:pPr>
        <w:ind w:right="160" w:firstLine="470"/>
        <w:spacing w:after="0" w:line="269" w:lineRule="auto"/>
        <w:rPr>
          <w:sz w:val="20"/>
          <w:szCs w:val="20"/>
          <w:color w:val="auto"/>
        </w:rPr>
      </w:pPr>
      <w:r>
        <w:rPr>
          <w:rFonts w:ascii="Times New Roman" w:cs="Times New Roman" w:eastAsia="Times New Roman" w:hAnsi="Times New Roman"/>
          <w:sz w:val="17"/>
          <w:szCs w:val="17"/>
          <w:color w:val="auto"/>
        </w:rPr>
        <w:t>The Company records a receivable when an unconditional right to consideration exists, such that only the passage of time is required before payment of consideration is due. Timing of revenue recognition may differ from the timing of invoicing to customers. If revenue recognized on a contract exceeds the billings, then the Company records an unbilled receivable for that excess amount, which is included as part of accounts receivable, net in the Company’s consolidated balance sheets.</w:t>
      </w:r>
    </w:p>
    <w:p>
      <w:pPr>
        <w:spacing w:after="0" w:line="117" w:lineRule="exact"/>
        <w:rPr>
          <w:sz w:val="20"/>
          <w:szCs w:val="20"/>
          <w:color w:val="auto"/>
        </w:rPr>
      </w:pPr>
    </w:p>
    <w:p>
      <w:pPr>
        <w:ind w:firstLine="470"/>
        <w:spacing w:after="0" w:line="276" w:lineRule="auto"/>
        <w:rPr>
          <w:sz w:val="20"/>
          <w:szCs w:val="20"/>
          <w:color w:val="auto"/>
        </w:rPr>
      </w:pPr>
      <w:r>
        <w:rPr>
          <w:rFonts w:ascii="Times New Roman" w:cs="Times New Roman" w:eastAsia="Times New Roman" w:hAnsi="Times New Roman"/>
          <w:sz w:val="17"/>
          <w:szCs w:val="17"/>
          <w:color w:val="auto"/>
        </w:rPr>
        <w:t>The Company is exposed to credit losses primarily through the sales of subscriptions and services, which are recorded as accounts receivable, inclusive of unbilled receivables. The Company performs initial and ongoing evaluations of its customers' financial position and generally extends credit without collateral. Accounts receivable are recorded at amortized cost, net of an allowance for doubtful accounts, and do not bear interest.</w:t>
      </w:r>
    </w:p>
    <w:p>
      <w:pPr>
        <w:spacing w:after="0" w:line="110" w:lineRule="exact"/>
        <w:rPr>
          <w:sz w:val="20"/>
          <w:szCs w:val="20"/>
          <w:color w:val="auto"/>
        </w:rPr>
      </w:pPr>
    </w:p>
    <w:p>
      <w:pPr>
        <w:ind w:right="20" w:firstLine="470"/>
        <w:spacing w:after="0" w:line="263" w:lineRule="auto"/>
        <w:rPr>
          <w:sz w:val="20"/>
          <w:szCs w:val="20"/>
          <w:color w:val="auto"/>
        </w:rPr>
      </w:pPr>
      <w:r>
        <w:rPr>
          <w:rFonts w:ascii="Times New Roman" w:cs="Times New Roman" w:eastAsia="Times New Roman" w:hAnsi="Times New Roman"/>
          <w:sz w:val="17"/>
          <w:szCs w:val="17"/>
          <w:color w:val="auto"/>
        </w:rPr>
        <w:t xml:space="preserve">The allowance for doubtful accounts represents the best estimate of lifetime expected credit losses against the existing accounts receivable, inclusive of unbilled receivables, based on certain factors including past collection experience, credit quality of the customer, current aging of the receivable balance, current economic conditions, reasonable and supportable forecasts, as well as specific circumstances arising with individual customers. Accounts receivable are written off against the allowance for doubtful accounts when management determines a balance is uncollectible and the Company no longer actively pursues collection of the receivable. The Company’s estimates of the allowance for credit losses may not be indicative of the Company’s actual credit losses requiring additional charges to be incurred to reflect the actual amount collected. See also Note 9,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xml:space="preserve"> for more information on allowance for doubtful accounts and unbilled receivables.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Convertible Senior Notes</w:t>
      </w:r>
    </w:p>
    <w:p>
      <w:pPr>
        <w:spacing w:after="0" w:line="172" w:lineRule="exact"/>
        <w:rPr>
          <w:sz w:val="20"/>
          <w:szCs w:val="20"/>
          <w:color w:val="auto"/>
        </w:rPr>
      </w:pPr>
    </w:p>
    <w:p>
      <w:pPr>
        <w:jc w:val="both"/>
        <w:ind w:right="380" w:firstLine="470"/>
        <w:spacing w:after="0" w:line="269" w:lineRule="auto"/>
        <w:rPr>
          <w:sz w:val="20"/>
          <w:szCs w:val="20"/>
          <w:color w:val="auto"/>
        </w:rPr>
      </w:pPr>
      <w:r>
        <w:rPr>
          <w:rFonts w:ascii="Times New Roman" w:cs="Times New Roman" w:eastAsia="Times New Roman" w:hAnsi="Times New Roman"/>
          <w:sz w:val="17"/>
          <w:szCs w:val="17"/>
          <w:color w:val="auto"/>
        </w:rPr>
        <w:t>Upon adoption of ASU 2020-06 on February 1, 2021, the Company no longer records the conversion feature of its convertible senior notes in equity. Instead, the Company combined the previously separated equity component with the liability component, which together is now classified as debt, thereby eliminating the subsequent amortization of the debt discount as interest expense. Similarly, the portion of issuance costs previously allocated to equity was reclassified to debt and amortized as interest expense.</w:t>
      </w:r>
    </w:p>
    <w:p>
      <w:pPr>
        <w:spacing w:after="0" w:line="117" w:lineRule="exact"/>
        <w:rPr>
          <w:sz w:val="20"/>
          <w:szCs w:val="20"/>
          <w:color w:val="auto"/>
        </w:rPr>
      </w:pPr>
    </w:p>
    <w:p>
      <w:pPr>
        <w:ind w:right="100" w:firstLine="470"/>
        <w:spacing w:after="0" w:line="276" w:lineRule="auto"/>
        <w:rPr>
          <w:sz w:val="20"/>
          <w:szCs w:val="20"/>
          <w:color w:val="auto"/>
        </w:rPr>
      </w:pPr>
      <w:r>
        <w:rPr>
          <w:rFonts w:ascii="Times New Roman" w:cs="Times New Roman" w:eastAsia="Times New Roman" w:hAnsi="Times New Roman"/>
          <w:sz w:val="17"/>
          <w:szCs w:val="17"/>
          <w:color w:val="auto"/>
        </w:rPr>
        <w:t>The Company is applying the if-converted method when reporting the number of potentially dilutive shares of common stock. Although the required use of the if-converted method will not impact the diluted net loss per share as long as the Company is in a net loss position, the Company is required to include disclosures of all the underlying shares regardless of the average stock price for the reporting period.</w:t>
      </w:r>
    </w:p>
    <w:p>
      <w:pPr>
        <w:spacing w:after="0" w:line="110" w:lineRule="exact"/>
        <w:rPr>
          <w:sz w:val="20"/>
          <w:szCs w:val="20"/>
          <w:color w:val="auto"/>
        </w:rPr>
      </w:pPr>
    </w:p>
    <w:p>
      <w:pPr>
        <w:ind w:right="440" w:firstLine="470"/>
        <w:spacing w:after="0" w:line="276" w:lineRule="auto"/>
        <w:rPr>
          <w:sz w:val="20"/>
          <w:szCs w:val="20"/>
          <w:color w:val="auto"/>
        </w:rPr>
      </w:pPr>
      <w:r>
        <w:rPr>
          <w:rFonts w:ascii="Times New Roman" w:cs="Times New Roman" w:eastAsia="Times New Roman" w:hAnsi="Times New Roman"/>
          <w:sz w:val="17"/>
          <w:szCs w:val="17"/>
          <w:color w:val="auto"/>
        </w:rPr>
        <w:t>The Company’s convertible senior notes are classified as non-current liabilities until the reporting period date is within one year of maturity of the convertible senior notes or when the Company has received a redemption request, but settlement will occur after the reporting period date. Under such circumstances, the carrying amount of the convertible senior notes, net of the associated unamortized debt issuance costs, is classified as a current liability.</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 xml:space="preserve">Refer to Note 6, </w:t>
      </w:r>
      <w:r>
        <w:rPr>
          <w:rFonts w:ascii="Times New Roman" w:cs="Times New Roman" w:eastAsia="Times New Roman" w:hAnsi="Times New Roman"/>
          <w:sz w:val="17"/>
          <w:szCs w:val="17"/>
          <w:i w:val="1"/>
          <w:iCs w:val="1"/>
          <w:color w:val="auto"/>
        </w:rPr>
        <w:t>Convertible Senior Notes</w:t>
      </w:r>
      <w:r>
        <w:rPr>
          <w:rFonts w:ascii="Times New Roman" w:cs="Times New Roman" w:eastAsia="Times New Roman" w:hAnsi="Times New Roman"/>
          <w:sz w:val="17"/>
          <w:szCs w:val="17"/>
          <w:color w:val="auto"/>
        </w:rPr>
        <w:t xml:space="preserve"> for more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Research and Development</w:t>
      </w:r>
    </w:p>
    <w:p>
      <w:pPr>
        <w:spacing w:after="0" w:line="172" w:lineRule="exact"/>
        <w:rPr>
          <w:sz w:val="20"/>
          <w:szCs w:val="20"/>
          <w:color w:val="auto"/>
        </w:rPr>
      </w:pPr>
    </w:p>
    <w:p>
      <w:pPr>
        <w:ind w:right="200" w:firstLine="470"/>
        <w:spacing w:after="0" w:line="295" w:lineRule="auto"/>
        <w:rPr>
          <w:sz w:val="20"/>
          <w:szCs w:val="20"/>
          <w:color w:val="auto"/>
        </w:rPr>
      </w:pPr>
      <w:r>
        <w:rPr>
          <w:rFonts w:ascii="Times New Roman" w:cs="Times New Roman" w:eastAsia="Times New Roman" w:hAnsi="Times New Roman"/>
          <w:sz w:val="17"/>
          <w:szCs w:val="17"/>
          <w:color w:val="auto"/>
        </w:rPr>
        <w:t>Research and development costs are expensed as incurred and consist primarily of personnel costs, including salaries, bonuses and benefits and stock-based compensation. Research and development costs also include amortization associated with acquired finite-lived intangible assets and allocated overhead.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Advertising</w:t>
      </w:r>
    </w:p>
    <w:p>
      <w:pPr>
        <w:spacing w:after="0" w:line="172" w:lineRule="exact"/>
        <w:rPr>
          <w:sz w:val="20"/>
          <w:szCs w:val="20"/>
          <w:color w:val="auto"/>
        </w:rPr>
      </w:pPr>
    </w:p>
    <w:p>
      <w:pPr>
        <w:jc w:val="both"/>
        <w:ind w:right="260" w:firstLine="470"/>
        <w:spacing w:after="0" w:line="276" w:lineRule="auto"/>
        <w:rPr>
          <w:sz w:val="20"/>
          <w:szCs w:val="20"/>
          <w:color w:val="auto"/>
        </w:rPr>
      </w:pPr>
      <w:r>
        <w:rPr>
          <w:rFonts w:ascii="Times New Roman" w:cs="Times New Roman" w:eastAsia="Times New Roman" w:hAnsi="Times New Roman"/>
          <w:sz w:val="17"/>
          <w:szCs w:val="17"/>
          <w:color w:val="auto"/>
        </w:rPr>
        <w:t>Advertising costs are expensed as incurred, or the first time the advertising takes place, based on the nature of the advertising. Advertising costs were $30.8 million, $29.7 million and $18.7 million for the years ended January 31, 2025, 2024 and 2023, respectively. Advertising costs are recorded in sales and marketing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Stock-Based Compensation</w:t>
      </w:r>
    </w:p>
    <w:p>
      <w:pPr>
        <w:spacing w:after="0" w:line="172"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Compensation expense related to stock-based awards granted to employees and non-employees is calculated based on the fair value of stock-based awards on the date of grant. For restricted stock units, fair value is based on the closing price of the Company’s common stock on the grant date.</w:t>
      </w:r>
    </w:p>
    <w:p>
      <w:pPr>
        <w:spacing w:after="0" w:line="94" w:lineRule="exact"/>
        <w:rPr>
          <w:sz w:val="20"/>
          <w:szCs w:val="20"/>
          <w:color w:val="auto"/>
        </w:rPr>
      </w:pPr>
    </w:p>
    <w:p>
      <w:pPr>
        <w:ind w:right="220" w:firstLine="470"/>
        <w:spacing w:after="0" w:line="276" w:lineRule="auto"/>
        <w:rPr>
          <w:sz w:val="20"/>
          <w:szCs w:val="20"/>
          <w:color w:val="auto"/>
        </w:rPr>
      </w:pPr>
      <w:r>
        <w:rPr>
          <w:rFonts w:ascii="Times New Roman" w:cs="Times New Roman" w:eastAsia="Times New Roman" w:hAnsi="Times New Roman"/>
          <w:sz w:val="17"/>
          <w:szCs w:val="17"/>
          <w:color w:val="auto"/>
        </w:rPr>
        <w:t>For stock options and purchase rights issued to employees under the 2017 Employee Stock Purchase Plan (“2017 ESPP”), the Company determines the grant date fair value using the Black-Scholes option-pricing model. This option-pricing model requires the use of assumptions, which are subjective and generally requires significant judgment to determine. The assumptions for the option-pricing model were determined as follows:</w:t>
      </w:r>
    </w:p>
    <w:p>
      <w:pPr>
        <w:spacing w:after="0" w:line="108" w:lineRule="exact"/>
        <w:rPr>
          <w:sz w:val="20"/>
          <w:szCs w:val="20"/>
          <w:color w:val="auto"/>
        </w:rPr>
      </w:pPr>
    </w:p>
    <w:p>
      <w:pPr>
        <w:ind w:left="640" w:right="20" w:hanging="322"/>
        <w:spacing w:after="0" w:line="274" w:lineRule="auto"/>
        <w:tabs>
          <w:tab w:leader="none" w:pos="62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The expected term represents the period that stock-based awards are expected to be outstanding. For option grants that are considered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“plain vanilla,” the Company determines the expected term using the simplified method. The simplified method deems the term to be the average of the time-to-vesting and the contractual life of the options. For purchase rights granted under the 2017 ESPP, the expected term represents the offering period.</w:t>
      </w:r>
    </w:p>
    <w:p>
      <w:pPr>
        <w:spacing w:after="0" w:line="323" w:lineRule="exact"/>
        <w:rPr>
          <w:rFonts w:ascii="Times New Roman" w:cs="Times New Roman" w:eastAsia="Times New Roman" w:hAnsi="Times New Roman"/>
          <w:sz w:val="17"/>
          <w:szCs w:val="17"/>
          <w:color w:val="auto"/>
        </w:rPr>
      </w:pPr>
    </w:p>
    <w:p>
      <w:pPr>
        <w:ind w:left="640" w:right="160" w:hanging="322"/>
        <w:spacing w:after="0" w:line="270" w:lineRule="auto"/>
        <w:tabs>
          <w:tab w:leader="none" w:pos="637"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Since the Company had limited trading history of its common stock, the expected volatility for its stock option grants was derived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the average historical stock volatilities of several unrelated public companies within the Company’s industry that the Company considered to be comparable to its own business over a period equivalent to the expected term of the stock option grants. For purchase rights granted under the 2017 ESPP, the volatility is derived from the historical volatility of the Company’s common stock.</w:t>
      </w:r>
    </w:p>
    <w:p>
      <w:pPr>
        <w:spacing w:after="0" w:line="113" w:lineRule="exact"/>
        <w:rPr>
          <w:rFonts w:ascii="Times New Roman" w:cs="Times New Roman" w:eastAsia="Times New Roman" w:hAnsi="Times New Roman"/>
          <w:sz w:val="17"/>
          <w:szCs w:val="17"/>
          <w:color w:val="auto"/>
        </w:rPr>
      </w:pPr>
    </w:p>
    <w:p>
      <w:pPr>
        <w:ind w:left="640" w:right="100" w:hanging="322"/>
        <w:spacing w:after="0" w:line="298" w:lineRule="auto"/>
        <w:tabs>
          <w:tab w:leader="none" w:pos="63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The risk-free interest rate is based on the U.S. Treasury yield curve in effect at the time of grant for zero-coupon U.S. Treasury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notes with maturities approximately equal to the option’s expected term and 2017 ESPP offering period.</w:t>
      </w:r>
    </w:p>
    <w:p>
      <w:pPr>
        <w:spacing w:after="0" w:line="89" w:lineRule="exact"/>
        <w:rPr>
          <w:rFonts w:ascii="Times New Roman" w:cs="Times New Roman" w:eastAsia="Times New Roman" w:hAnsi="Times New Roman"/>
          <w:sz w:val="17"/>
          <w:szCs w:val="17"/>
          <w:color w:val="auto"/>
        </w:rPr>
      </w:pPr>
    </w:p>
    <w:p>
      <w:pPr>
        <w:ind w:left="620" w:hanging="302"/>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Dividend Rate. </w:t>
      </w:r>
      <w:r>
        <w:rPr>
          <w:rFonts w:ascii="Times New Roman" w:cs="Times New Roman" w:eastAsia="Times New Roman" w:hAnsi="Times New Roman"/>
          <w:sz w:val="17"/>
          <w:szCs w:val="17"/>
          <w:color w:val="auto"/>
        </w:rPr>
        <w:t>The expected dividend is assumed to be zero as the Company has never paid dividends and has no current plans to do so.</w:t>
      </w:r>
    </w:p>
    <w:p>
      <w:pPr>
        <w:spacing w:after="0" w:line="172" w:lineRule="exact"/>
        <w:rPr>
          <w:sz w:val="20"/>
          <w:szCs w:val="20"/>
          <w:color w:val="auto"/>
        </w:rPr>
      </w:pPr>
    </w:p>
    <w:p>
      <w:pPr>
        <w:ind w:right="160" w:firstLine="470"/>
        <w:spacing w:after="0" w:line="295" w:lineRule="auto"/>
        <w:rPr>
          <w:sz w:val="20"/>
          <w:szCs w:val="20"/>
          <w:color w:val="auto"/>
        </w:rPr>
      </w:pPr>
      <w:r>
        <w:rPr>
          <w:rFonts w:ascii="Times New Roman" w:cs="Times New Roman" w:eastAsia="Times New Roman" w:hAnsi="Times New Roman"/>
          <w:sz w:val="17"/>
          <w:szCs w:val="17"/>
          <w:color w:val="auto"/>
        </w:rPr>
        <w:t>The Company’s stock price volatility and expected option life involve management's best estimates, both of which impact the fair value estimated under the Black-Scholes option-pricing model and, ultimately, the expense that will be recognized.</w:t>
      </w:r>
    </w:p>
    <w:p>
      <w:pPr>
        <w:spacing w:after="0" w:line="94" w:lineRule="exact"/>
        <w:rPr>
          <w:sz w:val="20"/>
          <w:szCs w:val="20"/>
          <w:color w:val="auto"/>
        </w:rPr>
      </w:pPr>
    </w:p>
    <w:p>
      <w:pPr>
        <w:ind w:right="180" w:firstLine="470"/>
        <w:spacing w:after="0" w:line="276" w:lineRule="auto"/>
        <w:rPr>
          <w:sz w:val="20"/>
          <w:szCs w:val="20"/>
          <w:color w:val="auto"/>
        </w:rPr>
      </w:pPr>
      <w:r>
        <w:rPr>
          <w:rFonts w:ascii="Times New Roman" w:cs="Times New Roman" w:eastAsia="Times New Roman" w:hAnsi="Times New Roman"/>
          <w:sz w:val="17"/>
          <w:szCs w:val="17"/>
          <w:color w:val="auto"/>
        </w:rPr>
        <w:t>The Company recognizes the related stock-based compensation expense for restricted stock units and stock options on a straight-line basis over the employee’s requisite service period, which is generally four years. The Company has elected to account for forfeitures as they occur. The Company recognizes the stock-based compensation expense related to the 2017 Employee Stock Purchase Plan on a straight-line basis over the offering period.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Net Loss Per Share</w:t>
      </w:r>
    </w:p>
    <w:p>
      <w:pPr>
        <w:spacing w:after="0" w:line="172" w:lineRule="exact"/>
        <w:rPr>
          <w:sz w:val="20"/>
          <w:szCs w:val="20"/>
          <w:color w:val="auto"/>
        </w:rPr>
      </w:pPr>
    </w:p>
    <w:p>
      <w:pPr>
        <w:ind w:right="120" w:firstLine="470"/>
        <w:spacing w:after="0" w:line="276" w:lineRule="auto"/>
        <w:rPr>
          <w:sz w:val="20"/>
          <w:szCs w:val="20"/>
          <w:color w:val="auto"/>
        </w:rPr>
      </w:pPr>
      <w:r>
        <w:rPr>
          <w:rFonts w:ascii="Times New Roman" w:cs="Times New Roman" w:eastAsia="Times New Roman" w:hAnsi="Times New Roman"/>
          <w:sz w:val="17"/>
          <w:szCs w:val="17"/>
          <w:color w:val="auto"/>
        </w:rPr>
        <w:t xml:space="preserve">The Company calculates basic net loss per share by dividing the net loss by the weighted-average number of shares of common stock outstanding during the period, less shares subject to repurchase. Diluted net loss per share is computed by giving effect to all potentially dilutive securities outstanding for the period, including stock options, restricted stock units and convertible senior notes. Refer to Note 11. </w:t>
      </w:r>
      <w:r>
        <w:rPr>
          <w:rFonts w:ascii="Times New Roman" w:cs="Times New Roman" w:eastAsia="Times New Roman" w:hAnsi="Times New Roman"/>
          <w:sz w:val="17"/>
          <w:szCs w:val="17"/>
          <w:i w:val="1"/>
          <w:iCs w:val="1"/>
          <w:color w:val="auto"/>
        </w:rPr>
        <w:t>Net Loss Per Share</w:t>
      </w:r>
      <w:r>
        <w:rPr>
          <w:rFonts w:ascii="Times New Roman" w:cs="Times New Roman" w:eastAsia="Times New Roman" w:hAnsi="Times New Roman"/>
          <w:sz w:val="17"/>
          <w:szCs w:val="17"/>
          <w:color w:val="auto"/>
        </w:rPr>
        <w:t xml:space="preserve"> for more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Segment Information</w:t>
      </w:r>
    </w:p>
    <w:p>
      <w:pPr>
        <w:spacing w:after="0" w:line="172" w:lineRule="exact"/>
        <w:rPr>
          <w:sz w:val="20"/>
          <w:szCs w:val="20"/>
          <w:color w:val="auto"/>
        </w:rPr>
      </w:pPr>
    </w:p>
    <w:p>
      <w:pPr>
        <w:ind w:right="60" w:firstLine="470"/>
        <w:spacing w:after="0" w:line="262" w:lineRule="auto"/>
        <w:rPr>
          <w:sz w:val="20"/>
          <w:szCs w:val="20"/>
          <w:color w:val="auto"/>
        </w:rPr>
      </w:pPr>
      <w:r>
        <w:rPr>
          <w:rFonts w:ascii="Times New Roman" w:cs="Times New Roman" w:eastAsia="Times New Roman" w:hAnsi="Times New Roman"/>
          <w:sz w:val="17"/>
          <w:szCs w:val="17"/>
          <w:color w:val="auto"/>
        </w:rPr>
        <w:t>The Company’s chief operating decision maker (“CODM”), the Chief Executive Officer, manages the Company’s business activities as a single operating and reportable segment at the consolidated level. Accordingly, the CODM uses consolidated net loss to make operating decisions, allocate resources and assess performance. The CODM uses consolidated net loss to evaluate cost optimization and allocate resources, including personnel-related and financial or capital resources, in the annual budget and forecasting process, as well as budget-to-actual variances on a monthly basis. Further, the CODM reviews and utilizes functional expenses (cost of revenues, sales and marketing, research and development, and general and administrative) at the consolidated level to manage the Company’s operations. Other segment items included in consolidated net loss are interest income, interest expense, other income (expense), net and the provision for income taxes, which are reflected in the consolidated statements of operations. Geographic information is included in Note 9, “</w:t>
      </w:r>
      <w:r>
        <w:rPr>
          <w:rFonts w:ascii="Times New Roman" w:cs="Times New Roman" w:eastAsia="Times New Roman" w:hAnsi="Times New Roman"/>
          <w:sz w:val="17"/>
          <w:szCs w:val="17"/>
          <w:i w:val="1"/>
          <w:iCs w:val="1"/>
          <w:color w:val="auto"/>
        </w:rPr>
        <w:t>Revenue</w:t>
      </w:r>
      <w:r>
        <w:rPr>
          <w:rFonts w:ascii="Times New Roman" w:cs="Times New Roman" w:eastAsia="Times New Roman" w:hAnsi="Times New Roman"/>
          <w:sz w:val="17"/>
          <w:szCs w:val="17"/>
          <w:color w:val="auto"/>
        </w:rPr>
        <w:t>” for total revenue and long-lived assets.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Income Taxes</w:t>
      </w:r>
    </w:p>
    <w:p>
      <w:pPr>
        <w:spacing w:after="0" w:line="172" w:lineRule="exact"/>
        <w:rPr>
          <w:sz w:val="20"/>
          <w:szCs w:val="20"/>
          <w:color w:val="auto"/>
        </w:rPr>
      </w:pPr>
    </w:p>
    <w:p>
      <w:pPr>
        <w:jc w:val="both"/>
        <w:ind w:firstLine="470"/>
        <w:spacing w:after="0" w:line="276" w:lineRule="auto"/>
        <w:rPr>
          <w:sz w:val="20"/>
          <w:szCs w:val="20"/>
          <w:color w:val="auto"/>
        </w:rPr>
      </w:pPr>
      <w:r>
        <w:rPr>
          <w:rFonts w:ascii="Times New Roman" w:cs="Times New Roman" w:eastAsia="Times New Roman" w:hAnsi="Times New Roman"/>
          <w:sz w:val="17"/>
          <w:szCs w:val="17"/>
          <w:color w:val="auto"/>
        </w:rPr>
        <w:t>The Company follows the asset and liability method of accounting for income taxes. This method requires recognition of deferred tax assets and liabilities for the expected future tax consequences of temporary differences between the carrying amounts and the tax basis of assets and liabilities. Valuation allowances are established when necessary to reduce the deferred tax assets to the amount the Company believes is more likely than not to be realized.</w:t>
      </w:r>
    </w:p>
    <w:p>
      <w:pPr>
        <w:spacing w:after="0" w:line="110" w:lineRule="exact"/>
        <w:rPr>
          <w:sz w:val="20"/>
          <w:szCs w:val="20"/>
          <w:color w:val="auto"/>
        </w:rPr>
      </w:pPr>
    </w:p>
    <w:p>
      <w:pPr>
        <w:ind w:right="80" w:firstLine="470"/>
        <w:spacing w:after="0" w:line="269" w:lineRule="auto"/>
        <w:rPr>
          <w:sz w:val="20"/>
          <w:szCs w:val="20"/>
          <w:color w:val="auto"/>
        </w:rPr>
      </w:pPr>
      <w:r>
        <w:rPr>
          <w:rFonts w:ascii="Times New Roman" w:cs="Times New Roman" w:eastAsia="Times New Roman" w:hAnsi="Times New Roman"/>
          <w:sz w:val="17"/>
          <w:szCs w:val="17"/>
          <w:color w:val="auto"/>
        </w:rPr>
        <w:t>The Company recognizes the tax benefit from uncertain tax positions only if it is more likely than not that the tax position will be sustained on examination by the tax authorities, based on the technical merits of the position. The tax benefit is measured based on the largest benefit that is more likely than not of being realized upon ultimate settlement. The Company recognizes interest and penalties on amounts due to taxing authorities as a component of other income (expense), net.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Related Party Transactions</w:t>
      </w:r>
    </w:p>
    <w:p>
      <w:pPr>
        <w:spacing w:after="0" w:line="172" w:lineRule="exact"/>
        <w:rPr>
          <w:sz w:val="20"/>
          <w:szCs w:val="20"/>
          <w:color w:val="auto"/>
        </w:rPr>
      </w:pPr>
    </w:p>
    <w:p>
      <w:pPr>
        <w:ind w:right="360" w:firstLine="470"/>
        <w:spacing w:after="0" w:line="295" w:lineRule="auto"/>
        <w:rPr>
          <w:sz w:val="20"/>
          <w:szCs w:val="20"/>
          <w:color w:val="auto"/>
        </w:rPr>
      </w:pPr>
      <w:r>
        <w:rPr>
          <w:rFonts w:ascii="Times New Roman" w:cs="Times New Roman" w:eastAsia="Times New Roman" w:hAnsi="Times New Roman"/>
          <w:sz w:val="17"/>
          <w:szCs w:val="17"/>
          <w:color w:val="auto"/>
        </w:rPr>
        <w:t>All contracts with related parties are executed in the ordinary course of business. There were no material related party transactions in the years ended January 31, 2025, 2024 and 2023. As of January 31, 2025 and 2024, there were no material amounts payable to or amounts receivable from related parties.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Recently Adopted Accounting Pronouncements</w:t>
      </w:r>
    </w:p>
    <w:p>
      <w:pPr>
        <w:spacing w:after="0" w:line="170" w:lineRule="exact"/>
        <w:rPr>
          <w:sz w:val="20"/>
          <w:szCs w:val="20"/>
          <w:color w:val="auto"/>
        </w:rPr>
      </w:pPr>
    </w:p>
    <w:p>
      <w:pPr>
        <w:ind w:right="20" w:firstLine="470"/>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Improvements to Reportable Segment Disclosures. </w:t>
      </w:r>
      <w:r>
        <w:rPr>
          <w:rFonts w:ascii="Times New Roman" w:cs="Times New Roman" w:eastAsia="Times New Roman" w:hAnsi="Times New Roman"/>
          <w:sz w:val="17"/>
          <w:szCs w:val="17"/>
          <w:color w:val="auto"/>
        </w:rPr>
        <w:t>In November 2023, the FASB issued ASU 2023-07</w:t>
      </w:r>
      <w:r>
        <w:rPr>
          <w:rFonts w:ascii="Times New Roman" w:cs="Times New Roman" w:eastAsia="Times New Roman" w:hAnsi="Times New Roman"/>
          <w:sz w:val="17"/>
          <w:szCs w:val="17"/>
          <w:i w:val="1"/>
          <w:iCs w:val="1"/>
          <w:color w:val="auto"/>
        </w:rPr>
        <w:t>, Segment Reporting (Topic 280)</w:t>
      </w:r>
      <w:r>
        <w:rPr>
          <w:rFonts w:ascii="Times New Roman" w:cs="Times New Roman" w:eastAsia="Times New Roman" w:hAnsi="Times New Roman"/>
          <w:sz w:val="17"/>
          <w:szCs w:val="17"/>
          <w:color w:val="auto"/>
        </w:rPr>
        <w:t>: Improvements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Reportable Segment Disclosures, which requires companies to provide disclosures of significant segment expenses and other segment items. The guidance requires companies to provide in interim periods all disclosures about a reportable segment’s profit or loss and assets that are currently required annually. The Company adopted ASU 2023-07 for its annual financial statements ending January 31, 2025, on a retrospective basis. The adoption of this standard did not have a material financial impact on the Company’s consolidated financial statements.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Recently Issued Accounting Pronouncements</w:t>
      </w:r>
    </w:p>
    <w:p>
      <w:pPr>
        <w:spacing w:after="0" w:line="170" w:lineRule="exact"/>
        <w:rPr>
          <w:sz w:val="20"/>
          <w:szCs w:val="20"/>
          <w:color w:val="auto"/>
        </w:rPr>
      </w:pPr>
    </w:p>
    <w:p>
      <w:pPr>
        <w:ind w:right="20" w:firstLine="47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Improvements to Income Tax Disclosures. </w:t>
      </w:r>
      <w:r>
        <w:rPr>
          <w:rFonts w:ascii="Times New Roman" w:cs="Times New Roman" w:eastAsia="Times New Roman" w:hAnsi="Times New Roman"/>
          <w:sz w:val="17"/>
          <w:szCs w:val="17"/>
          <w:color w:val="auto"/>
        </w:rPr>
        <w:t>In December 2023, the FASB issued ASU 2023-09,</w:t>
      </w:r>
      <w:r>
        <w:rPr>
          <w:rFonts w:ascii="Times New Roman" w:cs="Times New Roman" w:eastAsia="Times New Roman" w:hAnsi="Times New Roman"/>
          <w:sz w:val="17"/>
          <w:szCs w:val="17"/>
          <w:i w:val="1"/>
          <w:iCs w:val="1"/>
          <w:color w:val="auto"/>
        </w:rPr>
        <w:t xml:space="preserve"> Income Taxes (Topic 740): </w:t>
      </w:r>
      <w:r>
        <w:rPr>
          <w:rFonts w:ascii="Times New Roman" w:cs="Times New Roman" w:eastAsia="Times New Roman" w:hAnsi="Times New Roman"/>
          <w:sz w:val="17"/>
          <w:szCs w:val="17"/>
          <w:color w:val="auto"/>
        </w:rPr>
        <w:t>Improvements to Income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Disclosures, which requires companies to disclose additional information about income taxes, primarily their rate reconciliation information and income taxes paid. The new guidance requires companies to disclose in their rate reconciliation table additional categories of information about federal, state and foreign income taxes and to provide more details about the reconciling items in some categories if the items meet a quantitative threshold. Additionally, companies will be required to disclose annually income taxes paid (net of refunds received) disaggregated by federal, state and foreign taxes and to disaggregate the information by jurisdiction based on a quantitative threshold. The guidance is effective for the Company for the fiscal year ending January 31, 2026, and early adoption is permitted. The Company is currently evaluating the impact of ASU 2023-09 on its consolidated financial statements.</w:t>
      </w:r>
    </w:p>
    <w:p>
      <w:pPr>
        <w:spacing w:after="0" w:line="121" w:lineRule="exact"/>
        <w:rPr>
          <w:sz w:val="20"/>
          <w:szCs w:val="20"/>
          <w:color w:val="auto"/>
        </w:rPr>
      </w:pPr>
    </w:p>
    <w:p>
      <w:pPr>
        <w:ind w:right="40" w:firstLine="470"/>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Disaggregation—Income Statement Expenses. </w:t>
      </w:r>
      <w:r>
        <w:rPr>
          <w:rFonts w:ascii="Times New Roman" w:cs="Times New Roman" w:eastAsia="Times New Roman" w:hAnsi="Times New Roman"/>
          <w:sz w:val="17"/>
          <w:szCs w:val="17"/>
          <w:color w:val="auto"/>
        </w:rPr>
        <w:t>In November 2024, the FASB issued ASU 2024-03,</w:t>
      </w:r>
      <w:r>
        <w:rPr>
          <w:rFonts w:ascii="Times New Roman" w:cs="Times New Roman" w:eastAsia="Times New Roman" w:hAnsi="Times New Roman"/>
          <w:sz w:val="17"/>
          <w:szCs w:val="17"/>
          <w:i w:val="1"/>
          <w:iCs w:val="1"/>
          <w:color w:val="auto"/>
        </w:rPr>
        <w:t xml:space="preserve"> Income Statement—Reporting Comprehensive Income —Expense Disaggregation Disclosures (Subtopic 220-40): </w:t>
      </w:r>
      <w:r>
        <w:rPr>
          <w:rFonts w:ascii="Times New Roman" w:cs="Times New Roman" w:eastAsia="Times New Roman" w:hAnsi="Times New Roman"/>
          <w:sz w:val="17"/>
          <w:szCs w:val="17"/>
          <w:color w:val="auto"/>
        </w:rPr>
        <w:t>Disaggregation of Income Statement Expenses, which requires disclosures about specific types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included in the expense captions presented on the Statement of Operations as well as disclosures about selling expenses. The guidance is effective for annual filings for the Company's fiscal year beginning February 1, 2027, and interim filings for the fiscal year beginning February 1, 2028, and can be applied either prospectively or retrospectively, with early adoption permitted. The Company is currently evaluating the impact of ASU 2024-03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Fair Value Measurements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tables present information about the Company’s financial assets that have been measured at fair value on a recurring basis as of January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 and 2024 and indicate the fair value hierarchy of the valuation inputs utilized to determine such fair value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9"/>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Fair Value Measurement at January 31, 2025</w:t>
            </w:r>
          </w:p>
        </w:tc>
        <w:tc>
          <w:tcPr>
            <w:tcW w:w="1120" w:type="dxa"/>
            <w:vAlign w:val="bottom"/>
            <w:tcBorders>
              <w:bottom w:val="single" w:sz="8" w:color="auto"/>
            </w:tcBorders>
          </w:tcPr>
          <w:p>
            <w:pPr>
              <w:spacing w:after="0"/>
              <w:rPr>
                <w:sz w:val="19"/>
                <w:szCs w:val="19"/>
                <w:color w:val="auto"/>
              </w:rPr>
            </w:pPr>
          </w:p>
        </w:tc>
      </w:tr>
      <w:tr>
        <w:trPr>
          <w:trHeight w:val="235"/>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20" w:type="dxa"/>
            <w:vAlign w:val="bottom"/>
          </w:tcPr>
          <w:p>
            <w:pPr>
              <w:spacing w:after="0"/>
              <w:rPr>
                <w:sz w:val="20"/>
                <w:szCs w:val="20"/>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1"/>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152,588</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152,588</w:t>
            </w:r>
          </w:p>
        </w:tc>
      </w:tr>
      <w:tr>
        <w:trPr>
          <w:trHeight w:val="22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government treasury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1,846,444</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1,846,444</w:t>
            </w:r>
          </w:p>
        </w:tc>
      </w:tr>
      <w:tr>
        <w:trPr>
          <w:trHeight w:val="254"/>
        </w:trPr>
        <w:tc>
          <w:tcPr>
            <w:tcW w:w="5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financial assets</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1,999,032</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1,999,032</w:t>
            </w:r>
          </w:p>
        </w:tc>
      </w:tr>
      <w:tr>
        <w:trPr>
          <w:trHeight w:val="20"/>
        </w:trPr>
        <w:tc>
          <w:tcPr>
            <w:tcW w:w="5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9"/>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Fair Value Measurement at January 31, 2024</w:t>
            </w:r>
          </w:p>
        </w:tc>
        <w:tc>
          <w:tcPr>
            <w:tcW w:w="1120" w:type="dxa"/>
            <w:vAlign w:val="bottom"/>
            <w:tcBorders>
              <w:bottom w:val="single" w:sz="8" w:color="auto"/>
            </w:tcBorders>
          </w:tcPr>
          <w:p>
            <w:pPr>
              <w:spacing w:after="0"/>
              <w:rPr>
                <w:sz w:val="19"/>
                <w:szCs w:val="19"/>
                <w:color w:val="auto"/>
              </w:rPr>
            </w:pPr>
          </w:p>
        </w:tc>
      </w:tr>
      <w:tr>
        <w:trPr>
          <w:trHeight w:val="235"/>
        </w:trPr>
        <w:tc>
          <w:tcPr>
            <w:tcW w:w="5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20" w:type="dxa"/>
            <w:vAlign w:val="bottom"/>
          </w:tcPr>
          <w:p>
            <w:pPr>
              <w:spacing w:after="0"/>
              <w:rPr>
                <w:sz w:val="20"/>
                <w:szCs w:val="20"/>
                <w:color w:val="auto"/>
              </w:rPr>
            </w:pPr>
          </w:p>
        </w:tc>
        <w:tc>
          <w:tcPr>
            <w:tcW w:w="112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1"/>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512,456</w:t>
            </w: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512,456</w:t>
            </w:r>
          </w:p>
        </w:tc>
      </w:tr>
      <w:tr>
        <w:trPr>
          <w:trHeight w:val="222"/>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government treasury securities</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1,212,448</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1,212,448</w:t>
            </w:r>
          </w:p>
        </w:tc>
      </w:tr>
      <w:tr>
        <w:trPr>
          <w:trHeight w:val="254"/>
        </w:trPr>
        <w:tc>
          <w:tcPr>
            <w:tcW w:w="5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financial assets</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1,724,904</w:t>
            </w: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1,724,904</w:t>
            </w:r>
          </w:p>
        </w:tc>
      </w:tr>
      <w:tr>
        <w:trPr>
          <w:trHeight w:val="20"/>
        </w:trPr>
        <w:tc>
          <w:tcPr>
            <w:tcW w:w="5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ind w:right="80" w:firstLine="470"/>
        <w:spacing w:after="0" w:line="295" w:lineRule="auto"/>
        <w:rPr>
          <w:sz w:val="20"/>
          <w:szCs w:val="20"/>
          <w:color w:val="auto"/>
        </w:rPr>
      </w:pPr>
      <w:r>
        <w:rPr>
          <w:rFonts w:ascii="Times New Roman" w:cs="Times New Roman" w:eastAsia="Times New Roman" w:hAnsi="Times New Roman"/>
          <w:sz w:val="17"/>
          <w:szCs w:val="17"/>
          <w:color w:val="auto"/>
        </w:rPr>
        <w:t>The Company utilized the market approach and Level 1 valuation inputs to value its money market mutual funds and U.S. government treasury securities because published net asset values were readily available.</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amortized cost and fair value of the Company’s short-term investments by remaining contractual maturity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31, 2025 and January 31, 2024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80"/>
              <w:spacing w:after="0" w:line="169" w:lineRule="exact"/>
              <w:rPr>
                <w:sz w:val="20"/>
                <w:szCs w:val="20"/>
                <w:color w:val="auto"/>
              </w:rPr>
            </w:pPr>
            <w:r>
              <w:rPr>
                <w:rFonts w:ascii="Times New Roman" w:cs="Times New Roman" w:eastAsia="Times New Roman" w:hAnsi="Times New Roman"/>
                <w:sz w:val="17"/>
                <w:szCs w:val="17"/>
                <w:b w:val="1"/>
                <w:bCs w:val="1"/>
                <w:color w:val="auto"/>
              </w:rPr>
              <w:t>Amortized</w:t>
            </w:r>
          </w:p>
        </w:tc>
        <w:tc>
          <w:tcPr>
            <w:tcW w:w="1440" w:type="dxa"/>
            <w:vAlign w:val="bottom"/>
            <w:gridSpan w:val="3"/>
            <w:shd w:val="clear" w:color="auto" w:fill="CCEEFF"/>
          </w:tcPr>
          <w:p>
            <w:pPr>
              <w:jc w:val="right"/>
              <w:ind w:right="240"/>
              <w:spacing w:after="0" w:line="169" w:lineRule="exact"/>
              <w:rPr>
                <w:sz w:val="20"/>
                <w:szCs w:val="20"/>
                <w:color w:val="auto"/>
              </w:rPr>
            </w:pPr>
            <w:r>
              <w:rPr>
                <w:rFonts w:ascii="Times New Roman" w:cs="Times New Roman" w:eastAsia="Times New Roman" w:hAnsi="Times New Roman"/>
                <w:sz w:val="17"/>
                <w:szCs w:val="17"/>
                <w:b w:val="1"/>
                <w:bCs w:val="1"/>
                <w:color w:val="auto"/>
              </w:rPr>
              <w:t>Net Unrealized</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280"/>
              <w:spacing w:after="0" w:line="169" w:lineRule="exact"/>
              <w:rPr>
                <w:sz w:val="20"/>
                <w:szCs w:val="20"/>
                <w:color w:val="auto"/>
              </w:rPr>
            </w:pPr>
            <w:r>
              <w:rPr>
                <w:rFonts w:ascii="Times New Roman" w:cs="Times New Roman" w:eastAsia="Times New Roman" w:hAnsi="Times New Roman"/>
                <w:sz w:val="17"/>
                <w:szCs w:val="17"/>
                <w:b w:val="1"/>
                <w:bCs w:val="1"/>
                <w:color w:val="auto"/>
              </w:rPr>
              <w:t>Amortized</w:t>
            </w:r>
          </w:p>
        </w:tc>
        <w:tc>
          <w:tcPr>
            <w:tcW w:w="1320" w:type="dxa"/>
            <w:vAlign w:val="bottom"/>
            <w:gridSpan w:val="3"/>
            <w:shd w:val="clear" w:color="auto" w:fill="CCEEFF"/>
          </w:tcPr>
          <w:p>
            <w:pPr>
              <w:jc w:val="right"/>
              <w:ind w:right="160"/>
              <w:spacing w:after="0" w:line="169" w:lineRule="exact"/>
              <w:rPr>
                <w:sz w:val="20"/>
                <w:szCs w:val="20"/>
                <w:color w:val="auto"/>
              </w:rPr>
            </w:pPr>
            <w:r>
              <w:rPr>
                <w:rFonts w:ascii="Times New Roman" w:cs="Times New Roman" w:eastAsia="Times New Roman" w:hAnsi="Times New Roman"/>
                <w:sz w:val="17"/>
                <w:szCs w:val="17"/>
                <w:b w:val="1"/>
                <w:bCs w:val="1"/>
                <w:color w:val="auto"/>
              </w:rPr>
              <w:t>Net Unrealized</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Gains (Losses)</w:t>
            </w:r>
          </w:p>
        </w:tc>
        <w:tc>
          <w:tcPr>
            <w:tcW w:w="16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Gains (Losses)</w:t>
            </w:r>
          </w:p>
        </w:tc>
        <w:tc>
          <w:tcPr>
            <w:tcW w:w="2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within one year</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968,748</w:t>
            </w: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969,692</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520,006</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519,463</w:t>
            </w:r>
          </w:p>
        </w:tc>
        <w:tc>
          <w:tcPr>
            <w:tcW w:w="0" w:type="dxa"/>
            <w:vAlign w:val="bottom"/>
          </w:tcPr>
          <w:p>
            <w:pPr>
              <w:spacing w:after="0"/>
              <w:rPr>
                <w:sz w:val="1"/>
                <w:szCs w:val="1"/>
                <w:color w:val="auto"/>
              </w:rPr>
            </w:pPr>
          </w:p>
        </w:tc>
      </w:tr>
      <w:tr>
        <w:trPr>
          <w:trHeight w:val="22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one year and within three years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876,154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876,752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690,211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692,985</w:t>
            </w:r>
          </w:p>
        </w:tc>
        <w:tc>
          <w:tcPr>
            <w:tcW w:w="0" w:type="dxa"/>
            <w:vAlign w:val="bottom"/>
          </w:tcPr>
          <w:p>
            <w:pPr>
              <w:spacing w:after="0"/>
              <w:rPr>
                <w:sz w:val="1"/>
                <w:szCs w:val="1"/>
                <w:color w:val="auto"/>
              </w:rPr>
            </w:pPr>
          </w:p>
        </w:tc>
      </w:tr>
      <w:tr>
        <w:trPr>
          <w:trHeight w:val="215"/>
        </w:trPr>
        <w:tc>
          <w:tcPr>
            <w:tcW w:w="29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1,844,902</w:t>
            </w:r>
          </w:p>
        </w:tc>
        <w:tc>
          <w:tcPr>
            <w:tcW w:w="10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1,846,444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1,210,217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1,212,448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January 31, 2025 and January 31, 2024, unrealized net gains on the Company’s U.S. government treasury securities were approximately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 million and $2.2 million, respectively. These unrealized gains and losses were caused by fluctuations in interest rates, which results in changes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 value of these securities. Since the fluctuation in fair value is due to changes in interest rates and not credit quality, and because the Company does not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intend to sell the investments and it is not more likely than not that the Company will be required to sell the investments before recovery of their amortized cost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bases, which may be at maturity, the Company concluded that an allowance for credit losses was unnecessary for short-term investments as of January 31,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2024. Gross realized gains and losses were not material for each of the years ended January 31, 2025 and 2024. There were no material short-term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investments in a continuous loss position for greater than twelve months.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Non-marketable Securities</w:t>
      </w:r>
    </w:p>
    <w:p>
      <w:pPr>
        <w:spacing w:after="0" w:line="172" w:lineRule="exact"/>
        <w:rPr>
          <w:sz w:val="20"/>
          <w:szCs w:val="20"/>
          <w:color w:val="auto"/>
        </w:rPr>
      </w:pPr>
    </w:p>
    <w:p>
      <w:pPr>
        <w:ind w:right="240" w:firstLine="470"/>
        <w:spacing w:after="0" w:line="295" w:lineRule="auto"/>
        <w:rPr>
          <w:sz w:val="20"/>
          <w:szCs w:val="20"/>
          <w:color w:val="auto"/>
        </w:rPr>
      </w:pPr>
      <w:r>
        <w:rPr>
          <w:rFonts w:ascii="Times New Roman" w:cs="Times New Roman" w:eastAsia="Times New Roman" w:hAnsi="Times New Roman"/>
          <w:sz w:val="17"/>
          <w:szCs w:val="17"/>
          <w:color w:val="auto"/>
        </w:rPr>
        <w:t>As of January 31, 2025 and 2024, the total amount of non-marketable equity securities included in other assets on the Company’s consolidated balance sheets were $24.2 million and $12.9 million, respectively. The Company recognized an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05" w:lineRule="exact"/>
        <w:rPr>
          <w:sz w:val="20"/>
          <w:szCs w:val="20"/>
          <w:color w:val="auto"/>
        </w:rPr>
      </w:pPr>
    </w:p>
    <w:p>
      <w:pPr>
        <w:ind w:right="120"/>
        <w:spacing w:after="0" w:line="295" w:lineRule="auto"/>
        <w:rPr>
          <w:sz w:val="20"/>
          <w:szCs w:val="20"/>
          <w:color w:val="auto"/>
        </w:rPr>
      </w:pPr>
      <w:r>
        <w:rPr>
          <w:rFonts w:ascii="Times New Roman" w:cs="Times New Roman" w:eastAsia="Times New Roman" w:hAnsi="Times New Roman"/>
          <w:sz w:val="17"/>
          <w:szCs w:val="17"/>
          <w:color w:val="auto"/>
        </w:rPr>
        <w:t>immaterial net unrealized gain on certain of these non-marketable securities during the year ended January 31, 2025 and $1.0 million of net unrealized gains on certain of these non-marketable securities during the year ended January 31,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Property and Equipment, Net</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Property and equipment, net consists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00" w:type="dxa"/>
            <w:vAlign w:val="bottom"/>
          </w:tcPr>
          <w:p>
            <w:pPr>
              <w:spacing w:after="0"/>
              <w:rPr>
                <w:sz w:val="16"/>
                <w:szCs w:val="16"/>
                <w:color w:val="auto"/>
              </w:rPr>
            </w:pPr>
          </w:p>
        </w:tc>
        <w:tc>
          <w:tcPr>
            <w:tcW w:w="14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3"/>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Servers</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w:t>
            </w:r>
          </w:p>
        </w:tc>
      </w:tr>
      <w:tr>
        <w:trPr>
          <w:trHeight w:val="22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5,276</w:t>
            </w:r>
          </w:p>
        </w:tc>
      </w:tr>
      <w:tr>
        <w:trPr>
          <w:trHeight w:val="22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and office equipment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6,623</w:t>
            </w:r>
          </w:p>
        </w:tc>
      </w:tr>
      <w:tr>
        <w:trPr>
          <w:trHeight w:val="22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Purchased software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w:t>
            </w:r>
          </w:p>
        </w:tc>
      </w:tr>
      <w:tr>
        <w:trPr>
          <w:trHeight w:val="22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38,677</w:t>
            </w:r>
          </w:p>
        </w:tc>
      </w:tr>
      <w:tr>
        <w:trPr>
          <w:trHeight w:val="22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Website costs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r>
      <w:tr>
        <w:trPr>
          <w:trHeight w:val="22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process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w:t>
            </w:r>
          </w:p>
        </w:tc>
      </w:tr>
      <w:tr>
        <w:trPr>
          <w:trHeight w:val="22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19,540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23,514</w:t>
            </w:r>
          </w:p>
        </w:tc>
      </w:tr>
      <w:tr>
        <w:trPr>
          <w:trHeight w:val="215"/>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77,833</w:t>
            </w:r>
          </w:p>
        </w:tc>
      </w:tr>
      <w:tr>
        <w:trPr>
          <w:trHeight w:val="22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(24,791)</w:t>
            </w:r>
          </w:p>
        </w:tc>
      </w:tr>
      <w:tr>
        <w:trPr>
          <w:trHeight w:val="24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46,377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53,042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right="80" w:firstLine="470"/>
        <w:spacing w:after="0" w:line="276" w:lineRule="auto"/>
        <w:rPr>
          <w:sz w:val="20"/>
          <w:szCs w:val="20"/>
          <w:color w:val="auto"/>
        </w:rPr>
      </w:pPr>
      <w:r>
        <w:rPr>
          <w:rFonts w:ascii="Times New Roman" w:cs="Times New Roman" w:eastAsia="Times New Roman" w:hAnsi="Times New Roman"/>
          <w:sz w:val="17"/>
          <w:szCs w:val="17"/>
          <w:color w:val="auto"/>
        </w:rPr>
        <w:t xml:space="preserve">Depreciation and amortization expense related to property and equipment was $8.3 million, $8.0 million and $6.9 million for the years ended January 31, 2025, 2024 and 2023, respectively. Depreciation and amortization expense excludes amortization with respect to the finance lease right-of-use asset, which is described further in Note 7,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Goodwill and Intangible Assets, Net</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changes in the carrying amount of goodwill during the periods presented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20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00" w:type="dxa"/>
            <w:vAlign w:val="bottom"/>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23"/>
        </w:trPr>
        <w:tc>
          <w:tcPr>
            <w:tcW w:w="554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1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beginning of the year</w:t>
            </w:r>
          </w:p>
        </w:tc>
        <w:tc>
          <w:tcPr>
            <w:tcW w:w="2080" w:type="dxa"/>
            <w:vAlign w:val="bottom"/>
            <w:shd w:val="clear" w:color="auto" w:fill="CCEEFF"/>
          </w:tcPr>
          <w:p>
            <w:pPr>
              <w:jc w:val="right"/>
              <w:ind w:right="1879"/>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69,679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57,779</w:t>
            </w:r>
          </w:p>
        </w:tc>
      </w:tr>
      <w:tr>
        <w:trPr>
          <w:trHeight w:val="222"/>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in goodwill related to business combinations</w:t>
            </w:r>
          </w:p>
        </w:tc>
        <w:tc>
          <w:tcPr>
            <w:tcW w:w="20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11,900</w:t>
            </w:r>
          </w:p>
        </w:tc>
      </w:tr>
      <w:tr>
        <w:trPr>
          <w:trHeight w:val="240"/>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end of the year</w:t>
            </w:r>
          </w:p>
        </w:tc>
        <w:tc>
          <w:tcPr>
            <w:tcW w:w="2080" w:type="dxa"/>
            <w:vAlign w:val="bottom"/>
            <w:tcBorders>
              <w:top w:val="single" w:sz="8" w:color="auto"/>
              <w:bottom w:val="single" w:sz="8" w:color="auto"/>
            </w:tcBorders>
            <w:shd w:val="clear" w:color="auto" w:fill="CCEEFF"/>
          </w:tcPr>
          <w:p>
            <w:pPr>
              <w:jc w:val="right"/>
              <w:ind w:right="1879"/>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2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69,679</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60" w:firstLine="470"/>
        <w:spacing w:after="0" w:line="260" w:lineRule="auto"/>
        <w:rPr>
          <w:sz w:val="20"/>
          <w:szCs w:val="20"/>
          <w:color w:val="auto"/>
        </w:rPr>
      </w:pPr>
      <w:r>
        <w:rPr>
          <w:rFonts w:ascii="Times New Roman" w:cs="Times New Roman" w:eastAsia="Times New Roman" w:hAnsi="Times New Roman"/>
          <w:sz w:val="17"/>
          <w:szCs w:val="17"/>
          <w:color w:val="auto"/>
        </w:rPr>
        <w:t>On September 27, 2023, the Company acquired the assets of Grainite, Inc. (“Grainite”), for total cash consideration of $15.0 million. Grainite is a stream processing application company and the transaction is intended to accelerate the development of the Company’s stream processing offering. The Company accounted for the transaction as a business combination, after determining that the acquired set of assets, the fair value of which was not concentrated in a single asset, or group of similar assets, and included (a) an assembled workforce and (b) intangible asset, met the definition of a business. As a result, the Company allocated the estimated fair value of $3.1 million of the identifiable asset acquired to the developed technology intangible asset. The fair value assigned to the intangible asset was determined through the use of a third-party valuation firm using replacement cost approach methodology, and includes the expected profit margin of a hypothetical third-party developer and a market participant’s opportunity cost. Judgment was applied for a number of assumptions used in the valuation of the identified intangible asset. The excess of the cash consideration over the identifiable intangible assets in the amount of $11.9 million was allocated to goodwill. This transaction is accounted for as an asset acquisition for tax purposes, and therefore both the goodwill and acquired intangible asset are deductible for tax purposes. Tax impacts were not material. Acquisition-related transaction costs were not material and have been expensed as incurred and included in general and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305" w:lineRule="exact"/>
        <w:rPr>
          <w:sz w:val="20"/>
          <w:szCs w:val="20"/>
          <w:color w:val="auto"/>
        </w:rPr>
      </w:pPr>
    </w:p>
    <w:p>
      <w:pPr>
        <w:ind w:right="180"/>
        <w:spacing w:after="0" w:line="295" w:lineRule="auto"/>
        <w:rPr>
          <w:sz w:val="20"/>
          <w:szCs w:val="20"/>
          <w:color w:val="auto"/>
        </w:rPr>
      </w:pPr>
      <w:r>
        <w:rPr>
          <w:rFonts w:ascii="Times New Roman" w:cs="Times New Roman" w:eastAsia="Times New Roman" w:hAnsi="Times New Roman"/>
          <w:sz w:val="17"/>
          <w:szCs w:val="17"/>
          <w:color w:val="auto"/>
        </w:rPr>
        <w:t>administrative expenses in the consolidated statements of operations. The business combination did not have a material impact on the Company’s consolidated financial statements for the year ended January 31, 2024.</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gross carrying amount and accumulated amortization of the Company’s intangible assets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60" w:type="dxa"/>
            <w:vAlign w:val="bottom"/>
          </w:tcPr>
          <w:p>
            <w:pPr>
              <w:spacing w:after="0"/>
              <w:rPr>
                <w:sz w:val="10"/>
                <w:szCs w:val="10"/>
                <w:color w:val="auto"/>
              </w:rPr>
            </w:pPr>
          </w:p>
        </w:tc>
        <w:tc>
          <w:tcPr>
            <w:tcW w:w="1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480" w:type="dxa"/>
            <w:vAlign w:val="bottom"/>
          </w:tcPr>
          <w:p>
            <w:pPr>
              <w:spacing w:after="0"/>
              <w:rPr>
                <w:sz w:val="10"/>
                <w:szCs w:val="10"/>
                <w:color w:val="auto"/>
              </w:rPr>
            </w:pPr>
          </w:p>
        </w:tc>
        <w:tc>
          <w:tcPr>
            <w:tcW w:w="152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0"/>
                <w:szCs w:val="10"/>
                <w:color w:val="auto"/>
              </w:rPr>
            </w:pPr>
          </w:p>
        </w:tc>
        <w:tc>
          <w:tcPr>
            <w:tcW w:w="200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Weighted-Average Remaining</w:t>
            </w:r>
          </w:p>
        </w:tc>
        <w:tc>
          <w:tcPr>
            <w:tcW w:w="0" w:type="dxa"/>
            <w:vAlign w:val="bottom"/>
          </w:tcPr>
          <w:p>
            <w:pPr>
              <w:spacing w:after="0"/>
              <w:rPr>
                <w:sz w:val="1"/>
                <w:szCs w:val="1"/>
                <w:color w:val="auto"/>
              </w:rPr>
            </w:pPr>
          </w:p>
        </w:tc>
      </w:tr>
      <w:tr>
        <w:trPr>
          <w:trHeight w:val="189"/>
        </w:trPr>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Useful Life (in years)</w:t>
            </w:r>
          </w:p>
        </w:tc>
        <w:tc>
          <w:tcPr>
            <w:tcW w:w="0" w:type="dxa"/>
            <w:vAlign w:val="bottom"/>
          </w:tcPr>
          <w:p>
            <w:pPr>
              <w:spacing w:after="0"/>
              <w:rPr>
                <w:sz w:val="1"/>
                <w:szCs w:val="1"/>
                <w:color w:val="auto"/>
              </w:rPr>
            </w:pPr>
          </w:p>
        </w:tc>
      </w:tr>
      <w:tr>
        <w:trPr>
          <w:trHeight w:val="220"/>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(40,407)</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2"/>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IP addresses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23,804</w:t>
            </w:r>
          </w:p>
        </w:tc>
        <w:tc>
          <w:tcPr>
            <w:tcW w:w="2080" w:type="dxa"/>
            <w:vAlign w:val="bottom"/>
            <w:gridSpan w:val="2"/>
            <w:shd w:val="clear" w:color="auto" w:fill="CCEEFF"/>
          </w:tcPr>
          <w:p>
            <w:pPr>
              <w:ind w:left="1840"/>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15"/>
        </w:trPr>
        <w:tc>
          <w:tcPr>
            <w:tcW w:w="2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80,386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(55,789)</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24,597</w:t>
            </w: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Gross Carrying Value</w:t>
            </w:r>
          </w:p>
        </w:tc>
        <w:tc>
          <w:tcPr>
            <w:tcW w:w="160" w:type="dxa"/>
            <w:vAlign w:val="bottom"/>
          </w:tcPr>
          <w:p>
            <w:pPr>
              <w:spacing w:after="0"/>
              <w:rPr>
                <w:sz w:val="10"/>
                <w:szCs w:val="10"/>
                <w:color w:val="auto"/>
              </w:rPr>
            </w:pPr>
          </w:p>
        </w:tc>
        <w:tc>
          <w:tcPr>
            <w:tcW w:w="1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Amortization</w:t>
            </w:r>
          </w:p>
        </w:tc>
        <w:tc>
          <w:tcPr>
            <w:tcW w:w="480" w:type="dxa"/>
            <w:vAlign w:val="bottom"/>
          </w:tcPr>
          <w:p>
            <w:pPr>
              <w:spacing w:after="0"/>
              <w:rPr>
                <w:sz w:val="10"/>
                <w:szCs w:val="10"/>
                <w:color w:val="auto"/>
              </w:rPr>
            </w:pPr>
          </w:p>
        </w:tc>
        <w:tc>
          <w:tcPr>
            <w:tcW w:w="1520" w:type="dxa"/>
            <w:vAlign w:val="bottom"/>
            <w:vMerge w:val="restart"/>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80" w:type="dxa"/>
            <w:vAlign w:val="bottom"/>
          </w:tcPr>
          <w:p>
            <w:pPr>
              <w:spacing w:after="0"/>
              <w:rPr>
                <w:sz w:val="10"/>
                <w:szCs w:val="10"/>
                <w:color w:val="auto"/>
              </w:rPr>
            </w:pPr>
          </w:p>
        </w:tc>
        <w:tc>
          <w:tcPr>
            <w:tcW w:w="2000" w:type="dxa"/>
            <w:vAlign w:val="bottom"/>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8"/>
              </w:rPr>
              <w:t>Weighted-Average Remaining</w:t>
            </w: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Useful Life (in years)</w:t>
            </w:r>
          </w:p>
        </w:tc>
        <w:tc>
          <w:tcPr>
            <w:tcW w:w="0" w:type="dxa"/>
            <w:vAlign w:val="bottom"/>
          </w:tcPr>
          <w:p>
            <w:pPr>
              <w:spacing w:after="0"/>
              <w:rPr>
                <w:sz w:val="1"/>
                <w:szCs w:val="1"/>
                <w:color w:val="auto"/>
              </w:rPr>
            </w:pPr>
          </w:p>
        </w:tc>
      </w:tr>
      <w:tr>
        <w:trPr>
          <w:trHeight w:val="221"/>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(37,328)</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2"/>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080" w:type="dxa"/>
            <w:vAlign w:val="bottom"/>
            <w:tcBorders>
              <w:bottom w:val="single" w:sz="8" w:color="CCEEFF"/>
            </w:tcBorders>
            <w:gridSpan w:val="2"/>
          </w:tcPr>
          <w:p>
            <w:pPr>
              <w:ind w:left="1840"/>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40"/>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(52,443)</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3,957</w:t>
            </w:r>
          </w:p>
        </w:tc>
        <w:tc>
          <w:tcPr>
            <w:tcW w:w="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right="180" w:firstLine="470"/>
        <w:spacing w:after="0" w:line="276" w:lineRule="auto"/>
        <w:rPr>
          <w:sz w:val="20"/>
          <w:szCs w:val="20"/>
          <w:color w:val="auto"/>
        </w:rPr>
      </w:pPr>
      <w:r>
        <w:rPr>
          <w:rFonts w:ascii="Times New Roman" w:cs="Times New Roman" w:eastAsia="Times New Roman" w:hAnsi="Times New Roman"/>
          <w:sz w:val="17"/>
          <w:szCs w:val="17"/>
          <w:color w:val="auto"/>
        </w:rPr>
        <w:t>During the three months ended January 31, 2025, the Company purchased $24.0 million of intangible assets for IP addresses which is expected to allow the Company to reduce its cloud infrastructure costs in the future. These purchased intangible assets are amortized on a straight-line basis over an estimated useful life of ten years.</w:t>
      </w:r>
    </w:p>
    <w:p>
      <w:pPr>
        <w:spacing w:after="0" w:line="110" w:lineRule="exact"/>
        <w:rPr>
          <w:sz w:val="20"/>
          <w:szCs w:val="20"/>
          <w:color w:val="auto"/>
        </w:rPr>
      </w:pPr>
    </w:p>
    <w:p>
      <w:pPr>
        <w:ind w:right="60" w:firstLine="470"/>
        <w:spacing w:after="0" w:line="266" w:lineRule="auto"/>
        <w:rPr>
          <w:sz w:val="20"/>
          <w:szCs w:val="20"/>
          <w:color w:val="auto"/>
        </w:rPr>
      </w:pPr>
      <w:r>
        <w:rPr>
          <w:rFonts w:ascii="Times New Roman" w:cs="Times New Roman" w:eastAsia="Times New Roman" w:hAnsi="Times New Roman"/>
          <w:sz w:val="17"/>
          <w:szCs w:val="17"/>
          <w:color w:val="auto"/>
        </w:rPr>
        <w:t>Intangible assets are amortized on a straight-line basis. Amortization expense of intangible assets was $3.3 million, $10.6 million and $9.2 million for the years ended January 31, 2025, 2024 and 2023, respectively. Amortization expense for developed technology was included as research and development expense in the Company’s consolidated statements of operations. Amortization expense for customer relationships was included as sales and marketing expense in the Company’s consolidated statements of operations. Amortization expense for IP addresses was included as cost of subscription revenue in the Company’s consolidated statements of operations.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January 31, 2025, future amortization expense related to the intangible assets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Ending January 31,</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3,079</w:t>
            </w:r>
          </w:p>
        </w:tc>
        <w:tc>
          <w:tcPr>
            <w:tcW w:w="0" w:type="dxa"/>
            <w:vAlign w:val="bottom"/>
          </w:tcPr>
          <w:p>
            <w:pPr>
              <w:spacing w:after="0"/>
              <w:rPr>
                <w:sz w:val="1"/>
                <w:szCs w:val="1"/>
                <w:color w:val="auto"/>
              </w:rPr>
            </w:pPr>
          </w:p>
        </w:tc>
      </w:tr>
      <w:tr>
        <w:trPr>
          <w:trHeight w:val="222"/>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2,512</w:t>
            </w:r>
          </w:p>
        </w:tc>
        <w:tc>
          <w:tcPr>
            <w:tcW w:w="0" w:type="dxa"/>
            <w:vAlign w:val="bottom"/>
          </w:tcPr>
          <w:p>
            <w:pPr>
              <w:spacing w:after="0"/>
              <w:rPr>
                <w:sz w:val="1"/>
                <w:szCs w:val="1"/>
                <w:color w:val="auto"/>
              </w:rPr>
            </w:pPr>
          </w:p>
        </w:tc>
      </w:tr>
      <w:tr>
        <w:trPr>
          <w:trHeight w:val="22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0" w:type="dxa"/>
            <w:vAlign w:val="bottom"/>
          </w:tcPr>
          <w:p>
            <w:pPr>
              <w:spacing w:after="0"/>
              <w:rPr>
                <w:sz w:val="1"/>
                <w:szCs w:val="1"/>
                <w:color w:val="auto"/>
              </w:rPr>
            </w:pPr>
          </w:p>
        </w:tc>
      </w:tr>
      <w:tr>
        <w:trPr>
          <w:trHeight w:val="222"/>
        </w:trPr>
        <w:tc>
          <w:tcPr>
            <w:tcW w:w="7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0" w:type="dxa"/>
            <w:vAlign w:val="bottom"/>
          </w:tcPr>
          <w:p>
            <w:pPr>
              <w:spacing w:after="0"/>
              <w:rPr>
                <w:sz w:val="1"/>
                <w:szCs w:val="1"/>
                <w:color w:val="auto"/>
              </w:rPr>
            </w:pPr>
          </w:p>
        </w:tc>
      </w:tr>
      <w:tr>
        <w:trPr>
          <w:trHeight w:val="22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2,399</w:t>
            </w:r>
          </w:p>
        </w:tc>
        <w:tc>
          <w:tcPr>
            <w:tcW w:w="0" w:type="dxa"/>
            <w:vAlign w:val="bottom"/>
          </w:tcPr>
          <w:p>
            <w:pPr>
              <w:spacing w:after="0"/>
              <w:rPr>
                <w:sz w:val="1"/>
                <w:szCs w:val="1"/>
                <w:color w:val="auto"/>
              </w:rPr>
            </w:pPr>
          </w:p>
        </w:tc>
      </w:tr>
      <w:tr>
        <w:trPr>
          <w:trHeight w:val="22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11,809</w:t>
            </w:r>
          </w:p>
        </w:tc>
        <w:tc>
          <w:tcPr>
            <w:tcW w:w="0" w:type="dxa"/>
            <w:vAlign w:val="bottom"/>
          </w:tcPr>
          <w:p>
            <w:pPr>
              <w:spacing w:after="0"/>
              <w:rPr>
                <w:sz w:val="1"/>
                <w:szCs w:val="1"/>
                <w:color w:val="auto"/>
              </w:rPr>
            </w:pPr>
          </w:p>
        </w:tc>
      </w:tr>
      <w:tr>
        <w:trPr>
          <w:trHeight w:val="240"/>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24,597</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6. Convertible Senior Notes</w:t>
            </w:r>
          </w:p>
        </w:tc>
        <w:tc>
          <w:tcPr>
            <w:tcW w:w="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73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012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rPr>
              <w:t>The net carrying amounts of the Company’s 2026 Notes (as defined herein) were as follows for the periods presented (in thousands):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34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3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593"/>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2025 </w:t>
            </w:r>
            <w:r>
              <w:rPr>
                <w:rFonts w:ascii="Times New Roman" w:cs="Times New Roman" w:eastAsia="Times New Roman" w:hAnsi="Times New Roman"/>
                <w:sz w:val="22"/>
                <w:szCs w:val="22"/>
                <w:b w:val="1"/>
                <w:bCs w:val="1"/>
                <w:color w:val="auto"/>
                <w:vertAlign w:val="superscript"/>
              </w:rPr>
              <w:t>(1)</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7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Principal</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80" w:type="dxa"/>
            <w:vAlign w:val="bottom"/>
          </w:tcPr>
          <w:p>
            <w:pPr>
              <w:jc w:val="right"/>
              <w:ind w:right="5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1,149,972</w:t>
            </w:r>
          </w:p>
        </w:tc>
        <w:tc>
          <w:tcPr>
            <w:tcW w:w="0" w:type="dxa"/>
            <w:vAlign w:val="bottom"/>
          </w:tcPr>
          <w:p>
            <w:pPr>
              <w:spacing w:after="0"/>
              <w:rPr>
                <w:sz w:val="1"/>
                <w:szCs w:val="1"/>
                <w:color w:val="auto"/>
              </w:rPr>
            </w:pPr>
          </w:p>
        </w:tc>
      </w:tr>
      <w:tr>
        <w:trPr>
          <w:trHeight w:val="222"/>
        </w:trPr>
        <w:tc>
          <w:tcPr>
            <w:tcW w:w="7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4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(6,699)</w:t>
            </w:r>
          </w:p>
        </w:tc>
        <w:tc>
          <w:tcPr>
            <w:tcW w:w="0" w:type="dxa"/>
            <w:vAlign w:val="bottom"/>
          </w:tcPr>
          <w:p>
            <w:pPr>
              <w:spacing w:after="0"/>
              <w:rPr>
                <w:sz w:val="1"/>
                <w:szCs w:val="1"/>
                <w:color w:val="auto"/>
              </w:rPr>
            </w:pPr>
          </w:p>
        </w:tc>
      </w:tr>
      <w:tr>
        <w:trPr>
          <w:trHeight w:val="215"/>
        </w:trPr>
        <w:tc>
          <w:tcPr>
            <w:tcW w:w="73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Net carrying amount</w:t>
            </w: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bottom w:val="single" w:sz="8" w:color="auto"/>
            </w:tcBorders>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1,143,273</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27" w:lineRule="exact"/>
        <w:rPr>
          <w:sz w:val="20"/>
          <w:szCs w:val="20"/>
          <w:color w:val="auto"/>
        </w:rPr>
      </w:pPr>
    </w:p>
    <w:p>
      <w:pPr>
        <w:ind w:left="720" w:hanging="167"/>
        <w:spacing w:after="0"/>
        <w:tabs>
          <w:tab w:leader="none" w:pos="720" w:val="left"/>
        </w:tabs>
        <w:numPr>
          <w:ilvl w:val="0"/>
          <w:numId w:val="3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aggregate principal amount outstanding of the 2026 Notes was redeemed by the Company in December 2024.</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sets forth the interest expense related to the 2026 Notes for the periods presented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260" w:type="dxa"/>
            <w:vAlign w:val="bottom"/>
          </w:tcPr>
          <w:p>
            <w:pPr>
              <w:spacing w:after="0"/>
              <w:rPr>
                <w:sz w:val="16"/>
                <w:szCs w:val="16"/>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31, 2024</w:t>
            </w:r>
          </w:p>
        </w:tc>
        <w:tc>
          <w:tcPr>
            <w:tcW w:w="260" w:type="dxa"/>
            <w:vAlign w:val="bottom"/>
          </w:tcPr>
          <w:p>
            <w:pPr>
              <w:spacing w:after="0"/>
              <w:rPr>
                <w:sz w:val="16"/>
                <w:szCs w:val="16"/>
                <w:color w:val="auto"/>
              </w:rPr>
            </w:pPr>
          </w:p>
        </w:tc>
        <w:tc>
          <w:tcPr>
            <w:tcW w:w="160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January 31, 2023</w:t>
            </w:r>
          </w:p>
        </w:tc>
      </w:tr>
      <w:tr>
        <w:trPr>
          <w:trHeight w:val="23"/>
        </w:trPr>
        <w:tc>
          <w:tcPr>
            <w:tcW w:w="54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2"/>
        </w:trPr>
        <w:tc>
          <w:tcPr>
            <w:tcW w:w="54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2026 Notes </w:t>
            </w:r>
            <w:r>
              <w:rPr>
                <w:rFonts w:ascii="Times New Roman" w:cs="Times New Roman" w:eastAsia="Times New Roman" w:hAnsi="Times New Roman"/>
                <w:sz w:val="9"/>
                <w:szCs w:val="9"/>
                <w:b w:val="1"/>
                <w:bCs w:val="1"/>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2026 Notes</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 Notes</w:t>
            </w:r>
          </w:p>
        </w:tc>
      </w:tr>
      <w:tr>
        <w:trPr>
          <w:trHeight w:val="241"/>
        </w:trPr>
        <w:tc>
          <w:tcPr>
            <w:tcW w:w="542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Contractual interest expense</w:t>
            </w:r>
          </w:p>
        </w:tc>
        <w:tc>
          <w:tcPr>
            <w:tcW w:w="28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2,859</w:t>
            </w:r>
          </w:p>
        </w:tc>
      </w:tr>
      <w:tr>
        <w:trPr>
          <w:trHeight w:val="275"/>
        </w:trPr>
        <w:tc>
          <w:tcPr>
            <w:tcW w:w="54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Amortization of issuance costs</w:t>
            </w:r>
          </w:p>
        </w:tc>
        <w:tc>
          <w:tcPr>
            <w:tcW w:w="28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w:t>
            </w:r>
          </w:p>
        </w:tc>
      </w:tr>
      <w:tr>
        <w:trPr>
          <w:trHeight w:val="254"/>
        </w:trPr>
        <w:tc>
          <w:tcPr>
            <w:tcW w:w="5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6,234</w:t>
            </w:r>
          </w:p>
        </w:tc>
      </w:tr>
      <w:tr>
        <w:trPr>
          <w:trHeight w:val="20"/>
        </w:trPr>
        <w:tc>
          <w:tcPr>
            <w:tcW w:w="5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720" w:hanging="167"/>
        <w:spacing w:after="0"/>
        <w:tabs>
          <w:tab w:leader="none" w:pos="720" w:val="left"/>
        </w:tabs>
        <w:numPr>
          <w:ilvl w:val="0"/>
          <w:numId w:val="4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aggregate principal amount outstanding of the 2026 Notes was redeemed by the Company in December 2024.</w:t>
      </w:r>
    </w:p>
    <w:p>
      <w:pPr>
        <w:spacing w:after="0" w:line="132" w:lineRule="exact"/>
        <w:rPr>
          <w:sz w:val="20"/>
          <w:szCs w:val="20"/>
          <w:color w:val="auto"/>
        </w:rPr>
      </w:pPr>
    </w:p>
    <w:p>
      <w:pPr>
        <w:ind w:right="20" w:firstLine="470"/>
        <w:spacing w:after="0" w:line="264" w:lineRule="auto"/>
        <w:rPr>
          <w:sz w:val="20"/>
          <w:szCs w:val="20"/>
          <w:color w:val="auto"/>
        </w:rPr>
      </w:pPr>
      <w:r>
        <w:rPr>
          <w:rFonts w:ascii="Times New Roman" w:cs="Times New Roman" w:eastAsia="Times New Roman" w:hAnsi="Times New Roman"/>
          <w:sz w:val="17"/>
          <w:szCs w:val="17"/>
          <w:color w:val="auto"/>
        </w:rPr>
        <w:t>In January 2020, the Company issued $1.0 billion aggregate principal amount of 0.25% convertible senior notes due 2026 in a private placement and, also in January 2020, the Company issued an additional $150.0 million aggregate principal amount of convertible senior notes pursuant to the exercise in full of the initial purchasers’ option to purchase additional convertible senior notes (collectively, the “2026 Notes”). The 2026 Notes were senior unsecured obligations of the Company and interest was payable semiannually in arrears on July 15 and January 15 of each year, beginning on July 15, 2020, at a rate of 0.25% per year. The 2026 Notes had an original maturity date of January 15, 2026, unless earlier converted, redeemed or repurchased. The total net proceeds from the offering, after deducting initial purchase discounts and estimated debt issuance costs, were approximately $1.1 billion.</w:t>
      </w:r>
    </w:p>
    <w:p>
      <w:pPr>
        <w:spacing w:after="0" w:line="121" w:lineRule="exact"/>
        <w:rPr>
          <w:sz w:val="20"/>
          <w:szCs w:val="20"/>
          <w:color w:val="auto"/>
        </w:rPr>
      </w:pPr>
    </w:p>
    <w:p>
      <w:pPr>
        <w:ind w:firstLine="470"/>
        <w:spacing w:after="0" w:line="263" w:lineRule="auto"/>
        <w:rPr>
          <w:sz w:val="20"/>
          <w:szCs w:val="20"/>
          <w:color w:val="auto"/>
        </w:rPr>
      </w:pPr>
      <w:r>
        <w:rPr>
          <w:rFonts w:ascii="Times New Roman" w:cs="Times New Roman" w:eastAsia="Times New Roman" w:hAnsi="Times New Roman"/>
          <w:sz w:val="17"/>
          <w:szCs w:val="17"/>
          <w:color w:val="auto"/>
        </w:rPr>
        <w:t>In October 2024, the optional redemption feature of the 2026 Notes was satisfied as the last reported sale price of the Company’s common stock was more than or equal to 130% of the conversion price for at least 20 trading days in the period of 30 consecutive trading days. On October 16, 2024, the Company issued a notice of redemption (the “Redemption Notice”) for all aggregate principal amount outstanding of its 2026 Notes. Pursuant to the Redemption Notice, on December 16, 2024 (the “Redemption Date”), the Company redeemed all 2026 Notes that had not been converted prior to such date at a redemption price in cash equal to 100% of the principal amount of such 2026 Notes, plus accrued and unpaid interest from July 15, 2024 to, but excluding the Redemption Date (the “Redemption Price”). On the Redemption Date, the Redemption Price was due and payable upon each 2026 Notes redeemed and interest thereon ceased to accrue on and after the Redemption Date.</w:t>
      </w:r>
    </w:p>
    <w:p>
      <w:pPr>
        <w:spacing w:after="0" w:line="121" w:lineRule="exact"/>
        <w:rPr>
          <w:sz w:val="20"/>
          <w:szCs w:val="20"/>
          <w:color w:val="auto"/>
        </w:rPr>
      </w:pPr>
    </w:p>
    <w:p>
      <w:pPr>
        <w:ind w:right="60" w:firstLine="627"/>
        <w:spacing w:after="0" w:line="266" w:lineRule="auto"/>
        <w:rPr>
          <w:sz w:val="20"/>
          <w:szCs w:val="20"/>
          <w:color w:val="auto"/>
        </w:rPr>
      </w:pPr>
      <w:r>
        <w:rPr>
          <w:rFonts w:ascii="Times New Roman" w:cs="Times New Roman" w:eastAsia="Times New Roman" w:hAnsi="Times New Roman"/>
          <w:sz w:val="17"/>
          <w:szCs w:val="17"/>
          <w:color w:val="auto"/>
        </w:rPr>
        <w:t>The 2026 Notes called for redemption were converted by holders at any time before 5:00 p.m. (New York City time) on December 13, 2024 (the “Conversion Deadline”). The Conversion Rate for 2026 Notes converted after the date of the Redemption Notice and prior to the Conversion Deadline equaled to 4.9260 shares of the Company’s common stock, par value $0.001 per share, per $1,000 principal amount of the 2026 Notes, which included an increase of the conversion rate of 0.1911 additional shares of the Company’s common stock per $1,000 principal amount of the 2026 Notes as a result of the 2026 Notes being called for optional redemption.</w:t>
      </w:r>
    </w:p>
    <w:p>
      <w:pPr>
        <w:spacing w:after="0" w:line="119" w:lineRule="exact"/>
        <w:rPr>
          <w:sz w:val="20"/>
          <w:szCs w:val="20"/>
          <w:color w:val="auto"/>
        </w:rPr>
      </w:pPr>
    </w:p>
    <w:p>
      <w:pPr>
        <w:ind w:right="100" w:firstLine="627"/>
        <w:spacing w:after="0" w:line="264" w:lineRule="auto"/>
        <w:rPr>
          <w:sz w:val="20"/>
          <w:szCs w:val="20"/>
          <w:color w:val="auto"/>
        </w:rPr>
      </w:pPr>
      <w:r>
        <w:rPr>
          <w:rFonts w:ascii="Times New Roman" w:cs="Times New Roman" w:eastAsia="Times New Roman" w:hAnsi="Times New Roman"/>
          <w:sz w:val="17"/>
          <w:szCs w:val="17"/>
          <w:color w:val="auto"/>
        </w:rPr>
        <w:t>The Company satisfied its conversion obligations with respect to conversions occurring after the date of the Redemption Notice and prior to the Redemption Date by delivering shares of the Company’s common stock, plus cash in lieu of any resulting fractional shares. Pursuant to the Redemption Notice, on the Redemption Date, the Company redeemed the outstanding principal of the 2026 Notes that were not converted prior to such date at a redemption price in cash equal to 100% of the principal amount of the 2026 Notes, plus accrued and unpaid interest. Approximately $1.1 billion aggregate principal amount was converted to 5,662,979 shares of the Company’s common stock with $0.4 million settled in cash. The Company recorded the carrying amount of the converted debt into common stock and additional paid-in-capital with no material gain or loss recognized.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Capped Calls</w:t>
      </w:r>
    </w:p>
    <w:p>
      <w:pPr>
        <w:spacing w:after="0" w:line="172" w:lineRule="exact"/>
        <w:rPr>
          <w:sz w:val="20"/>
          <w:szCs w:val="20"/>
          <w:color w:val="auto"/>
        </w:rPr>
      </w:pPr>
    </w:p>
    <w:p>
      <w:pPr>
        <w:ind w:right="120" w:firstLine="470"/>
        <w:spacing w:after="0" w:line="268" w:lineRule="auto"/>
        <w:rPr>
          <w:sz w:val="20"/>
          <w:szCs w:val="20"/>
          <w:color w:val="auto"/>
        </w:rPr>
      </w:pPr>
      <w:r>
        <w:rPr>
          <w:rFonts w:ascii="Times New Roman" w:cs="Times New Roman" w:eastAsia="Times New Roman" w:hAnsi="Times New Roman"/>
          <w:sz w:val="17"/>
          <w:szCs w:val="17"/>
          <w:color w:val="auto"/>
        </w:rPr>
        <w:t>In connection with the pricing of the issuance of the Company’s convertible notes due June 15, 2024 which were converted or extinguished in December 2021 (the “2024 Notes”) and the 2026 Notes, the Company entered into privately negotiated capped call transactions with certain counterparties (the “Capped Calls”). The Capped Calls associated with the 2024 Notes each had an initial strike price of approximately $68.15 per share, subject to certain adjustments, which corresponded to the initial conversion price of the 2024 Notes. These Capped Calls had initial cap prices of $106.90 per share, subject to certain adjustments.</w:t>
      </w:r>
    </w:p>
    <w:p>
      <w:pPr>
        <w:spacing w:after="0" w:line="329" w:lineRule="exact"/>
        <w:rPr>
          <w:sz w:val="20"/>
          <w:szCs w:val="20"/>
          <w:color w:val="auto"/>
        </w:rPr>
      </w:pPr>
    </w:p>
    <w:p>
      <w:pPr>
        <w:ind w:right="720" w:firstLine="470"/>
        <w:spacing w:after="0" w:line="295" w:lineRule="auto"/>
        <w:rPr>
          <w:sz w:val="20"/>
          <w:szCs w:val="20"/>
          <w:color w:val="auto"/>
        </w:rPr>
      </w:pPr>
      <w:r>
        <w:rPr>
          <w:rFonts w:ascii="Times New Roman" w:cs="Times New Roman" w:eastAsia="Times New Roman" w:hAnsi="Times New Roman"/>
          <w:sz w:val="17"/>
          <w:szCs w:val="17"/>
          <w:color w:val="auto"/>
        </w:rPr>
        <w:t>In April 2024, the Company elected cash settlement for the Capped Calls associated with the 2024 Notes. Upon the cash settlement election, the instrument, initially indexed to the Company’s own stock, no longer met the criteria for equity</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classification and was reclassified from stockholder’s equity to assets on the Company’s consolidated balance sheet. The reclassification resulted in the recognition of a derivative asset, with an estimated fair value at cash settlement election date of $169.7 million, with a corresponding increase in additional paid in capital. In June 2024, the derivative asset was settled and the Company received $170.6 million in cash and recognized a realized gain of $0.9 million for the year ended January 31, 2025, which was recorded in other income (expense), net, on the Company’s consolidated statements of operations.</w:t>
      </w:r>
    </w:p>
    <w:p>
      <w:pPr>
        <w:spacing w:after="0" w:line="117" w:lineRule="exact"/>
        <w:rPr>
          <w:sz w:val="20"/>
          <w:szCs w:val="20"/>
          <w:color w:val="auto"/>
        </w:rPr>
      </w:pPr>
    </w:p>
    <w:p>
      <w:pPr>
        <w:ind w:right="380" w:firstLine="470"/>
        <w:spacing w:after="0" w:line="276" w:lineRule="auto"/>
        <w:rPr>
          <w:sz w:val="20"/>
          <w:szCs w:val="20"/>
          <w:color w:val="auto"/>
        </w:rPr>
      </w:pPr>
      <w:r>
        <w:rPr>
          <w:rFonts w:ascii="Times New Roman" w:cs="Times New Roman" w:eastAsia="Times New Roman" w:hAnsi="Times New Roman"/>
          <w:sz w:val="17"/>
          <w:szCs w:val="17"/>
          <w:color w:val="auto"/>
        </w:rPr>
        <w:t>The Capped Calls associated with the 2026 Notes each have an initial strike price of approximately $211.20 per share, subject to certain adjustments, which corresponds to the initial conversion price of the 2026 Notes. These Capped Calls have initial cap prices of $296.42 per share, subject to certain adjustments. The Company did not unwind any of these Capped Calls through January 31,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Leases</w:t>
      </w:r>
    </w:p>
    <w:p>
      <w:pPr>
        <w:spacing w:after="0" w:line="172" w:lineRule="exact"/>
        <w:rPr>
          <w:sz w:val="20"/>
          <w:szCs w:val="20"/>
          <w:color w:val="auto"/>
        </w:rPr>
      </w:pPr>
    </w:p>
    <w:p>
      <w:pPr>
        <w:ind w:right="20" w:firstLine="470"/>
        <w:spacing w:after="0" w:line="269" w:lineRule="auto"/>
        <w:rPr>
          <w:sz w:val="20"/>
          <w:szCs w:val="20"/>
          <w:color w:val="auto"/>
        </w:rPr>
      </w:pPr>
      <w:r>
        <w:rPr>
          <w:rFonts w:ascii="Times New Roman" w:cs="Times New Roman" w:eastAsia="Times New Roman" w:hAnsi="Times New Roman"/>
          <w:sz w:val="17"/>
          <w:szCs w:val="17"/>
          <w:color w:val="auto"/>
        </w:rPr>
        <w:t>The Company has entered into non-cancelable operating and finance lease agreements, principally real estate for office space globally. The Company may receive renewal or expansion options, leasehold improvement allowances or other incentives on certain lease agreements. Lease terms range from one to 12 years and may include renewal options, which the company deems reasonably certain to be renewed. The exercise of the lease renewal option is at the Company's discretion.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Lease Costs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components of the Company’s lease costs included in its consolidated statements of operations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c>
          <w:tcPr>
            <w:tcW w:w="2000" w:type="dxa"/>
            <w:vAlign w:val="bottom"/>
            <w:tcBorders>
              <w:bottom w:val="single" w:sz="8" w:color="auto"/>
            </w:tcBorders>
          </w:tcPr>
          <w:p>
            <w:pPr>
              <w:spacing w:after="0"/>
              <w:rPr>
                <w:sz w:val="19"/>
                <w:szCs w:val="19"/>
                <w:color w:val="auto"/>
              </w:rPr>
            </w:pPr>
          </w:p>
        </w:tc>
      </w:tr>
      <w:tr>
        <w:trPr>
          <w:trHeight w:val="215"/>
        </w:trPr>
        <w:tc>
          <w:tcPr>
            <w:tcW w:w="48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2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22"/>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 of finance lease right-of-use assets</w:t>
            </w:r>
          </w:p>
        </w:tc>
        <w:tc>
          <w:tcPr>
            <w:tcW w:w="2000" w:type="dxa"/>
            <w:vAlign w:val="bottom"/>
          </w:tcPr>
          <w:p>
            <w:pPr>
              <w:jc w:val="right"/>
              <w:ind w:right="18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3,974</w:t>
            </w:r>
          </w:p>
        </w:tc>
        <w:tc>
          <w:tcPr>
            <w:tcW w:w="120" w:type="dxa"/>
            <w:vAlign w:val="bottom"/>
          </w:tcPr>
          <w:p>
            <w:pPr>
              <w:spacing w:after="0"/>
              <w:rPr>
                <w:sz w:val="19"/>
                <w:szCs w:val="19"/>
                <w:color w:val="auto"/>
              </w:rPr>
            </w:pPr>
          </w:p>
        </w:tc>
        <w:tc>
          <w:tcPr>
            <w:tcW w:w="1140" w:type="dxa"/>
            <w:vAlign w:val="bottom"/>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w:t>
            </w:r>
          </w:p>
        </w:tc>
      </w:tr>
      <w:tr>
        <w:trPr>
          <w:trHeight w:val="222"/>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on finance lease liabilities</w:t>
            </w: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w:t>
            </w:r>
          </w:p>
        </w:tc>
      </w:tr>
      <w:tr>
        <w:trPr>
          <w:trHeight w:val="222"/>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20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13,319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11,693</w:t>
            </w:r>
          </w:p>
        </w:tc>
      </w:tr>
      <w:tr>
        <w:trPr>
          <w:trHeight w:val="22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5,465</w:t>
            </w:r>
          </w:p>
        </w:tc>
      </w:tr>
      <w:tr>
        <w:trPr>
          <w:trHeight w:val="222"/>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20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3,814</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3,498</w:t>
            </w:r>
          </w:p>
        </w:tc>
      </w:tr>
      <w:tr>
        <w:trPr>
          <w:trHeight w:val="24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cost</w:t>
            </w:r>
          </w:p>
        </w:tc>
        <w:tc>
          <w:tcPr>
            <w:tcW w:w="2000" w:type="dxa"/>
            <w:vAlign w:val="bottom"/>
            <w:tcBorders>
              <w:bottom w:val="single" w:sz="8" w:color="auto"/>
            </w:tcBorders>
            <w:shd w:val="clear" w:color="auto" w:fill="CCEEFF"/>
          </w:tcPr>
          <w:p>
            <w:pPr>
              <w:jc w:val="right"/>
              <w:ind w:right="18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28,636</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Balance Sheet Components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balances of the Company’s finance and operating leases were recorded on the consolidated balance sheets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c>
          <w:tcPr>
            <w:tcW w:w="2000" w:type="dxa"/>
            <w:vAlign w:val="bottom"/>
            <w:tcBorders>
              <w:bottom w:val="single" w:sz="8" w:color="auto"/>
            </w:tcBorders>
          </w:tcPr>
          <w:p>
            <w:pPr>
              <w:spacing w:after="0"/>
              <w:rPr>
                <w:sz w:val="19"/>
                <w:szCs w:val="19"/>
                <w:color w:val="auto"/>
              </w:rPr>
            </w:pPr>
          </w:p>
        </w:tc>
      </w:tr>
      <w:tr>
        <w:trPr>
          <w:trHeight w:val="215"/>
        </w:trPr>
        <w:tc>
          <w:tcPr>
            <w:tcW w:w="484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13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w:t>
            </w:r>
          </w:p>
        </w:tc>
        <w:tc>
          <w:tcPr>
            <w:tcW w:w="20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22"/>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0" w:type="dxa"/>
            <w:vAlign w:val="bottom"/>
          </w:tcPr>
          <w:p>
            <w:pPr>
              <w:jc w:val="right"/>
              <w:ind w:right="18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19,540</w:t>
            </w:r>
          </w:p>
        </w:tc>
        <w:tc>
          <w:tcPr>
            <w:tcW w:w="120" w:type="dxa"/>
            <w:vAlign w:val="bottom"/>
          </w:tcPr>
          <w:p>
            <w:pPr>
              <w:spacing w:after="0"/>
              <w:rPr>
                <w:sz w:val="19"/>
                <w:szCs w:val="19"/>
                <w:color w:val="auto"/>
              </w:rPr>
            </w:pPr>
          </w:p>
        </w:tc>
        <w:tc>
          <w:tcPr>
            <w:tcW w:w="1140" w:type="dxa"/>
            <w:vAlign w:val="bottom"/>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23,514</w:t>
            </w:r>
          </w:p>
        </w:tc>
      </w:tr>
      <w:tr>
        <w:trPr>
          <w:trHeight w:val="222"/>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accrued liabilities (current)</w:t>
            </w: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6,179</w:t>
            </w:r>
          </w:p>
        </w:tc>
      </w:tr>
      <w:tr>
        <w:trPr>
          <w:trHeight w:val="222"/>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0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30,697</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37,511</w:t>
            </w:r>
          </w:p>
        </w:tc>
      </w:tr>
      <w:tr>
        <w:trPr>
          <w:trHeight w:val="222"/>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2"/>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0" w:type="dxa"/>
            <w:vAlign w:val="bottom"/>
          </w:tcPr>
          <w:p>
            <w:pPr>
              <w:jc w:val="right"/>
              <w:ind w:right="18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34,607</w:t>
            </w:r>
          </w:p>
        </w:tc>
        <w:tc>
          <w:tcPr>
            <w:tcW w:w="120" w:type="dxa"/>
            <w:vAlign w:val="bottom"/>
          </w:tcPr>
          <w:p>
            <w:pPr>
              <w:spacing w:after="0"/>
              <w:rPr>
                <w:sz w:val="19"/>
                <w:szCs w:val="19"/>
                <w:color w:val="auto"/>
              </w:rPr>
            </w:pPr>
          </w:p>
        </w:tc>
        <w:tc>
          <w:tcPr>
            <w:tcW w:w="1140" w:type="dxa"/>
            <w:vAlign w:val="bottom"/>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37,365</w:t>
            </w:r>
          </w:p>
        </w:tc>
      </w:tr>
      <w:tr>
        <w:trPr>
          <w:trHeight w:val="222"/>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9,797</w:t>
            </w:r>
          </w:p>
        </w:tc>
      </w:tr>
      <w:tr>
        <w:trPr>
          <w:trHeight w:val="227"/>
        </w:trPr>
        <w:tc>
          <w:tcPr>
            <w:tcW w:w="48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27,374</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30,918</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Supplemental Information</w:t>
      </w:r>
    </w:p>
    <w:p>
      <w:pPr>
        <w:spacing w:after="0" w:line="172" w:lineRule="exact"/>
        <w:rPr>
          <w:sz w:val="20"/>
          <w:szCs w:val="20"/>
          <w:color w:val="auto"/>
        </w:rPr>
      </w:pPr>
    </w:p>
    <w:p>
      <w:pPr>
        <w:ind w:right="340" w:firstLine="470"/>
        <w:spacing w:after="0" w:line="295" w:lineRule="auto"/>
        <w:rPr>
          <w:sz w:val="20"/>
          <w:szCs w:val="20"/>
          <w:color w:val="auto"/>
        </w:rPr>
      </w:pPr>
      <w:r>
        <w:rPr>
          <w:rFonts w:ascii="Times New Roman" w:cs="Times New Roman" w:eastAsia="Times New Roman" w:hAnsi="Times New Roman"/>
          <w:sz w:val="17"/>
          <w:szCs w:val="17"/>
          <w:color w:val="auto"/>
        </w:rPr>
        <w:t>The following table presents supplemental information related to the Company’s finance and operating leases (in thousands, except weighted-average information):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c>
          <w:tcPr>
            <w:tcW w:w="1380" w:type="dxa"/>
            <w:vAlign w:val="bottom"/>
            <w:tcBorders>
              <w:bottom w:val="single" w:sz="8" w:color="auto"/>
            </w:tcBorders>
          </w:tcPr>
          <w:p>
            <w:pPr>
              <w:spacing w:after="0"/>
              <w:rPr>
                <w:sz w:val="19"/>
                <w:szCs w:val="19"/>
                <w:color w:val="auto"/>
              </w:rPr>
            </w:pPr>
          </w:p>
        </w:tc>
      </w:tr>
      <w:tr>
        <w:trPr>
          <w:trHeight w:val="215"/>
        </w:trPr>
        <w:tc>
          <w:tcPr>
            <w:tcW w:w="65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1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cash flows from finance lease</w:t>
            </w:r>
          </w:p>
        </w:tc>
        <w:tc>
          <w:tcPr>
            <w:tcW w:w="1380" w:type="dxa"/>
            <w:vAlign w:val="bottom"/>
          </w:tcPr>
          <w:p>
            <w:pPr>
              <w:jc w:val="right"/>
              <w:ind w:right="1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2,267</w:t>
            </w:r>
          </w:p>
        </w:tc>
        <w:tc>
          <w:tcPr>
            <w:tcW w:w="120" w:type="dxa"/>
            <w:vAlign w:val="bottom"/>
          </w:tcPr>
          <w:p>
            <w:pPr>
              <w:spacing w:after="0"/>
              <w:rPr>
                <w:sz w:val="19"/>
                <w:szCs w:val="19"/>
                <w:color w:val="auto"/>
              </w:rPr>
            </w:pP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2,590</w:t>
            </w:r>
          </w:p>
        </w:tc>
      </w:tr>
      <w:tr>
        <w:trPr>
          <w:trHeight w:val="222"/>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cash flows from operating leases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14,185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12,336</w:t>
            </w:r>
          </w:p>
        </w:tc>
      </w:tr>
      <w:tr>
        <w:trPr>
          <w:trHeight w:val="22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Financing cash flows from finance lease</w:t>
            </w:r>
          </w:p>
        </w:tc>
        <w:tc>
          <w:tcPr>
            <w:tcW w:w="138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6,179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5,483</w:t>
            </w:r>
          </w:p>
        </w:tc>
      </w:tr>
      <w:tr>
        <w:trPr>
          <w:trHeight w:val="22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1380" w:type="dxa"/>
            <w:vAlign w:val="bottom"/>
          </w:tcPr>
          <w:p>
            <w:pPr>
              <w:spacing w:after="0"/>
              <w:rPr>
                <w:sz w:val="19"/>
                <w:szCs w:val="19"/>
                <w:color w:val="auto"/>
              </w:rPr>
            </w:pPr>
          </w:p>
        </w:tc>
        <w:tc>
          <w:tcPr>
            <w:tcW w:w="9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8,974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5,537</w:t>
            </w:r>
          </w:p>
        </w:tc>
      </w:tr>
      <w:tr>
        <w:trPr>
          <w:trHeight w:val="222"/>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2"/>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lease</w:t>
            </w:r>
          </w:p>
        </w:tc>
        <w:tc>
          <w:tcPr>
            <w:tcW w:w="1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2"/>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22"/>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1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2"/>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lease</w:t>
            </w:r>
          </w:p>
        </w:tc>
        <w:tc>
          <w:tcPr>
            <w:tcW w:w="1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r>
      <w:tr>
        <w:trPr>
          <w:trHeight w:val="227"/>
        </w:trPr>
        <w:tc>
          <w:tcPr>
            <w:tcW w:w="6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leases</w:t>
            </w:r>
          </w:p>
        </w:tc>
        <w:tc>
          <w:tcPr>
            <w:tcW w:w="1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5.7 %</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Maturities of Lease Liabilities</w:t>
      </w:r>
    </w:p>
    <w:p>
      <w:pPr>
        <w:spacing w:after="0" w:line="172" w:lineRule="exact"/>
        <w:rPr>
          <w:sz w:val="20"/>
          <w:szCs w:val="20"/>
          <w:color w:val="auto"/>
        </w:rPr>
      </w:pPr>
    </w:p>
    <w:p>
      <w:pPr>
        <w:ind w:right="300" w:firstLine="470"/>
        <w:spacing w:after="0" w:line="295" w:lineRule="auto"/>
        <w:rPr>
          <w:sz w:val="20"/>
          <w:szCs w:val="20"/>
          <w:color w:val="auto"/>
        </w:rPr>
      </w:pPr>
      <w:r>
        <w:rPr>
          <w:rFonts w:ascii="Times New Roman" w:cs="Times New Roman" w:eastAsia="Times New Roman" w:hAnsi="Times New Roman"/>
          <w:sz w:val="17"/>
          <w:szCs w:val="17"/>
          <w:color w:val="auto"/>
        </w:rPr>
        <w:t>Future minimum lease payments under non-cancelable finance and operating leases on an annual undiscounted cash flow basis as of January 31, 2025 were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January 31,</w:t>
            </w:r>
          </w:p>
        </w:tc>
        <w:tc>
          <w:tcPr>
            <w:tcW w:w="340" w:type="dxa"/>
            <w:vAlign w:val="bottom"/>
          </w:tcPr>
          <w:p>
            <w:pPr>
              <w:spacing w:after="0"/>
              <w:rPr>
                <w:sz w:val="19"/>
                <w:szCs w:val="19"/>
                <w:color w:val="auto"/>
              </w:rPr>
            </w:pPr>
          </w:p>
        </w:tc>
        <w:tc>
          <w:tcPr>
            <w:tcW w:w="19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Finance Lease</w:t>
            </w:r>
          </w:p>
        </w:tc>
        <w:tc>
          <w:tcPr>
            <w:tcW w:w="280" w:type="dxa"/>
            <w:vAlign w:val="bottom"/>
          </w:tcPr>
          <w:p>
            <w:pPr>
              <w:spacing w:after="0"/>
              <w:rPr>
                <w:sz w:val="19"/>
                <w:szCs w:val="19"/>
                <w:color w:val="auto"/>
              </w:rPr>
            </w:pPr>
          </w:p>
        </w:tc>
        <w:tc>
          <w:tcPr>
            <w:tcW w:w="194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0" w:type="dxa"/>
            <w:vAlign w:val="bottom"/>
          </w:tcPr>
          <w:p>
            <w:pPr>
              <w:spacing w:after="0"/>
              <w:rPr>
                <w:sz w:val="1"/>
                <w:szCs w:val="1"/>
                <w:color w:val="auto"/>
              </w:rPr>
            </w:pPr>
          </w:p>
        </w:tc>
      </w:tr>
      <w:tr>
        <w:trPr>
          <w:trHeight w:val="26"/>
        </w:trPr>
        <w:tc>
          <w:tcPr>
            <w:tcW w:w="6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2026</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11,851</w:t>
            </w:r>
          </w:p>
        </w:tc>
        <w:tc>
          <w:tcPr>
            <w:tcW w:w="0" w:type="dxa"/>
            <w:vAlign w:val="bottom"/>
          </w:tcPr>
          <w:p>
            <w:pPr>
              <w:spacing w:after="0"/>
              <w:rPr>
                <w:sz w:val="1"/>
                <w:szCs w:val="1"/>
                <w:color w:val="auto"/>
              </w:rPr>
            </w:pPr>
          </w:p>
        </w:tc>
      </w:tr>
      <w:tr>
        <w:trPr>
          <w:trHeight w:val="222"/>
        </w:trPr>
        <w:tc>
          <w:tcPr>
            <w:tcW w:w="6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2027</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8,906</w:t>
            </w: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2028</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6,768</w:t>
            </w:r>
          </w:p>
        </w:tc>
        <w:tc>
          <w:tcPr>
            <w:tcW w:w="0" w:type="dxa"/>
            <w:vAlign w:val="bottom"/>
          </w:tcPr>
          <w:p>
            <w:pPr>
              <w:spacing w:after="0"/>
              <w:rPr>
                <w:sz w:val="1"/>
                <w:szCs w:val="1"/>
                <w:color w:val="auto"/>
              </w:rPr>
            </w:pPr>
          </w:p>
        </w:tc>
      </w:tr>
      <w:tr>
        <w:trPr>
          <w:trHeight w:val="222"/>
        </w:trPr>
        <w:tc>
          <w:tcPr>
            <w:tcW w:w="6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2029</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6,113</w:t>
            </w:r>
          </w:p>
        </w:tc>
        <w:tc>
          <w:tcPr>
            <w:tcW w:w="0" w:type="dxa"/>
            <w:vAlign w:val="bottom"/>
          </w:tcPr>
          <w:p>
            <w:pPr>
              <w:spacing w:after="0"/>
              <w:rPr>
                <w:sz w:val="1"/>
                <w:szCs w:val="1"/>
                <w:color w:val="auto"/>
              </w:rPr>
            </w:pPr>
          </w:p>
        </w:tc>
      </w:tr>
      <w:tr>
        <w:trPr>
          <w:trHeight w:val="222"/>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2030</w:t>
            </w:r>
          </w:p>
        </w:tc>
        <w:tc>
          <w:tcPr>
            <w:tcW w:w="3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w:t>
            </w:r>
          </w:p>
        </w:tc>
        <w:tc>
          <w:tcPr>
            <w:tcW w:w="0" w:type="dxa"/>
            <w:vAlign w:val="bottom"/>
          </w:tcPr>
          <w:p>
            <w:pPr>
              <w:spacing w:after="0"/>
              <w:rPr>
                <w:sz w:val="1"/>
                <w:szCs w:val="1"/>
                <w:color w:val="auto"/>
              </w:rPr>
            </w:pPr>
          </w:p>
        </w:tc>
      </w:tr>
      <w:tr>
        <w:trPr>
          <w:trHeight w:val="274"/>
        </w:trPr>
        <w:tc>
          <w:tcPr>
            <w:tcW w:w="67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Thereafter</w:t>
            </w:r>
          </w:p>
        </w:tc>
        <w:tc>
          <w:tcPr>
            <w:tcW w:w="340" w:type="dxa"/>
            <w:vAlign w:val="bottom"/>
          </w:tcPr>
          <w:p>
            <w:pPr>
              <w:spacing w:after="0"/>
              <w:rPr>
                <w:sz w:val="23"/>
                <w:szCs w:val="23"/>
                <w:color w:val="auto"/>
              </w:rPr>
            </w:pP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4,757</w:t>
            </w:r>
          </w:p>
        </w:tc>
        <w:tc>
          <w:tcPr>
            <w:tcW w:w="0" w:type="dxa"/>
            <w:vAlign w:val="bottom"/>
          </w:tcPr>
          <w:p>
            <w:pPr>
              <w:spacing w:after="0"/>
              <w:rPr>
                <w:sz w:val="1"/>
                <w:szCs w:val="1"/>
                <w:color w:val="auto"/>
              </w:rPr>
            </w:pPr>
          </w:p>
        </w:tc>
      </w:tr>
      <w:tr>
        <w:trPr>
          <w:trHeight w:val="215"/>
        </w:trPr>
        <w:tc>
          <w:tcPr>
            <w:tcW w:w="6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minimum payments</w:t>
            </w:r>
          </w:p>
        </w:tc>
        <w:tc>
          <w:tcPr>
            <w:tcW w:w="34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42,829</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42,192</w:t>
            </w:r>
          </w:p>
        </w:tc>
        <w:tc>
          <w:tcPr>
            <w:tcW w:w="0" w:type="dxa"/>
            <w:vAlign w:val="bottom"/>
          </w:tcPr>
          <w:p>
            <w:pPr>
              <w:spacing w:after="0"/>
              <w:rPr>
                <w:sz w:val="1"/>
                <w:szCs w:val="1"/>
                <w:color w:val="auto"/>
              </w:rPr>
            </w:pPr>
          </w:p>
        </w:tc>
      </w:tr>
      <w:tr>
        <w:trPr>
          <w:trHeight w:val="66"/>
        </w:trPr>
        <w:tc>
          <w:tcPr>
            <w:tcW w:w="6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Less imputed interest</w:t>
            </w:r>
          </w:p>
        </w:tc>
        <w:tc>
          <w:tcPr>
            <w:tcW w:w="340" w:type="dxa"/>
            <w:vAlign w:val="bottom"/>
          </w:tcPr>
          <w:p>
            <w:pPr>
              <w:spacing w:after="0"/>
              <w:rPr>
                <w:sz w:val="20"/>
                <w:szCs w:val="20"/>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(5,318)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(5,692)</w:t>
            </w:r>
          </w:p>
        </w:tc>
        <w:tc>
          <w:tcPr>
            <w:tcW w:w="0" w:type="dxa"/>
            <w:vAlign w:val="bottom"/>
          </w:tcPr>
          <w:p>
            <w:pPr>
              <w:spacing w:after="0"/>
              <w:rPr>
                <w:sz w:val="1"/>
                <w:szCs w:val="1"/>
                <w:color w:val="auto"/>
              </w:rPr>
            </w:pPr>
          </w:p>
        </w:tc>
      </w:tr>
      <w:tr>
        <w:trPr>
          <w:trHeight w:val="65"/>
        </w:trPr>
        <w:tc>
          <w:tcPr>
            <w:tcW w:w="6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6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Present value of future minimum lease payments</w:t>
            </w:r>
          </w:p>
        </w:tc>
        <w:tc>
          <w:tcPr>
            <w:tcW w:w="340" w:type="dxa"/>
            <w:vAlign w:val="bottom"/>
            <w:shd w:val="clear" w:color="auto" w:fill="CCEEFF"/>
          </w:tcPr>
          <w:p>
            <w:pPr>
              <w:spacing w:after="0"/>
              <w:rPr>
                <w:sz w:val="18"/>
                <w:szCs w:val="18"/>
                <w:color w:val="auto"/>
              </w:rPr>
            </w:pP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36,500</w:t>
            </w:r>
          </w:p>
        </w:tc>
        <w:tc>
          <w:tcPr>
            <w:tcW w:w="0" w:type="dxa"/>
            <w:vAlign w:val="bottom"/>
          </w:tcPr>
          <w:p>
            <w:pPr>
              <w:spacing w:after="0"/>
              <w:rPr>
                <w:sz w:val="1"/>
                <w:szCs w:val="1"/>
                <w:color w:val="auto"/>
              </w:rPr>
            </w:pPr>
          </w:p>
        </w:tc>
      </w:tr>
      <w:tr>
        <w:trPr>
          <w:trHeight w:val="66"/>
        </w:trPr>
        <w:tc>
          <w:tcPr>
            <w:tcW w:w="67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9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Less current obligations under leases</w:t>
            </w:r>
          </w:p>
        </w:tc>
        <w:tc>
          <w:tcPr>
            <w:tcW w:w="340" w:type="dxa"/>
            <w:vAlign w:val="bottom"/>
          </w:tcPr>
          <w:p>
            <w:pPr>
              <w:spacing w:after="0"/>
              <w:rPr>
                <w:sz w:val="20"/>
                <w:szCs w:val="20"/>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(6,814)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(9,126)</w:t>
            </w:r>
          </w:p>
        </w:tc>
        <w:tc>
          <w:tcPr>
            <w:tcW w:w="0" w:type="dxa"/>
            <w:vAlign w:val="bottom"/>
          </w:tcPr>
          <w:p>
            <w:pPr>
              <w:spacing w:after="0"/>
              <w:rPr>
                <w:sz w:val="1"/>
                <w:szCs w:val="1"/>
                <w:color w:val="auto"/>
              </w:rPr>
            </w:pPr>
          </w:p>
        </w:tc>
      </w:tr>
      <w:tr>
        <w:trPr>
          <w:trHeight w:val="65"/>
        </w:trPr>
        <w:tc>
          <w:tcPr>
            <w:tcW w:w="6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Non-current lease obligations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Commitments and Contingencies</w:t>
      </w:r>
    </w:p>
    <w:p>
      <w:pPr>
        <w:spacing w:after="0" w:line="172" w:lineRule="exact"/>
        <w:rPr>
          <w:sz w:val="20"/>
          <w:szCs w:val="20"/>
          <w:color w:val="auto"/>
        </w:rPr>
      </w:pPr>
    </w:p>
    <w:p>
      <w:pPr>
        <w:ind w:right="760" w:firstLine="470"/>
        <w:spacing w:after="0" w:line="295" w:lineRule="auto"/>
        <w:rPr>
          <w:sz w:val="20"/>
          <w:szCs w:val="20"/>
          <w:color w:val="auto"/>
        </w:rPr>
      </w:pPr>
      <w:r>
        <w:rPr>
          <w:rFonts w:ascii="Times New Roman" w:cs="Times New Roman" w:eastAsia="Times New Roman" w:hAnsi="Times New Roman"/>
          <w:sz w:val="17"/>
          <w:szCs w:val="17"/>
          <w:color w:val="auto"/>
        </w:rPr>
        <w:t>The following table includes certain non-cancelable agreements primarily for subscription, marketing services and cloud infrastructure capacity commitments entered into by the Company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1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January 31,</w:t>
            </w:r>
          </w:p>
        </w:tc>
        <w:tc>
          <w:tcPr>
            <w:tcW w:w="240" w:type="dxa"/>
            <w:vAlign w:val="bottom"/>
          </w:tcPr>
          <w:p>
            <w:pPr>
              <w:spacing w:after="0"/>
              <w:rPr>
                <w:sz w:val="19"/>
                <w:szCs w:val="19"/>
                <w:color w:val="auto"/>
              </w:rPr>
            </w:pPr>
          </w:p>
        </w:tc>
        <w:tc>
          <w:tcPr>
            <w:tcW w:w="184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Other Obligations</w:t>
            </w:r>
          </w:p>
        </w:tc>
      </w:tr>
      <w:tr>
        <w:trPr>
          <w:trHeight w:val="26"/>
        </w:trPr>
        <w:tc>
          <w:tcPr>
            <w:tcW w:w="9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4"/>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379,846</w:t>
            </w:r>
          </w:p>
        </w:tc>
      </w:tr>
      <w:tr>
        <w:trPr>
          <w:trHeight w:val="235"/>
        </w:trPr>
        <w:tc>
          <w:tcPr>
            <w:tcW w:w="9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281,303</w:t>
            </w:r>
          </w:p>
        </w:tc>
      </w:tr>
      <w:tr>
        <w:trPr>
          <w:trHeight w:val="26"/>
        </w:trPr>
        <w:tc>
          <w:tcPr>
            <w:tcW w:w="9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2"/>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279,157</w:t>
            </w:r>
          </w:p>
        </w:tc>
      </w:tr>
      <w:tr>
        <w:trPr>
          <w:trHeight w:val="222"/>
        </w:trPr>
        <w:tc>
          <w:tcPr>
            <w:tcW w:w="9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22"/>
        </w:trPr>
        <w:tc>
          <w:tcPr>
            <w:tcW w:w="9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4"/>
        </w:trPr>
        <w:tc>
          <w:tcPr>
            <w:tcW w:w="9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79"/>
        </w:trPr>
        <w:tc>
          <w:tcPr>
            <w:tcW w:w="91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 minimum payments</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945,306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jc w:val="both"/>
        <w:ind w:right="160" w:firstLine="470"/>
        <w:spacing w:after="0" w:line="277" w:lineRule="auto"/>
        <w:rPr>
          <w:sz w:val="20"/>
          <w:szCs w:val="20"/>
          <w:color w:val="auto"/>
        </w:rPr>
      </w:pPr>
      <w:r>
        <w:rPr>
          <w:rFonts w:ascii="Times New Roman" w:cs="Times New Roman" w:eastAsia="Times New Roman" w:hAnsi="Times New Roman"/>
          <w:sz w:val="17"/>
          <w:szCs w:val="17"/>
          <w:color w:val="auto"/>
        </w:rPr>
        <w:t xml:space="preserve">Refer to Note 7,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for further details on obligations under non-cancelable finance and operating leases, including future minimum lease payments. During the year ended January 31, 2025, there have been no material changes outside the ordinary course of business to the Company’s contractual obligations and commitments.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Legal Matters</w:t>
      </w:r>
    </w:p>
    <w:p>
      <w:pPr>
        <w:spacing w:after="0" w:line="172" w:lineRule="exact"/>
        <w:rPr>
          <w:sz w:val="20"/>
          <w:szCs w:val="20"/>
          <w:color w:val="auto"/>
        </w:rPr>
      </w:pPr>
    </w:p>
    <w:p>
      <w:pPr>
        <w:ind w:firstLine="470"/>
        <w:spacing w:after="0" w:line="261" w:lineRule="auto"/>
        <w:rPr>
          <w:sz w:val="20"/>
          <w:szCs w:val="20"/>
          <w:color w:val="auto"/>
        </w:rPr>
      </w:pPr>
      <w:r>
        <w:rPr>
          <w:rFonts w:ascii="Times New Roman" w:cs="Times New Roman" w:eastAsia="Times New Roman" w:hAnsi="Times New Roman"/>
          <w:sz w:val="17"/>
          <w:szCs w:val="17"/>
          <w:color w:val="auto"/>
        </w:rPr>
        <w:t>The Company investigates all claims, litigation and other legal matters as they arise. From time to time, the Company has become involved in claims, litigation and other legal matters arising in the ordinary course of business, including intellectual property, labor and employment and breach of contract claims. For example, on July 9, 2024, a putative class action lawsuit, captioned Baxter v. MongoDB, Inc., et al., was filed in the United States District Court for the Southern District of New York against MongoDB, CEO Dev Ittycheria, and COO and CFO Michael Gordon. On January 27, 2025, the lead plaintiff in the lawsuit (the “Securities Action”) filed an Amended Complaint naming former Senior Vice President of Finance and current Interim CFO Srdjan Tanjga as an additional defendant. The operative complaint asserts claims under Sections 10(b) and 20(a) of the Securities Exchange Act, and alleges that defendants made material misstatements and/or omissions, including regarding MongoDB’s sales strategy and its financial results. The complaint is purportedly brought on behalf of a putative class of persons who purchased or otherwise acquired MongoDB common stock between June 1, 2023 and May 30, 2024. It seeks unspecified monetary damages, costs and attorneys’ fees, and other unspecified relief. The Company is unable to estimate any reasonably possible loss, or range of loss, with respect to these matters at this time. The Company intends to vigorously defend itself in this matter.</w:t>
      </w:r>
    </w:p>
    <w:p>
      <w:pPr>
        <w:spacing w:after="0" w:line="122" w:lineRule="exact"/>
        <w:rPr>
          <w:sz w:val="20"/>
          <w:szCs w:val="20"/>
          <w:color w:val="auto"/>
        </w:rPr>
      </w:pPr>
    </w:p>
    <w:p>
      <w:pPr>
        <w:ind w:right="20" w:firstLine="470"/>
        <w:spacing w:after="0" w:line="263" w:lineRule="auto"/>
        <w:rPr>
          <w:sz w:val="20"/>
          <w:szCs w:val="20"/>
          <w:color w:val="auto"/>
        </w:rPr>
      </w:pPr>
      <w:r>
        <w:rPr>
          <w:rFonts w:ascii="Times New Roman" w:cs="Times New Roman" w:eastAsia="Times New Roman" w:hAnsi="Times New Roman"/>
          <w:sz w:val="17"/>
          <w:szCs w:val="17"/>
          <w:color w:val="auto"/>
        </w:rPr>
        <w:t xml:space="preserve">On October 7, 2024, a purported shareholder derivative lawsuit was filed in the U.S. District Court for the Southern District of New York, Case. No. 1:24-cv-07594, against the Company, as nominal defendant, and CEO Dev Ittycheria, COO and CFO Michael Gordon, and several of the Company’s current and former directors. The case is captioned Roy v. Ittycheria et al. The lawsuit alleges that the individual defendants breached their fiduciary duties and committed other alleged misconduct in connection with the statements at issue in the Securities Action and by causing the Company to issue allegedly false and misleading statements to investors. Another similar case was subsequently filed in the same district and has been consolidated with the </w:t>
      </w:r>
      <w:r>
        <w:rPr>
          <w:rFonts w:ascii="Times New Roman" w:cs="Times New Roman" w:eastAsia="Times New Roman" w:hAnsi="Times New Roman"/>
          <w:sz w:val="17"/>
          <w:szCs w:val="17"/>
          <w:i w:val="1"/>
          <w:iCs w:val="1"/>
          <w:color w:val="auto"/>
        </w:rPr>
        <w:t>Roy</w:t>
      </w:r>
      <w:r>
        <w:rPr>
          <w:rFonts w:ascii="Times New Roman" w:cs="Times New Roman" w:eastAsia="Times New Roman" w:hAnsi="Times New Roman"/>
          <w:sz w:val="17"/>
          <w:szCs w:val="17"/>
          <w:color w:val="auto"/>
        </w:rPr>
        <w:t xml:space="preserve"> action with the caption </w:t>
      </w:r>
      <w:r>
        <w:rPr>
          <w:rFonts w:ascii="Times New Roman" w:cs="Times New Roman" w:eastAsia="Times New Roman" w:hAnsi="Times New Roman"/>
          <w:sz w:val="17"/>
          <w:szCs w:val="17"/>
          <w:i w:val="1"/>
          <w:iCs w:val="1"/>
          <w:color w:val="auto"/>
        </w:rPr>
        <w:t>In 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MongoDB, Inc. Shareholder Litigation </w:t>
      </w:r>
      <w:r>
        <w:rPr>
          <w:rFonts w:ascii="Times New Roman" w:cs="Times New Roman" w:eastAsia="Times New Roman" w:hAnsi="Times New Roman"/>
          <w:sz w:val="17"/>
          <w:szCs w:val="17"/>
          <w:color w:val="auto"/>
        </w:rPr>
        <w:t>(the “Derivative Litigation”). The Derivative Litigation is at an early stage and has been stayed, pending the outcome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Court's decision on the defendants’ anticipated motion to dismiss the Securities Action.</w:t>
      </w:r>
    </w:p>
    <w:p>
      <w:pPr>
        <w:spacing w:after="0" w:line="121" w:lineRule="exact"/>
        <w:rPr>
          <w:sz w:val="20"/>
          <w:szCs w:val="20"/>
          <w:color w:val="auto"/>
        </w:rPr>
      </w:pPr>
    </w:p>
    <w:p>
      <w:pPr>
        <w:jc w:val="both"/>
        <w:ind w:right="80" w:firstLine="470"/>
        <w:spacing w:after="0" w:line="264" w:lineRule="auto"/>
        <w:rPr>
          <w:sz w:val="20"/>
          <w:szCs w:val="20"/>
          <w:color w:val="auto"/>
        </w:rPr>
      </w:pPr>
      <w:r>
        <w:rPr>
          <w:rFonts w:ascii="Times New Roman" w:cs="Times New Roman" w:eastAsia="Times New Roman" w:hAnsi="Times New Roman"/>
          <w:sz w:val="17"/>
          <w:szCs w:val="17"/>
          <w:color w:val="auto"/>
        </w:rPr>
        <w:t>Although claims and litigation are inherently unpredictable, as of January 31, 2025, other than as disclosed above, the Company is currently not aware of any matters that, if determined adversely to the Company, would individually or taken together have a material adverse effect on its business, financial position, results of operations or cash flows. The Company accrues estimates for resolution of legal and other contingencies when losses are probable and estimable.</w:t>
      </w:r>
    </w:p>
    <w:p>
      <w:pPr>
        <w:ind w:right="140"/>
        <w:spacing w:after="0" w:line="273" w:lineRule="auto"/>
        <w:rPr>
          <w:sz w:val="20"/>
          <w:szCs w:val="20"/>
          <w:color w:val="auto"/>
        </w:rPr>
      </w:pPr>
      <w:r>
        <w:rPr>
          <w:rFonts w:ascii="Times New Roman" w:cs="Times New Roman" w:eastAsia="Times New Roman" w:hAnsi="Times New Roman"/>
          <w:sz w:val="17"/>
          <w:szCs w:val="17"/>
          <w:color w:val="auto"/>
        </w:rPr>
        <w:t>Regardless of the outcome, litigation can have an adverse impact on the Company because of defense and settlement costs, diversion of management resources and other factors.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Indemnification</w:t>
      </w:r>
    </w:p>
    <w:p>
      <w:pPr>
        <w:spacing w:after="0" w:line="172" w:lineRule="exact"/>
        <w:rPr>
          <w:sz w:val="20"/>
          <w:szCs w:val="20"/>
          <w:color w:val="auto"/>
        </w:rPr>
      </w:pPr>
    </w:p>
    <w:p>
      <w:pPr>
        <w:ind w:right="140" w:firstLine="470"/>
        <w:spacing w:after="0" w:line="269" w:lineRule="auto"/>
        <w:rPr>
          <w:sz w:val="20"/>
          <w:szCs w:val="20"/>
          <w:color w:val="auto"/>
        </w:rPr>
      </w:pPr>
      <w:r>
        <w:rPr>
          <w:rFonts w:ascii="Times New Roman" w:cs="Times New Roman" w:eastAsia="Times New Roman" w:hAnsi="Times New Roman"/>
          <w:sz w:val="17"/>
          <w:szCs w:val="17"/>
          <w:color w:val="auto"/>
        </w:rPr>
        <w:t>The Company enters into indemnification provisions under its agreements with other companies in the ordinary course of business, including business partners, landlords, contractors and parties performing its research and development. Pursuant to these arrangements, the Company agrees to indemnify, hold harmless and reimburse the indemnified party for certain losses suffered or incurred by the indemnified party as a result of the Company’s activities. The terms of these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jc w:val="both"/>
        <w:ind w:right="280"/>
        <w:spacing w:after="0" w:line="276" w:lineRule="auto"/>
        <w:rPr>
          <w:sz w:val="20"/>
          <w:szCs w:val="20"/>
          <w:color w:val="auto"/>
        </w:rPr>
      </w:pPr>
      <w:r>
        <w:rPr>
          <w:rFonts w:ascii="Times New Roman" w:cs="Times New Roman" w:eastAsia="Times New Roman" w:hAnsi="Times New Roman"/>
          <w:sz w:val="17"/>
          <w:szCs w:val="17"/>
          <w:color w:val="auto"/>
        </w:rPr>
        <w:t>indemnification agreements are generally perpetual. The maximum potential amount of future payments the Company could be required to make under these agreements is not determinable. To date, the Company has not incurred material costs as a result of such commitments. The Company maintains commercial general liability insurance and product liability insurance to offset certain of the Company’s potential liabilities under these indemnification provisions.</w:t>
      </w:r>
    </w:p>
    <w:p>
      <w:pPr>
        <w:spacing w:after="0" w:line="110" w:lineRule="exact"/>
        <w:rPr>
          <w:sz w:val="20"/>
          <w:szCs w:val="20"/>
          <w:color w:val="auto"/>
        </w:rPr>
      </w:pPr>
    </w:p>
    <w:p>
      <w:pPr>
        <w:ind w:right="20" w:firstLine="470"/>
        <w:spacing w:after="0" w:line="276" w:lineRule="auto"/>
        <w:rPr>
          <w:sz w:val="20"/>
          <w:szCs w:val="20"/>
          <w:color w:val="auto"/>
        </w:rPr>
      </w:pPr>
      <w:r>
        <w:rPr>
          <w:rFonts w:ascii="Times New Roman" w:cs="Times New Roman" w:eastAsia="Times New Roman" w:hAnsi="Times New Roman"/>
          <w:sz w:val="17"/>
          <w:szCs w:val="17"/>
          <w:color w:val="auto"/>
        </w:rPr>
        <w:t>The Company has entered into indemnification agreements with each of its directors and executive officers. These agreements require the Company to indemnify such individuals, to the fullest extent permitted by Delaware law, for certain liabilities to which they may become subject as a result of their affiliation with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Revenue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Disaggregation of Revenue</w:t>
      </w:r>
    </w:p>
    <w:p>
      <w:pPr>
        <w:spacing w:after="0" w:line="172" w:lineRule="exact"/>
        <w:rPr>
          <w:sz w:val="20"/>
          <w:szCs w:val="20"/>
          <w:color w:val="auto"/>
        </w:rPr>
      </w:pPr>
    </w:p>
    <w:p>
      <w:pPr>
        <w:ind w:right="240" w:firstLine="470"/>
        <w:spacing w:after="0" w:line="269" w:lineRule="auto"/>
        <w:rPr>
          <w:sz w:val="20"/>
          <w:szCs w:val="20"/>
          <w:color w:val="auto"/>
        </w:rPr>
      </w:pPr>
      <w:r>
        <w:rPr>
          <w:rFonts w:ascii="Times New Roman" w:cs="Times New Roman" w:eastAsia="Times New Roman" w:hAnsi="Times New Roman"/>
          <w:sz w:val="17"/>
          <w:szCs w:val="17"/>
          <w:color w:val="auto"/>
        </w:rPr>
        <w:t>The Company believes that the nature, amount, timing and uncertainty of its revenue and cash flows and how they are affected by economic factors is most appropriately depicted through the Company’s primary geographical markets and subscription product categories. The Company’s primary geographical markets are North and South America (“Americas”); Europe, Middle East and Africa (“EMEA”); and Asia Pacific. The Company also disaggregates its subscription products between its MongoDB Atlas-related offerings and other subscription products, which include MongoDB Enterprise Advanced.</w:t>
      </w:r>
    </w:p>
    <w:p>
      <w:pPr>
        <w:spacing w:after="0" w:line="117" w:lineRule="exact"/>
        <w:rPr>
          <w:sz w:val="20"/>
          <w:szCs w:val="20"/>
          <w:color w:val="auto"/>
        </w:rPr>
      </w:pPr>
    </w:p>
    <w:p>
      <w:pPr>
        <w:ind w:right="260" w:firstLine="470"/>
        <w:spacing w:after="0" w:line="295" w:lineRule="auto"/>
        <w:rPr>
          <w:sz w:val="20"/>
          <w:szCs w:val="20"/>
          <w:color w:val="auto"/>
        </w:rPr>
      </w:pPr>
      <w:r>
        <w:rPr>
          <w:rFonts w:ascii="Times New Roman" w:cs="Times New Roman" w:eastAsia="Times New Roman" w:hAnsi="Times New Roman"/>
          <w:sz w:val="17"/>
          <w:szCs w:val="17"/>
          <w:color w:val="auto"/>
        </w:rPr>
        <w:t>The following table presents the Company’s revenues disaggregated by primary geographical markets, subscription product categories and services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gridSpan w:val="6"/>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c>
          <w:tcPr>
            <w:tcW w:w="1080" w:type="dxa"/>
            <w:vAlign w:val="bottom"/>
          </w:tcPr>
          <w:p>
            <w:pPr>
              <w:spacing w:after="0"/>
              <w:rPr>
                <w:sz w:val="19"/>
                <w:szCs w:val="19"/>
                <w:color w:val="auto"/>
              </w:rPr>
            </w:pPr>
          </w:p>
        </w:tc>
      </w:tr>
      <w:tr>
        <w:trPr>
          <w:trHeight w:val="26"/>
        </w:trPr>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5"/>
        </w:trPr>
        <w:tc>
          <w:tcPr>
            <w:tcW w:w="6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1"/>
        </w:trPr>
        <w:tc>
          <w:tcPr>
            <w:tcW w:w="6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Primary geographical markets:</w:t>
            </w:r>
          </w:p>
        </w:tc>
        <w:tc>
          <w:tcPr>
            <w:tcW w:w="3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r>
      <w:tr>
        <w:trPr>
          <w:trHeight w:val="261"/>
        </w:trPr>
        <w:tc>
          <w:tcPr>
            <w:tcW w:w="6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Americas</w:t>
            </w: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1,213,061</w:t>
            </w:r>
          </w:p>
        </w:tc>
        <w:tc>
          <w:tcPr>
            <w:tcW w:w="10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1,016,324</w:t>
            </w:r>
          </w:p>
        </w:tc>
        <w:tc>
          <w:tcPr>
            <w:tcW w:w="12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781,763</w:t>
            </w:r>
          </w:p>
        </w:tc>
      </w:tr>
      <w:tr>
        <w:trPr>
          <w:trHeight w:val="262"/>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EMEA</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553,090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469,082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361,566</w:t>
            </w:r>
          </w:p>
        </w:tc>
      </w:tr>
      <w:tr>
        <w:trPr>
          <w:trHeight w:val="274"/>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Asia Pacific</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240,292</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197,605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140,711</w:t>
            </w:r>
          </w:p>
        </w:tc>
      </w:tr>
      <w:tr>
        <w:trPr>
          <w:trHeight w:val="279"/>
        </w:trPr>
        <w:tc>
          <w:tcPr>
            <w:tcW w:w="6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2,006,443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1,683,011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1,284,040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1"/>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Subscription product categories and services: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61"/>
        </w:trPr>
        <w:tc>
          <w:tcPr>
            <w:tcW w:w="68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MongoDB Atlas-related</w:t>
            </w: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1,405,184</w:t>
            </w:r>
          </w:p>
        </w:tc>
        <w:tc>
          <w:tcPr>
            <w:tcW w:w="10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1,105,351</w:t>
            </w:r>
          </w:p>
        </w:tc>
        <w:tc>
          <w:tcPr>
            <w:tcW w:w="120" w:type="dxa"/>
            <w:vAlign w:val="bottom"/>
          </w:tcPr>
          <w:p>
            <w:pPr>
              <w:spacing w:after="0"/>
              <w:rPr>
                <w:sz w:val="22"/>
                <w:szCs w:val="22"/>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808,263</w:t>
            </w:r>
          </w:p>
        </w:tc>
      </w:tr>
      <w:tr>
        <w:trPr>
          <w:trHeight w:val="262"/>
        </w:trPr>
        <w:tc>
          <w:tcPr>
            <w:tcW w:w="6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subscription</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538,680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521,975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426,859</w:t>
            </w:r>
          </w:p>
        </w:tc>
      </w:tr>
      <w:tr>
        <w:trPr>
          <w:trHeight w:val="274"/>
        </w:trPr>
        <w:tc>
          <w:tcPr>
            <w:tcW w:w="68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Services</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62,579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55,685</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48,918</w:t>
            </w:r>
          </w:p>
        </w:tc>
      </w:tr>
      <w:tr>
        <w:trPr>
          <w:trHeight w:val="279"/>
        </w:trPr>
        <w:tc>
          <w:tcPr>
            <w:tcW w:w="6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2,006,443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1,683,011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1,284,040</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right="220" w:firstLine="470"/>
        <w:spacing w:after="0" w:line="295" w:lineRule="auto"/>
        <w:rPr>
          <w:sz w:val="20"/>
          <w:szCs w:val="20"/>
          <w:color w:val="auto"/>
        </w:rPr>
      </w:pPr>
      <w:r>
        <w:rPr>
          <w:rFonts w:ascii="Times New Roman" w:cs="Times New Roman" w:eastAsia="Times New Roman" w:hAnsi="Times New Roman"/>
          <w:sz w:val="17"/>
          <w:szCs w:val="17"/>
          <w:color w:val="auto"/>
        </w:rPr>
        <w:t>Customers located in the United States accounted for 54% of total revenue for each of the years ended January 31, 2025 and 2024 and 55% for the year ended January 31, 2023. No other country accounted for 10% or more of revenue for the periods presented.</w:t>
      </w:r>
    </w:p>
    <w:p>
      <w:pPr>
        <w:spacing w:after="0" w:line="94" w:lineRule="exact"/>
        <w:rPr>
          <w:sz w:val="20"/>
          <w:szCs w:val="20"/>
          <w:color w:val="auto"/>
        </w:rPr>
      </w:pPr>
    </w:p>
    <w:p>
      <w:pPr>
        <w:ind w:right="320" w:firstLine="470"/>
        <w:spacing w:after="0" w:line="295" w:lineRule="auto"/>
        <w:rPr>
          <w:sz w:val="20"/>
          <w:szCs w:val="20"/>
          <w:color w:val="auto"/>
        </w:rPr>
      </w:pPr>
      <w:r>
        <w:rPr>
          <w:rFonts w:ascii="Times New Roman" w:cs="Times New Roman" w:eastAsia="Times New Roman" w:hAnsi="Times New Roman"/>
          <w:sz w:val="17"/>
          <w:szCs w:val="17"/>
          <w:color w:val="auto"/>
        </w:rPr>
        <w:t>Long-lived assets located in the United States accounted for 87% of total long-lived assets for each of the years ended January 31, 2025 and 2024. No other country accounted for 10% or more of long-lived assets for the periods presented.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Contract Liabilities</w:t>
      </w:r>
    </w:p>
    <w:p>
      <w:pPr>
        <w:spacing w:after="0" w:line="172" w:lineRule="exact"/>
        <w:rPr>
          <w:sz w:val="20"/>
          <w:szCs w:val="20"/>
          <w:color w:val="auto"/>
        </w:rPr>
      </w:pPr>
    </w:p>
    <w:p>
      <w:pPr>
        <w:ind w:firstLine="470"/>
        <w:spacing w:after="0" w:line="269" w:lineRule="auto"/>
        <w:rPr>
          <w:sz w:val="20"/>
          <w:szCs w:val="20"/>
          <w:color w:val="auto"/>
        </w:rPr>
      </w:pPr>
      <w:r>
        <w:rPr>
          <w:rFonts w:ascii="Times New Roman" w:cs="Times New Roman" w:eastAsia="Times New Roman" w:hAnsi="Times New Roman"/>
          <w:sz w:val="17"/>
          <w:szCs w:val="17"/>
          <w:color w:val="auto"/>
        </w:rPr>
        <w:t>The Company’s contract liabilities are recorded as deferred revenue in the Company’s consolidated balance sheets and consist of customer invoices issued or payments received in advance of revenues being recognized from the Company’s subscription and services contracts. Deferred revenue, including current and non-current balances as of January 31, 2025, 2024 and 2023 was $359.8 million, $377.4 million and $460.3 million, respectively. Approximately 18% and 25% of the total revenue recognized in the years ended January 31, 2025 and 2024 was from deferred revenue at the beginning of each respective period.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Remaining Performance Obligations</w:t>
      </w:r>
    </w:p>
    <w:p>
      <w:pPr>
        <w:spacing w:after="0" w:line="172" w:lineRule="exact"/>
        <w:rPr>
          <w:sz w:val="20"/>
          <w:szCs w:val="20"/>
          <w:color w:val="auto"/>
        </w:rPr>
      </w:pPr>
    </w:p>
    <w:p>
      <w:pPr>
        <w:ind w:right="20" w:firstLine="470"/>
        <w:spacing w:after="0" w:line="264" w:lineRule="auto"/>
        <w:rPr>
          <w:sz w:val="20"/>
          <w:szCs w:val="20"/>
          <w:color w:val="auto"/>
        </w:rPr>
      </w:pPr>
      <w:r>
        <w:rPr>
          <w:rFonts w:ascii="Times New Roman" w:cs="Times New Roman" w:eastAsia="Times New Roman" w:hAnsi="Times New Roman"/>
          <w:sz w:val="17"/>
          <w:szCs w:val="17"/>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January 31, 2025, the aggregate transaction price allocated to remaining performance obligations was $748.0 million. Approximately 59% is expected to be recognized as revenue over the next 12 months 37% in 13 to 36 months and the remainder thereafter. The Company applies the practical expedient to omit disclosure with respect to the amount of the transaction price allocated to remaining performance obligations if the related contract has a total duration of 12 months or less.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Unbilled Receivables</w:t>
      </w:r>
    </w:p>
    <w:p>
      <w:pPr>
        <w:spacing w:after="0" w:line="172" w:lineRule="exact"/>
        <w:rPr>
          <w:sz w:val="20"/>
          <w:szCs w:val="20"/>
          <w:color w:val="auto"/>
        </w:rPr>
      </w:pPr>
    </w:p>
    <w:p>
      <w:pPr>
        <w:ind w:right="20" w:firstLine="470"/>
        <w:spacing w:after="0" w:line="269" w:lineRule="auto"/>
        <w:rPr>
          <w:sz w:val="20"/>
          <w:szCs w:val="20"/>
          <w:color w:val="auto"/>
        </w:rPr>
      </w:pPr>
      <w:r>
        <w:rPr>
          <w:rFonts w:ascii="Times New Roman" w:cs="Times New Roman" w:eastAsia="Times New Roman" w:hAnsi="Times New Roman"/>
          <w:sz w:val="17"/>
          <w:szCs w:val="17"/>
          <w:color w:val="auto"/>
        </w:rPr>
        <w:t>Revenue recognized in excess of invoiced amounts creates an unbilled receivable, which represents the Company’s unconditional right to consideration in exchange for goods or services that the Company has transferred to the customer. Unbilled receivables are recorded as part of accounts receivable, net in the Company’s consolidated balance sheets. As of January 31, 2025, 2024 and 2023, unbilled receivables were $22.5 million, $22.7 million and $9.7 million,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Allowance for Doubtful Accounts</w:t>
      </w:r>
    </w:p>
    <w:p>
      <w:pPr>
        <w:spacing w:after="0" w:line="172" w:lineRule="exact"/>
        <w:rPr>
          <w:sz w:val="20"/>
          <w:szCs w:val="20"/>
          <w:color w:val="auto"/>
        </w:rPr>
      </w:pPr>
    </w:p>
    <w:p>
      <w:pPr>
        <w:ind w:right="160" w:firstLine="470"/>
        <w:spacing w:after="0" w:line="295" w:lineRule="auto"/>
        <w:rPr>
          <w:sz w:val="20"/>
          <w:szCs w:val="20"/>
          <w:color w:val="auto"/>
        </w:rPr>
      </w:pPr>
      <w:r>
        <w:rPr>
          <w:rFonts w:ascii="Times New Roman" w:cs="Times New Roman" w:eastAsia="Times New Roman" w:hAnsi="Times New Roman"/>
          <w:sz w:val="17"/>
          <w:szCs w:val="17"/>
          <w:color w:val="auto"/>
        </w:rPr>
        <w:t>The Company considers expectations of forward-looking losses, in addition to historical loss rates, to estimate its allowance for doubtful accounts on its accounts receivable. The following is a summary of the changes in the Company’s allowance for doubtful accounts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Allowance for Doubtful Accounts</w:t>
            </w:r>
          </w:p>
        </w:tc>
      </w:tr>
      <w:tr>
        <w:trPr>
          <w:trHeight w:val="21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31, 2022</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3040" w:type="dxa"/>
            <w:vAlign w:val="bottom"/>
            <w:shd w:val="clear" w:color="auto" w:fill="CCEEFF"/>
          </w:tcPr>
          <w:p>
            <w:pPr>
              <w:jc w:val="center"/>
              <w:ind w:left="2433"/>
              <w:spacing w:after="0"/>
              <w:rPr>
                <w:sz w:val="20"/>
                <w:szCs w:val="20"/>
                <w:color w:val="auto"/>
              </w:rPr>
            </w:pPr>
            <w:r>
              <w:rPr>
                <w:rFonts w:ascii="Times New Roman" w:cs="Times New Roman" w:eastAsia="Times New Roman" w:hAnsi="Times New Roman"/>
                <w:sz w:val="17"/>
                <w:szCs w:val="17"/>
                <w:color w:val="auto"/>
              </w:rPr>
              <w:t>4,966</w:t>
            </w:r>
          </w:p>
        </w:tc>
      </w:tr>
      <w:tr>
        <w:trPr>
          <w:trHeight w:val="222"/>
        </w:trPr>
        <w:tc>
          <w:tcPr>
            <w:tcW w:w="79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Provision</w:t>
            </w:r>
          </w:p>
        </w:tc>
        <w:tc>
          <w:tcPr>
            <w:tcW w:w="240" w:type="dxa"/>
            <w:vAlign w:val="bottom"/>
          </w:tcPr>
          <w:p>
            <w:pPr>
              <w:spacing w:after="0"/>
              <w:rPr>
                <w:sz w:val="19"/>
                <w:szCs w:val="19"/>
                <w:color w:val="auto"/>
              </w:rPr>
            </w:pPr>
          </w:p>
        </w:tc>
        <w:tc>
          <w:tcPr>
            <w:tcW w:w="3040" w:type="dxa"/>
            <w:vAlign w:val="bottom"/>
          </w:tcPr>
          <w:p>
            <w:pPr>
              <w:jc w:val="center"/>
              <w:ind w:left="2433"/>
              <w:spacing w:after="0"/>
              <w:rPr>
                <w:sz w:val="20"/>
                <w:szCs w:val="20"/>
                <w:color w:val="auto"/>
              </w:rPr>
            </w:pPr>
            <w:r>
              <w:rPr>
                <w:rFonts w:ascii="Times New Roman" w:cs="Times New Roman" w:eastAsia="Times New Roman" w:hAnsi="Times New Roman"/>
                <w:sz w:val="17"/>
                <w:szCs w:val="17"/>
                <w:color w:val="auto"/>
              </w:rPr>
              <w:t>5,595</w:t>
            </w:r>
          </w:p>
        </w:tc>
      </w:tr>
      <w:tr>
        <w:trPr>
          <w:trHeight w:val="222"/>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Recoveries/write-offs</w:t>
            </w:r>
          </w:p>
        </w:tc>
        <w:tc>
          <w:tcPr>
            <w:tcW w:w="240" w:type="dxa"/>
            <w:vAlign w:val="bottom"/>
            <w:tcBorders>
              <w:bottom w:val="single" w:sz="8" w:color="auto"/>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center"/>
              <w:ind w:left="2393"/>
              <w:spacing w:after="0"/>
              <w:rPr>
                <w:sz w:val="20"/>
                <w:szCs w:val="20"/>
                <w:color w:val="auto"/>
              </w:rPr>
            </w:pPr>
            <w:r>
              <w:rPr>
                <w:rFonts w:ascii="Times New Roman" w:cs="Times New Roman" w:eastAsia="Times New Roman" w:hAnsi="Times New Roman"/>
                <w:sz w:val="17"/>
                <w:szCs w:val="17"/>
                <w:color w:val="auto"/>
              </w:rPr>
              <w:t>(4,199)</w:t>
            </w:r>
          </w:p>
        </w:tc>
      </w:tr>
      <w:tr>
        <w:trPr>
          <w:trHeight w:val="21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January 31, 2023</w:t>
            </w:r>
          </w:p>
        </w:tc>
        <w:tc>
          <w:tcPr>
            <w:tcW w:w="240" w:type="dxa"/>
            <w:vAlign w:val="bottom"/>
          </w:tcPr>
          <w:p>
            <w:pPr>
              <w:spacing w:after="0"/>
              <w:rPr>
                <w:sz w:val="18"/>
                <w:szCs w:val="18"/>
                <w:color w:val="auto"/>
              </w:rPr>
            </w:pPr>
          </w:p>
        </w:tc>
        <w:tc>
          <w:tcPr>
            <w:tcW w:w="3040" w:type="dxa"/>
            <w:vAlign w:val="bottom"/>
          </w:tcPr>
          <w:p>
            <w:pPr>
              <w:jc w:val="center"/>
              <w:ind w:left="2433"/>
              <w:spacing w:after="0"/>
              <w:rPr>
                <w:sz w:val="20"/>
                <w:szCs w:val="20"/>
                <w:color w:val="auto"/>
              </w:rPr>
            </w:pPr>
            <w:r>
              <w:rPr>
                <w:rFonts w:ascii="Times New Roman" w:cs="Times New Roman" w:eastAsia="Times New Roman" w:hAnsi="Times New Roman"/>
                <w:sz w:val="17"/>
                <w:szCs w:val="17"/>
                <w:color w:val="auto"/>
              </w:rPr>
              <w:t>6,362</w:t>
            </w:r>
          </w:p>
        </w:tc>
      </w:tr>
      <w:tr>
        <w:trPr>
          <w:trHeight w:val="222"/>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Provision</w:t>
            </w:r>
          </w:p>
        </w:tc>
        <w:tc>
          <w:tcPr>
            <w:tcW w:w="240" w:type="dxa"/>
            <w:vAlign w:val="bottom"/>
            <w:shd w:val="clear" w:color="auto" w:fill="CCEEFF"/>
          </w:tcPr>
          <w:p>
            <w:pPr>
              <w:spacing w:after="0"/>
              <w:rPr>
                <w:sz w:val="19"/>
                <w:szCs w:val="19"/>
                <w:color w:val="auto"/>
              </w:rPr>
            </w:pPr>
          </w:p>
        </w:tc>
        <w:tc>
          <w:tcPr>
            <w:tcW w:w="3040" w:type="dxa"/>
            <w:vAlign w:val="bottom"/>
            <w:shd w:val="clear" w:color="auto" w:fill="CCEEFF"/>
          </w:tcPr>
          <w:p>
            <w:pPr>
              <w:jc w:val="center"/>
              <w:ind w:left="2433"/>
              <w:spacing w:after="0"/>
              <w:rPr>
                <w:sz w:val="20"/>
                <w:szCs w:val="20"/>
                <w:color w:val="auto"/>
              </w:rPr>
            </w:pPr>
            <w:r>
              <w:rPr>
                <w:rFonts w:ascii="Times New Roman" w:cs="Times New Roman" w:eastAsia="Times New Roman" w:hAnsi="Times New Roman"/>
                <w:sz w:val="17"/>
                <w:szCs w:val="17"/>
                <w:color w:val="auto"/>
              </w:rPr>
              <w:t>8,520</w:t>
            </w:r>
          </w:p>
        </w:tc>
      </w:tr>
      <w:tr>
        <w:trPr>
          <w:trHeight w:val="222"/>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Recoveries/write-offs</w:t>
            </w:r>
          </w:p>
        </w:tc>
        <w:tc>
          <w:tcPr>
            <w:tcW w:w="240" w:type="dxa"/>
            <w:vAlign w:val="bottom"/>
            <w:tcBorders>
              <w:bottom w:val="single" w:sz="8" w:color="auto"/>
            </w:tcBorders>
          </w:tcPr>
          <w:p>
            <w:pPr>
              <w:spacing w:after="0"/>
              <w:rPr>
                <w:sz w:val="19"/>
                <w:szCs w:val="19"/>
                <w:color w:val="auto"/>
              </w:rPr>
            </w:pPr>
          </w:p>
        </w:tc>
        <w:tc>
          <w:tcPr>
            <w:tcW w:w="3040" w:type="dxa"/>
            <w:vAlign w:val="bottom"/>
            <w:tcBorders>
              <w:bottom w:val="single" w:sz="8" w:color="auto"/>
            </w:tcBorders>
          </w:tcPr>
          <w:p>
            <w:pPr>
              <w:jc w:val="center"/>
              <w:ind w:left="2393"/>
              <w:spacing w:after="0"/>
              <w:rPr>
                <w:sz w:val="20"/>
                <w:szCs w:val="20"/>
                <w:color w:val="auto"/>
              </w:rPr>
            </w:pPr>
            <w:r>
              <w:rPr>
                <w:rFonts w:ascii="Times New Roman" w:cs="Times New Roman" w:eastAsia="Times New Roman" w:hAnsi="Times New Roman"/>
                <w:sz w:val="17"/>
                <w:szCs w:val="17"/>
                <w:color w:val="auto"/>
              </w:rPr>
              <w:t>(6,828)</w:t>
            </w:r>
          </w:p>
        </w:tc>
      </w:tr>
      <w:tr>
        <w:trPr>
          <w:trHeight w:val="21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31, 2024</w:t>
            </w:r>
          </w:p>
        </w:tc>
        <w:tc>
          <w:tcPr>
            <w:tcW w:w="240" w:type="dxa"/>
            <w:vAlign w:val="bottom"/>
            <w:shd w:val="clear" w:color="auto" w:fill="CCEEFF"/>
          </w:tcPr>
          <w:p>
            <w:pPr>
              <w:spacing w:after="0"/>
              <w:rPr>
                <w:sz w:val="18"/>
                <w:szCs w:val="18"/>
                <w:color w:val="auto"/>
              </w:rPr>
            </w:pPr>
          </w:p>
        </w:tc>
        <w:tc>
          <w:tcPr>
            <w:tcW w:w="3040" w:type="dxa"/>
            <w:vAlign w:val="bottom"/>
            <w:shd w:val="clear" w:color="auto" w:fill="CCEEFF"/>
          </w:tcPr>
          <w:p>
            <w:pPr>
              <w:jc w:val="center"/>
              <w:ind w:left="2433"/>
              <w:spacing w:after="0"/>
              <w:rPr>
                <w:sz w:val="20"/>
                <w:szCs w:val="20"/>
                <w:color w:val="auto"/>
              </w:rPr>
            </w:pPr>
            <w:r>
              <w:rPr>
                <w:rFonts w:ascii="Times New Roman" w:cs="Times New Roman" w:eastAsia="Times New Roman" w:hAnsi="Times New Roman"/>
                <w:sz w:val="17"/>
                <w:szCs w:val="17"/>
                <w:color w:val="auto"/>
              </w:rPr>
              <w:t>8,054</w:t>
            </w:r>
          </w:p>
        </w:tc>
      </w:tr>
      <w:tr>
        <w:trPr>
          <w:trHeight w:val="222"/>
        </w:trPr>
        <w:tc>
          <w:tcPr>
            <w:tcW w:w="79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Provision</w:t>
            </w:r>
          </w:p>
        </w:tc>
        <w:tc>
          <w:tcPr>
            <w:tcW w:w="240" w:type="dxa"/>
            <w:vAlign w:val="bottom"/>
          </w:tcPr>
          <w:p>
            <w:pPr>
              <w:spacing w:after="0"/>
              <w:rPr>
                <w:sz w:val="19"/>
                <w:szCs w:val="19"/>
                <w:color w:val="auto"/>
              </w:rPr>
            </w:pPr>
          </w:p>
        </w:tc>
        <w:tc>
          <w:tcPr>
            <w:tcW w:w="3040" w:type="dxa"/>
            <w:vAlign w:val="bottom"/>
          </w:tcPr>
          <w:p>
            <w:pPr>
              <w:jc w:val="center"/>
              <w:ind w:left="2433"/>
              <w:spacing w:after="0"/>
              <w:rPr>
                <w:sz w:val="20"/>
                <w:szCs w:val="20"/>
                <w:color w:val="auto"/>
              </w:rPr>
            </w:pPr>
            <w:r>
              <w:rPr>
                <w:rFonts w:ascii="Times New Roman" w:cs="Times New Roman" w:eastAsia="Times New Roman" w:hAnsi="Times New Roman"/>
                <w:sz w:val="17"/>
                <w:szCs w:val="17"/>
                <w:color w:val="auto"/>
              </w:rPr>
              <w:t>9,404</w:t>
            </w:r>
          </w:p>
        </w:tc>
      </w:tr>
      <w:tr>
        <w:trPr>
          <w:trHeight w:val="222"/>
        </w:trPr>
        <w:tc>
          <w:tcPr>
            <w:tcW w:w="7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Recoveries/write-offs</w:t>
            </w:r>
          </w:p>
        </w:tc>
        <w:tc>
          <w:tcPr>
            <w:tcW w:w="240" w:type="dxa"/>
            <w:vAlign w:val="bottom"/>
            <w:tcBorders>
              <w:bottom w:val="single" w:sz="8" w:color="auto"/>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center"/>
              <w:ind w:left="2393"/>
              <w:spacing w:after="0"/>
              <w:rPr>
                <w:sz w:val="20"/>
                <w:szCs w:val="20"/>
                <w:color w:val="auto"/>
              </w:rPr>
            </w:pPr>
            <w:r>
              <w:rPr>
                <w:rFonts w:ascii="Times New Roman" w:cs="Times New Roman" w:eastAsia="Times New Roman" w:hAnsi="Times New Roman"/>
                <w:sz w:val="17"/>
                <w:szCs w:val="17"/>
                <w:color w:val="auto"/>
              </w:rPr>
              <w:t>(8,570)</w:t>
            </w:r>
          </w:p>
        </w:tc>
      </w:tr>
      <w:tr>
        <w:trPr>
          <w:trHeight w:val="215"/>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January 31, 2025</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3040" w:type="dxa"/>
            <w:vAlign w:val="bottom"/>
            <w:tcBorders>
              <w:bottom w:val="single" w:sz="8" w:color="auto"/>
            </w:tcBorders>
          </w:tcPr>
          <w:p>
            <w:pPr>
              <w:jc w:val="center"/>
              <w:ind w:left="2433"/>
              <w:spacing w:after="0"/>
              <w:rPr>
                <w:sz w:val="20"/>
                <w:szCs w:val="20"/>
                <w:color w:val="auto"/>
              </w:rPr>
            </w:pPr>
            <w:r>
              <w:rPr>
                <w:rFonts w:ascii="Times New Roman" w:cs="Times New Roman" w:eastAsia="Times New Roman" w:hAnsi="Times New Roman"/>
                <w:sz w:val="17"/>
                <w:szCs w:val="17"/>
                <w:color w:val="auto"/>
              </w:rPr>
              <w:t>8,888</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Costs Capitalized to Obtain Contracts with Customers</w:t>
      </w:r>
    </w:p>
    <w:p>
      <w:pPr>
        <w:spacing w:after="0" w:line="172" w:lineRule="exact"/>
        <w:rPr>
          <w:sz w:val="20"/>
          <w:szCs w:val="20"/>
          <w:color w:val="auto"/>
        </w:rPr>
      </w:pPr>
    </w:p>
    <w:p>
      <w:pPr>
        <w:ind w:right="20" w:firstLine="470"/>
        <w:spacing w:after="0" w:line="266" w:lineRule="auto"/>
        <w:rPr>
          <w:sz w:val="20"/>
          <w:szCs w:val="20"/>
          <w:color w:val="auto"/>
        </w:rPr>
      </w:pPr>
      <w:r>
        <w:rPr>
          <w:rFonts w:ascii="Times New Roman" w:cs="Times New Roman" w:eastAsia="Times New Roman" w:hAnsi="Times New Roman"/>
          <w:sz w:val="17"/>
          <w:szCs w:val="17"/>
          <w:color w:val="auto"/>
        </w:rPr>
        <w:t>Deferred commissions were $363.4 million and $294.2 million as of January 31, 2025 and 2024, respectively, of which $250.7 million and $201.7 million comprised the non-current portion and was included in other assets on the Company’s consolidated balance sheets as of January 31, 2025 and 2024, respectively. Amortization expense with respect to deferred commissions, which is included in sales and marketing expense in the Company’s consolidated statements of operations, was $112.6 million, $99.5 million and $79.6 million for years ended January 31, 2025, 2024 and 2023, respectively. There was no impairment loss in relation to the costs capitalized for the periods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Equity Incentive Plans and Employee Stock Purchase Plan</w:t>
      </w:r>
    </w:p>
    <w:p>
      <w:pPr>
        <w:spacing w:after="0" w:line="172" w:lineRule="exact"/>
        <w:rPr>
          <w:sz w:val="20"/>
          <w:szCs w:val="20"/>
          <w:color w:val="auto"/>
        </w:rPr>
      </w:pPr>
    </w:p>
    <w:p>
      <w:pPr>
        <w:ind w:right="140" w:firstLine="470"/>
        <w:spacing w:after="0" w:line="262" w:lineRule="auto"/>
        <w:rPr>
          <w:sz w:val="20"/>
          <w:szCs w:val="20"/>
          <w:color w:val="auto"/>
        </w:rPr>
      </w:pPr>
      <w:r>
        <w:rPr>
          <w:rFonts w:ascii="Times New Roman" w:cs="Times New Roman" w:eastAsia="Times New Roman" w:hAnsi="Times New Roman"/>
          <w:sz w:val="17"/>
          <w:szCs w:val="17"/>
          <w:color w:val="auto"/>
        </w:rPr>
        <w:t>The Company adopted the 2008 Stock Incentive Plan (as amended, the “2008 Plan”) and the 2016 Equity Incentive Plan (as amended, the “2016 Plan”), primarily for the purpose of granting stock-based awards to employees, directors and consultants, including stock options, restricted stock units (“RSUs”) and other stock-based awards. With the establishment of the 2016 Plan in December 2016, all shares available for grant under the 2008 Plan were transferred to the 2016 Plan. The Company no longer grants any stock-based awards under the 2008 Plan and any shares underlying stock options canceled under the 2008 Plan will be automatically transferred to the 2016 Plan. Stock options granted under the stock option plans may be either incentive stock options (“ISOs”) or nonstatutory stock options (“NSOs”). ISOs may be granted to employees and NSOs may be granted to employees, directors, or consultants. All outstanding stock options as of January 31, 2025 were granted as NSOs with the exception of one ISO award. The exercise prices of the stock option grants must be no less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100% of the fair value of the common stock on the grant date as determined by the Board of Directors. If, at the date of grant, the optionee owns more than 10% of the total combined voting power of all classes of outstanding stock (a “10% stockholder”), the exercise price must be at least 110% of the fair value of the common stock on the date of grant as determined by the Board of Directors. Options granted are exercisable over a maximum term of 10 years from the date of grant or five years from the date of grant for ISOs granted to any 10% stockholder. The Board of Directors or a committee thereof determines the vesting schedule for all equity awards. Stock option awards generally vest over a period of four years with 25% vesting on the one year anniversary of the award and the remainder vesting monthly over the next 36 months of the grantee’s service to the Company. RSU awards granted to new employees generally vest over a period of four years with 25% vesting on the one year anniversary of the award and the remainder vesting quarterly over the next 12 quarters, subject to the grantee’s continued service to the Company. RSUs granted to existing employees generally vest quarterly over a period of four years, subject to the grantee’s continued service to the Company.</w:t>
      </w:r>
    </w:p>
    <w:p>
      <w:pPr>
        <w:spacing w:after="0" w:line="338" w:lineRule="exact"/>
        <w:rPr>
          <w:sz w:val="20"/>
          <w:szCs w:val="20"/>
          <w:color w:val="auto"/>
        </w:rPr>
      </w:pPr>
    </w:p>
    <w:p>
      <w:pPr>
        <w:ind w:right="80" w:firstLine="470"/>
        <w:spacing w:after="0" w:line="295" w:lineRule="auto"/>
        <w:rPr>
          <w:sz w:val="20"/>
          <w:szCs w:val="20"/>
          <w:color w:val="auto"/>
        </w:rPr>
      </w:pPr>
      <w:r>
        <w:rPr>
          <w:rFonts w:ascii="Times New Roman" w:cs="Times New Roman" w:eastAsia="Times New Roman" w:hAnsi="Times New Roman"/>
          <w:sz w:val="17"/>
          <w:szCs w:val="17"/>
          <w:color w:val="auto"/>
        </w:rPr>
        <w:t>Pursuant to the terms of the 2016 Plan, the shares of the Company’s common stock reserved for issuance was increased by 3.6 million shares in February 2024. As of January 31, 2025, the Company has approximately 15.8 million shares of common stock available for future grants.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Stock Options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stock option activity for the periods presented (in thousands, except share and per share data and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576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57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040" w:type="dxa"/>
            <w:vAlign w:val="bottom"/>
          </w:tcPr>
          <w:p>
            <w:pPr>
              <w:jc w:val="center"/>
              <w:ind w:left="190"/>
              <w:spacing w:after="0" w:line="125"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040" w:type="dxa"/>
            <w:vAlign w:val="bottom"/>
          </w:tcPr>
          <w:p>
            <w:pPr>
              <w:jc w:val="center"/>
              <w:ind w:left="170"/>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7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left="27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190"/>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4"/>
        </w:trPr>
        <w:tc>
          <w:tcPr>
            <w:tcW w:w="5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left="29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17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60" w:type="dxa"/>
            <w:vAlign w:val="bottom"/>
          </w:tcPr>
          <w:p>
            <w:pPr>
              <w:spacing w:after="0"/>
              <w:rPr>
                <w:sz w:val="12"/>
                <w:szCs w:val="12"/>
                <w:color w:val="auto"/>
              </w:rPr>
            </w:pPr>
          </w:p>
        </w:tc>
        <w:tc>
          <w:tcPr>
            <w:tcW w:w="132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940" w:type="dxa"/>
            <w:vAlign w:val="bottom"/>
          </w:tcPr>
          <w:p>
            <w:pPr>
              <w:jc w:val="center"/>
              <w:ind w:left="270"/>
              <w:spacing w:after="0" w:line="144"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170"/>
              <w:spacing w:after="0" w:line="144"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center"/>
              <w:ind w:right="139"/>
              <w:spacing w:after="0" w:line="144"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4"/>
        </w:trPr>
        <w:tc>
          <w:tcPr>
            <w:tcW w:w="57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left="31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left="210"/>
              <w:spacing w:after="0"/>
              <w:rPr>
                <w:sz w:val="20"/>
                <w:szCs w:val="20"/>
                <w:color w:val="auto"/>
              </w:rPr>
            </w:pPr>
            <w:r>
              <w:rPr>
                <w:rFonts w:ascii="Times New Roman" w:cs="Times New Roman" w:eastAsia="Times New Roman" w:hAnsi="Times New Roman"/>
                <w:sz w:val="14"/>
                <w:szCs w:val="14"/>
                <w:b w:val="1"/>
                <w:bCs w:val="1"/>
                <w:color w:val="auto"/>
                <w:w w:val="98"/>
              </w:rPr>
              <w:t>(In Years)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
        </w:trPr>
        <w:tc>
          <w:tcPr>
            <w:tcW w:w="57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 January 31, 2023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1,789,813</w:t>
            </w:r>
          </w:p>
        </w:tc>
        <w:tc>
          <w:tcPr>
            <w:tcW w:w="104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7.60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313,980</w:t>
            </w:r>
          </w:p>
        </w:tc>
        <w:tc>
          <w:tcPr>
            <w:tcW w:w="0" w:type="dxa"/>
            <w:vAlign w:val="bottom"/>
          </w:tcPr>
          <w:p>
            <w:pPr>
              <w:spacing w:after="0"/>
              <w:rPr>
                <w:sz w:val="1"/>
                <w:szCs w:val="1"/>
                <w:color w:val="auto"/>
              </w:rPr>
            </w:pPr>
          </w:p>
        </w:tc>
      </w:tr>
      <w:tr>
        <w:trPr>
          <w:trHeight w:val="261"/>
        </w:trPr>
        <w:tc>
          <w:tcPr>
            <w:tcW w:w="57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Options 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(953,643)</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7.14</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Options forfeited and 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5.81</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57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 January 31,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835,623</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8.14</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327,884</w:t>
            </w:r>
          </w:p>
        </w:tc>
        <w:tc>
          <w:tcPr>
            <w:tcW w:w="0" w:type="dxa"/>
            <w:vAlign w:val="bottom"/>
          </w:tcPr>
          <w:p>
            <w:pPr>
              <w:spacing w:after="0"/>
              <w:rPr>
                <w:sz w:val="1"/>
                <w:szCs w:val="1"/>
                <w:color w:val="auto"/>
              </w:rPr>
            </w:pPr>
          </w:p>
        </w:tc>
      </w:tr>
      <w:tr>
        <w:trPr>
          <w:trHeight w:val="262"/>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Options 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(267,931)</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7.56</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Options forfeited and expired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4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10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 January 31,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567,425</w:t>
            </w:r>
          </w:p>
        </w:tc>
        <w:tc>
          <w:tcPr>
            <w:tcW w:w="104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8.41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150,319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Options vested and exercisable - January 31, 2024</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760" w:type="dxa"/>
            <w:vAlign w:val="bottom"/>
            <w:vMerge w:val="continue"/>
          </w:tcPr>
          <w:p>
            <w:pPr>
              <w:spacing w:after="0"/>
              <w:rPr>
                <w:sz w:val="16"/>
                <w:szCs w:val="16"/>
                <w:color w:val="auto"/>
              </w:rPr>
            </w:pPr>
          </w:p>
        </w:tc>
        <w:tc>
          <w:tcPr>
            <w:tcW w:w="13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835,623</w:t>
            </w:r>
          </w:p>
        </w:tc>
        <w:tc>
          <w:tcPr>
            <w:tcW w:w="1040" w:type="dxa"/>
            <w:vAlign w:val="bottom"/>
            <w:gridSpan w:val="2"/>
          </w:tcPr>
          <w:p>
            <w:pPr>
              <w:jc w:val="right"/>
              <w:ind w:right="770"/>
              <w:spacing w:after="0" w:line="194"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3"/>
              </w:rPr>
              <w:t>8.14</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6"/>
                <w:szCs w:val="16"/>
                <w:color w:val="auto"/>
              </w:rPr>
            </w:pPr>
          </w:p>
        </w:tc>
        <w:tc>
          <w:tcPr>
            <w:tcW w:w="2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327,884</w:t>
            </w:r>
          </w:p>
        </w:tc>
        <w:tc>
          <w:tcPr>
            <w:tcW w:w="0" w:type="dxa"/>
            <w:vAlign w:val="bottom"/>
          </w:tcPr>
          <w:p>
            <w:pPr>
              <w:spacing w:after="0"/>
              <w:rPr>
                <w:sz w:val="1"/>
                <w:szCs w:val="1"/>
                <w:color w:val="auto"/>
              </w:rPr>
            </w:pP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Options vested and exercisable - January 31, 2025</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567,425</w:t>
            </w:r>
          </w:p>
        </w:tc>
        <w:tc>
          <w:tcPr>
            <w:tcW w:w="104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8.41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150,319</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Stock options vested and expected to vest - January 31, 2025</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60" w:type="dxa"/>
            <w:vAlign w:val="bottom"/>
            <w:vMerge w:val="continue"/>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567,425</w:t>
            </w:r>
          </w:p>
        </w:tc>
        <w:tc>
          <w:tcPr>
            <w:tcW w:w="1040" w:type="dxa"/>
            <w:vAlign w:val="bottom"/>
            <w:gridSpan w:val="2"/>
          </w:tcPr>
          <w:p>
            <w:pPr>
              <w:jc w:val="right"/>
              <w:ind w:right="77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8.41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150,319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right="20" w:firstLine="470"/>
        <w:spacing w:after="0" w:line="295" w:lineRule="auto"/>
        <w:rPr>
          <w:sz w:val="20"/>
          <w:szCs w:val="20"/>
          <w:color w:val="auto"/>
        </w:rPr>
      </w:pPr>
      <w:r>
        <w:rPr>
          <w:rFonts w:ascii="Times New Roman" w:cs="Times New Roman" w:eastAsia="Times New Roman" w:hAnsi="Times New Roman"/>
          <w:sz w:val="17"/>
          <w:szCs w:val="17"/>
          <w:color w:val="auto"/>
        </w:rPr>
        <w:t>There were no options granted during the years ended January 31, 2025 and 2024. The intrinsic value of options exercised for the years ended January 31, 2025, 2024 and 2023 was determined to be $89.7 million, $308.0 million and $211.1 million, respectively.</w:t>
      </w:r>
    </w:p>
    <w:p>
      <w:pPr>
        <w:spacing w:after="0" w:line="94" w:lineRule="exact"/>
        <w:rPr>
          <w:sz w:val="20"/>
          <w:szCs w:val="20"/>
          <w:color w:val="auto"/>
        </w:rPr>
      </w:pPr>
    </w:p>
    <w:p>
      <w:pPr>
        <w:ind w:right="200" w:firstLine="470"/>
        <w:spacing w:after="0" w:line="295" w:lineRule="auto"/>
        <w:rPr>
          <w:sz w:val="20"/>
          <w:szCs w:val="20"/>
          <w:color w:val="auto"/>
        </w:rPr>
      </w:pPr>
      <w:r>
        <w:rPr>
          <w:rFonts w:ascii="Times New Roman" w:cs="Times New Roman" w:eastAsia="Times New Roman" w:hAnsi="Times New Roman"/>
          <w:sz w:val="17"/>
          <w:szCs w:val="17"/>
          <w:color w:val="auto"/>
        </w:rPr>
        <w:t>There were no options vested during the years ended January 31, 2025, 2024 and 2023. As of January 31, 2025, there was no unrecognized stock-based compensation expense related to outstanding stock options.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Restricted Stock Units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RSU activity for the years ended January 31, 2025 and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680" w:type="dxa"/>
            <w:vAlign w:val="bottom"/>
            <w:vMerge w:val="restart"/>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Weighted-Average Grant Date</w:t>
            </w:r>
          </w:p>
        </w:tc>
        <w:tc>
          <w:tcPr>
            <w:tcW w:w="0" w:type="dxa"/>
            <w:vAlign w:val="bottom"/>
          </w:tcPr>
          <w:p>
            <w:pPr>
              <w:spacing w:after="0"/>
              <w:rPr>
                <w:sz w:val="1"/>
                <w:szCs w:val="1"/>
                <w:color w:val="auto"/>
              </w:rPr>
            </w:pPr>
          </w:p>
        </w:tc>
      </w:tr>
      <w:tr>
        <w:trPr>
          <w:trHeight w:val="207"/>
        </w:trPr>
        <w:tc>
          <w:tcPr>
            <w:tcW w:w="72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Fair Value per RSU</w:t>
            </w:r>
          </w:p>
        </w:tc>
        <w:tc>
          <w:tcPr>
            <w:tcW w:w="0" w:type="dxa"/>
            <w:vAlign w:val="bottom"/>
          </w:tcPr>
          <w:p>
            <w:pPr>
              <w:spacing w:after="0"/>
              <w:rPr>
                <w:sz w:val="1"/>
                <w:szCs w:val="1"/>
                <w:color w:val="auto"/>
              </w:rPr>
            </w:pPr>
          </w:p>
        </w:tc>
      </w:tr>
      <w:tr>
        <w:trPr>
          <w:trHeight w:val="243"/>
        </w:trPr>
        <w:tc>
          <w:tcPr>
            <w:tcW w:w="7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Unvested - January 31,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3,480,206</w:t>
            </w:r>
          </w:p>
        </w:tc>
        <w:tc>
          <w:tcPr>
            <w:tcW w:w="3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288.58</w:t>
            </w:r>
          </w:p>
        </w:tc>
        <w:tc>
          <w:tcPr>
            <w:tcW w:w="0" w:type="dxa"/>
            <w:vAlign w:val="bottom"/>
          </w:tcPr>
          <w:p>
            <w:pPr>
              <w:spacing w:after="0"/>
              <w:rPr>
                <w:sz w:val="1"/>
                <w:szCs w:val="1"/>
                <w:color w:val="auto"/>
              </w:rPr>
            </w:pPr>
          </w:p>
        </w:tc>
      </w:tr>
      <w:tr>
        <w:trPr>
          <w:trHeight w:val="261"/>
        </w:trPr>
        <w:tc>
          <w:tcPr>
            <w:tcW w:w="7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RSUs 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2,272,014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267.56</w:t>
            </w:r>
          </w:p>
        </w:tc>
        <w:tc>
          <w:tcPr>
            <w:tcW w:w="0" w:type="dxa"/>
            <w:vAlign w:val="bottom"/>
          </w:tcPr>
          <w:p>
            <w:pPr>
              <w:spacing w:after="0"/>
              <w:rPr>
                <w:sz w:val="1"/>
                <w:szCs w:val="1"/>
                <w:color w:val="auto"/>
              </w:rPr>
            </w:pPr>
          </w:p>
        </w:tc>
      </w:tr>
      <w:tr>
        <w:trPr>
          <w:trHeight w:val="262"/>
        </w:trPr>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RSUs vested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(1,690,527)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254.02</w:t>
            </w:r>
          </w:p>
        </w:tc>
        <w:tc>
          <w:tcPr>
            <w:tcW w:w="0" w:type="dxa"/>
            <w:vAlign w:val="bottom"/>
          </w:tcPr>
          <w:p>
            <w:pPr>
              <w:spacing w:after="0"/>
              <w:rPr>
                <w:sz w:val="1"/>
                <w:szCs w:val="1"/>
                <w:color w:val="auto"/>
              </w:rPr>
            </w:pPr>
          </w:p>
        </w:tc>
      </w:tr>
      <w:tr>
        <w:trPr>
          <w:trHeight w:val="261"/>
        </w:trPr>
        <w:tc>
          <w:tcPr>
            <w:tcW w:w="7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RSUs forfeited and canceled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(495,287)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295.61</w:t>
            </w:r>
          </w:p>
        </w:tc>
        <w:tc>
          <w:tcPr>
            <w:tcW w:w="0" w:type="dxa"/>
            <w:vAlign w:val="bottom"/>
          </w:tcPr>
          <w:p>
            <w:pPr>
              <w:spacing w:after="0"/>
              <w:rPr>
                <w:sz w:val="1"/>
                <w:szCs w:val="1"/>
                <w:color w:val="auto"/>
              </w:rPr>
            </w:pPr>
          </w:p>
        </w:tc>
      </w:tr>
      <w:tr>
        <w:trPr>
          <w:trHeight w:val="215"/>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 January 31, 2024</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3,566,406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290.59</w:t>
            </w:r>
          </w:p>
        </w:tc>
        <w:tc>
          <w:tcPr>
            <w:tcW w:w="0" w:type="dxa"/>
            <w:vAlign w:val="bottom"/>
          </w:tcPr>
          <w:p>
            <w:pPr>
              <w:spacing w:after="0"/>
              <w:rPr>
                <w:sz w:val="1"/>
                <w:szCs w:val="1"/>
                <w:color w:val="auto"/>
              </w:rPr>
            </w:pPr>
          </w:p>
        </w:tc>
      </w:tr>
      <w:tr>
        <w:trPr>
          <w:trHeight w:val="222"/>
        </w:trPr>
        <w:tc>
          <w:tcPr>
            <w:tcW w:w="7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RSUs 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2,007,277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303.06</w:t>
            </w:r>
          </w:p>
        </w:tc>
        <w:tc>
          <w:tcPr>
            <w:tcW w:w="0" w:type="dxa"/>
            <w:vAlign w:val="bottom"/>
          </w:tcPr>
          <w:p>
            <w:pPr>
              <w:spacing w:after="0"/>
              <w:rPr>
                <w:sz w:val="1"/>
                <w:szCs w:val="1"/>
                <w:color w:val="auto"/>
              </w:rPr>
            </w:pPr>
          </w:p>
        </w:tc>
      </w:tr>
      <w:tr>
        <w:trPr>
          <w:trHeight w:val="222"/>
        </w:trPr>
        <w:tc>
          <w:tcPr>
            <w:tcW w:w="7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RSUs vested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(1,529,981)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302.08</w:t>
            </w:r>
          </w:p>
        </w:tc>
        <w:tc>
          <w:tcPr>
            <w:tcW w:w="0" w:type="dxa"/>
            <w:vAlign w:val="bottom"/>
          </w:tcPr>
          <w:p>
            <w:pPr>
              <w:spacing w:after="0"/>
              <w:rPr>
                <w:sz w:val="1"/>
                <w:szCs w:val="1"/>
                <w:color w:val="auto"/>
              </w:rPr>
            </w:pPr>
          </w:p>
        </w:tc>
      </w:tr>
      <w:tr>
        <w:trPr>
          <w:trHeight w:val="222"/>
        </w:trPr>
        <w:tc>
          <w:tcPr>
            <w:tcW w:w="7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RSUs forfeited and canceled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(510,195)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299.39</w:t>
            </w:r>
          </w:p>
        </w:tc>
        <w:tc>
          <w:tcPr>
            <w:tcW w:w="0" w:type="dxa"/>
            <w:vAlign w:val="bottom"/>
          </w:tcPr>
          <w:p>
            <w:pPr>
              <w:spacing w:after="0"/>
              <w:rPr>
                <w:sz w:val="1"/>
                <w:szCs w:val="1"/>
                <w:color w:val="auto"/>
              </w:rPr>
            </w:pPr>
          </w:p>
        </w:tc>
      </w:tr>
      <w:tr>
        <w:trPr>
          <w:trHeight w:val="24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 January 31,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3,533,507</w:t>
            </w:r>
          </w:p>
        </w:tc>
        <w:tc>
          <w:tcPr>
            <w:tcW w:w="3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291.43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right="160" w:firstLine="470"/>
        <w:spacing w:after="0" w:line="295" w:lineRule="auto"/>
        <w:rPr>
          <w:sz w:val="20"/>
          <w:szCs w:val="20"/>
          <w:color w:val="auto"/>
        </w:rPr>
      </w:pPr>
      <w:r>
        <w:rPr>
          <w:rFonts w:ascii="Times New Roman" w:cs="Times New Roman" w:eastAsia="Times New Roman" w:hAnsi="Times New Roman"/>
          <w:sz w:val="17"/>
          <w:szCs w:val="17"/>
          <w:color w:val="auto"/>
        </w:rPr>
        <w:t>As of January 31, 2025, there was $967.3 million of unrecognized stock-based compensation expense related to outstanding RSUs that is expected to be recognized over a weighted-average period of 2.69 years.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Executive Performance Share Awards</w:t>
      </w:r>
    </w:p>
    <w:p>
      <w:pPr>
        <w:spacing w:after="0" w:line="172"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During the three months ended April 30, 2022, the Company created a long-term performance-based equity award program and granted performance share units (“PSUs”) to the Company’s CEO and certain other executives. The vesting of PSUs is conditioned upon the achievement of certain targets. The PSUs vest annually over a period of three years from the date of grant, subject to the executive’s continued employment with the Company. Each vested PSU entitles the executive to one share of common stock. A PSU performance factor of 100 will result in the targeted number of PSUs being vested. The minimum percentage of PSUs that can vest is zero, with a maximum percentage of 200. On each date of grant, the Company assumes a performance factor of 100.</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PSU activity for the years ended January 31, 2025 and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680" w:type="dxa"/>
            <w:vAlign w:val="bottom"/>
            <w:vMerge w:val="restart"/>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Weighted-Average Grant Date</w:t>
            </w:r>
          </w:p>
        </w:tc>
        <w:tc>
          <w:tcPr>
            <w:tcW w:w="0" w:type="dxa"/>
            <w:vAlign w:val="bottom"/>
          </w:tcPr>
          <w:p>
            <w:pPr>
              <w:spacing w:after="0"/>
              <w:rPr>
                <w:sz w:val="1"/>
                <w:szCs w:val="1"/>
                <w:color w:val="auto"/>
              </w:rPr>
            </w:pPr>
          </w:p>
        </w:tc>
      </w:tr>
      <w:tr>
        <w:trPr>
          <w:trHeight w:val="207"/>
        </w:trPr>
        <w:tc>
          <w:tcPr>
            <w:tcW w:w="724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Fair Value per PSU</w:t>
            </w:r>
          </w:p>
        </w:tc>
        <w:tc>
          <w:tcPr>
            <w:tcW w:w="0" w:type="dxa"/>
            <w:vAlign w:val="bottom"/>
          </w:tcPr>
          <w:p>
            <w:pPr>
              <w:spacing w:after="0"/>
              <w:rPr>
                <w:sz w:val="1"/>
                <w:szCs w:val="1"/>
                <w:color w:val="auto"/>
              </w:rPr>
            </w:pPr>
          </w:p>
        </w:tc>
      </w:tr>
      <w:tr>
        <w:trPr>
          <w:trHeight w:val="217"/>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 January 31,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316.49</w:t>
            </w:r>
          </w:p>
        </w:tc>
        <w:tc>
          <w:tcPr>
            <w:tcW w:w="0" w:type="dxa"/>
            <w:vAlign w:val="bottom"/>
          </w:tcPr>
          <w:p>
            <w:pPr>
              <w:spacing w:after="0"/>
              <w:rPr>
                <w:sz w:val="1"/>
                <w:szCs w:val="1"/>
                <w:color w:val="auto"/>
              </w:rPr>
            </w:pPr>
          </w:p>
        </w:tc>
      </w:tr>
      <w:tr>
        <w:trPr>
          <w:trHeight w:val="222"/>
        </w:trPr>
        <w:tc>
          <w:tcPr>
            <w:tcW w:w="72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PSUs 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216.79</w:t>
            </w:r>
          </w:p>
        </w:tc>
        <w:tc>
          <w:tcPr>
            <w:tcW w:w="0" w:type="dxa"/>
            <w:vAlign w:val="bottom"/>
          </w:tcPr>
          <w:p>
            <w:pPr>
              <w:spacing w:after="0"/>
              <w:rPr>
                <w:sz w:val="1"/>
                <w:szCs w:val="1"/>
                <w:color w:val="auto"/>
              </w:rPr>
            </w:pPr>
          </w:p>
        </w:tc>
      </w:tr>
      <w:tr>
        <w:trPr>
          <w:trHeight w:val="222"/>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PSUs vested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316.49</w:t>
            </w:r>
          </w:p>
        </w:tc>
        <w:tc>
          <w:tcPr>
            <w:tcW w:w="0" w:type="dxa"/>
            <w:vAlign w:val="bottom"/>
          </w:tcPr>
          <w:p>
            <w:pPr>
              <w:spacing w:after="0"/>
              <w:rPr>
                <w:sz w:val="1"/>
                <w:szCs w:val="1"/>
                <w:color w:val="auto"/>
              </w:rPr>
            </w:pPr>
          </w:p>
        </w:tc>
      </w:tr>
      <w:tr>
        <w:trPr>
          <w:trHeight w:val="222"/>
        </w:trPr>
        <w:tc>
          <w:tcPr>
            <w:tcW w:w="72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Adjustment for performance achievement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316.49</w:t>
            </w:r>
          </w:p>
        </w:tc>
        <w:tc>
          <w:tcPr>
            <w:tcW w:w="0" w:type="dxa"/>
            <w:vAlign w:val="bottom"/>
          </w:tcPr>
          <w:p>
            <w:pPr>
              <w:spacing w:after="0"/>
              <w:rPr>
                <w:sz w:val="1"/>
                <w:szCs w:val="1"/>
                <w:color w:val="auto"/>
              </w:rPr>
            </w:pPr>
          </w:p>
        </w:tc>
      </w:tr>
      <w:tr>
        <w:trPr>
          <w:trHeight w:val="222"/>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PSUs forfeited and canceled</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238.67</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 January 31, 2024</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244.06</w:t>
            </w:r>
          </w:p>
        </w:tc>
        <w:tc>
          <w:tcPr>
            <w:tcW w:w="0" w:type="dxa"/>
            <w:vAlign w:val="bottom"/>
          </w:tcPr>
          <w:p>
            <w:pPr>
              <w:spacing w:after="0"/>
              <w:rPr>
                <w:sz w:val="1"/>
                <w:szCs w:val="1"/>
                <w:color w:val="auto"/>
              </w:rPr>
            </w:pPr>
          </w:p>
        </w:tc>
      </w:tr>
      <w:tr>
        <w:trPr>
          <w:trHeight w:val="222"/>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PSUs granted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355.50</w:t>
            </w:r>
          </w:p>
        </w:tc>
        <w:tc>
          <w:tcPr>
            <w:tcW w:w="0" w:type="dxa"/>
            <w:vAlign w:val="bottom"/>
          </w:tcPr>
          <w:p>
            <w:pPr>
              <w:spacing w:after="0"/>
              <w:rPr>
                <w:sz w:val="1"/>
                <w:szCs w:val="1"/>
                <w:color w:val="auto"/>
              </w:rPr>
            </w:pPr>
          </w:p>
        </w:tc>
      </w:tr>
      <w:tr>
        <w:trPr>
          <w:trHeight w:val="222"/>
        </w:trPr>
        <w:tc>
          <w:tcPr>
            <w:tcW w:w="72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PSUs vested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243.53</w:t>
            </w:r>
          </w:p>
        </w:tc>
        <w:tc>
          <w:tcPr>
            <w:tcW w:w="0" w:type="dxa"/>
            <w:vAlign w:val="bottom"/>
          </w:tcPr>
          <w:p>
            <w:pPr>
              <w:spacing w:after="0"/>
              <w:rPr>
                <w:sz w:val="1"/>
                <w:szCs w:val="1"/>
                <w:color w:val="auto"/>
              </w:rPr>
            </w:pPr>
          </w:p>
        </w:tc>
      </w:tr>
      <w:tr>
        <w:trPr>
          <w:trHeight w:val="222"/>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Adjustment for performance achievement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216.79</w:t>
            </w:r>
          </w:p>
        </w:tc>
        <w:tc>
          <w:tcPr>
            <w:tcW w:w="0" w:type="dxa"/>
            <w:vAlign w:val="bottom"/>
          </w:tcPr>
          <w:p>
            <w:pPr>
              <w:spacing w:after="0"/>
              <w:rPr>
                <w:sz w:val="1"/>
                <w:szCs w:val="1"/>
                <w:color w:val="auto"/>
              </w:rPr>
            </w:pPr>
          </w:p>
        </w:tc>
      </w:tr>
      <w:tr>
        <w:trPr>
          <w:trHeight w:val="222"/>
        </w:trPr>
        <w:tc>
          <w:tcPr>
            <w:tcW w:w="7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PSUs forfeited and canceled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273.83</w:t>
            </w:r>
          </w:p>
        </w:tc>
        <w:tc>
          <w:tcPr>
            <w:tcW w:w="0" w:type="dxa"/>
            <w:vAlign w:val="bottom"/>
          </w:tcPr>
          <w:p>
            <w:pPr>
              <w:spacing w:after="0"/>
              <w:rPr>
                <w:sz w:val="1"/>
                <w:szCs w:val="1"/>
                <w:color w:val="auto"/>
              </w:rPr>
            </w:pPr>
          </w:p>
        </w:tc>
      </w:tr>
      <w:tr>
        <w:trPr>
          <w:trHeight w:val="240"/>
        </w:trPr>
        <w:tc>
          <w:tcPr>
            <w:tcW w:w="7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 January 31, 2025</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146,284</w:t>
            </w:r>
          </w:p>
        </w:tc>
        <w:tc>
          <w:tcPr>
            <w:tcW w:w="38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287.57</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right="120" w:firstLine="470"/>
        <w:spacing w:after="0" w:line="266" w:lineRule="auto"/>
        <w:rPr>
          <w:sz w:val="20"/>
          <w:szCs w:val="20"/>
          <w:color w:val="auto"/>
        </w:rPr>
      </w:pPr>
      <w:r>
        <w:rPr>
          <w:rFonts w:ascii="Times New Roman" w:cs="Times New Roman" w:eastAsia="Times New Roman" w:hAnsi="Times New Roman"/>
          <w:sz w:val="17"/>
          <w:szCs w:val="17"/>
          <w:color w:val="auto"/>
        </w:rPr>
        <w:t>The grant date fair value of PSUs was determined by using the market price of the Company’s common stock on the date of the grant. Compensation expense is recognized over the requisite service period based on the probability of the performance conditions being satisfied using the accelerated attribution method. Following the completion of the performance year, the achieved PSU performance factor was 80.0 and 151.0 for the years ended January 31, 2025 and 2024, respectively. The Company recognized $22.7 million and $24.1 million of compensation expense related to these PSUs for the years ended January 31, 2025 and 2024, respectively. As of January 31, 2025, the Company had $12.8 million of total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unrecognized compensation cost related to these PSUs, which it expects to be recognized over a weighted-average period of 1.75 years.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2016 China Stock Appreciation Rights Plan</w:t>
      </w:r>
    </w:p>
    <w:p>
      <w:pPr>
        <w:spacing w:after="0" w:line="172"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In April 2016, the Company adopted the 2016 China Stock Appreciation Rights Plan (as amended, the “China SAR Plan”) for its employees in China. These awards, which are granted to new employees, generally vest over four years with 25% vesting on the one year anniversary of the award and the remainder vesting monthly over the next 36 months of the grantee’s service to the Company. Awards granted to existing employees generally vest quarterly over a period of four years, subject to the grantee’s continued service to the Company. The China SAR Plan units are cash settled upon exercise and will be paid as a cash bonus equal to the difference between the strike price of the vested plan units and the fair market value of common stock at the end of each reporting period.</w:t>
      </w:r>
    </w:p>
    <w:p>
      <w:pPr>
        <w:spacing w:after="0" w:line="119" w:lineRule="exact"/>
        <w:rPr>
          <w:sz w:val="20"/>
          <w:szCs w:val="20"/>
          <w:color w:val="auto"/>
        </w:rPr>
      </w:pPr>
    </w:p>
    <w:p>
      <w:pPr>
        <w:ind w:right="300" w:firstLine="470"/>
        <w:spacing w:after="0" w:line="295" w:lineRule="auto"/>
        <w:rPr>
          <w:sz w:val="20"/>
          <w:szCs w:val="20"/>
          <w:color w:val="auto"/>
        </w:rPr>
      </w:pPr>
      <w:r>
        <w:rPr>
          <w:rFonts w:ascii="Times New Roman" w:cs="Times New Roman" w:eastAsia="Times New Roman" w:hAnsi="Times New Roman"/>
          <w:sz w:val="17"/>
          <w:szCs w:val="17"/>
          <w:color w:val="auto"/>
        </w:rPr>
        <w:t>As of November 1, 2021, the Company does not expect to grant stock appreciation rights in the future and will instead grant RSUs to its employees in China. Therefore, no China SAR Plan units were granted for the years ended January 31, 2025 and 2024.</w:t>
      </w:r>
    </w:p>
    <w:p>
      <w:pPr>
        <w:spacing w:after="0" w:line="94" w:lineRule="exact"/>
        <w:rPr>
          <w:sz w:val="20"/>
          <w:szCs w:val="20"/>
          <w:color w:val="auto"/>
        </w:rPr>
      </w:pPr>
    </w:p>
    <w:p>
      <w:pPr>
        <w:ind w:right="100" w:firstLine="470"/>
        <w:spacing w:after="0" w:line="264" w:lineRule="auto"/>
        <w:rPr>
          <w:sz w:val="20"/>
          <w:szCs w:val="20"/>
          <w:color w:val="auto"/>
        </w:rPr>
      </w:pPr>
      <w:r>
        <w:rPr>
          <w:rFonts w:ascii="Times New Roman" w:cs="Times New Roman" w:eastAsia="Times New Roman" w:hAnsi="Times New Roman"/>
          <w:sz w:val="17"/>
          <w:szCs w:val="17"/>
          <w:color w:val="auto"/>
        </w:rPr>
        <w:t>During the years ended January 31, 2025, 2024 and 2023, upon the vesting of 231, 619 and 1,141 units, respectively, the total expense recognized related to China SAR was $1.6 million, $3.3 million and $2.5 million, respectively. As of January 31, 2025 and 2024, the Company’s liability balance related to the China SAR Plan was $3.1 million and $5.8 million, respectively. These amounts were recorded as part of the accrued compensation and benefits on the Company’s consolidated balance sheets and recognized as bonus expense in the Company’s consolidated statements of operations. During the year ended January 31, 2025, the Company paid $0.9 million in cash upon the exercise of 3,354 units. As of January 31, 2025, there were 11,744 China SAR Plan units outstanding of which no units remained unvested.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2017 Employee Stock Purchase Plan</w:t>
      </w:r>
    </w:p>
    <w:p>
      <w:pPr>
        <w:spacing w:after="0" w:line="172" w:lineRule="exact"/>
        <w:rPr>
          <w:sz w:val="20"/>
          <w:szCs w:val="20"/>
          <w:color w:val="auto"/>
        </w:rPr>
      </w:pPr>
    </w:p>
    <w:p>
      <w:pPr>
        <w:ind w:right="60" w:firstLine="470"/>
        <w:spacing w:after="0" w:line="269" w:lineRule="auto"/>
        <w:rPr>
          <w:sz w:val="20"/>
          <w:szCs w:val="20"/>
          <w:color w:val="auto"/>
        </w:rPr>
      </w:pPr>
      <w:r>
        <w:rPr>
          <w:rFonts w:ascii="Times New Roman" w:cs="Times New Roman" w:eastAsia="Times New Roman" w:hAnsi="Times New Roman"/>
          <w:sz w:val="17"/>
          <w:szCs w:val="17"/>
          <w:color w:val="auto"/>
        </w:rPr>
        <w:t>In October 2017, the Company’s Board of Directors adopted and stockholders approved the 2017 Employee Stock Purchase Plan (the “2017 ESPP”). Subject to any plan limitations, the 2017 ESPP allows eligible employees to contribute, normally through payroll deductions, up to 15% of their earnings for the purchase of the Company’s common stock at a discounted price per share. Except for the initial offering period, the ESPP provides for separate six-month offering periods.</w:t>
      </w:r>
    </w:p>
    <w:p>
      <w:pPr>
        <w:spacing w:after="0" w:line="117" w:lineRule="exact"/>
        <w:rPr>
          <w:sz w:val="20"/>
          <w:szCs w:val="20"/>
          <w:color w:val="auto"/>
        </w:rPr>
      </w:pPr>
    </w:p>
    <w:p>
      <w:pPr>
        <w:ind w:right="40" w:firstLine="470"/>
        <w:spacing w:after="0" w:line="276" w:lineRule="auto"/>
        <w:rPr>
          <w:sz w:val="20"/>
          <w:szCs w:val="20"/>
          <w:color w:val="auto"/>
        </w:rPr>
      </w:pPr>
      <w:r>
        <w:rPr>
          <w:rFonts w:ascii="Times New Roman" w:cs="Times New Roman" w:eastAsia="Times New Roman" w:hAnsi="Times New Roman"/>
          <w:sz w:val="17"/>
          <w:szCs w:val="17"/>
          <w:color w:val="auto"/>
        </w:rPr>
        <w:t>Unless otherwise determined by the Board of Directors, the Company’s common stock will be purchased for the accounts of employees participating in the ESPP at a price per share that is the lesser of (1) 85% of the fair market value of the Company’s common stock on the first trading day of the offering period, or (2) 85% of the fair market value of the Company’s common stock on the last trading day of the offering period.</w:t>
      </w:r>
    </w:p>
    <w:p>
      <w:pPr>
        <w:spacing w:after="0" w:line="110" w:lineRule="exact"/>
        <w:rPr>
          <w:sz w:val="20"/>
          <w:szCs w:val="20"/>
          <w:color w:val="auto"/>
        </w:rPr>
      </w:pPr>
    </w:p>
    <w:p>
      <w:pPr>
        <w:ind w:right="220" w:firstLine="470"/>
        <w:spacing w:after="0" w:line="295" w:lineRule="auto"/>
        <w:rPr>
          <w:sz w:val="20"/>
          <w:szCs w:val="20"/>
          <w:color w:val="auto"/>
        </w:rPr>
      </w:pPr>
      <w:r>
        <w:rPr>
          <w:rFonts w:ascii="Times New Roman" w:cs="Times New Roman" w:eastAsia="Times New Roman" w:hAnsi="Times New Roman"/>
          <w:sz w:val="17"/>
          <w:szCs w:val="17"/>
          <w:color w:val="auto"/>
        </w:rPr>
        <w:t>Pursuant to the terms of the 2017 ESPP, the shares of the Company’s common stock reserved for issuance was increased by 727,413 shares in February 2024. As of January 31, 2025, there were 4,072,704 shares of the Company’s common stock available for future issuance under the 2017 ESPP.</w:t>
      </w:r>
    </w:p>
    <w:p>
      <w:pPr>
        <w:spacing w:after="0" w:line="94" w:lineRule="exact"/>
        <w:rPr>
          <w:sz w:val="20"/>
          <w:szCs w:val="20"/>
          <w:color w:val="auto"/>
        </w:rPr>
      </w:pPr>
    </w:p>
    <w:p>
      <w:pPr>
        <w:ind w:right="80" w:firstLine="470"/>
        <w:spacing w:after="0" w:line="269" w:lineRule="auto"/>
        <w:rPr>
          <w:sz w:val="20"/>
          <w:szCs w:val="20"/>
          <w:color w:val="auto"/>
        </w:rPr>
      </w:pPr>
      <w:r>
        <w:rPr>
          <w:rFonts w:ascii="Times New Roman" w:cs="Times New Roman" w:eastAsia="Times New Roman" w:hAnsi="Times New Roman"/>
          <w:sz w:val="17"/>
          <w:szCs w:val="17"/>
          <w:color w:val="auto"/>
        </w:rPr>
        <w:t>During the years ended January 31, 2025, 2024 and 2023 there were 188,155, 167,574 and 149,352 shares, respectively, of common stock purchased under the ESPP. The total expense related to the ESPP for years ended January 31, 2025, 2024 and 2023 was $14.5 million, $16.4 million and $13.7 million, respectively. As of January 31, 2025, there was $7.6 million of unrecognized stock-based compensation expense related to the ESPP offering period expected to end in June 2025.</w:t>
      </w:r>
    </w:p>
    <w:p>
      <w:pPr>
        <w:spacing w:after="0" w:line="117" w:lineRule="exact"/>
        <w:rPr>
          <w:sz w:val="20"/>
          <w:szCs w:val="20"/>
          <w:color w:val="auto"/>
        </w:rPr>
      </w:pPr>
    </w:p>
    <w:p>
      <w:pPr>
        <w:ind w:right="220" w:firstLine="470"/>
        <w:spacing w:after="0" w:line="295" w:lineRule="auto"/>
        <w:rPr>
          <w:sz w:val="20"/>
          <w:szCs w:val="20"/>
          <w:color w:val="auto"/>
        </w:rPr>
      </w:pPr>
      <w:r>
        <w:rPr>
          <w:rFonts w:ascii="Times New Roman" w:cs="Times New Roman" w:eastAsia="Times New Roman" w:hAnsi="Times New Roman"/>
          <w:sz w:val="17"/>
          <w:szCs w:val="17"/>
          <w:color w:val="auto"/>
        </w:rPr>
        <w:t>The fair value of the purchase rights granted under the 2017 ESPP was estimated on the first day of the offering period using the Black-Scholes option-pricing model with the following assumptions: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4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c>
          <w:tcPr>
            <w:tcW w:w="8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556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15"/>
        </w:trPr>
        <w:tc>
          <w:tcPr>
            <w:tcW w:w="556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41"/>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Expected term (in years)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0.50</w:t>
            </w:r>
          </w:p>
        </w:tc>
        <w:tc>
          <w:tcPr>
            <w:tcW w:w="1920" w:type="dxa"/>
            <w:vAlign w:val="bottom"/>
            <w:gridSpan w:val="3"/>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rPr>
              <w:t>0.50</w:t>
            </w:r>
          </w:p>
        </w:tc>
        <w:tc>
          <w:tcPr>
            <w:tcW w:w="12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0.50</w:t>
            </w:r>
          </w:p>
        </w:tc>
      </w:tr>
      <w:tr>
        <w:trPr>
          <w:trHeight w:val="261"/>
        </w:trPr>
        <w:tc>
          <w:tcPr>
            <w:tcW w:w="5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Expected volatility</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57.7% - 58.2%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- 69%</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- 92%</w:t>
            </w:r>
          </w:p>
        </w:tc>
      </w:tr>
      <w:tr>
        <w:trPr>
          <w:trHeight w:val="262"/>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Risk-free interest rate</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4.3% - 5.39%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- 5.36%</w:t>
            </w: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- 4.68%</w:t>
            </w:r>
          </w:p>
        </w:tc>
      </w:tr>
      <w:tr>
        <w:trPr>
          <w:trHeight w:val="261"/>
        </w:trPr>
        <w:tc>
          <w:tcPr>
            <w:tcW w:w="55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Dividend yield</w:t>
            </w:r>
          </w:p>
        </w:tc>
        <w:tc>
          <w:tcPr>
            <w:tcW w:w="18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2"/>
                <w:szCs w:val="22"/>
                <w:color w:val="auto"/>
              </w:rPr>
            </w:pPr>
          </w:p>
        </w:tc>
        <w:tc>
          <w:tcPr>
            <w:tcW w:w="19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Stock-Based Compensation Expense</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Total stock-based compensation expense recognized in the Company’s consolidated statements of operations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180" w:type="dxa"/>
            <w:vAlign w:val="bottom"/>
            <w:gridSpan w:val="6"/>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c>
          <w:tcPr>
            <w:tcW w:w="1200" w:type="dxa"/>
            <w:vAlign w:val="bottom"/>
          </w:tcPr>
          <w:p>
            <w:pPr>
              <w:spacing w:after="0"/>
              <w:rPr>
                <w:sz w:val="19"/>
                <w:szCs w:val="19"/>
                <w:color w:val="auto"/>
              </w:rPr>
            </w:pP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1"/>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Cost of revenue—subscription</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29,548</w:t>
            </w:r>
          </w:p>
        </w:tc>
        <w:tc>
          <w:tcPr>
            <w:tcW w:w="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19,682</w:t>
            </w:r>
          </w:p>
        </w:tc>
      </w:tr>
      <w:tr>
        <w:trPr>
          <w:trHeight w:val="261"/>
        </w:trPr>
        <w:tc>
          <w:tcPr>
            <w:tcW w:w="6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Cost of revenue—services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13,917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10,565</w:t>
            </w:r>
          </w:p>
        </w:tc>
      </w:tr>
      <w:tr>
        <w:trPr>
          <w:trHeight w:val="262"/>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Sales and marketing</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161,317</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159,907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143,073</w:t>
            </w:r>
          </w:p>
        </w:tc>
      </w:tr>
      <w:tr>
        <w:trPr>
          <w:trHeight w:val="261"/>
        </w:trPr>
        <w:tc>
          <w:tcPr>
            <w:tcW w:w="6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226,367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198,927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159,099</w:t>
            </w:r>
          </w:p>
        </w:tc>
      </w:tr>
      <w:tr>
        <w:trPr>
          <w:trHeight w:val="275"/>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62,791</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61,663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49,035</w:t>
            </w:r>
          </w:p>
        </w:tc>
      </w:tr>
      <w:tr>
        <w:trPr>
          <w:trHeight w:val="254"/>
        </w:trPr>
        <w:tc>
          <w:tcPr>
            <w:tcW w:w="63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493,940</w:t>
            </w:r>
          </w:p>
        </w:tc>
        <w:tc>
          <w:tcPr>
            <w:tcW w:w="52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456,907</w:t>
            </w:r>
          </w:p>
        </w:tc>
        <w:tc>
          <w:tcPr>
            <w:tcW w:w="100" w:type="dxa"/>
            <w:vAlign w:val="bottom"/>
          </w:tcPr>
          <w:p>
            <w:pPr>
              <w:spacing w:after="0"/>
              <w:rPr>
                <w:sz w:val="22"/>
                <w:szCs w:val="22"/>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381,454</w:t>
            </w:r>
          </w:p>
        </w:tc>
      </w:tr>
      <w:tr>
        <w:trPr>
          <w:trHeight w:val="20"/>
        </w:trPr>
        <w:tc>
          <w:tcPr>
            <w:tcW w:w="6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Net Loss Per Share</w:t>
      </w:r>
    </w:p>
    <w:p>
      <w:pPr>
        <w:spacing w:after="0" w:line="172" w:lineRule="exact"/>
        <w:rPr>
          <w:sz w:val="20"/>
          <w:szCs w:val="20"/>
          <w:color w:val="auto"/>
        </w:rPr>
      </w:pPr>
    </w:p>
    <w:p>
      <w:pPr>
        <w:ind w:right="120" w:firstLine="470"/>
        <w:spacing w:after="0" w:line="269" w:lineRule="auto"/>
        <w:rPr>
          <w:sz w:val="20"/>
          <w:szCs w:val="20"/>
          <w:color w:val="auto"/>
        </w:rPr>
      </w:pPr>
      <w:r>
        <w:rPr>
          <w:rFonts w:ascii="Times New Roman" w:cs="Times New Roman" w:eastAsia="Times New Roman" w:hAnsi="Times New Roman"/>
          <w:sz w:val="17"/>
          <w:szCs w:val="17"/>
          <w:color w:val="auto"/>
        </w:rPr>
        <w:t xml:space="preserve">The Company calculates basic net loss per share by dividing the net loss by the weighted-average number of shares of common stock outstanding during the year, less shares subject to repurchase. Diluted net loss per share is computed by giving effect to all potentially dilutive common shares outstanding for the period, including stock options and restricted stock units. Refer to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 for further details on the Company’s methodology for calculating net loss per share.</w:t>
      </w:r>
    </w:p>
    <w:p>
      <w:pPr>
        <w:spacing w:after="0" w:line="117" w:lineRule="exact"/>
        <w:rPr>
          <w:sz w:val="20"/>
          <w:szCs w:val="20"/>
          <w:color w:val="auto"/>
        </w:rPr>
      </w:pPr>
    </w:p>
    <w:p>
      <w:pPr>
        <w:ind w:right="240" w:firstLine="470"/>
        <w:spacing w:after="0" w:line="295" w:lineRule="auto"/>
        <w:rPr>
          <w:sz w:val="20"/>
          <w:szCs w:val="20"/>
          <w:color w:val="auto"/>
        </w:rPr>
      </w:pPr>
      <w:r>
        <w:rPr>
          <w:rFonts w:ascii="Times New Roman" w:cs="Times New Roman" w:eastAsia="Times New Roman" w:hAnsi="Times New Roman"/>
          <w:sz w:val="17"/>
          <w:szCs w:val="17"/>
          <w:color w:val="auto"/>
        </w:rPr>
        <w:t>Basic and diluted net loss per share was the same for each year presented, as the inclusion of all potential common shares outstanding would have been anti-dilutive due to the net loss reported for each year presented.</w:t>
      </w:r>
    </w:p>
    <w:p>
      <w:pPr>
        <w:spacing w:after="0" w:line="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net loss per share (in thousands, except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20" w:type="dxa"/>
            <w:vAlign w:val="bottom"/>
            <w:gridSpan w:val="6"/>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5"/>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Numerator:</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63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(129,072)</w:t>
            </w:r>
          </w:p>
        </w:tc>
        <w:tc>
          <w:tcPr>
            <w:tcW w:w="100" w:type="dxa"/>
            <w:vAlign w:val="bottom"/>
          </w:tcPr>
          <w:p>
            <w:pPr>
              <w:spacing w:after="0"/>
              <w:rPr>
                <w:sz w:val="20"/>
                <w:szCs w:val="20"/>
                <w:color w:val="auto"/>
              </w:rPr>
            </w:pPr>
          </w:p>
        </w:tc>
        <w:tc>
          <w:tcPr>
            <w:tcW w:w="3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(176,600)</w:t>
            </w:r>
          </w:p>
        </w:tc>
        <w:tc>
          <w:tcPr>
            <w:tcW w:w="100" w:type="dxa"/>
            <w:vAlign w:val="bottom"/>
          </w:tcPr>
          <w:p>
            <w:pPr>
              <w:spacing w:after="0"/>
              <w:rPr>
                <w:sz w:val="20"/>
                <w:szCs w:val="20"/>
                <w:color w:val="auto"/>
              </w:rPr>
            </w:pPr>
          </w:p>
        </w:tc>
        <w:tc>
          <w:tcPr>
            <w:tcW w:w="3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(345,398)</w:t>
            </w:r>
          </w:p>
        </w:tc>
        <w:tc>
          <w:tcPr>
            <w:tcW w:w="0" w:type="dxa"/>
            <w:vAlign w:val="bottom"/>
          </w:tcPr>
          <w:p>
            <w:pPr>
              <w:spacing w:after="0"/>
              <w:rPr>
                <w:sz w:val="1"/>
                <w:szCs w:val="1"/>
                <w:color w:val="auto"/>
              </w:rPr>
            </w:pPr>
          </w:p>
        </w:tc>
      </w:tr>
      <w:tr>
        <w:trPr>
          <w:trHeight w:val="65"/>
        </w:trPr>
        <w:tc>
          <w:tcPr>
            <w:tcW w:w="63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i w:val="1"/>
                <w:iCs w:val="1"/>
                <w:color w:val="auto"/>
              </w:rPr>
              <w:t>Denominator:</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636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6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Weighted-average shares used to compute net loss per share, basic and diluted</w:t>
            </w: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74,555,001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71,248,982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68,628,267</w:t>
            </w:r>
          </w:p>
        </w:tc>
        <w:tc>
          <w:tcPr>
            <w:tcW w:w="0" w:type="dxa"/>
            <w:vAlign w:val="bottom"/>
          </w:tcPr>
          <w:p>
            <w:pPr>
              <w:spacing w:after="0"/>
              <w:rPr>
                <w:sz w:val="1"/>
                <w:szCs w:val="1"/>
                <w:color w:val="auto"/>
              </w:rPr>
            </w:pPr>
          </w:p>
        </w:tc>
      </w:tr>
      <w:tr>
        <w:trPr>
          <w:trHeight w:val="65"/>
        </w:trPr>
        <w:tc>
          <w:tcPr>
            <w:tcW w:w="6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63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tcPr>
          <w:p>
            <w:pPr>
              <w:spacing w:after="0"/>
              <w:rPr>
                <w:sz w:val="20"/>
                <w:szCs w:val="20"/>
                <w:color w:val="auto"/>
              </w:rPr>
            </w:pPr>
          </w:p>
        </w:tc>
        <w:tc>
          <w:tcPr>
            <w:tcW w:w="3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(2.48)</w:t>
            </w:r>
          </w:p>
        </w:tc>
        <w:tc>
          <w:tcPr>
            <w:tcW w:w="100" w:type="dxa"/>
            <w:vAlign w:val="bottom"/>
          </w:tcPr>
          <w:p>
            <w:pPr>
              <w:spacing w:after="0"/>
              <w:rPr>
                <w:sz w:val="20"/>
                <w:szCs w:val="20"/>
                <w:color w:val="auto"/>
              </w:rPr>
            </w:pPr>
          </w:p>
        </w:tc>
        <w:tc>
          <w:tcPr>
            <w:tcW w:w="3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0" w:type="dxa"/>
            <w:vAlign w:val="bottom"/>
          </w:tcPr>
          <w:p>
            <w:pPr>
              <w:spacing w:after="0"/>
              <w:rPr>
                <w:sz w:val="1"/>
                <w:szCs w:val="1"/>
                <w:color w:val="auto"/>
              </w:rPr>
            </w:pPr>
          </w:p>
        </w:tc>
      </w:tr>
      <w:tr>
        <w:trPr>
          <w:trHeight w:val="65"/>
        </w:trPr>
        <w:tc>
          <w:tcPr>
            <w:tcW w:w="63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right="60" w:firstLine="470"/>
        <w:spacing w:after="0" w:line="266" w:lineRule="auto"/>
        <w:rPr>
          <w:sz w:val="20"/>
          <w:szCs w:val="20"/>
          <w:color w:val="auto"/>
        </w:rPr>
      </w:pPr>
      <w:r>
        <w:rPr>
          <w:rFonts w:ascii="Times New Roman" w:cs="Times New Roman" w:eastAsia="Times New Roman" w:hAnsi="Times New Roman"/>
          <w:sz w:val="17"/>
          <w:szCs w:val="17"/>
          <w:color w:val="auto"/>
        </w:rPr>
        <w:t xml:space="preserve">In connection with the issuance of the 2024 Notes and 2026 Notes, the Company entered into Capped Calls, which were not included for the purpose of calculating the number of diluted shares outstanding, as their effect would have been anti-dilutive. The Capped Calls were expected to partially offset the potential dilution to the Company’s common stock upon any conversion of the 2026 Notes. During the three months ended April 30, 2024, the Company elected a settlement in cash, as opposed to the Company’s common stock, of the Capped Calls associated with 2024 Notes. In June 2024 the related derivative was settled and the Capped Calls associated with the 2024 Notes were successfully unwound, refer to Note 6. </w:t>
      </w:r>
      <w:r>
        <w:rPr>
          <w:rFonts w:ascii="Times New Roman" w:cs="Times New Roman" w:eastAsia="Times New Roman" w:hAnsi="Times New Roman"/>
          <w:sz w:val="17"/>
          <w:szCs w:val="17"/>
          <w:i w:val="1"/>
          <w:iCs w:val="1"/>
          <w:color w:val="auto"/>
        </w:rPr>
        <w:t>Convertible Senior Notes</w:t>
      </w:r>
      <w:r>
        <w:rPr>
          <w:rFonts w:ascii="Times New Roman" w:cs="Times New Roman" w:eastAsia="Times New Roman" w:hAnsi="Times New Roman"/>
          <w:sz w:val="17"/>
          <w:szCs w:val="17"/>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ind w:right="420" w:firstLine="470"/>
        <w:spacing w:after="0" w:line="295" w:lineRule="auto"/>
        <w:rPr>
          <w:sz w:val="20"/>
          <w:szCs w:val="20"/>
          <w:color w:val="auto"/>
        </w:rPr>
      </w:pPr>
      <w:r>
        <w:rPr>
          <w:rFonts w:ascii="Times New Roman" w:cs="Times New Roman" w:eastAsia="Times New Roman" w:hAnsi="Times New Roman"/>
          <w:sz w:val="17"/>
          <w:szCs w:val="17"/>
          <w:color w:val="auto"/>
        </w:rPr>
        <w:t>The following shares of common stock were excluded from the computation of diluted net loss per share attributable to the Company for the periods presented because including them would have been anti-dilutive as the Company has reported net loss for each of the periods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c>
          <w:tcPr>
            <w:tcW w:w="1220" w:type="dxa"/>
            <w:vAlign w:val="bottom"/>
          </w:tcPr>
          <w:p>
            <w:pPr>
              <w:spacing w:after="0"/>
              <w:rPr>
                <w:sz w:val="19"/>
                <w:szCs w:val="19"/>
                <w:color w:val="auto"/>
              </w:rPr>
            </w:pPr>
          </w:p>
        </w:tc>
      </w:tr>
      <w:tr>
        <w:trPr>
          <w:trHeight w:val="26"/>
        </w:trPr>
        <w:tc>
          <w:tcPr>
            <w:tcW w:w="25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5"/>
        </w:trPr>
        <w:tc>
          <w:tcPr>
            <w:tcW w:w="2500" w:type="dxa"/>
            <w:vAlign w:val="bottom"/>
            <w:tcBorders>
              <w:bottom w:val="single" w:sz="8" w:color="CCEEFF"/>
            </w:tcBorders>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1"/>
        </w:trPr>
        <w:tc>
          <w:tcPr>
            <w:tcW w:w="2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Stock options pursuant to the 2016</w:t>
            </w:r>
          </w:p>
        </w:tc>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Incentive Plan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281,239</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428,408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571,680</w:t>
            </w:r>
          </w:p>
        </w:tc>
      </w:tr>
      <w:tr>
        <w:trPr>
          <w:trHeight w:val="261"/>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Stock options pursuant to the 2008</w:t>
            </w:r>
          </w:p>
        </w:tc>
        <w:tc>
          <w:tcPr>
            <w:tcW w:w="3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Incentive Plan</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286,186</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884,057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1,599,415</w:t>
            </w:r>
          </w:p>
        </w:tc>
      </w:tr>
      <w:tr>
        <w:trPr>
          <w:trHeight w:val="262"/>
        </w:trPr>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Unvested restricted stock units and ESPP obligations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3,752,252</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4,162,660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3,860,345</w:t>
            </w:r>
          </w:p>
        </w:tc>
      </w:tr>
      <w:tr>
        <w:trPr>
          <w:trHeight w:val="261"/>
        </w:trPr>
        <w:tc>
          <w:tcPr>
            <w:tcW w:w="25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Unvested executive PSUs</w:t>
            </w:r>
          </w:p>
        </w:tc>
        <w:tc>
          <w:tcPr>
            <w:tcW w:w="38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146,284</w:t>
            </w: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214,565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69,667</w:t>
            </w:r>
          </w:p>
        </w:tc>
      </w:tr>
      <w:tr>
        <w:trPr>
          <w:trHeight w:val="262"/>
        </w:trPr>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Shares underlying the conversion option of the 2026 Notes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5,445,002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5,445,039</w:t>
            </w:r>
          </w:p>
        </w:tc>
      </w:tr>
      <w:tr>
        <w:trPr>
          <w:trHeight w:val="215"/>
        </w:trPr>
        <w:tc>
          <w:tcPr>
            <w:tcW w:w="25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w:t>
            </w:r>
          </w:p>
        </w:tc>
        <w:tc>
          <w:tcPr>
            <w:tcW w:w="386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4,465,961</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11,134,692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11,546,146</w:t>
            </w:r>
          </w:p>
        </w:tc>
      </w:tr>
      <w:tr>
        <w:trPr>
          <w:trHeight w:val="20"/>
        </w:trPr>
        <w:tc>
          <w:tcPr>
            <w:tcW w:w="25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Income Taxes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components of loss before provision for (benefit from) income taxes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center"/>
              <w:ind w:left="773"/>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c>
          <w:tcPr>
            <w:tcW w:w="1200" w:type="dxa"/>
            <w:vAlign w:val="bottom"/>
            <w:tcBorders>
              <w:bottom w:val="single" w:sz="8" w:color="auto"/>
            </w:tcBorders>
          </w:tcPr>
          <w:p>
            <w:pPr>
              <w:spacing w:after="0"/>
              <w:rPr>
                <w:sz w:val="19"/>
                <w:szCs w:val="19"/>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(253,433)</w:t>
            </w:r>
          </w:p>
        </w:tc>
      </w:tr>
      <w:tr>
        <w:trPr>
          <w:trHeight w:val="222"/>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(31,621)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(79,821)</w:t>
            </w:r>
          </w:p>
        </w:tc>
      </w:tr>
      <w:tr>
        <w:trPr>
          <w:trHeight w:val="24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(131,599)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(333,254)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16"/>
        </w:trPr>
        <w:tc>
          <w:tcPr>
            <w:tcW w:w="8020" w:type="dxa"/>
            <w:vAlign w:val="bottom"/>
            <w:gridSpan w:val="4"/>
          </w:tcPr>
          <w:p>
            <w:pPr>
              <w:ind w:left="480"/>
              <w:spacing w:after="0"/>
              <w:rPr>
                <w:sz w:val="20"/>
                <w:szCs w:val="20"/>
                <w:color w:val="auto"/>
              </w:rPr>
            </w:pPr>
            <w:r>
              <w:rPr>
                <w:rFonts w:ascii="Times New Roman" w:cs="Times New Roman" w:eastAsia="Times New Roman" w:hAnsi="Times New Roman"/>
                <w:sz w:val="17"/>
                <w:szCs w:val="17"/>
                <w:color w:val="auto"/>
              </w:rPr>
              <w:t>The components of the provision for (benefit from) income taxes were as follows (in thousands):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6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6"/>
          </w:tcPr>
          <w:p>
            <w:pPr>
              <w:jc w:val="center"/>
              <w:ind w:left="773"/>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c>
          <w:tcPr>
            <w:tcW w:w="1200" w:type="dxa"/>
            <w:vAlign w:val="bottom"/>
            <w:tcBorders>
              <w:bottom w:val="single" w:sz="8" w:color="auto"/>
            </w:tcBorders>
          </w:tcPr>
          <w:p>
            <w:pPr>
              <w:spacing w:after="0"/>
              <w:rPr>
                <w:sz w:val="24"/>
                <w:szCs w:val="24"/>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2"/>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w:t>
            </w:r>
          </w:p>
        </w:tc>
      </w:tr>
      <w:tr>
        <w:trPr>
          <w:trHeight w:val="22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22"/>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11,812</w:t>
            </w:r>
          </w:p>
        </w:tc>
      </w:tr>
      <w:tr>
        <w:trPr>
          <w:trHeight w:val="21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12,715</w:t>
            </w:r>
          </w:p>
        </w:tc>
      </w:tr>
      <w:tr>
        <w:trPr>
          <w:trHeight w:val="22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2"/>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w:t>
            </w:r>
          </w:p>
        </w:tc>
      </w:tr>
      <w:tr>
        <w:trPr>
          <w:trHeight w:val="215"/>
        </w:trPr>
        <w:tc>
          <w:tcPr>
            <w:tcW w:w="6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(571)</w:t>
            </w:r>
          </w:p>
        </w:tc>
      </w:tr>
      <w:tr>
        <w:trPr>
          <w:trHeight w:val="253"/>
        </w:trPr>
        <w:tc>
          <w:tcPr>
            <w:tcW w:w="6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items accounting for the difference between income taxes computed at the federal statutory income tax rate and the provision for (benefit from)</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taxes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c>
          <w:tcPr>
            <w:tcW w:w="1200" w:type="dxa"/>
            <w:vAlign w:val="bottom"/>
            <w:tcBorders>
              <w:bottom w:val="single" w:sz="8" w:color="auto"/>
            </w:tcBorders>
          </w:tcPr>
          <w:p>
            <w:pPr>
              <w:spacing w:after="0"/>
              <w:rPr>
                <w:sz w:val="19"/>
                <w:szCs w:val="19"/>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at statutory rate</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(69,983)</w:t>
            </w:r>
          </w:p>
        </w:tc>
      </w:tr>
      <w:tr>
        <w:trPr>
          <w:trHeight w:val="22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taxes, net of federal benefit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Impact of foreign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27,892</w:t>
            </w:r>
          </w:p>
        </w:tc>
      </w:tr>
      <w:tr>
        <w:trPr>
          <w:trHeight w:val="22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branch income included in the United States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1,353</w:t>
            </w:r>
          </w:p>
        </w:tc>
      </w:tr>
      <w:tr>
        <w:trPr>
          <w:trHeight w:val="22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(39,669)</w:t>
            </w:r>
          </w:p>
        </w:tc>
      </w:tr>
      <w:tr>
        <w:trPr>
          <w:trHeight w:val="22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Non-deductible expenses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17,863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w:t>
            </w:r>
          </w:p>
        </w:tc>
      </w:tr>
      <w:tr>
        <w:trPr>
          <w:trHeight w:val="22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Officer compensation in excess of $1 million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7,085</w:t>
            </w:r>
          </w:p>
        </w:tc>
      </w:tr>
      <w:tr>
        <w:trPr>
          <w:trHeight w:val="22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100,548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106,156</w:t>
            </w:r>
          </w:p>
        </w:tc>
      </w:tr>
      <w:tr>
        <w:trPr>
          <w:trHeight w:val="22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(19,395)</w:t>
            </w:r>
          </w:p>
        </w:tc>
      </w:tr>
      <w:tr>
        <w:trPr>
          <w:trHeight w:val="22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tax credit</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(3,349)</w:t>
            </w:r>
          </w:p>
        </w:tc>
      </w:tr>
      <w:tr>
        <w:trPr>
          <w:trHeight w:val="22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withholding tax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w:t>
            </w:r>
          </w:p>
        </w:tc>
      </w:tr>
      <w:tr>
        <w:trPr>
          <w:trHeight w:val="22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Prior year true ups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r>
      <w:tr>
        <w:trPr>
          <w:trHeight w:val="22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8"/>
        </w:trPr>
        <w:tc>
          <w:tcPr>
            <w:tcW w:w="63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12,144</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both"/>
        <w:ind w:firstLine="470"/>
        <w:spacing w:after="0" w:line="260" w:lineRule="auto"/>
        <w:rPr>
          <w:sz w:val="20"/>
          <w:szCs w:val="20"/>
          <w:color w:val="auto"/>
        </w:rPr>
      </w:pPr>
      <w:r>
        <w:rPr>
          <w:rFonts w:ascii="Times New Roman" w:cs="Times New Roman" w:eastAsia="Times New Roman" w:hAnsi="Times New Roman"/>
          <w:sz w:val="17"/>
          <w:szCs w:val="17"/>
          <w:color w:val="auto"/>
        </w:rPr>
        <w:t>The decrease in the provision for income taxes during the years ended January 31, 2025 was primarily due to the release of the U.K. valuation allowance. The increase in the provision for income taxes during each of the years ended January 31, 2024 and 2023 was due to an increase in foreign taxes as the Company continued its global expansion.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Deferred Income Taxes</w:t>
      </w:r>
    </w:p>
    <w:p>
      <w:pPr>
        <w:spacing w:after="0" w:line="172" w:lineRule="exact"/>
        <w:rPr>
          <w:sz w:val="20"/>
          <w:szCs w:val="20"/>
          <w:color w:val="auto"/>
        </w:rPr>
      </w:pPr>
    </w:p>
    <w:p>
      <w:pPr>
        <w:ind w:right="340" w:firstLine="470"/>
        <w:spacing w:after="0" w:line="295" w:lineRule="auto"/>
        <w:rPr>
          <w:sz w:val="20"/>
          <w:szCs w:val="20"/>
          <w:color w:val="auto"/>
        </w:rPr>
      </w:pPr>
      <w:r>
        <w:rPr>
          <w:rFonts w:ascii="Times New Roman" w:cs="Times New Roman" w:eastAsia="Times New Roman" w:hAnsi="Times New Roman"/>
          <w:sz w:val="17"/>
          <w:szCs w:val="17"/>
          <w:color w:val="auto"/>
        </w:rPr>
        <w:t>Deferred income taxes arise from temporary differences between the carrying amounts of assets and liabilities for financial reporting and the amounts used for income tax reporting purposes, as well as operating losses and tax credit carryforwards.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ind w:right="740" w:firstLine="470"/>
        <w:spacing w:after="0" w:line="295" w:lineRule="auto"/>
        <w:rPr>
          <w:sz w:val="20"/>
          <w:szCs w:val="20"/>
          <w:color w:val="auto"/>
        </w:rPr>
      </w:pPr>
      <w:r>
        <w:rPr>
          <w:rFonts w:ascii="Times New Roman" w:cs="Times New Roman" w:eastAsia="Times New Roman" w:hAnsi="Times New Roman"/>
          <w:sz w:val="17"/>
          <w:szCs w:val="17"/>
          <w:color w:val="auto"/>
        </w:rPr>
        <w:t>Significant components of the Company’s deferred tax assets are shown in the following table as of January 31, 2025 and 2024, respectively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r>
      <w:tr>
        <w:trPr>
          <w:trHeight w:val="215"/>
        </w:trPr>
        <w:tc>
          <w:tcPr>
            <w:tcW w:w="8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2"/>
        </w:trPr>
        <w:tc>
          <w:tcPr>
            <w:tcW w:w="8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784,638</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753,189</w:t>
            </w:r>
          </w:p>
        </w:tc>
      </w:tr>
      <w:tr>
        <w:trPr>
          <w:trHeight w:val="22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67,167</w:t>
            </w:r>
          </w:p>
        </w:tc>
      </w:tr>
      <w:tr>
        <w:trPr>
          <w:trHeight w:val="222"/>
        </w:trPr>
        <w:tc>
          <w:tcPr>
            <w:tcW w:w="8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and 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19,282</w:t>
            </w:r>
          </w:p>
        </w:tc>
      </w:tr>
      <w:tr>
        <w:trPr>
          <w:trHeight w:val="22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Capitalized research and development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125,142</w:t>
            </w:r>
          </w:p>
        </w:tc>
      </w:tr>
      <w:tr>
        <w:trPr>
          <w:trHeight w:val="222"/>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reserves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20,729</w:t>
            </w:r>
          </w:p>
        </w:tc>
      </w:tr>
      <w:tr>
        <w:trPr>
          <w:trHeight w:val="21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Gross 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1,056,707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985,509</w:t>
            </w:r>
          </w:p>
        </w:tc>
      </w:tr>
      <w:tr>
        <w:trPr>
          <w:trHeight w:val="222"/>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(942,513)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(903,663)</w:t>
            </w:r>
          </w:p>
        </w:tc>
      </w:tr>
      <w:tr>
        <w:trPr>
          <w:trHeight w:val="21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deferred tax assets, net of valuation allowance</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114,194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81,846</w:t>
            </w:r>
          </w:p>
        </w:tc>
      </w:tr>
      <w:tr>
        <w:trPr>
          <w:trHeight w:val="215"/>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Finance and operating lease right-of-use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(13,204)</w:t>
            </w:r>
          </w:p>
        </w:tc>
      </w:tr>
      <w:tr>
        <w:trPr>
          <w:trHeight w:val="222"/>
        </w:trPr>
        <w:tc>
          <w:tcPr>
            <w:tcW w:w="80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Convertible senior notes</w:t>
            </w:r>
          </w:p>
        </w:tc>
        <w:tc>
          <w:tcPr>
            <w:tcW w:w="3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commission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(61,483)</w:t>
            </w:r>
          </w:p>
        </w:tc>
      </w:tr>
      <w:tr>
        <w:trPr>
          <w:trHeight w:val="222"/>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liabilities and accruals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(3,326)</w:t>
            </w:r>
          </w:p>
        </w:tc>
      </w:tr>
      <w:tr>
        <w:trPr>
          <w:trHeight w:val="21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(93,645)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(78,013)</w:t>
            </w:r>
          </w:p>
        </w:tc>
      </w:tr>
      <w:tr>
        <w:trPr>
          <w:trHeight w:val="215"/>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tax assets</w:t>
            </w: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20,549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3,833</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140" w:firstLine="470"/>
        <w:spacing w:after="0" w:line="243" w:lineRule="auto"/>
        <w:rPr>
          <w:sz w:val="20"/>
          <w:szCs w:val="20"/>
          <w:color w:val="auto"/>
        </w:rPr>
      </w:pPr>
      <w:r>
        <w:rPr>
          <w:rFonts w:ascii="Times New Roman" w:cs="Times New Roman" w:eastAsia="Times New Roman" w:hAnsi="Times New Roman"/>
          <w:sz w:val="17"/>
          <w:szCs w:val="17"/>
          <w:color w:val="auto"/>
        </w:rPr>
        <w:t>Deferred tax assets are recognized when management believes it is more likely than not that they will be realized. Deferred tax assets are reduced by a valuation allowance if, based on available evidence, it is more likely than not that some or all of the deferred tax assets will not be realized. The valuation allowance for deferred tax assets as of January 31, 2025, 2024 and 2023 was $942.5 million, $903.7 million and $809.0 million, respectively. The valuation allowance increased by $38.9 million, $94.7 million and $131.7 million during the years ended January 31, 2025, 2024 and 2023, respectively.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carryback and carryforward periods), projected future taxable income and tax planning strategies in making this assessment. During the current year, management determined that it is more likely than not that the Company can realize its U.K. deferred tax assets based on its current and projected future taxable income in the U.K. Therefore, the Company released approximately $14.6 million of valuation allowance in the U.K.</w:t>
      </w:r>
    </w:p>
    <w:p>
      <w:pPr>
        <w:spacing w:after="0" w:line="203" w:lineRule="exact"/>
        <w:rPr>
          <w:sz w:val="20"/>
          <w:szCs w:val="20"/>
          <w:color w:val="auto"/>
        </w:rPr>
      </w:pPr>
    </w:p>
    <w:p>
      <w:pPr>
        <w:ind w:firstLine="470"/>
        <w:spacing w:after="0" w:line="243" w:lineRule="auto"/>
        <w:rPr>
          <w:sz w:val="20"/>
          <w:szCs w:val="20"/>
          <w:color w:val="auto"/>
        </w:rPr>
      </w:pPr>
      <w:r>
        <w:rPr>
          <w:rFonts w:ascii="Times New Roman" w:cs="Times New Roman" w:eastAsia="Times New Roman" w:hAnsi="Times New Roman"/>
          <w:sz w:val="17"/>
          <w:szCs w:val="17"/>
          <w:color w:val="auto"/>
        </w:rPr>
        <w:t>As of January 31, 2025 the Company had net operating loss carryforwards for U.S. federal, state, Irish and U.K. income tax purposes of $2.1 billion, $2.0 billion, $834.3 million and $52.9 million, respectively, which begin to expire in the year ending January 31, 2028 for U.S. federal purposes and January 31, 2026 for state purposes. Ireland, U.K. and the U.S. federal losses for years after January 31, 2019 allow for operating losses to be carried forward indefinitely. The Company also has U.S. federal and state research credit carryforwards of $178.1 million and $16.3 million, respectively, which begin to expire in the year ending January 31, 2029 for federal purposes and January 31, 2026 for state purposes. Furthermore, the Company has U.S. foreign tax credit carryforwards of $6.9 million and U.S. charitable contribution carryforwards of $0.6 million, which will begin to expire in the year ending January 31, 2030 and January 31, 2026, respectively. Utilization of the federal net operating loss carryforwards and credits may be subject to a substantial annual limitation due to the ownership change limitations provided by the Internal Revenue Code of 1986, as amended and similar state provisions. The annual limitation, should the Company undergo an ownership change, may result in the expiration of federal or state net operating losses and credits before utilization, however the Company does not expect any such limitation to be material.</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C2C2C"/>
        </w:rPr>
        <w:t>Uncertain Tax Positions</w:t>
      </w:r>
    </w:p>
    <w:p>
      <w:pPr>
        <w:spacing w:after="0" w:line="172" w:lineRule="exact"/>
        <w:rPr>
          <w:sz w:val="20"/>
          <w:szCs w:val="20"/>
          <w:color w:val="auto"/>
        </w:rPr>
      </w:pPr>
    </w:p>
    <w:p>
      <w:pPr>
        <w:ind w:right="40" w:firstLine="470"/>
        <w:spacing w:after="0" w:line="269" w:lineRule="auto"/>
        <w:rPr>
          <w:sz w:val="20"/>
          <w:szCs w:val="20"/>
          <w:color w:val="auto"/>
        </w:rPr>
      </w:pPr>
      <w:r>
        <w:rPr>
          <w:rFonts w:ascii="Times New Roman" w:cs="Times New Roman" w:eastAsia="Times New Roman" w:hAnsi="Times New Roman"/>
          <w:sz w:val="17"/>
          <w:szCs w:val="17"/>
          <w:color w:val="auto"/>
        </w:rPr>
        <w:t>The calculation of the Company’s tax obligations involves dealing with uncertainties in the application of complex tax laws and regulations.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MONGODB,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(CONTINUED)</w:t>
      </w:r>
    </w:p>
    <w:p>
      <w:pPr>
        <w:spacing w:after="0" w:line="348"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17"/>
          <w:szCs w:val="17"/>
          <w:color w:val="auto"/>
        </w:rPr>
        <w:t>examination, based upon the Company’s evaluation of the facts, 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w:t>
      </w:r>
    </w:p>
    <w:p>
      <w:pPr>
        <w:spacing w:after="0" w:line="117" w:lineRule="exact"/>
        <w:rPr>
          <w:sz w:val="20"/>
          <w:szCs w:val="20"/>
          <w:color w:val="auto"/>
        </w:rPr>
      </w:pPr>
    </w:p>
    <w:p>
      <w:pPr>
        <w:ind w:right="100" w:firstLine="470"/>
        <w:spacing w:after="0" w:line="266" w:lineRule="auto"/>
        <w:rPr>
          <w:sz w:val="20"/>
          <w:szCs w:val="20"/>
          <w:color w:val="auto"/>
        </w:rPr>
      </w:pPr>
      <w:r>
        <w:rPr>
          <w:rFonts w:ascii="Times New Roman" w:cs="Times New Roman" w:eastAsia="Times New Roman" w:hAnsi="Times New Roman"/>
          <w:sz w:val="17"/>
          <w:szCs w:val="17"/>
          <w:color w:val="auto"/>
        </w:rPr>
        <w:t>Although the Company believes that it has adequately reserved for its uncertain tax positions, the Company can provide no assurance that the final tax outcome of these matters will not be materially different. As the Company expands internationally, it will face increased complexity and the Company’s unrecognized tax benefits may increase in the future. The Company makes adjustments to its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the changes in the Company’s unrecognized gross tax benefits during the periods presented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6"/>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Years Ended January 31,</w:t>
            </w:r>
          </w:p>
        </w:tc>
        <w:tc>
          <w:tcPr>
            <w:tcW w:w="1200" w:type="dxa"/>
            <w:vAlign w:val="bottom"/>
            <w:tcBorders>
              <w:bottom w:val="single" w:sz="8" w:color="auto"/>
            </w:tcBorders>
          </w:tcPr>
          <w:p>
            <w:pPr>
              <w:spacing w:after="0"/>
              <w:rPr>
                <w:sz w:val="19"/>
                <w:szCs w:val="19"/>
                <w:color w:val="auto"/>
              </w:rPr>
            </w:pPr>
          </w:p>
        </w:tc>
      </w:tr>
      <w:tr>
        <w:trPr>
          <w:trHeight w:val="215"/>
        </w:trPr>
        <w:tc>
          <w:tcPr>
            <w:tcW w:w="6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Unrecognized tax benefits at beginning of year</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22,698</w:t>
            </w:r>
          </w:p>
        </w:tc>
      </w:tr>
      <w:tr>
        <w:trPr>
          <w:trHeight w:val="222"/>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(decrease) in tax positions in prior years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22"/>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Additions based on tax positions in the current year</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21,864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50,628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6,763</w:t>
            </w:r>
          </w:p>
        </w:tc>
      </w:tr>
      <w:tr>
        <w:trPr>
          <w:trHeight w:val="215"/>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Unrecognized tax benefits at end of year</w:t>
            </w: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104,543</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81,604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29,284</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ind w:right="40" w:firstLine="470"/>
        <w:spacing w:after="0" w:line="260" w:lineRule="auto"/>
        <w:rPr>
          <w:sz w:val="20"/>
          <w:szCs w:val="20"/>
          <w:color w:val="auto"/>
        </w:rPr>
      </w:pPr>
      <w:r>
        <w:rPr>
          <w:rFonts w:ascii="Times New Roman" w:cs="Times New Roman" w:eastAsia="Times New Roman" w:hAnsi="Times New Roman"/>
          <w:sz w:val="17"/>
          <w:szCs w:val="17"/>
          <w:color w:val="auto"/>
        </w:rPr>
        <w:t>In FY25, the Company recorded an addition in reserves for tax positions in prior years related to U.S. research and development tax credits. Additionally, the Company recorded additional intangible development costs for the current year. As of January 31, 2025, $1.3 million of these total unrecognized tax benefits would have an impact on the Company’s effective tax rate if recognized.</w:t>
      </w:r>
    </w:p>
    <w:p>
      <w:pPr>
        <w:spacing w:after="0" w:line="175" w:lineRule="exact"/>
        <w:rPr>
          <w:sz w:val="20"/>
          <w:szCs w:val="20"/>
          <w:color w:val="auto"/>
        </w:rPr>
      </w:pPr>
    </w:p>
    <w:p>
      <w:pPr>
        <w:jc w:val="both"/>
        <w:ind w:right="40" w:firstLine="470"/>
        <w:spacing w:after="0" w:line="279" w:lineRule="auto"/>
        <w:rPr>
          <w:sz w:val="20"/>
          <w:szCs w:val="20"/>
          <w:color w:val="auto"/>
        </w:rPr>
      </w:pPr>
      <w:r>
        <w:rPr>
          <w:rFonts w:ascii="Times New Roman" w:cs="Times New Roman" w:eastAsia="Times New Roman" w:hAnsi="Times New Roman"/>
          <w:sz w:val="17"/>
          <w:szCs w:val="17"/>
          <w:color w:val="auto"/>
        </w:rPr>
        <w:t>We intend to invest substantially all of our foreign subsidiary earnings, as well as our capital in our foreign subsidiaries, indefinitely outside of the U.S. in those jurisdictions in which we would incur significant, additional costs upon repatriation of such amounts.</w:t>
      </w:r>
    </w:p>
    <w:p>
      <w:pPr>
        <w:spacing w:after="0" w:line="186" w:lineRule="exact"/>
        <w:rPr>
          <w:sz w:val="20"/>
          <w:szCs w:val="20"/>
          <w:color w:val="auto"/>
        </w:rPr>
      </w:pPr>
    </w:p>
    <w:p>
      <w:pPr>
        <w:ind w:firstLine="470"/>
        <w:spacing w:after="0" w:line="266" w:lineRule="auto"/>
        <w:rPr>
          <w:sz w:val="20"/>
          <w:szCs w:val="20"/>
          <w:color w:val="auto"/>
        </w:rPr>
      </w:pPr>
      <w:r>
        <w:rPr>
          <w:rFonts w:ascii="Times New Roman" w:cs="Times New Roman" w:eastAsia="Times New Roman" w:hAnsi="Times New Roman"/>
          <w:sz w:val="17"/>
          <w:szCs w:val="17"/>
          <w:color w:val="auto"/>
        </w:rPr>
        <w:t>The Company is not currently under Internal Revenue Service, state, or foreign income tax examination with the exception of an audit in France for which the Company does not expect a material outcome. The Company does not anticipate any significant increases or decreases in its uncertain tax positions within the next twelve months. The Company files tax returns in the United States for federal and certain states. All tax years remain open to examination for both federal and state purposes as a result of the net operating loss and credit carryforwards. The Company files foreign tax returns in various locations. These foreign returns are open to examination for the fiscal years ending January 31, 2015 through January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Subsequent Events</w:t>
      </w:r>
    </w:p>
    <w:p>
      <w:pPr>
        <w:spacing w:after="0" w:line="172" w:lineRule="exact"/>
        <w:rPr>
          <w:sz w:val="20"/>
          <w:szCs w:val="20"/>
          <w:color w:val="auto"/>
        </w:rPr>
      </w:pPr>
    </w:p>
    <w:p>
      <w:pPr>
        <w:ind w:right="120" w:firstLine="470"/>
        <w:spacing w:after="0" w:line="266" w:lineRule="auto"/>
        <w:rPr>
          <w:sz w:val="20"/>
          <w:szCs w:val="20"/>
          <w:color w:val="auto"/>
        </w:rPr>
      </w:pPr>
      <w:r>
        <w:rPr>
          <w:rFonts w:ascii="Times New Roman" w:cs="Times New Roman" w:eastAsia="Times New Roman" w:hAnsi="Times New Roman"/>
          <w:sz w:val="17"/>
          <w:szCs w:val="17"/>
          <w:color w:val="auto"/>
        </w:rPr>
        <w:t>On February 17, 2025, the Company acquired all outstanding shares of Voyage AI Innovations, Inc. (“Voyage AI”), an AI-powered software company that specializes in embedding and reranking models, in exchange for total consideration of approximately $220 million consisting of cash and stock, subject to customary adjustments. Integrating Voyage AI’s technology with MongoDB is expected to enable organizations to build reliable, AI-powered applications. The Company is in the process of finalizing the accounting for this transaction and expects to complete the preliminary purchase price allocation in the first quarter of fiscal year 2026.</w:t>
      </w:r>
    </w:p>
    <w:p>
      <w:pPr>
        <w:spacing w:after="0" w:line="119" w:lineRule="exact"/>
        <w:rPr>
          <w:sz w:val="20"/>
          <w:szCs w:val="20"/>
          <w:color w:val="auto"/>
        </w:rPr>
      </w:pPr>
    </w:p>
    <w:p>
      <w:pPr>
        <w:ind w:right="40" w:firstLine="470"/>
        <w:spacing w:after="0" w:line="264" w:lineRule="auto"/>
        <w:rPr>
          <w:sz w:val="20"/>
          <w:szCs w:val="20"/>
          <w:color w:val="auto"/>
        </w:rPr>
      </w:pPr>
      <w:r>
        <w:rPr>
          <w:rFonts w:ascii="Times New Roman" w:cs="Times New Roman" w:eastAsia="Times New Roman" w:hAnsi="Times New Roman"/>
          <w:sz w:val="17"/>
          <w:szCs w:val="17"/>
          <w:color w:val="auto"/>
        </w:rPr>
        <w:t>On February 27, 2025, the Company’s Board of Directors authorized a program to repurchase up to $200 million of the Company’s common stock (the “Share Repurchase Program”). Repurchases under the Share Repurchase Program may be effected through open market purchases, privately-negotiated transactions, or otherwise in accordance with applicable federal securities laws, including through Rule 10b5-1 trading plans and under Rule 10b-18 of the Securities Exchange Act of 1934. The timing and actual number of shares repurchased will depend on a variety of factors, including price, general business and market conditions and alternate uses of capital. The current authorization may be suspended or discontinued at any time and does not have a specified expiration date.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72" w:lineRule="exact"/>
        <w:rPr>
          <w:sz w:val="20"/>
          <w:szCs w:val="20"/>
          <w:color w:val="auto"/>
        </w:rPr>
      </w:pPr>
    </w:p>
    <w:p>
      <w:pPr>
        <w:ind w:right="60" w:firstLine="470"/>
        <w:spacing w:after="0" w:line="265"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332" w:lineRule="exact"/>
        <w:rPr>
          <w:sz w:val="20"/>
          <w:szCs w:val="20"/>
          <w:color w:val="auto"/>
        </w:rPr>
      </w:pPr>
    </w:p>
    <w:p>
      <w:pPr>
        <w:ind w:right="180" w:firstLine="470"/>
        <w:spacing w:after="0" w:line="276"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Chief Financial Officer, evaluated the effectiveness of our disclosure controls and procedures as of January 31, 2025. Based on the evaluation of our disclosure controls and procedures as of January 31, 2025, our Chief Executive Officer and Chief Financial Officer concluded that, as of such date, our disclosure controls and procedures were effective at the reasonable assurance level.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72" w:lineRule="exact"/>
        <w:rPr>
          <w:sz w:val="20"/>
          <w:szCs w:val="20"/>
          <w:color w:val="auto"/>
        </w:rPr>
      </w:pPr>
    </w:p>
    <w:p>
      <w:pPr>
        <w:ind w:right="180" w:firstLine="470"/>
        <w:spacing w:after="0" w:line="269" w:lineRule="auto"/>
        <w:rPr>
          <w:sz w:val="20"/>
          <w:szCs w:val="20"/>
          <w:color w:val="auto"/>
        </w:rPr>
      </w:pPr>
      <w:r>
        <w:rPr>
          <w:rFonts w:ascii="Times New Roman" w:cs="Times New Roman" w:eastAsia="Times New Roman" w:hAnsi="Times New Roman"/>
          <w:sz w:val="17"/>
          <w:szCs w:val="17"/>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2025 based on the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117" w:lineRule="exact"/>
        <w:rPr>
          <w:sz w:val="20"/>
          <w:szCs w:val="20"/>
          <w:color w:val="auto"/>
        </w:rPr>
      </w:pPr>
    </w:p>
    <w:p>
      <w:pPr>
        <w:ind w:right="40" w:firstLine="470"/>
        <w:spacing w:after="0" w:line="276" w:lineRule="auto"/>
        <w:rPr>
          <w:sz w:val="20"/>
          <w:szCs w:val="20"/>
          <w:color w:val="auto"/>
        </w:rPr>
      </w:pPr>
      <w:r>
        <w:rPr>
          <w:rFonts w:ascii="Times New Roman" w:cs="Times New Roman" w:eastAsia="Times New Roman" w:hAnsi="Times New Roman"/>
          <w:sz w:val="17"/>
          <w:szCs w:val="17"/>
          <w:color w:val="auto"/>
        </w:rPr>
        <w:t>Based on the results of its evaluation, management concluded that our internal control over financial reporting was effective as of January 31, 2025. The effectiveness of our internal control over financial reporting as of January 31, 2025 has been audited by PricewaterhouseCoopers LLP, an independent registered public accounting firm, as stated in its report, which is included in Item 8 of this Form 10-K.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72" w:lineRule="exact"/>
        <w:rPr>
          <w:sz w:val="20"/>
          <w:szCs w:val="20"/>
          <w:color w:val="auto"/>
        </w:rPr>
      </w:pPr>
    </w:p>
    <w:p>
      <w:pPr>
        <w:ind w:right="220" w:firstLine="470"/>
        <w:spacing w:after="0" w:line="276"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identified in connection with the evaluation required by Rule 13a-15(d) and Rule 15d-15(d) of the Exchange Act that occurred during the fiscal quarter ended January 31, 2025 that has materially affected, or is reasonably likely to materially affect, our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Controls</w:t>
      </w:r>
    </w:p>
    <w:p>
      <w:pPr>
        <w:spacing w:after="0" w:line="172" w:lineRule="exact"/>
        <w:rPr>
          <w:sz w:val="20"/>
          <w:szCs w:val="20"/>
          <w:color w:val="auto"/>
        </w:rPr>
      </w:pPr>
    </w:p>
    <w:p>
      <w:pPr>
        <w:ind w:firstLine="470"/>
        <w:spacing w:after="0" w:line="260"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Rule 10b5-1 and Non-Rule 10b5-1 Trading Arrangements</w:t>
      </w:r>
    </w:p>
    <w:p>
      <w:pPr>
        <w:spacing w:after="0" w:line="238" w:lineRule="exact"/>
        <w:rPr>
          <w:sz w:val="20"/>
          <w:szCs w:val="20"/>
          <w:color w:val="auto"/>
        </w:rPr>
      </w:pPr>
    </w:p>
    <w:p>
      <w:pPr>
        <w:jc w:val="both"/>
        <w:ind w:firstLine="392"/>
        <w:spacing w:after="0" w:line="279" w:lineRule="auto"/>
        <w:rPr>
          <w:sz w:val="20"/>
          <w:szCs w:val="20"/>
          <w:color w:val="auto"/>
        </w:rPr>
      </w:pPr>
      <w:r>
        <w:rPr>
          <w:rFonts w:ascii="Times New Roman" w:cs="Times New Roman" w:eastAsia="Times New Roman" w:hAnsi="Times New Roman"/>
          <w:sz w:val="17"/>
          <w:szCs w:val="17"/>
          <w:color w:val="auto"/>
        </w:rPr>
        <w:t>Certain executive officers and directors of the Company may execute purchases and sales of the Company's common stock through Rule 10b5-1 equity trading plans and “non-Rule 10b5-1 equity trading arrangements” (as defined in Item 408(c) of Regulation S-K).</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three months ended January 31, 2025, one of our executive officers adopted the following Rule 10b5-1 trading arrangement:</w:t>
      </w:r>
    </w:p>
    <w:p>
      <w:pPr>
        <w:spacing w:after="0" w:line="236" w:lineRule="exact"/>
        <w:rPr>
          <w:sz w:val="20"/>
          <w:szCs w:val="20"/>
          <w:color w:val="auto"/>
        </w:rPr>
      </w:pPr>
    </w:p>
    <w:p>
      <w:pPr>
        <w:jc w:val="both"/>
        <w:ind w:firstLine="392"/>
        <w:spacing w:after="0" w:line="248" w:lineRule="auto"/>
        <w:rPr>
          <w:sz w:val="20"/>
          <w:szCs w:val="20"/>
          <w:color w:val="auto"/>
        </w:rPr>
      </w:pPr>
      <w:r>
        <w:rPr>
          <w:rFonts w:ascii="Times New Roman" w:cs="Times New Roman" w:eastAsia="Times New Roman" w:hAnsi="Times New Roman"/>
          <w:sz w:val="17"/>
          <w:szCs w:val="17"/>
          <w:color w:val="auto"/>
        </w:rPr>
        <w:t>On January 10, 2025, Michael Gordon, our former Chief Operating Officer and Chief Financial Officer, adopted a trading plan intended to satisfy the conditions under Rule 10b5-1(c) of the Exchange Act. Mr. Gordon’s plan is for the sale of up to 68,000 shares of common stock underlying stock options in amounts and prices determined in accordance with a formula set forth in the plan and terminates on the earlier of the date that all the shares under the plan are sold and October 15, 2025, subject to early termination for certain specified events set forth in the plan.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PART III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72" w:lineRule="exact"/>
        <w:rPr>
          <w:sz w:val="20"/>
          <w:szCs w:val="20"/>
          <w:color w:val="auto"/>
        </w:rPr>
      </w:pPr>
    </w:p>
    <w:p>
      <w:pPr>
        <w:ind w:right="700" w:firstLine="470"/>
        <w:spacing w:after="0" w:line="295" w:lineRule="auto"/>
        <w:rPr>
          <w:sz w:val="20"/>
          <w:szCs w:val="20"/>
          <w:color w:val="auto"/>
        </w:rPr>
      </w:pPr>
      <w:r>
        <w:rPr>
          <w:rFonts w:ascii="Times New Roman" w:cs="Times New Roman" w:eastAsia="Times New Roman" w:hAnsi="Times New Roman"/>
          <w:sz w:val="17"/>
          <w:szCs w:val="17"/>
          <w:color w:val="auto"/>
        </w:rPr>
        <w:t>The information required by this Item (other than the information set forth in the next paragraph in this Item) will be included in the 2025 Proxy Statement to be filed with the SEC within 120 days after the end of our fiscal year ended January 31, 2025 and is incorporated herein by reference.</w:t>
      </w:r>
    </w:p>
    <w:p>
      <w:pPr>
        <w:spacing w:after="0" w:line="94" w:lineRule="exact"/>
        <w:rPr>
          <w:sz w:val="20"/>
          <w:szCs w:val="20"/>
          <w:color w:val="auto"/>
        </w:rPr>
      </w:pPr>
    </w:p>
    <w:p>
      <w:pPr>
        <w:ind w:right="140" w:firstLine="470"/>
        <w:spacing w:after="0" w:line="264" w:lineRule="auto"/>
        <w:rPr>
          <w:sz w:val="20"/>
          <w:szCs w:val="20"/>
          <w:color w:val="auto"/>
        </w:rPr>
      </w:pPr>
      <w:r>
        <w:rPr>
          <w:rFonts w:ascii="Times New Roman" w:cs="Times New Roman" w:eastAsia="Times New Roman" w:hAnsi="Times New Roman"/>
          <w:sz w:val="17"/>
          <w:szCs w:val="17"/>
          <w:color w:val="auto"/>
        </w:rPr>
        <w:t>We have adopted a Code of Business Conduct and Ethics (the “Code of Conduct”), applicable to all of our employees, executive officers and directors. The Code of Conduct is available on our website at investors.mongodb.com.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Market. The inclusion of our website address in this Form 10-K does not include or incorporate by reference into this Annual Report on Form 10-K (this “Form 10-K”) the information on or accessible through our website.</w:t>
      </w:r>
    </w:p>
    <w:p>
      <w:pPr>
        <w:spacing w:after="0" w:line="121" w:lineRule="exact"/>
        <w:rPr>
          <w:sz w:val="20"/>
          <w:szCs w:val="20"/>
          <w:color w:val="auto"/>
        </w:rPr>
      </w:pPr>
    </w:p>
    <w:p>
      <w:pPr>
        <w:ind w:firstLine="470"/>
        <w:spacing w:after="0" w:line="295" w:lineRule="auto"/>
        <w:rPr>
          <w:sz w:val="20"/>
          <w:szCs w:val="20"/>
          <w:color w:val="auto"/>
        </w:rPr>
      </w:pPr>
      <w:r>
        <w:rPr>
          <w:rFonts w:ascii="Times New Roman" w:cs="Times New Roman" w:eastAsia="Times New Roman" w:hAnsi="Times New Roman"/>
          <w:sz w:val="17"/>
          <w:szCs w:val="17"/>
          <w:color w:val="auto"/>
        </w:rPr>
        <w:t>We have adopted policies and procedures reasonably designed to promote compliance with relevant insider trading laws, rules and regulations, and NYSE listing standards. A copy of our Insider Trading Policy is filed as Exhibit 19.1 to this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information required by this Item will be included in the 2025 Proxy Statement and is incorporated herein by reference.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information required by this Item will be included in the 2025 Proxy Statement and is incorporated herein by reference.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information required by this Item will be included in the 2025 Proxy Statement and is incorporated herein by reference.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information required by this Item will be included in the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PART IV</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Documents filed as part of this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All financial statements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21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6"/>
        </w:trPr>
        <w:tc>
          <w:tcPr>
            <w:tcW w:w="20" w:type="dxa"/>
            <w:vAlign w:val="bottom"/>
          </w:tcPr>
          <w:p>
            <w:pPr>
              <w:spacing w:after="0"/>
              <w:rPr>
                <w:sz w:val="15"/>
                <w:szCs w:val="15"/>
                <w:color w:val="auto"/>
              </w:rPr>
            </w:pPr>
          </w:p>
        </w:tc>
        <w:tc>
          <w:tcPr>
            <w:tcW w:w="5360" w:type="dxa"/>
            <w:vAlign w:val="bottom"/>
            <w:gridSpan w:val="4"/>
          </w:tcPr>
          <w:p>
            <w:pPr>
              <w:spacing w:after="0" w:line="176" w:lineRule="exact"/>
              <w:rPr>
                <w:sz w:val="20"/>
                <w:szCs w:val="20"/>
                <w:color w:val="auto"/>
              </w:rPr>
            </w:pPr>
            <w:r>
              <w:rPr>
                <w:rFonts w:ascii="Times New Roman" w:cs="Times New Roman" w:eastAsia="Times New Roman" w:hAnsi="Times New Roman"/>
                <w:sz w:val="17"/>
                <w:szCs w:val="17"/>
                <w:color w:val="0000FF"/>
              </w:rPr>
              <w:t>Report of Independent Registered Public Accounting Firm (PCAOB ID 238)</w:t>
            </w:r>
          </w:p>
        </w:tc>
        <w:tc>
          <w:tcPr>
            <w:tcW w:w="3720" w:type="dxa"/>
            <w:vAlign w:val="bottom"/>
            <w:gridSpan w:val="4"/>
          </w:tcPr>
          <w:p>
            <w:pPr>
              <w:spacing w:after="0"/>
              <w:rPr>
                <w:sz w:val="15"/>
                <w:szCs w:val="15"/>
                <w:color w:val="auto"/>
              </w:rPr>
            </w:pPr>
          </w:p>
        </w:tc>
        <w:tc>
          <w:tcPr>
            <w:tcW w:w="2140" w:type="dxa"/>
            <w:vAlign w:val="bottom"/>
            <w:gridSpan w:val="3"/>
          </w:tcPr>
          <w:p>
            <w:pPr>
              <w:jc w:val="right"/>
              <w:ind w:right="20"/>
              <w:spacing w:after="0" w:line="176" w:lineRule="exact"/>
              <w:rPr>
                <w:sz w:val="20"/>
                <w:szCs w:val="20"/>
                <w:color w:val="auto"/>
              </w:rPr>
            </w:pPr>
            <w:r>
              <w:rPr>
                <w:rFonts w:ascii="Times New Roman" w:cs="Times New Roman" w:eastAsia="Times New Roman" w:hAnsi="Times New Roman"/>
                <w:sz w:val="17"/>
                <w:szCs w:val="17"/>
                <w:color w:val="0000FF"/>
              </w:rPr>
              <w:t>66</w:t>
            </w:r>
          </w:p>
        </w:tc>
      </w:tr>
      <w:tr>
        <w:trPr>
          <w:trHeight w:val="236"/>
        </w:trPr>
        <w:tc>
          <w:tcPr>
            <w:tcW w:w="20" w:type="dxa"/>
            <w:vAlign w:val="bottom"/>
          </w:tcPr>
          <w:p>
            <w:pPr>
              <w:spacing w:after="0"/>
              <w:rPr>
                <w:sz w:val="20"/>
                <w:szCs w:val="20"/>
                <w:color w:val="auto"/>
              </w:rPr>
            </w:pPr>
          </w:p>
        </w:tc>
        <w:tc>
          <w:tcPr>
            <w:tcW w:w="53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3720" w:type="dxa"/>
            <w:vAlign w:val="bottom"/>
            <w:gridSpan w:val="4"/>
          </w:tcPr>
          <w:p>
            <w:pPr>
              <w:spacing w:after="0"/>
              <w:rPr>
                <w:sz w:val="20"/>
                <w:szCs w:val="20"/>
                <w:color w:val="auto"/>
              </w:rPr>
            </w:pPr>
          </w:p>
        </w:tc>
        <w:tc>
          <w:tcPr>
            <w:tcW w:w="1960" w:type="dxa"/>
            <w:vAlign w:val="bottom"/>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188"/>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80" w:type="dxa"/>
            <w:vAlign w:val="bottom"/>
            <w:gridSpan w:val="7"/>
          </w:tcPr>
          <w:p>
            <w:pPr>
              <w:spacing w:after="0" w:line="189" w:lineRule="exact"/>
              <w:rPr>
                <w:sz w:val="20"/>
                <w:szCs w:val="20"/>
                <w:color w:val="auto"/>
              </w:rPr>
            </w:pPr>
            <w:r>
              <w:rPr>
                <w:rFonts w:ascii="Times New Roman" w:cs="Times New Roman" w:eastAsia="Times New Roman" w:hAnsi="Times New Roman"/>
                <w:sz w:val="17"/>
                <w:szCs w:val="17"/>
                <w:color w:val="0000FF"/>
              </w:rPr>
              <w:t>Consolidated Balance Sheets as of January 31, 2025 and 2024</w:t>
            </w:r>
          </w:p>
        </w:tc>
        <w:tc>
          <w:tcPr>
            <w:tcW w:w="21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7"/>
                <w:szCs w:val="17"/>
                <w:color w:val="0000FF"/>
              </w:rPr>
              <w:t>68</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years ended January 31, 2025, 2024 and 2023</w:t>
            </w:r>
          </w:p>
        </w:tc>
        <w:tc>
          <w:tcPr>
            <w:tcW w:w="2420" w:type="dxa"/>
            <w:vAlign w:val="bottom"/>
            <w:gridSpan w:val="2"/>
          </w:tcPr>
          <w:p>
            <w:pPr>
              <w:spacing w:after="0"/>
              <w:rPr>
                <w:sz w:val="17"/>
                <w:szCs w:val="17"/>
                <w:color w:val="auto"/>
              </w:rPr>
            </w:pP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69</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1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Loss for the years ended January 31, 2025, 2024 and 2023</w:t>
            </w:r>
          </w:p>
        </w:tc>
        <w:tc>
          <w:tcPr>
            <w:tcW w:w="1720" w:type="dxa"/>
            <w:vAlign w:val="bottom"/>
          </w:tcPr>
          <w:p>
            <w:pPr>
              <w:spacing w:after="0"/>
              <w:rPr>
                <w:sz w:val="17"/>
                <w:szCs w:val="17"/>
                <w:color w:val="auto"/>
              </w:rPr>
            </w:pP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70</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8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January 31, 2025, 2024 and 2023</w:t>
            </w: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71</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years ended January 31, 2025, 2024 and 2023</w:t>
            </w:r>
          </w:p>
        </w:tc>
        <w:tc>
          <w:tcPr>
            <w:tcW w:w="900" w:type="dxa"/>
            <w:vAlign w:val="bottom"/>
            <w:gridSpan w:val="2"/>
          </w:tcPr>
          <w:p>
            <w:pPr>
              <w:spacing w:after="0"/>
              <w:rPr>
                <w:sz w:val="17"/>
                <w:szCs w:val="17"/>
                <w:color w:val="auto"/>
              </w:rPr>
            </w:pPr>
          </w:p>
        </w:tc>
        <w:tc>
          <w:tcPr>
            <w:tcW w:w="1720" w:type="dxa"/>
            <w:vAlign w:val="bottom"/>
          </w:tcPr>
          <w:p>
            <w:pPr>
              <w:spacing w:after="0"/>
              <w:rPr>
                <w:sz w:val="17"/>
                <w:szCs w:val="17"/>
                <w:color w:val="auto"/>
              </w:rPr>
            </w:pP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72</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2620" w:type="dxa"/>
            <w:vAlign w:val="bottom"/>
            <w:gridSpan w:val="3"/>
          </w:tcPr>
          <w:p>
            <w:pPr>
              <w:spacing w:after="0"/>
              <w:rPr>
                <w:sz w:val="17"/>
                <w:szCs w:val="17"/>
                <w:color w:val="auto"/>
              </w:rPr>
            </w:pPr>
          </w:p>
        </w:tc>
        <w:tc>
          <w:tcPr>
            <w:tcW w:w="21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73</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Schedules have been omitted either because they are not applicable or the required information is included in the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ectPr>
          <w:pgSz w:w="11900" w:h="16838" w:orient="portrait"/>
          <w:cols w:equalWidth="0" w:num="1">
            <w:col w:w="11080"/>
          </w:cols>
          <w:pgMar w:left="320" w:top="11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2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80"/>
        </w:trPr>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980" w:type="dxa"/>
            <w:vAlign w:val="bottom"/>
          </w:tcPr>
          <w:p>
            <w:pPr>
              <w:ind w:left="260"/>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0" w:type="dxa"/>
            <w:vAlign w:val="bottom"/>
            <w:gridSpan w:val="3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4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Form</w:t>
            </w:r>
          </w:p>
        </w:tc>
        <w:tc>
          <w:tcPr>
            <w:tcW w:w="116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tcPr>
          <w:p>
            <w:pPr>
              <w:jc w:val="right"/>
              <w:ind w:right="134"/>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93"/>
        </w:trPr>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5600" w:type="dxa"/>
            <w:vAlign w:val="bottom"/>
            <w:gridSpan w:val="35"/>
            <w:vMerge w:val="continue"/>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3"/>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Amended and Restated Certificate of Incorporation of Registrant</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3.1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10/25/17</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40" w:type="dxa"/>
            <w:vAlign w:val="bottom"/>
            <w:tcBorders>
              <w:top w:val="single" w:sz="8" w:color="0000FF"/>
              <w:bottom w:val="single" w:sz="8" w:color="0000FF"/>
            </w:tcBorders>
            <w:gridSpan w:val="13"/>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Amended and Restated Bylaws of Registrant</w:t>
              </w:r>
            </w:hyperlink>
          </w:p>
        </w:tc>
        <w:tc>
          <w:tcPr>
            <w:tcW w:w="1380" w:type="dxa"/>
            <w:vAlign w:val="bottom"/>
            <w:tcBorders>
              <w:top w:val="single" w:sz="8" w:color="0000FF"/>
            </w:tcBorders>
            <w:gridSpan w:val="4"/>
          </w:tcPr>
          <w:p>
            <w:pPr>
              <w:spacing w:after="0"/>
              <w:rPr>
                <w:sz w:val="22"/>
                <w:szCs w:val="22"/>
                <w:color w:val="auto"/>
              </w:rPr>
            </w:pPr>
          </w:p>
        </w:tc>
        <w:tc>
          <w:tcPr>
            <w:tcW w:w="1080" w:type="dxa"/>
            <w:vAlign w:val="bottom"/>
            <w:gridSpan w:val="18"/>
          </w:tcPr>
          <w:p>
            <w:pPr>
              <w:spacing w:after="0"/>
              <w:rPr>
                <w:sz w:val="22"/>
                <w:szCs w:val="2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3.1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11/20/24</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Certificate of Retirement</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3.1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6/16/20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20" w:type="dxa"/>
            <w:vAlign w:val="bottom"/>
            <w:tcBorders>
              <w:bottom w:val="single" w:sz="8" w:color="0000FF"/>
            </w:tcBorders>
            <w:gridSpan w:val="15"/>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of Class A common stock certificate of Registrant</w:t>
              </w:r>
            </w:hyperlink>
          </w:p>
        </w:tc>
        <w:tc>
          <w:tcPr>
            <w:tcW w:w="1680" w:type="dxa"/>
            <w:vAlign w:val="bottom"/>
            <w:gridSpan w:val="20"/>
          </w:tcPr>
          <w:p>
            <w:pPr>
              <w:spacing w:after="0"/>
              <w:rPr>
                <w:sz w:val="22"/>
                <w:szCs w:val="2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S-1/A</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333-220557</w:t>
            </w:r>
          </w:p>
        </w:tc>
        <w:tc>
          <w:tcPr>
            <w:tcW w:w="84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4.1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10/6/17</w:t>
            </w:r>
          </w:p>
        </w:tc>
        <w:tc>
          <w:tcPr>
            <w:tcW w:w="0" w:type="dxa"/>
            <w:vAlign w:val="bottom"/>
          </w:tcPr>
          <w:p>
            <w:pPr>
              <w:spacing w:after="0"/>
              <w:rPr>
                <w:sz w:val="1"/>
                <w:szCs w:val="1"/>
                <w:color w:val="auto"/>
              </w:rPr>
            </w:pPr>
          </w:p>
        </w:tc>
      </w:tr>
      <w:tr>
        <w:trPr>
          <w:trHeight w:val="307"/>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tcBorders>
              <w:bottom w:val="single" w:sz="8" w:color="0000FF"/>
            </w:tcBorders>
            <w:gridSpan w:val="31"/>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Indenture, dated as of January 14, 2020, by and between MongoDB, Inc. and</w:t>
              </w:r>
            </w:hyperlink>
          </w:p>
        </w:tc>
        <w:tc>
          <w:tcPr>
            <w:tcW w:w="220" w:type="dxa"/>
            <w:vAlign w:val="bottom"/>
            <w:gridSpan w:val="4"/>
          </w:tcPr>
          <w:p>
            <w:pPr>
              <w:spacing w:after="0"/>
              <w:rPr>
                <w:sz w:val="24"/>
                <w:szCs w:val="2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4.1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1/14/20</w:t>
            </w:r>
          </w:p>
        </w:tc>
        <w:tc>
          <w:tcPr>
            <w:tcW w:w="0" w:type="dxa"/>
            <w:vAlign w:val="bottom"/>
          </w:tcPr>
          <w:p>
            <w:pPr>
              <w:spacing w:after="0"/>
              <w:rPr>
                <w:sz w:val="1"/>
                <w:szCs w:val="1"/>
                <w:color w:val="auto"/>
              </w:rPr>
            </w:pPr>
          </w:p>
        </w:tc>
      </w:tr>
      <w:tr>
        <w:trPr>
          <w:trHeight w:val="110"/>
        </w:trPr>
        <w:tc>
          <w:tcPr>
            <w:tcW w:w="9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0" w:type="dxa"/>
            <w:vAlign w:val="bottom"/>
            <w:gridSpan w:val="35"/>
            <w:vMerge w:val="restart"/>
          </w:tcPr>
          <w:p>
            <w:pPr>
              <w:spacing w:after="0" w:line="150"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U.S. Bank National Association, as Trustee</w:t>
              </w:r>
            </w:hyperlink>
          </w:p>
        </w:tc>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0" w:type="dxa"/>
            <w:vAlign w:val="bottom"/>
            <w:gridSpan w:val="35"/>
            <w:vMerge w:val="continue"/>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Form of Global Note, representing MongoDB, Inc.’s 0.25% Convertible</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4.2</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1/14/20</w:t>
            </w:r>
          </w:p>
        </w:tc>
        <w:tc>
          <w:tcPr>
            <w:tcW w:w="0" w:type="dxa"/>
            <w:vAlign w:val="bottom"/>
          </w:tcPr>
          <w:p>
            <w:pPr>
              <w:spacing w:after="0"/>
              <w:rPr>
                <w:sz w:val="1"/>
                <w:szCs w:val="1"/>
                <w:color w:val="auto"/>
              </w:rPr>
            </w:pPr>
          </w:p>
        </w:tc>
      </w:tr>
      <w:tr>
        <w:trPr>
          <w:trHeight w:val="150"/>
        </w:trPr>
        <w:tc>
          <w:tcPr>
            <w:tcW w:w="980" w:type="dxa"/>
            <w:vAlign w:val="bottom"/>
          </w:tcPr>
          <w:p>
            <w:pPr>
              <w:jc w:val="center"/>
              <w:spacing w:after="0" w:line="150" w:lineRule="exact"/>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Senior Notes due 2026 (included as Exhibit A to the Indenture filed as</w:t>
              </w:r>
            </w:hyperlink>
          </w:p>
        </w:tc>
        <w:tc>
          <w:tcPr>
            <w:tcW w:w="560" w:type="dxa"/>
            <w:vAlign w:val="bottom"/>
            <w:gridSpan w:val="13"/>
          </w:tcPr>
          <w:p>
            <w:pPr>
              <w:spacing w:after="0" w:line="150"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Exhibit</w:t>
              </w:r>
            </w:hyperlink>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top w:val="single" w:sz="8" w:color="0000FF"/>
              <w:bottom w:val="single" w:sz="8" w:color="0000FF"/>
            </w:tcBorders>
          </w:tcPr>
          <w:p>
            <w:pPr>
              <w:spacing w:after="0" w:line="163" w:lineRule="exact"/>
              <w:rPr>
                <w:rFonts w:ascii="Times New Roman" w:cs="Times New Roman" w:eastAsia="Times New Roman" w:hAnsi="Times New Roman"/>
                <w:sz w:val="17"/>
                <w:szCs w:val="17"/>
                <w:color w:val="0000FF"/>
                <w:w w:val="96"/>
              </w:rPr>
            </w:pPr>
            <w:hyperlink r:id="rId155">
              <w:r>
                <w:rPr>
                  <w:rFonts w:ascii="Times New Roman" w:cs="Times New Roman" w:eastAsia="Times New Roman" w:hAnsi="Times New Roman"/>
                  <w:sz w:val="17"/>
                  <w:szCs w:val="17"/>
                  <w:color w:val="0000FF"/>
                  <w:w w:val="96"/>
                </w:rPr>
                <w:t>4.</w:t>
              </w:r>
              <w:r>
                <w:rPr>
                  <w:rFonts w:ascii="Times New Roman" w:cs="Times New Roman" w:eastAsia="Times New Roman" w:hAnsi="Times New Roman"/>
                  <w:sz w:val="17"/>
                  <w:szCs w:val="17"/>
                  <w:u w:val="single" w:color="auto"/>
                  <w:color w:val="0000FF"/>
                  <w:w w:val="96"/>
                </w:rPr>
                <w:t>5)</w:t>
              </w:r>
            </w:hyperlink>
          </w:p>
        </w:tc>
        <w:tc>
          <w:tcPr>
            <w:tcW w:w="8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Description of Registered Securities</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54"/>
              <w:spacing w:after="0"/>
              <w:rPr>
                <w:sz w:val="20"/>
                <w:szCs w:val="20"/>
                <w:color w:val="auto"/>
              </w:rPr>
            </w:pPr>
            <w:r>
              <w:rPr>
                <w:rFonts w:ascii="Times New Roman" w:cs="Times New Roman" w:eastAsia="Times New Roman" w:hAnsi="Times New Roman"/>
                <w:sz w:val="17"/>
                <w:szCs w:val="17"/>
                <w:color w:val="auto"/>
              </w:rPr>
              <w:t>4.4</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3/15/24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2008 Stock Incentive Plan and Forms of Option Agreement and Exercise</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S-1</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333-220557</w:t>
            </w:r>
          </w:p>
        </w:tc>
        <w:tc>
          <w:tcPr>
            <w:tcW w:w="84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10.1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9/21/17</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Notice thereunder, as amended to date</w:t>
              </w:r>
            </w:hyperlink>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Amended and Restated 2016 Equity Incentive Plan and Forms of Stock</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S-1/A</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333-220557</w:t>
            </w:r>
          </w:p>
        </w:tc>
        <w:tc>
          <w:tcPr>
            <w:tcW w:w="84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10.2</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10/6/17</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21"/>
          </w:tcPr>
          <w:p>
            <w:pPr>
              <w:spacing w:after="0" w:line="150"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Option Agreement, Notice of Exercise, Stock Option Grant Notice and</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20" w:type="dxa"/>
            <w:vAlign w:val="bottom"/>
            <w:tcBorders>
              <w:top w:val="single" w:sz="8" w:color="0000FF"/>
              <w:bottom w:val="single" w:sz="8" w:color="0000FF"/>
            </w:tcBorders>
            <w:gridSpan w:val="14"/>
          </w:tcPr>
          <w:p>
            <w:pPr>
              <w:spacing w:after="0" w:line="163"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Restricted Stock Unit Award Agreement thereunder</w:t>
              </w:r>
            </w:hyperlink>
          </w:p>
        </w:tc>
        <w:tc>
          <w:tcPr>
            <w:tcW w:w="1320" w:type="dxa"/>
            <w:vAlign w:val="bottom"/>
            <w:tcBorders>
              <w:top w:val="single" w:sz="8" w:color="0000FF"/>
            </w:tcBorders>
            <w:gridSpan w:val="6"/>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12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Amended and Restated Form of Restricted Stock Unit Award Agreement,</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3/18/22</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effective as of March 1, 2022</w:t>
              </w:r>
            </w:hyperlink>
          </w:p>
        </w:tc>
        <w:tc>
          <w:tcPr>
            <w:tcW w:w="3080" w:type="dxa"/>
            <w:vAlign w:val="bottom"/>
            <w:tcBorders>
              <w:top w:val="single" w:sz="8" w:color="0000FF"/>
            </w:tcBorders>
            <w:gridSpan w:val="2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Forms of Restricted Stock Award Grant Notice and Restricted Stock Award</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10.3</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3/30/18</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Agreement under the Amended and Restated 2016 Equity Incentive Plan</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80" w:type="dxa"/>
            <w:vAlign w:val="bottom"/>
            <w:tcBorders>
              <w:top w:val="single" w:sz="8" w:color="0000FF"/>
            </w:tcBorders>
            <w:gridSpan w:val="24"/>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2016 China Stock Appreciation Rights Plan and Form of China Stock</w:t>
              </w:r>
            </w:hyperlink>
          </w:p>
        </w:tc>
        <w:tc>
          <w:tcPr>
            <w:tcW w:w="520" w:type="dxa"/>
            <w:vAlign w:val="bottom"/>
            <w:gridSpan w:val="11"/>
          </w:tcPr>
          <w:p>
            <w:pPr>
              <w:spacing w:after="0"/>
              <w:rPr>
                <w:sz w:val="23"/>
                <w:szCs w:val="2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S-1/A</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333-220557</w:t>
            </w:r>
          </w:p>
        </w:tc>
        <w:tc>
          <w:tcPr>
            <w:tcW w:w="84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10.3</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10/6/17</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4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Appreciation Rights Award Agreement</w:t>
              </w:r>
            </w:hyperlink>
          </w:p>
        </w:tc>
        <w:tc>
          <w:tcPr>
            <w:tcW w:w="2120" w:type="dxa"/>
            <w:vAlign w:val="bottom"/>
            <w:tcBorders>
              <w:top w:val="single" w:sz="8" w:color="0000FF"/>
            </w:tcBorders>
            <w:gridSpan w:val="10"/>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80" w:type="dxa"/>
            <w:vAlign w:val="bottom"/>
            <w:tcBorders>
              <w:bottom w:val="single" w:sz="8" w:color="0000FF"/>
            </w:tcBorders>
            <w:gridSpan w:val="6"/>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2017 Employee Stock Purchase Plan</w:t>
              </w:r>
            </w:hyperlink>
          </w:p>
        </w:tc>
        <w:tc>
          <w:tcPr>
            <w:tcW w:w="3020" w:type="dxa"/>
            <w:vAlign w:val="bottom"/>
            <w:gridSpan w:val="29"/>
          </w:tcPr>
          <w:p>
            <w:pPr>
              <w:spacing w:after="0"/>
              <w:rPr>
                <w:sz w:val="23"/>
                <w:szCs w:val="2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10.1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9/2/22</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Form of Indemnification Agreement by and between the Registrant and each</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S-1</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333-220557</w:t>
            </w:r>
          </w:p>
        </w:tc>
        <w:tc>
          <w:tcPr>
            <w:tcW w:w="84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10.5</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9/21/17</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7"/>
          </w:tcPr>
          <w:p>
            <w:pPr>
              <w:spacing w:after="0" w:line="150"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of its directors and executive officers</w:t>
              </w:r>
            </w:hyperlink>
          </w:p>
        </w:tc>
        <w:tc>
          <w:tcPr>
            <w:tcW w:w="2700" w:type="dxa"/>
            <w:vAlign w:val="bottom"/>
            <w:tcBorders>
              <w:top w:val="single" w:sz="8" w:color="0000FF"/>
            </w:tcBorders>
            <w:gridSpan w:val="23"/>
          </w:tcPr>
          <w:p>
            <w:pPr>
              <w:spacing w:after="0"/>
              <w:rPr>
                <w:sz w:val="13"/>
                <w:szCs w:val="13"/>
                <w:color w:val="auto"/>
              </w:rPr>
            </w:pPr>
          </w:p>
        </w:tc>
        <w:tc>
          <w:tcPr>
            <w:tcW w:w="12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Second Amended and Restated Offer Letter, dated December 20, 2021, by and</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10.8</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3/18/22</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33"/>
          </w:tcPr>
          <w:p>
            <w:pPr>
              <w:spacing w:after="0" w:line="150"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between the Registrant and Dev Ittycheria</w:t>
              </w:r>
            </w:hyperlink>
          </w:p>
        </w:tc>
        <w:tc>
          <w:tcPr>
            <w:tcW w:w="12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Second Amended and Restated Offer Letter, dated December 21, 2021, by and</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10.9</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3/18/22</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33"/>
          </w:tcPr>
          <w:p>
            <w:pPr>
              <w:spacing w:after="0" w:line="150"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between the Registrant and Michael Gordon</w:t>
              </w:r>
            </w:hyperlink>
          </w:p>
        </w:tc>
        <w:tc>
          <w:tcPr>
            <w:tcW w:w="12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Amended and Restated Employment Agreement, dated January 10, 2022, by</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10.1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3/18/22</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and between MongoDB Switzerland GmbH and Cedric Pech</w:t>
              </w:r>
            </w:hyperlink>
          </w:p>
        </w:tc>
        <w:tc>
          <w:tcPr>
            <w:tcW w:w="260" w:type="dxa"/>
            <w:vAlign w:val="bottom"/>
            <w:gridSpan w:val="6"/>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1460" w:type="dxa"/>
            <w:vAlign w:val="bottom"/>
            <w:gridSpan w:val="7"/>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Amended and Restated Offer Letter, dated December 21, 2021, by and</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10.11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3/18/22</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20" w:type="dxa"/>
            <w:vAlign w:val="bottom"/>
            <w:tcBorders>
              <w:top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between the Registrant and Mark Porter</w:t>
              </w:r>
            </w:hyperlink>
          </w:p>
        </w:tc>
        <w:tc>
          <w:tcPr>
            <w:tcW w:w="140" w:type="dxa"/>
            <w:vAlign w:val="bottom"/>
            <w:gridSpan w:val="4"/>
          </w:tcPr>
          <w:p>
            <w:pPr>
              <w:spacing w:after="0"/>
              <w:rPr>
                <w:sz w:val="13"/>
                <w:szCs w:val="13"/>
                <w:color w:val="auto"/>
              </w:rPr>
            </w:pPr>
          </w:p>
        </w:tc>
        <w:tc>
          <w:tcPr>
            <w:tcW w:w="180" w:type="dxa"/>
            <w:vAlign w:val="bottom"/>
            <w:gridSpan w:val="4"/>
          </w:tcPr>
          <w:p>
            <w:pPr>
              <w:spacing w:after="0"/>
              <w:rPr>
                <w:sz w:val="13"/>
                <w:szCs w:val="13"/>
                <w:color w:val="auto"/>
              </w:rPr>
            </w:pPr>
          </w:p>
        </w:tc>
        <w:tc>
          <w:tcPr>
            <w:tcW w:w="360" w:type="dxa"/>
            <w:vAlign w:val="bottom"/>
            <w:gridSpan w:val="8"/>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2280" w:type="dxa"/>
            <w:vAlign w:val="bottom"/>
            <w:gridSpan w:val="1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Addendum to Employment Agreement, dated February 22, 2023, by and</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10.1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6/2/23</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between the Registrant and Mark Porter</w:t>
              </w:r>
            </w:hyperlink>
          </w:p>
        </w:tc>
        <w:tc>
          <w:tcPr>
            <w:tcW w:w="180" w:type="dxa"/>
            <w:vAlign w:val="bottom"/>
            <w:gridSpan w:val="4"/>
          </w:tcPr>
          <w:p>
            <w:pPr>
              <w:spacing w:after="0"/>
              <w:rPr>
                <w:sz w:val="13"/>
                <w:szCs w:val="13"/>
                <w:color w:val="auto"/>
              </w:rPr>
            </w:pPr>
          </w:p>
        </w:tc>
        <w:tc>
          <w:tcPr>
            <w:tcW w:w="360" w:type="dxa"/>
            <w:vAlign w:val="bottom"/>
            <w:gridSpan w:val="8"/>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640" w:type="dxa"/>
            <w:vAlign w:val="bottom"/>
            <w:gridSpan w:val="7"/>
            <w:shd w:val="clear" w:color="auto" w:fill="0000FF"/>
          </w:tcPr>
          <w:p>
            <w:pPr>
              <w:spacing w:after="0" w:line="20" w:lineRule="exact"/>
              <w:rPr>
                <w:sz w:val="1"/>
                <w:szCs w:val="1"/>
                <w:color w:val="auto"/>
              </w:rPr>
            </w:pPr>
          </w:p>
        </w:tc>
        <w:tc>
          <w:tcPr>
            <w:tcW w:w="2460" w:type="dxa"/>
            <w:vAlign w:val="bottom"/>
            <w:gridSpan w:val="18"/>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35"/>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Separation Agreement, dated June 27, 2023, by and between the Registrant</w:t>
              </w:r>
            </w:hyperlink>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10-Q</w:t>
            </w:r>
          </w:p>
        </w:tc>
        <w:tc>
          <w:tcPr>
            <w:tcW w:w="11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001-38240</w:t>
            </w:r>
          </w:p>
        </w:tc>
        <w:tc>
          <w:tcPr>
            <w:tcW w:w="840" w:type="dxa"/>
            <w:vAlign w:val="bottom"/>
          </w:tcPr>
          <w:p>
            <w:pPr>
              <w:jc w:val="center"/>
              <w:ind w:left="74"/>
              <w:spacing w:after="0"/>
              <w:rPr>
                <w:sz w:val="20"/>
                <w:szCs w:val="20"/>
                <w:color w:val="auto"/>
              </w:rPr>
            </w:pPr>
            <w:r>
              <w:rPr>
                <w:rFonts w:ascii="Times New Roman" w:cs="Times New Roman" w:eastAsia="Times New Roman" w:hAnsi="Times New Roman"/>
                <w:sz w:val="17"/>
                <w:szCs w:val="17"/>
                <w:color w:val="auto"/>
              </w:rPr>
              <w:t>10.1</w:t>
            </w:r>
          </w:p>
        </w:tc>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9/1/23</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tcBorders>
              <w:top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and Mark Porter</w:t>
              </w:r>
            </w:hyperlink>
          </w:p>
        </w:tc>
        <w:tc>
          <w:tcPr>
            <w:tcW w:w="360" w:type="dxa"/>
            <w:vAlign w:val="bottom"/>
            <w:gridSpan w:val="8"/>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283845</wp:posOffset>
            </wp:positionV>
            <wp:extent cx="564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56451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67945</wp:posOffset>
            </wp:positionV>
            <wp:extent cx="5645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ectPr>
          <w:pgSz w:w="11900" w:h="16838" w:orient="portrait"/>
          <w:cols w:equalWidth="0" w:num="2">
            <w:col w:w="10260" w:space="260"/>
            <w:col w:w="560"/>
          </w:cols>
          <w:pgMar w:left="320" w:top="118" w:right="4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80"/>
        </w:trPr>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9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0" w:type="dxa"/>
            <w:vAlign w:val="bottom"/>
            <w:gridSpan w:val="2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Form</w:t>
            </w:r>
          </w:p>
        </w:tc>
        <w:tc>
          <w:tcPr>
            <w:tcW w:w="1140" w:type="dxa"/>
            <w:vAlign w:val="bottom"/>
          </w:tcPr>
          <w:p>
            <w:pPr>
              <w:ind w:left="140"/>
              <w:spacing w:after="0" w:line="125" w:lineRule="exact"/>
              <w:rPr>
                <w:sz w:val="20"/>
                <w:szCs w:val="20"/>
                <w:color w:val="auto"/>
              </w:rPr>
            </w:pPr>
            <w:r>
              <w:rPr>
                <w:rFonts w:ascii="Times New Roman" w:cs="Times New Roman" w:eastAsia="Times New Roman" w:hAnsi="Times New Roman"/>
                <w:sz w:val="14"/>
                <w:szCs w:val="14"/>
                <w:b w:val="1"/>
                <w:bCs w:val="1"/>
                <w:color w:val="auto"/>
              </w:rPr>
              <w:t>File No.</w:t>
            </w:r>
          </w:p>
        </w:tc>
        <w:tc>
          <w:tcPr>
            <w:tcW w:w="880" w:type="dxa"/>
            <w:vAlign w:val="bottom"/>
          </w:tcPr>
          <w:p>
            <w:pPr>
              <w:jc w:val="right"/>
              <w:ind w:right="135"/>
              <w:spacing w:after="0" w:line="125"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tcPr>
          <w:p>
            <w:pPr>
              <w:jc w:val="right"/>
              <w:ind w:right="275"/>
              <w:spacing w:after="0" w:line="125" w:lineRule="exact"/>
              <w:rPr>
                <w:sz w:val="20"/>
                <w:szCs w:val="20"/>
                <w:color w:val="auto"/>
              </w:rPr>
            </w:pPr>
            <w:r>
              <w:rPr>
                <w:rFonts w:ascii="Times New Roman" w:cs="Times New Roman" w:eastAsia="Times New Roman" w:hAnsi="Times New Roman"/>
                <w:sz w:val="14"/>
                <w:szCs w:val="14"/>
                <w:b w:val="1"/>
                <w:bCs w:val="1"/>
                <w:color w:val="auto"/>
                <w:w w:val="96"/>
              </w:rPr>
              <w:t>Filing Date</w:t>
            </w:r>
          </w:p>
        </w:tc>
        <w:tc>
          <w:tcPr>
            <w:tcW w:w="0" w:type="dxa"/>
            <w:vAlign w:val="bottom"/>
          </w:tcPr>
          <w:p>
            <w:pPr>
              <w:spacing w:after="0"/>
              <w:rPr>
                <w:sz w:val="1"/>
                <w:szCs w:val="1"/>
                <w:color w:val="auto"/>
              </w:rPr>
            </w:pPr>
          </w:p>
        </w:tc>
      </w:tr>
      <w:tr>
        <w:trPr>
          <w:trHeight w:val="93"/>
        </w:trPr>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5600" w:type="dxa"/>
            <w:vAlign w:val="bottom"/>
            <w:gridSpan w:val="25"/>
            <w:vMerge w:val="continue"/>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80" w:type="dxa"/>
            <w:vAlign w:val="bottom"/>
            <w:tcBorders>
              <w:bottom w:val="single" w:sz="8" w:color="auto"/>
            </w:tcBorders>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0" w:type="dxa"/>
            <w:vAlign w:val="bottom"/>
            <w:gridSpan w:val="25"/>
          </w:tcPr>
          <w:p>
            <w:pPr>
              <w:spacing w:after="0"/>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Lease, between PGREF I 1633 Broadway Tower, L.P. and MongoDB, Inc.,</w:t>
              </w:r>
            </w:hyperlink>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001-38240</w:t>
            </w:r>
          </w:p>
        </w:tc>
        <w:tc>
          <w:tcPr>
            <w:tcW w:w="8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10.12</w:t>
            </w: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3/30/18</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dated December 14, 2017</w:t>
              </w:r>
            </w:hyperlink>
          </w:p>
        </w:tc>
        <w:tc>
          <w:tcPr>
            <w:tcW w:w="344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25"/>
          </w:tcPr>
          <w:p>
            <w:pPr>
              <w:spacing w:after="0"/>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Purchase Agreement, dated June 25, 2018, by and among MongoDB, Inc. and</w:t>
              </w:r>
            </w:hyperlink>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001-38240</w:t>
            </w:r>
          </w:p>
        </w:tc>
        <w:tc>
          <w:tcPr>
            <w:tcW w:w="8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99.1</w:t>
            </w: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6/28/18</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60" w:type="dxa"/>
            <w:vAlign w:val="bottom"/>
            <w:tcBorders>
              <w:top w:val="single" w:sz="8" w:color="0000FF"/>
              <w:bottom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Morgan Stanley &amp; Co. LLC, Goldman Sachs &amp; Co. LLC and Barclays Capital</w:t>
              </w:r>
            </w:hyperlink>
          </w:p>
        </w:tc>
        <w:tc>
          <w:tcPr>
            <w:tcW w:w="20" w:type="dxa"/>
            <w:vAlign w:val="bottom"/>
            <w:tcBorders>
              <w:bottom w:val="single" w:sz="8" w:color="0000FF"/>
            </w:tcBorders>
          </w:tcPr>
          <w:p>
            <w:pPr>
              <w:spacing w:after="0"/>
              <w:rPr>
                <w:sz w:val="13"/>
                <w:szCs w:val="13"/>
                <w:color w:val="auto"/>
              </w:rPr>
            </w:pPr>
          </w:p>
        </w:tc>
        <w:tc>
          <w:tcPr>
            <w:tcW w:w="12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tcPr>
          <w:p>
            <w:pPr>
              <w:spacing w:after="0" w:line="163" w:lineRule="exact"/>
              <w:rPr>
                <w:rFonts w:ascii="Times New Roman" w:cs="Times New Roman" w:eastAsia="Times New Roman" w:hAnsi="Times New Roman"/>
                <w:sz w:val="17"/>
                <w:szCs w:val="17"/>
                <w:color w:val="0000FF"/>
                <w:w w:val="99"/>
              </w:rPr>
            </w:pPr>
            <w:hyperlink r:id="rId174">
              <w:r>
                <w:rPr>
                  <w:rFonts w:ascii="Times New Roman" w:cs="Times New Roman" w:eastAsia="Times New Roman" w:hAnsi="Times New Roman"/>
                  <w:sz w:val="17"/>
                  <w:szCs w:val="17"/>
                  <w:color w:val="0000FF"/>
                  <w:w w:val="99"/>
                </w:rPr>
                <w:t>Inc.</w:t>
              </w:r>
            </w:hyperlink>
          </w:p>
        </w:tc>
        <w:tc>
          <w:tcPr>
            <w:tcW w:w="5200" w:type="dxa"/>
            <w:vAlign w:val="bottom"/>
            <w:gridSpan w:val="22"/>
          </w:tcPr>
          <w:p>
            <w:pPr>
              <w:spacing w:after="0"/>
              <w:rPr>
                <w:sz w:val="14"/>
                <w:szCs w:val="14"/>
                <w:color w:val="auto"/>
              </w:rPr>
            </w:pPr>
          </w:p>
        </w:tc>
        <w:tc>
          <w:tcPr>
            <w:tcW w:w="12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4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Form of Confirmation for 2018 Capped Call Transactions</w:t>
              </w:r>
            </w:hyperlink>
          </w:p>
        </w:tc>
        <w:tc>
          <w:tcPr>
            <w:tcW w:w="1560" w:type="dxa"/>
            <w:vAlign w:val="bottom"/>
            <w:gridSpan w:val="15"/>
          </w:tcPr>
          <w:p>
            <w:pPr>
              <w:spacing w:after="0"/>
              <w:rPr>
                <w:sz w:val="22"/>
                <w:szCs w:val="22"/>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001-38240</w:t>
            </w:r>
          </w:p>
        </w:tc>
        <w:tc>
          <w:tcPr>
            <w:tcW w:w="8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99.2</w:t>
            </w: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6/28/18</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0" w:type="dxa"/>
            <w:vAlign w:val="bottom"/>
            <w:gridSpan w:val="25"/>
          </w:tcPr>
          <w:p>
            <w:pPr>
              <w:spacing w:after="0"/>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Purchase Agreement, dated January 9, 2020, by and among MongoDB, Inc.</w:t>
              </w:r>
            </w:hyperlink>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001-38240</w:t>
            </w:r>
          </w:p>
        </w:tc>
        <w:tc>
          <w:tcPr>
            <w:tcW w:w="8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99.1</w:t>
            </w: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1/14/20</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00" w:type="dxa"/>
            <w:vAlign w:val="bottom"/>
            <w:tcBorders>
              <w:top w:val="single" w:sz="8" w:color="0000FF"/>
            </w:tcBorders>
            <w:gridSpan w:val="18"/>
          </w:tcPr>
          <w:p>
            <w:pPr>
              <w:spacing w:after="0" w:line="150"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and Morgan Stanley &amp; Co. LLC, Goldman Sachs &amp; Co. LLC, Barclays</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60" w:type="dxa"/>
            <w:vAlign w:val="bottom"/>
            <w:tcBorders>
              <w:top w:val="single" w:sz="8" w:color="0000FF"/>
              <w:bottom w:val="single" w:sz="8" w:color="0000FF"/>
            </w:tcBorders>
            <w:gridSpan w:val="8"/>
          </w:tcPr>
          <w:p>
            <w:pPr>
              <w:spacing w:after="0" w:line="163"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Capital, Inc. and Citigroup Global Markets, Inc.</w:t>
              </w:r>
            </w:hyperlink>
          </w:p>
        </w:tc>
        <w:tc>
          <w:tcPr>
            <w:tcW w:w="1620" w:type="dxa"/>
            <w:vAlign w:val="bottom"/>
            <w:tcBorders>
              <w:top w:val="single" w:sz="8" w:color="0000FF"/>
            </w:tcBorders>
            <w:gridSpan w:val="4"/>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4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Form of Confirmation for 2020 Capped Call Transactions</w:t>
              </w:r>
            </w:hyperlink>
          </w:p>
        </w:tc>
        <w:tc>
          <w:tcPr>
            <w:tcW w:w="1560" w:type="dxa"/>
            <w:vAlign w:val="bottom"/>
            <w:gridSpan w:val="15"/>
          </w:tcPr>
          <w:p>
            <w:pPr>
              <w:spacing w:after="0"/>
              <w:rPr>
                <w:sz w:val="22"/>
                <w:szCs w:val="22"/>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8-K</w:t>
            </w:r>
          </w:p>
        </w:tc>
        <w:tc>
          <w:tcPr>
            <w:tcW w:w="1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001-38240</w:t>
            </w:r>
          </w:p>
        </w:tc>
        <w:tc>
          <w:tcPr>
            <w:tcW w:w="88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99.2</w:t>
            </w: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1/14/20</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60" w:type="dxa"/>
            <w:vAlign w:val="bottom"/>
            <w:tcBorders>
              <w:bottom w:val="single" w:sz="8" w:color="0000FF"/>
            </w:tcBorders>
            <w:gridSpan w:val="11"/>
          </w:tcPr>
          <w:p>
            <w:pPr>
              <w:spacing w:after="0"/>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Form of Performance-Based Restricted Stock Unit Award Agreement</w:t>
              </w:r>
            </w:hyperlink>
          </w:p>
        </w:tc>
        <w:tc>
          <w:tcPr>
            <w:tcW w:w="740" w:type="dxa"/>
            <w:vAlign w:val="bottom"/>
            <w:gridSpan w:val="14"/>
          </w:tcPr>
          <w:p>
            <w:pPr>
              <w:spacing w:after="0"/>
              <w:rPr>
                <w:sz w:val="22"/>
                <w:szCs w:val="22"/>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001-38240</w:t>
            </w:r>
          </w:p>
        </w:tc>
        <w:tc>
          <w:tcPr>
            <w:tcW w:w="880" w:type="dxa"/>
            <w:vAlign w:val="bottom"/>
          </w:tcPr>
          <w:p>
            <w:pPr>
              <w:jc w:val="center"/>
              <w:ind w:left="95"/>
              <w:spacing w:after="0"/>
              <w:rPr>
                <w:sz w:val="20"/>
                <w:szCs w:val="20"/>
                <w:color w:val="auto"/>
              </w:rPr>
            </w:pPr>
            <w:r>
              <w:rPr>
                <w:rFonts w:ascii="Times New Roman" w:cs="Times New Roman" w:eastAsia="Times New Roman" w:hAnsi="Times New Roman"/>
                <w:sz w:val="17"/>
                <w:szCs w:val="17"/>
                <w:color w:val="auto"/>
              </w:rPr>
              <w:t>4.4</w:t>
            </w: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3/15/24</w:t>
            </w: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Advisory Services to MongoDB, Inc., dated January 31, 2025, by and</w:t>
            </w: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tcBorders>
              <w:top w:val="single" w:sz="8" w:color="0000FF"/>
              <w:bottom w:val="single" w:sz="8" w:color="0000FF"/>
            </w:tcBorders>
            <w:gridSpan w:val="6"/>
          </w:tcPr>
          <w:p>
            <w:pPr>
              <w:spacing w:after="0" w:line="150" w:lineRule="exact"/>
              <w:rPr>
                <w:sz w:val="20"/>
                <w:szCs w:val="20"/>
                <w:color w:val="auto"/>
              </w:rPr>
            </w:pPr>
            <w:r>
              <w:rPr>
                <w:rFonts w:ascii="Times New Roman" w:cs="Times New Roman" w:eastAsia="Times New Roman" w:hAnsi="Times New Roman"/>
                <w:sz w:val="17"/>
                <w:szCs w:val="17"/>
                <w:color w:val="0000FF"/>
              </w:rPr>
              <w:t>between MongoDB, Inc. and Michael Gordon</w:t>
            </w:r>
          </w:p>
        </w:tc>
        <w:tc>
          <w:tcPr>
            <w:tcW w:w="1640" w:type="dxa"/>
            <w:vAlign w:val="bottom"/>
            <w:tcBorders>
              <w:top w:val="single" w:sz="8" w:color="0000FF"/>
            </w:tcBorders>
            <w:gridSpan w:val="5"/>
          </w:tcPr>
          <w:p>
            <w:pPr>
              <w:spacing w:after="0"/>
              <w:rPr>
                <w:sz w:val="13"/>
                <w:szCs w:val="13"/>
                <w:color w:val="auto"/>
              </w:rPr>
            </w:pPr>
          </w:p>
        </w:tc>
        <w:tc>
          <w:tcPr>
            <w:tcW w:w="1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Insider Trading Policy</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0" w:type="dxa"/>
            <w:vAlign w:val="bottom"/>
            <w:gridSpan w:val="25"/>
          </w:tcPr>
          <w:p>
            <w:pPr>
              <w:spacing w:after="0"/>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Subsidiaries of the Registrant</w:t>
              </w:r>
            </w:hyperlink>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001-38240</w:t>
            </w:r>
          </w:p>
        </w:tc>
        <w:tc>
          <w:tcPr>
            <w:tcW w:w="880" w:type="dxa"/>
            <w:vAlign w:val="bottom"/>
          </w:tcPr>
          <w:p>
            <w:pPr>
              <w:jc w:val="center"/>
              <w:ind w:left="95"/>
              <w:spacing w:after="0"/>
              <w:rPr>
                <w:sz w:val="20"/>
                <w:szCs w:val="20"/>
                <w:color w:val="auto"/>
              </w:rPr>
            </w:pPr>
            <w:r>
              <w:rPr>
                <w:rFonts w:ascii="Times New Roman" w:cs="Times New Roman" w:eastAsia="Times New Roman" w:hAnsi="Times New Roman"/>
                <w:sz w:val="17"/>
                <w:szCs w:val="17"/>
                <w:color w:val="auto"/>
              </w:rPr>
              <w:t>4.4</w:t>
            </w: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3/15/24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Consent of PricewaterhouseCoopers LLP, independent registered public</w:t>
            </w: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7"/>
                <w:szCs w:val="17"/>
                <w:color w:val="0000FF"/>
              </w:rPr>
              <w:t>accounting firm</w:t>
            </w:r>
          </w:p>
        </w:tc>
        <w:tc>
          <w:tcPr>
            <w:tcW w:w="3900" w:type="dxa"/>
            <w:vAlign w:val="bottom"/>
            <w:tcBorders>
              <w:top w:val="single" w:sz="8" w:color="0000FF"/>
            </w:tcBorders>
            <w:gridSpan w:val="11"/>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 13a-14(a) and</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20" w:type="dxa"/>
            <w:vAlign w:val="bottom"/>
            <w:tcBorders>
              <w:top w:val="single" w:sz="8" w:color="0000FF"/>
            </w:tcBorders>
            <w:gridSpan w:val="19"/>
          </w:tcPr>
          <w:p>
            <w:pPr>
              <w:spacing w:after="0" w:line="150"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280" w:type="dxa"/>
            <w:vAlign w:val="bottom"/>
            <w:gridSpan w:val="6"/>
          </w:tcPr>
          <w:p>
            <w:pPr>
              <w:jc w:val="right"/>
              <w:ind w:right="160"/>
              <w:spacing w:after="0" w:line="150" w:lineRule="exact"/>
              <w:rPr>
                <w:sz w:val="20"/>
                <w:szCs w:val="20"/>
                <w:color w:val="auto"/>
              </w:rPr>
            </w:pPr>
            <w:r>
              <w:rPr>
                <w:rFonts w:ascii="Times New Roman" w:cs="Times New Roman" w:eastAsia="Times New Roman" w:hAnsi="Times New Roman"/>
                <w:sz w:val="17"/>
                <w:szCs w:val="17"/>
                <w:color w:val="0000FF"/>
                <w:w w:val="75"/>
              </w:rPr>
              <w:t>to</w:t>
            </w: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7"/>
          </w:tcPr>
          <w:p>
            <w:pPr>
              <w:spacing w:after="0" w:line="163"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2120" w:type="dxa"/>
            <w:vAlign w:val="bottom"/>
            <w:tcBorders>
              <w:top w:val="single" w:sz="8" w:color="0000FF"/>
            </w:tcBorders>
            <w:gridSpan w:val="14"/>
          </w:tcPr>
          <w:p>
            <w:pPr>
              <w:spacing w:after="0"/>
              <w:rPr>
                <w:sz w:val="14"/>
                <w:szCs w:val="14"/>
                <w:color w:val="auto"/>
              </w:rPr>
            </w:pPr>
          </w:p>
        </w:tc>
        <w:tc>
          <w:tcPr>
            <w:tcW w:w="160" w:type="dxa"/>
            <w:vAlign w:val="bottom"/>
            <w:gridSpan w:val="4"/>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 and</w:t>
            </w: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80" w:type="dxa"/>
            <w:vAlign w:val="bottom"/>
            <w:tcBorders>
              <w:top w:val="single" w:sz="8" w:color="0000FF"/>
            </w:tcBorders>
            <w:gridSpan w:val="17"/>
          </w:tcPr>
          <w:p>
            <w:pPr>
              <w:spacing w:after="0" w:line="150" w:lineRule="exact"/>
              <w:rPr>
                <w:sz w:val="20"/>
                <w:szCs w:val="20"/>
                <w:color w:val="auto"/>
              </w:rPr>
            </w:pPr>
            <w:r>
              <w:rPr>
                <w:rFonts w:ascii="Times New Roman" w:cs="Times New Roman" w:eastAsia="Times New Roman" w:hAnsi="Times New Roman"/>
                <w:sz w:val="17"/>
                <w:szCs w:val="17"/>
                <w:color w:val="0000FF"/>
              </w:rPr>
              <w:t>15d-14(a) under the Securities Exchange Act of 1934, as Adopted Pursuant</w:t>
            </w:r>
          </w:p>
        </w:tc>
        <w:tc>
          <w:tcPr>
            <w:tcW w:w="320" w:type="dxa"/>
            <w:vAlign w:val="bottom"/>
            <w:gridSpan w:val="8"/>
          </w:tcPr>
          <w:p>
            <w:pPr>
              <w:jc w:val="right"/>
              <w:ind w:right="160"/>
              <w:spacing w:after="0" w:line="150" w:lineRule="exact"/>
              <w:rPr>
                <w:sz w:val="20"/>
                <w:szCs w:val="20"/>
                <w:color w:val="auto"/>
              </w:rPr>
            </w:pPr>
            <w:r>
              <w:rPr>
                <w:rFonts w:ascii="Times New Roman" w:cs="Times New Roman" w:eastAsia="Times New Roman" w:hAnsi="Times New Roman"/>
                <w:sz w:val="17"/>
                <w:szCs w:val="17"/>
                <w:color w:val="0000FF"/>
              </w:rPr>
              <w:t>to</w:t>
            </w: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top w:val="single" w:sz="8" w:color="0000FF"/>
              <w:bottom w:val="single" w:sz="8" w:color="0000FF"/>
            </w:tcBorders>
            <w:gridSpan w:val="7"/>
          </w:tcPr>
          <w:p>
            <w:pPr>
              <w:spacing w:after="0" w:line="163"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2120" w:type="dxa"/>
            <w:vAlign w:val="bottom"/>
            <w:tcBorders>
              <w:top w:val="single" w:sz="8" w:color="0000FF"/>
            </w:tcBorders>
            <w:gridSpan w:val="14"/>
          </w:tcPr>
          <w:p>
            <w:pPr>
              <w:spacing w:after="0"/>
              <w:rPr>
                <w:sz w:val="14"/>
                <w:szCs w:val="14"/>
                <w:color w:val="auto"/>
              </w:rPr>
            </w:pPr>
          </w:p>
        </w:tc>
        <w:tc>
          <w:tcPr>
            <w:tcW w:w="160" w:type="dxa"/>
            <w:vAlign w:val="bottom"/>
            <w:gridSpan w:val="4"/>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w:t>
            </w:r>
          </w:p>
        </w:tc>
        <w:tc>
          <w:tcPr>
            <w:tcW w:w="440" w:type="dxa"/>
            <w:vAlign w:val="bottom"/>
            <w:gridSpan w:val="10"/>
          </w:tcPr>
          <w:p>
            <w:pPr>
              <w:spacing w:after="0"/>
              <w:rPr>
                <w:sz w:val="22"/>
                <w:szCs w:val="22"/>
                <w:color w:val="auto"/>
              </w:rPr>
            </w:pPr>
          </w:p>
        </w:tc>
        <w:tc>
          <w:tcPr>
            <w:tcW w:w="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20" w:type="dxa"/>
            <w:vAlign w:val="bottom"/>
            <w:tcBorders>
              <w:bottom w:val="single" w:sz="8" w:color="0000FF"/>
            </w:tcBorders>
            <w:gridSpan w:val="20"/>
          </w:tcPr>
          <w:p>
            <w:pPr>
              <w:spacing w:after="0" w:line="150"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 2002</w:t>
            </w:r>
          </w:p>
        </w:tc>
        <w:tc>
          <w:tcPr>
            <w:tcW w:w="180" w:type="dxa"/>
            <w:vAlign w:val="bottom"/>
            <w:gridSpan w:val="5"/>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14"/>
          </w:tcPr>
          <w:p>
            <w:pPr>
              <w:spacing w:after="0" w:line="150" w:lineRule="exact"/>
              <w:rPr>
                <w:sz w:val="20"/>
                <w:szCs w:val="20"/>
                <w:color w:val="auto"/>
              </w:rPr>
            </w:pPr>
            <w:r>
              <w:rPr>
                <w:rFonts w:ascii="Times New Roman" w:cs="Times New Roman" w:eastAsia="Times New Roman" w:hAnsi="Times New Roman"/>
                <w:sz w:val="17"/>
                <w:szCs w:val="17"/>
                <w:color w:val="0000FF"/>
              </w:rPr>
              <w:t>1350, as Adopted Pursuant to Section 906 of the Sarbanes-Oxley Act of</w:t>
            </w:r>
          </w:p>
        </w:tc>
        <w:tc>
          <w:tcPr>
            <w:tcW w:w="300" w:type="dxa"/>
            <w:vAlign w:val="bottom"/>
            <w:tcBorders>
              <w:bottom w:val="single" w:sz="8" w:color="0000FF"/>
            </w:tcBorders>
            <w:gridSpan w:val="6"/>
          </w:tcPr>
          <w:p>
            <w:pPr>
              <w:jc w:val="right"/>
              <w:spacing w:after="0" w:line="150" w:lineRule="exact"/>
              <w:rPr>
                <w:sz w:val="20"/>
                <w:szCs w:val="20"/>
                <w:color w:val="auto"/>
              </w:rPr>
            </w:pPr>
            <w:r>
              <w:rPr>
                <w:rFonts w:ascii="Times New Roman" w:cs="Times New Roman" w:eastAsia="Times New Roman" w:hAnsi="Times New Roman"/>
                <w:sz w:val="17"/>
                <w:szCs w:val="17"/>
                <w:color w:val="0000FF"/>
                <w:w w:val="82"/>
              </w:rPr>
              <w:t>2002</w:t>
            </w:r>
          </w:p>
        </w:tc>
        <w:tc>
          <w:tcPr>
            <w:tcW w:w="180" w:type="dxa"/>
            <w:vAlign w:val="bottom"/>
            <w:gridSpan w:val="5"/>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0" w:type="dxa"/>
            <w:vAlign w:val="bottom"/>
            <w:gridSpan w:val="25"/>
          </w:tcPr>
          <w:p>
            <w:pPr>
              <w:spacing w:after="0"/>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Financial Restatement Compensation Recoupment Policy</w:t>
              </w:r>
            </w:hyperlink>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10-K</w:t>
            </w:r>
          </w:p>
        </w:tc>
        <w:tc>
          <w:tcPr>
            <w:tcW w:w="11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001-38240</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3/15/2024</w:t>
            </w:r>
          </w:p>
        </w:tc>
        <w:tc>
          <w:tcPr>
            <w:tcW w:w="0" w:type="dxa"/>
            <w:vAlign w:val="bottom"/>
          </w:tcPr>
          <w:p>
            <w:pPr>
              <w:spacing w:after="0"/>
              <w:rPr>
                <w:sz w:val="1"/>
                <w:szCs w:val="1"/>
                <w:color w:val="auto"/>
              </w:rPr>
            </w:pPr>
          </w:p>
        </w:tc>
      </w:tr>
      <w:tr>
        <w:trPr>
          <w:trHeight w:val="293"/>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4"/>
                <w:szCs w:val="24"/>
                <w:color w:val="auto"/>
              </w:rPr>
            </w:pPr>
          </w:p>
        </w:tc>
        <w:tc>
          <w:tcPr>
            <w:tcW w:w="4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1580" w:type="dxa"/>
            <w:vAlign w:val="bottom"/>
            <w:gridSpan w:val="16"/>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3"/>
                <w:szCs w:val="23"/>
                <w:color w:val="auto"/>
              </w:rPr>
            </w:pPr>
          </w:p>
        </w:tc>
        <w:tc>
          <w:tcPr>
            <w:tcW w:w="560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3"/>
                <w:szCs w:val="23"/>
                <w:color w:val="auto"/>
              </w:rPr>
            </w:pPr>
          </w:p>
        </w:tc>
        <w:tc>
          <w:tcPr>
            <w:tcW w:w="560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3"/>
                <w:szCs w:val="23"/>
                <w:color w:val="auto"/>
              </w:rPr>
            </w:pPr>
          </w:p>
        </w:tc>
        <w:tc>
          <w:tcPr>
            <w:tcW w:w="560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3"/>
                <w:szCs w:val="23"/>
                <w:color w:val="auto"/>
              </w:rPr>
            </w:pPr>
          </w:p>
        </w:tc>
        <w:tc>
          <w:tcPr>
            <w:tcW w:w="560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3"/>
                <w:szCs w:val="23"/>
                <w:color w:val="auto"/>
              </w:rPr>
            </w:pPr>
          </w:p>
        </w:tc>
        <w:tc>
          <w:tcPr>
            <w:tcW w:w="560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8"/>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13"/>
          </w:tcPr>
          <w:p>
            <w:pPr>
              <w:jc w:val="right"/>
              <w:ind w:right="100"/>
              <w:spacing w:after="0"/>
              <w:rPr>
                <w:sz w:val="20"/>
                <w:szCs w:val="20"/>
                <w:color w:val="auto"/>
              </w:rPr>
            </w:pPr>
            <w:r>
              <w:rPr>
                <w:rFonts w:ascii="Times New Roman" w:cs="Times New Roman" w:eastAsia="Times New Roman" w:hAnsi="Times New Roman"/>
                <w:sz w:val="17"/>
                <w:szCs w:val="17"/>
                <w:color w:val="auto"/>
              </w:rPr>
              <w:t>105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153670</wp:posOffset>
            </wp:positionV>
            <wp:extent cx="716216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283845</wp:posOffset>
            </wp:positionV>
            <wp:extent cx="56451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564515" cy="825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67945</wp:posOffset>
            </wp:positionV>
            <wp:extent cx="5645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5645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35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200" w:lineRule="exact"/>
        <w:rPr>
          <w:sz w:val="20"/>
          <w:szCs w:val="20"/>
          <w:color w:val="auto"/>
        </w:rPr>
      </w:pPr>
    </w:p>
    <w:p>
      <w:pPr>
        <w:spacing w:after="0" w:line="2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pacing w:after="0" w:line="2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x</w:t>
      </w:r>
    </w:p>
    <w:p>
      <w:pPr>
        <w:sectPr>
          <w:pgSz w:w="11900" w:h="16838" w:orient="portrait"/>
          <w:cols w:equalWidth="0" w:num="2">
            <w:col w:w="10260" w:space="260"/>
            <w:col w:w="560"/>
          </w:cols>
          <w:pgMar w:left="320" w:top="118"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625475</wp:posOffset>
            </wp:positionV>
            <wp:extent cx="689927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689927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580" w:hanging="854"/>
        <w:spacing w:after="0"/>
        <w:tabs>
          <w:tab w:leader="none" w:pos="158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w:t>
      </w:r>
    </w:p>
    <w:p>
      <w:pPr>
        <w:spacing w:after="0" w:line="32" w:lineRule="exact"/>
        <w:rPr>
          <w:sz w:val="20"/>
          <w:szCs w:val="20"/>
          <w:color w:val="auto"/>
        </w:rPr>
      </w:pPr>
    </w:p>
    <w:p>
      <w:pPr>
        <w:jc w:val="both"/>
        <w:ind w:left="1580" w:hanging="854"/>
        <w:spacing w:after="0" w:line="235" w:lineRule="auto"/>
        <w:tabs>
          <w:tab w:leader="none" w:pos="15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is deemed not filed for purposes of Section 18 of the Securities Exchange Act of 1934, as amended, or otherwise subject to liability of that section, nor shall it be deemed incorporated by reference into any filing under the Securities Act of 1933, as amended, or the Securities Exchange Act of 1934, as amended.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173355</wp:posOffset>
            </wp:positionV>
            <wp:extent cx="716216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109" w:name="page110"/>
    <w:bookmarkEnd w:id="109"/>
    <w:p>
      <w:pPr>
        <w:jc w:val="center"/>
        <w:ind w:left="460"/>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164" w:lineRule="exact"/>
        <w:rPr>
          <w:sz w:val="20"/>
          <w:szCs w:val="20"/>
          <w:color w:val="auto"/>
        </w:rPr>
      </w:pPr>
    </w:p>
    <w:p>
      <w:pPr>
        <w:ind w:right="240" w:firstLine="431"/>
        <w:spacing w:after="0" w:line="295"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32" w:lineRule="exact"/>
        <w:rPr>
          <w:sz w:val="20"/>
          <w:szCs w:val="20"/>
          <w:color w:val="auto"/>
        </w:rPr>
      </w:pPr>
    </w:p>
    <w:tbl>
      <w:tblPr>
        <w:tblLayout w:type="fixed"/>
        <w:tblInd w:w="1480" w:type="dxa"/>
        <w:tblCellMar>
          <w:top w:w="0" w:type="dxa"/>
          <w:left w:w="0" w:type="dxa"/>
          <w:bottom w:w="0" w:type="dxa"/>
          <w:right w:w="0" w:type="dxa"/>
        </w:tblCellMar>
      </w:tblPr>
      <w:tr>
        <w:trPr>
          <w:trHeight w:val="229"/>
        </w:trPr>
        <w:tc>
          <w:tcPr>
            <w:tcW w:w="2740" w:type="dxa"/>
            <w:vAlign w:val="bottom"/>
          </w:tcPr>
          <w:p>
            <w:pPr>
              <w:spacing w:after="0"/>
              <w:rPr>
                <w:sz w:val="19"/>
                <w:szCs w:val="19"/>
                <w:color w:val="auto"/>
              </w:rPr>
            </w:pPr>
          </w:p>
        </w:tc>
        <w:tc>
          <w:tcPr>
            <w:tcW w:w="6040" w:type="dxa"/>
            <w:vAlign w:val="bottom"/>
            <w:gridSpan w:val="3"/>
          </w:tcPr>
          <w:p>
            <w:pPr>
              <w:ind w:left="1180"/>
              <w:spacing w:after="0"/>
              <w:rPr>
                <w:sz w:val="20"/>
                <w:szCs w:val="20"/>
                <w:color w:val="auto"/>
              </w:rPr>
            </w:pPr>
            <w:r>
              <w:rPr>
                <w:rFonts w:ascii="Times New Roman" w:cs="Times New Roman" w:eastAsia="Times New Roman" w:hAnsi="Times New Roman"/>
                <w:sz w:val="17"/>
                <w:szCs w:val="17"/>
                <w:b w:val="1"/>
                <w:bCs w:val="1"/>
                <w:color w:val="auto"/>
              </w:rPr>
              <w:t>MONGODB, INC.</w:t>
            </w:r>
          </w:p>
        </w:tc>
      </w:tr>
      <w:tr>
        <w:trPr>
          <w:trHeight w:val="536"/>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Date: March 20, 2025</w:t>
            </w:r>
          </w:p>
        </w:tc>
        <w:tc>
          <w:tcPr>
            <w:tcW w:w="226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By:</w:t>
            </w:r>
          </w:p>
        </w:tc>
        <w:tc>
          <w:tcPr>
            <w:tcW w:w="3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 Dev Ittycheria</w:t>
            </w:r>
          </w:p>
        </w:tc>
      </w:tr>
      <w:tr>
        <w:trPr>
          <w:trHeight w:val="247"/>
        </w:trPr>
        <w:tc>
          <w:tcPr>
            <w:tcW w:w="27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37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Dev Ittycheria</w:t>
            </w:r>
          </w:p>
        </w:tc>
      </w:tr>
      <w:tr>
        <w:trPr>
          <w:trHeight w:val="229"/>
        </w:trPr>
        <w:tc>
          <w:tcPr>
            <w:tcW w:w="27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37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r>
    </w:tbl>
    <w:p>
      <w:pPr>
        <w:spacing w:after="0" w:line="230" w:lineRule="exact"/>
        <w:rPr>
          <w:sz w:val="20"/>
          <w:szCs w:val="20"/>
          <w:color w:val="auto"/>
        </w:rPr>
      </w:pPr>
    </w:p>
    <w:p>
      <w:pPr>
        <w:ind w:right="660" w:firstLine="470"/>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44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6"/>
                <w:szCs w:val="16"/>
                <w:color w:val="auto"/>
              </w:rPr>
            </w:pPr>
          </w:p>
        </w:tc>
        <w:tc>
          <w:tcPr>
            <w:tcW w:w="4600" w:type="dxa"/>
            <w:vAlign w:val="bottom"/>
            <w:gridSpan w:val="2"/>
          </w:tcPr>
          <w:p>
            <w:pPr>
              <w:ind w:left="21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35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Dev Ittycheria</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Dev Ittycheria</w:t>
            </w:r>
          </w:p>
        </w:tc>
        <w:tc>
          <w:tcPr>
            <w:tcW w:w="1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080" w:type="dxa"/>
            <w:vAlign w:val="bottom"/>
          </w:tcPr>
          <w:p>
            <w:pPr>
              <w:spacing w:after="0"/>
              <w:rPr>
                <w:sz w:val="19"/>
                <w:szCs w:val="19"/>
                <w:color w:val="auto"/>
              </w:rPr>
            </w:pPr>
          </w:p>
        </w:tc>
      </w:tr>
      <w:tr>
        <w:trPr>
          <w:trHeight w:val="372"/>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Srdjan Tanjga</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Interim Chief Financial Officer</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Srdjan Tanjga</w:t>
            </w:r>
          </w:p>
        </w:tc>
        <w:tc>
          <w:tcPr>
            <w:tcW w:w="1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080" w:type="dxa"/>
            <w:vAlign w:val="bottom"/>
          </w:tcPr>
          <w:p>
            <w:pPr>
              <w:spacing w:after="0"/>
              <w:rPr>
                <w:sz w:val="19"/>
                <w:szCs w:val="19"/>
                <w:color w:val="auto"/>
              </w:rPr>
            </w:pPr>
          </w:p>
        </w:tc>
      </w:tr>
      <w:tr>
        <w:trPr>
          <w:trHeight w:val="372"/>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Thomas Bull</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Accounting Officer</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Thomas Bull</w:t>
            </w:r>
          </w:p>
        </w:tc>
        <w:tc>
          <w:tcPr>
            <w:tcW w:w="100" w:type="dxa"/>
            <w:vAlign w:val="bottom"/>
          </w:tcPr>
          <w:p>
            <w:pPr>
              <w:spacing w:after="0"/>
              <w:rPr>
                <w:sz w:val="19"/>
                <w:szCs w:val="19"/>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080" w:type="dxa"/>
            <w:vAlign w:val="bottom"/>
          </w:tcPr>
          <w:p>
            <w:pPr>
              <w:spacing w:after="0"/>
              <w:rPr>
                <w:sz w:val="19"/>
                <w:szCs w:val="19"/>
                <w:color w:val="auto"/>
              </w:rPr>
            </w:pPr>
          </w:p>
        </w:tc>
      </w:tr>
      <w:tr>
        <w:trPr>
          <w:trHeight w:val="372"/>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Tom Killalea</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r>
      <w:tr>
        <w:trPr>
          <w:trHeight w:val="22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Tom Killalea</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2"/>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Archana Agrawal</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r>
      <w:tr>
        <w:trPr>
          <w:trHeight w:val="22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Archana Agrawal</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2"/>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Roelof Botha</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r>
      <w:tr>
        <w:trPr>
          <w:trHeight w:val="22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Roelof Botha</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2"/>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Hope Cochran</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r>
      <w:tr>
        <w:trPr>
          <w:trHeight w:val="22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Hope Cochran</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2"/>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Francisco D’Souza</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r>
      <w:tr>
        <w:trPr>
          <w:trHeight w:val="22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Francisco D’Souza</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2"/>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Charles M. Hazard, Jr.</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r>
      <w:tr>
        <w:trPr>
          <w:trHeight w:val="22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Charles M. Hazard, Jr.</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5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Ann Lewnes</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r>
      <w:tr>
        <w:trPr>
          <w:trHeight w:val="22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Ann Lewnes</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372"/>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Dwight Merriman</w:t>
            </w:r>
          </w:p>
        </w:tc>
        <w:tc>
          <w:tcPr>
            <w:tcW w:w="100" w:type="dxa"/>
            <w:vAlign w:val="bottom"/>
          </w:tcPr>
          <w:p>
            <w:pPr>
              <w:spacing w:after="0"/>
              <w:rPr>
                <w:sz w:val="24"/>
                <w:szCs w:val="24"/>
                <w:color w:val="auto"/>
              </w:rPr>
            </w:pP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r>
      <w:tr>
        <w:trPr>
          <w:trHeight w:val="222"/>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Dwight Merriman</w:t>
            </w:r>
          </w:p>
        </w:tc>
        <w:tc>
          <w:tcPr>
            <w:tcW w:w="10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r>
    </w:tbl>
    <w:p>
      <w:pPr>
        <w:sectPr>
          <w:pgSz w:w="11900" w:h="16838" w:orient="portrait"/>
          <w:cols w:equalWidth="0" w:num="1">
            <w:col w:w="11240"/>
          </w:cols>
          <w:pgMar w:left="320" w:top="1219"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9"/>
          <w:szCs w:val="19"/>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January 31, 2025</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Gordon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Advisory Services to MongoDB, Inc. Dear Mr. Gordon:</w:t>
      </w:r>
    </w:p>
    <w:p>
      <w:pPr>
        <w:spacing w:after="0" w:line="157" w:lineRule="exact"/>
        <w:rPr>
          <w:sz w:val="20"/>
          <w:szCs w:val="20"/>
          <w:color w:val="auto"/>
        </w:rPr>
      </w:pPr>
    </w:p>
    <w:p>
      <w:pPr>
        <w:jc w:val="both"/>
        <w:ind w:right="100" w:firstLine="626"/>
        <w:spacing w:after="0" w:line="286" w:lineRule="auto"/>
        <w:rPr>
          <w:sz w:val="20"/>
          <w:szCs w:val="20"/>
          <w:color w:val="auto"/>
        </w:rPr>
      </w:pPr>
      <w:r>
        <w:rPr>
          <w:rFonts w:ascii="Times New Roman" w:cs="Times New Roman" w:eastAsia="Times New Roman" w:hAnsi="Times New Roman"/>
          <w:sz w:val="17"/>
          <w:szCs w:val="17"/>
          <w:color w:val="auto"/>
        </w:rPr>
        <w:t>This letter agreement is to confirm our understanding with respect to your role as an advisor to MongoDB, Inc. (“MongoDB”). MongoDB looks forward to a continued mutually beneficial association with you on the following terms, which are hereby made effective as of February 1, 2025, the date following the effective date of your resignation as Chief Financial Officer and Chief Operating Officer (the “Effective Date”) and will continue for a period of three months (“Term”) after which time the Term will automatically expire unless extended by mutual written agreement signed by both parties. Prior to termination, the Term may be renewed for additional three-month periods upon mutual written agreement of the parties.</w:t>
      </w:r>
    </w:p>
    <w:p>
      <w:pPr>
        <w:spacing w:after="0" w:line="247" w:lineRule="exact"/>
        <w:rPr>
          <w:sz w:val="20"/>
          <w:szCs w:val="20"/>
          <w:color w:val="auto"/>
        </w:rPr>
      </w:pPr>
    </w:p>
    <w:p>
      <w:pPr>
        <w:jc w:val="both"/>
        <w:ind w:right="100" w:firstLine="9"/>
        <w:spacing w:after="0" w:line="291" w:lineRule="auto"/>
        <w:tabs>
          <w:tab w:leader="none" w:pos="52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Informal Management Consultations. Effective as of the Effective Date, you will serve as a consultant of MongoDB, serving as operating and financial advisor. You agree to provide historical and forward-looking advice to MongoDB on an as needed basis. From time to time, members of MongoDB’s management may contact you informally to seek your advice relating to MongoDB’s business. You agree to be available to MongoDB’s management for consultations by telephone, e-mail, virtually, or in person, as your time and other business activities permit.</w:t>
      </w:r>
    </w:p>
    <w:p>
      <w:pPr>
        <w:spacing w:after="0" w:line="241" w:lineRule="exact"/>
        <w:rPr>
          <w:rFonts w:ascii="Times New Roman" w:cs="Times New Roman" w:eastAsia="Times New Roman" w:hAnsi="Times New Roman"/>
          <w:sz w:val="17"/>
          <w:szCs w:val="17"/>
          <w:color w:val="auto"/>
        </w:rPr>
      </w:pPr>
    </w:p>
    <w:p>
      <w:pPr>
        <w:jc w:val="both"/>
        <w:ind w:right="100" w:firstLine="9"/>
        <w:spacing w:after="0" w:line="283" w:lineRule="auto"/>
        <w:tabs>
          <w:tab w:leader="none" w:pos="52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This is considered an honorary position so no compensation or equity will be exchanged. However, for purposes of any outstanding equity or equity-based awards that are solely subject to service-based vesting requirements as of the Effective Date granted under the MongoDB, Inc. 2016 Equity Incentive Plan (the “Outstanding Awards”), for the duration of this letter agreement, as long as you continue to provide services to MongoDB under the terms of this letter agreement, you will be treated as not having experienced an interruption in your Continuous Service (as defined in the MongoDB, Inc. 2016 Equity Incentive Plan) and you will continue to vest in such Outstanding Awards. Upon a termination of service as set forth in Section 8, you will no longer be considered to be in Continuous Service and you will no longer continue to vest in any such Outstanding Awards. Except for your continued vesting of the Outstanding Awards, your accrued rights under any MongoDB benefit plans, and any other payments or benefits required to be paid or provided by law, you agree that you will not be entitled to any additional compensation from MongoDB, including any salary, bonus or incentive compensation, leave, severance or separation pay, or other remuneration or benefits of any kind, other than as set forth in this letter agreement.</w:t>
      </w:r>
    </w:p>
    <w:p>
      <w:pPr>
        <w:spacing w:after="0" w:line="238" w:lineRule="exact"/>
        <w:rPr>
          <w:rFonts w:ascii="Times New Roman" w:cs="Times New Roman" w:eastAsia="Times New Roman" w:hAnsi="Times New Roman"/>
          <w:sz w:val="17"/>
          <w:szCs w:val="17"/>
          <w:color w:val="auto"/>
        </w:rPr>
      </w:pPr>
    </w:p>
    <w:p>
      <w:pPr>
        <w:ind w:right="100" w:firstLine="9"/>
        <w:spacing w:after="0" w:line="311" w:lineRule="auto"/>
        <w:tabs>
          <w:tab w:leader="none" w:pos="52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Non-public Information. As part of your role under this Agreement, you might be the recipient of material non-public information about MongoDB. You agree to continue to comply with United States securities laws with respect to the confidentiality and/or disclosure of such information.</w:t>
      </w:r>
    </w:p>
    <w:p>
      <w:pPr>
        <w:spacing w:after="0" w:line="212" w:lineRule="exact"/>
        <w:rPr>
          <w:rFonts w:ascii="Times New Roman" w:cs="Times New Roman" w:eastAsia="Times New Roman" w:hAnsi="Times New Roman"/>
          <w:sz w:val="17"/>
          <w:szCs w:val="17"/>
          <w:color w:val="auto"/>
        </w:rPr>
      </w:pPr>
    </w:p>
    <w:p>
      <w:pPr>
        <w:jc w:val="both"/>
        <w:ind w:right="100" w:firstLine="9"/>
        <w:spacing w:after="0" w:line="300" w:lineRule="auto"/>
        <w:tabs>
          <w:tab w:leader="none" w:pos="52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Independent Contractor. Your relationship with MongoDB will be that of an independent contractor, and you will not be an agent, employee or representative of MongoDB. You understand that you will have no authority to enter into contracts or create obligations on behalf of MongoDB. Accordingly, you acknowledge that you will not be eligible for any employee benefits maintained by MongoDB.</w:t>
      </w:r>
    </w:p>
    <w:p>
      <w:pPr>
        <w:sectPr>
          <w:pgSz w:w="11900" w:h="16838" w:orient="portrait"/>
          <w:cols w:equalWidth="0" w:num="1">
            <w:col w:w="11140"/>
          </w:cols>
          <w:pgMar w:left="420" w:top="101"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9"/>
          <w:szCs w:val="19"/>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100" w:firstLine="9"/>
        <w:spacing w:after="0" w:line="285" w:lineRule="auto"/>
        <w:tabs>
          <w:tab w:leader="none" w:pos="52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Property of MongoDB. For purposes of this letter agreement, “Designs and Materials” shall mean all designs, discoveries, inventions, products, computer programs, procedures, improvements, developments, drawings, notes, documents, information and materials made, conceived or developed by you alone or with others that result from or that are made, conceived or developed in connection with the services you provide to MongoDB pursuant to this letter agreement. You hereby irrevocably transfer and assign to MongoDB any and all of your right, title and interest in and to Designs and Materials, including but not limited to all copyrights, patent rights, trade secrets, trademarks and moral rights. You agree: (a) to disclose promptly in writing to MongoDB all Designs and Materials; (b) to cooperate with and assist MongoDB to apply for, and to execute any applications and/or assignments to obtain, any patent, copyright, trademark or other legal protection for Designs and Materials in MongoDB’s name as MongoDB deems appropriate; and (c) to otherwise treat all Designs and Materials as “Confidential Information,” as defined below.</w:t>
      </w:r>
    </w:p>
    <w:p>
      <w:pPr>
        <w:spacing w:after="0" w:line="286" w:lineRule="exact"/>
        <w:rPr>
          <w:rFonts w:ascii="Times New Roman" w:cs="Times New Roman" w:eastAsia="Times New Roman" w:hAnsi="Times New Roman"/>
          <w:sz w:val="17"/>
          <w:szCs w:val="17"/>
          <w:color w:val="auto"/>
        </w:rPr>
      </w:pPr>
    </w:p>
    <w:p>
      <w:pPr>
        <w:jc w:val="both"/>
        <w:ind w:right="100" w:firstLine="9"/>
        <w:spacing w:after="0" w:line="279" w:lineRule="auto"/>
        <w:tabs>
          <w:tab w:leader="none" w:pos="52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Confidential Information. You recognize that, in the course of performing your services under this letter agreement, you may acquire information and materials from MongoDB and knowledge about information of a confidential or secret nature concerning MongoDB, including without limitation, knowledge about MongoDB’s business, products and planned products, marketing plans, financial information, forecasts, personnel, customers, clients, suppliers, experimental work and programming techniques. All such knowledge, information and materials acquired, the existence, terms and conditions of this letter agreement, and all Designs and Materials, are and will be the trade secrets and confidential and proprietary information of MongoDB (collectively, the “Confidential Information”). Confidential Information will not include, however, any information which is or becomes part of the public domain through no fault of yours or that MongoDB regularly gives to third parties without restriction on use or disclosure. You agree to hold all such Confidential Information in strict confidence, not to disclose it to others or use it in any way, commercially or otherwise (including without limitation lecturing upon or publishing articles concerning Confidential Information), except in performing your obligations under this letter agreement, and not to allow any unauthorized person access to it. You agree to return to MongoDB promptly upon request, and in any event after termination or expiration of this letter agreement, any and all records, paper, media or other embodiment containing any Confidential Information. Notwithstanding the foregoing, nothing in this letter agreement precludes or otherwise limits your ability to communicate directly with and provide information, including documents, not otherwise protected from disclosure by any applicable law or privilege to the Securities and Exchange Commission (the “SEC”), or any other federal, state or local governmental agency or commission or self-regulatory organization (each such agency, commission or organization, a “Government Agency”) or self-regulatory organization regarding possible legal violations, without disclosure to MongoDB. You do not need the prior authorization of MongoDB to make any such reports or disclosures, and you shall not be required to notify MongoDB that such reports or disclosures have been made. MongoDB may not retaliate against you for any of these activities, and nothing in this letter agreement requires you to waive any monetary award or other relief that you might become entitled to from the SEC or any other Government Agency. Pursuant to Section 7 of the federal Defend Trade Secrets Act of 2016, an individual shall not be held criminally or civilly liable under any federal or state trade secret law for the disclosure of a trade secret that: (i) is made in confidence to a federal, state, or local government official, either directly or indirectly, or to an attorney, in each case solely for the purpose of reporting or investigating a suspected violation of law; or (ii) is made in a complaint or other document filed in a lawsuit or other proceeding, if such filing is made under seal. In addition, and without limiting the preceding sentence, if you file a lawsuit for retaliation by MongoDB for reporting a suspected violation of law, you may disclose the trade secret to your attorney and may use the trade secret information in the court proceeding, if you (x) file any document containing the trade secret under seal and (y) do not disclose the trade secret, except pursuant to court order. Nothing in this letter agreement is intended to conflict with 18 U.S.C. §1833(b) or create liability for disclosures of trade secrets that are expressly allowed by such Section.</w:t>
      </w:r>
    </w:p>
    <w:p>
      <w:pPr>
        <w:spacing w:after="0" w:line="200" w:lineRule="exact"/>
        <w:rPr>
          <w:rFonts w:ascii="Times New Roman" w:cs="Times New Roman" w:eastAsia="Times New Roman" w:hAnsi="Times New Roman"/>
          <w:sz w:val="17"/>
          <w:szCs w:val="17"/>
          <w:color w:val="auto"/>
        </w:rPr>
      </w:pPr>
    </w:p>
    <w:p>
      <w:pPr>
        <w:spacing w:after="0" w:line="318" w:lineRule="exact"/>
        <w:rPr>
          <w:rFonts w:ascii="Times New Roman" w:cs="Times New Roman" w:eastAsia="Times New Roman" w:hAnsi="Times New Roman"/>
          <w:sz w:val="17"/>
          <w:szCs w:val="17"/>
          <w:color w:val="auto"/>
        </w:rPr>
      </w:pPr>
    </w:p>
    <w:p>
      <w:pPr>
        <w:jc w:val="both"/>
        <w:ind w:right="100" w:firstLine="9"/>
        <w:spacing w:after="0" w:line="292" w:lineRule="auto"/>
        <w:tabs>
          <w:tab w:leader="none" w:pos="523"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Conflicts of Interest. You hereby represent that the obligations contemplated hereby do not, in any way, conflict with any other agreement and/or commitment on your part. You agree to inform MongoDB promptly and in writing if any such conflict arises. You agree that you will not disclose to MongoDB any proprietary information that you currently have obtained, or may obtain in the future, from any other individual or organization.</w:t>
      </w:r>
    </w:p>
    <w:p>
      <w:pPr>
        <w:sectPr>
          <w:pgSz w:w="11900" w:h="16838" w:orient="portrait"/>
          <w:cols w:equalWidth="0" w:num="1">
            <w:col w:w="11140"/>
          </w:cols>
          <w:pgMar w:left="420" w:top="101"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9"/>
          <w:szCs w:val="19"/>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right="100" w:firstLine="9"/>
        <w:spacing w:after="0" w:line="292" w:lineRule="auto"/>
        <w:tabs>
          <w:tab w:leader="none" w:pos="52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This agreement shall not be terminated prior to April 1, 2025. Following April 1, 2025, either you or MongoDB may terminate this letter agreement on delivery of thirty (30) days prior written notice to the other party. The provisions of Sections 4, 5, 6, 7, 8, 9, and 10 of this letter agreement will survive any expiration or termination of this letter agreement.</w:t>
      </w:r>
    </w:p>
    <w:p>
      <w:pPr>
        <w:spacing w:after="0" w:line="240" w:lineRule="exact"/>
        <w:rPr>
          <w:rFonts w:ascii="Times New Roman" w:cs="Times New Roman" w:eastAsia="Times New Roman" w:hAnsi="Times New Roman"/>
          <w:sz w:val="17"/>
          <w:szCs w:val="17"/>
          <w:color w:val="auto"/>
        </w:rPr>
      </w:pPr>
    </w:p>
    <w:p>
      <w:pPr>
        <w:jc w:val="both"/>
        <w:ind w:right="100" w:firstLine="9"/>
        <w:spacing w:after="0" w:line="283" w:lineRule="auto"/>
        <w:tabs>
          <w:tab w:leader="none" w:pos="523"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Interpretation. The terms contained in this letter agreement are subject to interpretation under the laws of the State of New York, without giving effect to that body of laws pertaining to conflict of laws and can be amended only in a signed writing and by joint agreement of both you and MongoDB. If any provision of this letter agreement is determined by any court or arbitrator of competent jurisdiction to be invalid, illegal or unenforceable in any respect, such provision will be enforced to the maximum extent possible given the intent of the parties hereto. If such provision cannot be so enforced, such provision shall be stricken from this letter agreement and the remainder of this letter agreement shall be enforced as if such invalid, illegal or unenforceable provision had (to the extent not enforceable) never been contained in the letter agreement. This letter agreement constitutes the complete and exclusive understanding and agreement of you and MongoDB and supersedes all prior understandings and agreements, whether written or oral, with respect to the subject matter hereof;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at all times in the future, you will remain bound by the terms of any agreements between you and MongoDB containing restrictive covenants,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with respect to non-competition, non-solicitation, and confidentiality covenants, to the extent permitted under applicable law. This letter agreement may be executed in two or more counterparts, including by facsimile or electronic signature transmission, with the same force and effect as if each of the signatories had executed the same instrument.</w:t>
      </w:r>
    </w:p>
    <w:p>
      <w:pPr>
        <w:spacing w:after="0" w:line="208" w:lineRule="exact"/>
        <w:rPr>
          <w:rFonts w:ascii="Times New Roman" w:cs="Times New Roman" w:eastAsia="Times New Roman" w:hAnsi="Times New Roman"/>
          <w:sz w:val="17"/>
          <w:szCs w:val="17"/>
          <w:color w:val="auto"/>
        </w:rPr>
      </w:pPr>
    </w:p>
    <w:p>
      <w:pPr>
        <w:jc w:val="both"/>
        <w:ind w:right="100" w:firstLine="9"/>
        <w:spacing w:after="0" w:line="274" w:lineRule="auto"/>
        <w:tabs>
          <w:tab w:leader="none" w:pos="51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Cooperation. You agree that you will provide reasonable cooperation with and assistance to MongoDB in connection with the defense or prosecution of any claim that may be made against or by MongoDB, or in connection with any ongoing or future investigation or dispute or claim of any kind involving MongoDB, including any proceeding before any arbitral, administrative, judicial, legislative, or other body or agency, including testifying in any proceeding to the extent such claims, investigations or proceedings are related to services performed or required to be performed by you, knowledge possessed by you, or any act or omission by you. MongoDB will reimburse you for reasonable related expenses in connection with such cooperation.</w:t>
      </w:r>
    </w:p>
    <w:p>
      <w:pPr>
        <w:spacing w:after="0" w:line="217" w:lineRule="exact"/>
        <w:rPr>
          <w:rFonts w:ascii="Times New Roman" w:cs="Times New Roman" w:eastAsia="Times New Roman" w:hAnsi="Times New Roman"/>
          <w:sz w:val="17"/>
          <w:szCs w:val="17"/>
          <w:color w:val="auto"/>
        </w:rPr>
      </w:pPr>
    </w:p>
    <w:p>
      <w:pPr>
        <w:jc w:val="both"/>
        <w:ind w:right="120" w:firstLine="9"/>
        <w:spacing w:after="0" w:line="284" w:lineRule="auto"/>
        <w:tabs>
          <w:tab w:leader="none" w:pos="51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Binding Nature. This Agreement shall be binding upon and inure to the benefit of you and MongoDB and their respective successors and permitted assigns. This Agreement may be assigned by MongoDB to any affiliate of MongoDB and to a successor of its business to which this Agreement relates (whether by purchase or otherwise).</w:t>
      </w:r>
    </w:p>
    <w:p>
      <w:pPr>
        <w:spacing w:after="0" w:line="207" w:lineRule="exact"/>
        <w:rPr>
          <w:rFonts w:ascii="Times New Roman" w:cs="Times New Roman" w:eastAsia="Times New Roman" w:hAnsi="Times New Roman"/>
          <w:sz w:val="17"/>
          <w:szCs w:val="17"/>
          <w:color w:val="auto"/>
        </w:rPr>
      </w:pPr>
    </w:p>
    <w:p>
      <w:pPr>
        <w:jc w:val="both"/>
        <w:ind w:right="100" w:firstLine="9"/>
        <w:spacing w:after="0" w:line="278" w:lineRule="auto"/>
        <w:tabs>
          <w:tab w:leader="none" w:pos="51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Taxes. All payments under this letter agreement will be subject to all deductions required by law, including applicable taxes and withholdings. In accordance with its normal payroll practices, MongoDBwill mail to your home address in MongoDB’s records any tax reporting forms it prepares in accordance with any payments made to you, at such time as those forms are prepared and/or filed. You will be solely responsible and liable for any taxes owed on any payments or benefits made or provided to you under this letter agreement, except for taxes MongoDB believes it has an obligation to withhold from any such payments or benefits.</w:t>
      </w:r>
    </w:p>
    <w:p>
      <w:pPr>
        <w:spacing w:after="0" w:line="213" w:lineRule="exact"/>
        <w:rPr>
          <w:rFonts w:ascii="Times New Roman" w:cs="Times New Roman" w:eastAsia="Times New Roman" w:hAnsi="Times New Roman"/>
          <w:sz w:val="17"/>
          <w:szCs w:val="17"/>
          <w:color w:val="auto"/>
        </w:rPr>
      </w:pPr>
    </w:p>
    <w:p>
      <w:pPr>
        <w:jc w:val="both"/>
        <w:ind w:right="100" w:firstLine="9"/>
        <w:spacing w:after="0" w:line="280" w:lineRule="auto"/>
        <w:tabs>
          <w:tab w:leader="none" w:pos="51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409A. The intent of the parties is that payments and benefits under this letter agreement comply with, or be exempt from, Internal Revenue Code Section 409A and the regulations and guidance promulgated thereunder (collectively, “Code Section 409A”) and, accordingly, to the maximum extent permitted, this Letter Agreement shall be interpreted to be in compliance with Code Section 409A; provided, that MongoDB does not guarantee to you any particular tax treatment with respect to this letter agreement and any payments hereunder.</w:t>
      </w:r>
    </w:p>
    <w:p>
      <w:pPr>
        <w:spacing w:after="0" w:line="212" w:lineRule="exact"/>
        <w:rPr>
          <w:sz w:val="20"/>
          <w:szCs w:val="20"/>
          <w:color w:val="auto"/>
        </w:rPr>
      </w:pPr>
    </w:p>
    <w:p>
      <w:pPr>
        <w:jc w:val="both"/>
        <w:ind w:right="100"/>
        <w:spacing w:after="0" w:line="300" w:lineRule="auto"/>
        <w:rPr>
          <w:sz w:val="20"/>
          <w:szCs w:val="20"/>
          <w:color w:val="auto"/>
        </w:rPr>
      </w:pPr>
      <w:r>
        <w:rPr>
          <w:rFonts w:ascii="Times New Roman" w:cs="Times New Roman" w:eastAsia="Times New Roman" w:hAnsi="Times New Roman"/>
          <w:sz w:val="17"/>
          <w:szCs w:val="17"/>
          <w:color w:val="auto"/>
        </w:rPr>
        <w:t>If the foregoing represents your understanding of your role as an advisor to MongoDB, please sign below and return the executed letter agreement to me. The enclosed copy is for your files. Once again, we appreciate your interest in MongoDB and look forward to a stimulating and mutually beneficial association with you.</w:t>
      </w:r>
    </w:p>
    <w:p>
      <w:pPr>
        <w:sectPr>
          <w:pgSz w:w="11900" w:h="16838" w:orient="portrait"/>
          <w:cols w:equalWidth="0" w:num="1">
            <w:col w:w="11140"/>
          </w:cols>
          <w:pgMar w:left="420" w:top="101"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9"/>
          <w:szCs w:val="19"/>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Andrew Stephens</w:t>
      </w:r>
    </w:p>
    <w:p>
      <w:pPr>
        <w:spacing w:after="0" w:line="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Andrew Stephens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AGREED AND CONSENTED TO:</w:t>
      </w:r>
    </w:p>
    <w:p>
      <w:pPr>
        <w:spacing w:after="0" w:line="200" w:lineRule="exact"/>
        <w:rPr>
          <w:sz w:val="20"/>
          <w:szCs w:val="20"/>
          <w:color w:val="auto"/>
        </w:rPr>
      </w:pPr>
    </w:p>
    <w:p>
      <w:pPr>
        <w:spacing w:after="0" w:line="351" w:lineRule="exact"/>
        <w:rPr>
          <w:sz w:val="20"/>
          <w:szCs w:val="20"/>
          <w:color w:val="auto"/>
        </w:rPr>
      </w:pPr>
    </w:p>
    <w:p>
      <w:pPr>
        <w:jc w:val="right"/>
        <w:ind w:right="9360"/>
        <w:spacing w:after="0"/>
        <w:tabs>
          <w:tab w:leader="none" w:pos="106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u w:val="single" w:color="auto"/>
          <w:color w:val="auto"/>
        </w:rPr>
        <w:t>/s/ Michael Gordon</w:t>
      </w:r>
    </w:p>
    <w:p>
      <w:pPr>
        <w:spacing w:after="0" w:line="53" w:lineRule="exact"/>
        <w:rPr>
          <w:sz w:val="20"/>
          <w:szCs w:val="20"/>
          <w:color w:val="auto"/>
        </w:rPr>
      </w:pPr>
    </w:p>
    <w:p>
      <w:pPr>
        <w:jc w:val="right"/>
        <w:ind w:right="9360"/>
        <w:spacing w:after="0"/>
        <w:rPr>
          <w:sz w:val="20"/>
          <w:szCs w:val="20"/>
          <w:color w:val="auto"/>
        </w:rPr>
      </w:pPr>
      <w:r>
        <w:rPr>
          <w:rFonts w:ascii="Times New Roman" w:cs="Times New Roman" w:eastAsia="Times New Roman" w:hAnsi="Times New Roman"/>
          <w:sz w:val="17"/>
          <w:szCs w:val="17"/>
          <w:color w:val="auto"/>
        </w:rPr>
        <w:t>Michael Gordon</w:t>
      </w:r>
    </w:p>
    <w:p>
      <w:pPr>
        <w:sectPr>
          <w:pgSz w:w="11900" w:h="16838" w:orient="portrait"/>
          <w:cols w:equalWidth="0" w:num="1">
            <w:col w:w="11140"/>
          </w:cols>
          <w:pgMar w:left="420" w:top="101"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37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MongoDB, Inc.</w:t>
      </w:r>
    </w:p>
    <w:p>
      <w:pPr>
        <w:spacing w:after="0" w:line="15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Approved By The Board Of Directors</w:t>
      </w:r>
    </w:p>
    <w:p>
      <w:pPr>
        <w:spacing w:after="0" w:line="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September 20, 2017</w:t>
      </w: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303" w:lineRule="exact"/>
        <w:rPr>
          <w:sz w:val="20"/>
          <w:szCs w:val="20"/>
          <w:color w:val="auto"/>
        </w:rPr>
      </w:pPr>
    </w:p>
    <w:p>
      <w:pPr>
        <w:jc w:val="both"/>
        <w:ind w:left="40" w:right="120" w:firstLine="313"/>
        <w:spacing w:after="0" w:line="271" w:lineRule="auto"/>
        <w:rPr>
          <w:sz w:val="20"/>
          <w:szCs w:val="20"/>
          <w:color w:val="auto"/>
        </w:rPr>
      </w:pPr>
      <w:r>
        <w:rPr>
          <w:rFonts w:ascii="Times New Roman" w:cs="Times New Roman" w:eastAsia="Times New Roman" w:hAnsi="Times New Roman"/>
          <w:sz w:val="18"/>
          <w:szCs w:val="18"/>
          <w:color w:val="auto"/>
        </w:rPr>
        <w:t>During the course of your relationship with MongoDB, Inc. (“</w:t>
      </w:r>
      <w:r>
        <w:rPr>
          <w:rFonts w:ascii="Times New Roman" w:cs="Times New Roman" w:eastAsia="Times New Roman" w:hAnsi="Times New Roman"/>
          <w:sz w:val="18"/>
          <w:szCs w:val="18"/>
          <w:b w:val="1"/>
          <w:bCs w:val="1"/>
          <w:color w:val="auto"/>
        </w:rPr>
        <w:t>MongoDB</w:t>
      </w:r>
      <w:r>
        <w:rPr>
          <w:rFonts w:ascii="Times New Roman" w:cs="Times New Roman" w:eastAsia="Times New Roman" w:hAnsi="Times New Roman"/>
          <w:sz w:val="18"/>
          <w:szCs w:val="18"/>
          <w:color w:val="auto"/>
        </w:rPr>
        <w:t>”), you may receive important information that is not yet publicly available (“</w:t>
      </w:r>
      <w:r>
        <w:rPr>
          <w:rFonts w:ascii="Times New Roman" w:cs="Times New Roman" w:eastAsia="Times New Roman" w:hAnsi="Times New Roman"/>
          <w:sz w:val="18"/>
          <w:szCs w:val="18"/>
          <w:b w:val="1"/>
          <w:bCs w:val="1"/>
          <w:color w:val="auto"/>
        </w:rPr>
        <w:t>inside information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 about MongoDB or other publicly traded companies that MongoDB has business relationships with. Inside information may give you or someone you pass that information on to a leg up over others when deciding whether to buy, sell, or otherwise deal in MongoDB’s stock or the stock of another publicly traded company. This policy sets forth acceptable transactions in MongoDB securities by our employees, directors, and consultants.</w:t>
      </w: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Securities Transactions</w:t>
      </w:r>
    </w:p>
    <w:p>
      <w:pPr>
        <w:spacing w:after="0" w:line="277" w:lineRule="exact"/>
        <w:rPr>
          <w:sz w:val="20"/>
          <w:szCs w:val="20"/>
          <w:color w:val="auto"/>
        </w:rPr>
      </w:pPr>
    </w:p>
    <w:p>
      <w:pPr>
        <w:jc w:val="both"/>
        <w:ind w:left="40" w:right="120" w:firstLine="314"/>
        <w:spacing w:after="0" w:line="270" w:lineRule="auto"/>
        <w:rPr>
          <w:sz w:val="20"/>
          <w:szCs w:val="20"/>
          <w:color w:val="auto"/>
        </w:rPr>
      </w:pPr>
      <w:r>
        <w:rPr>
          <w:rFonts w:ascii="Times New Roman" w:cs="Times New Roman" w:eastAsia="Times New Roman" w:hAnsi="Times New Roman"/>
          <w:sz w:val="18"/>
          <w:szCs w:val="18"/>
          <w:color w:val="auto"/>
        </w:rPr>
        <w:t>Using inside information for personal gain or passing this information (also known as a “</w:t>
      </w:r>
      <w:r>
        <w:rPr>
          <w:rFonts w:ascii="Times New Roman" w:cs="Times New Roman" w:eastAsia="Times New Roman" w:hAnsi="Times New Roman"/>
          <w:sz w:val="18"/>
          <w:szCs w:val="18"/>
          <w:b w:val="1"/>
          <w:bCs w:val="1"/>
          <w:color w:val="auto"/>
        </w:rPr>
        <w:t>tip</w:t>
      </w:r>
      <w:r>
        <w:rPr>
          <w:rFonts w:ascii="Times New Roman" w:cs="Times New Roman" w:eastAsia="Times New Roman" w:hAnsi="Times New Roman"/>
          <w:sz w:val="18"/>
          <w:szCs w:val="18"/>
          <w:color w:val="auto"/>
        </w:rPr>
        <w:t>”) to someone who uses it for personal gain (a “</w:t>
      </w:r>
      <w:r>
        <w:rPr>
          <w:rFonts w:ascii="Times New Roman" w:cs="Times New Roman" w:eastAsia="Times New Roman" w:hAnsi="Times New Roman"/>
          <w:sz w:val="18"/>
          <w:szCs w:val="18"/>
          <w:b w:val="1"/>
          <w:bCs w:val="1"/>
          <w:color w:val="auto"/>
        </w:rPr>
        <w:t>tippee</w:t>
      </w:r>
      <w:r>
        <w:rPr>
          <w:rFonts w:ascii="Times New Roman" w:cs="Times New Roman" w:eastAsia="Times New Roman" w:hAnsi="Times New Roman"/>
          <w:sz w:val="18"/>
          <w:szCs w:val="18"/>
          <w:color w:val="auto"/>
        </w:rPr>
        <w:t>”) is illegal and squarely prohibited by this policy. Exploiting inside information like this remains unlawful regardless of how many shares are bought or sold. You can be held liable for your own transactions, as well as the transactions by a tippee and even the transactions of a tippee’s tippee. Although it is imperative to refrain from any insider trading, it is equally important to avoid even the appearance of insider trading.</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Inside Information</w:t>
      </w:r>
    </w:p>
    <w:p>
      <w:pPr>
        <w:spacing w:after="0" w:line="267" w:lineRule="exact"/>
        <w:rPr>
          <w:sz w:val="20"/>
          <w:szCs w:val="20"/>
          <w:color w:val="auto"/>
        </w:rPr>
      </w:pPr>
    </w:p>
    <w:p>
      <w:pPr>
        <w:jc w:val="both"/>
        <w:ind w:left="40" w:right="120" w:firstLine="314"/>
        <w:spacing w:after="0" w:line="269" w:lineRule="auto"/>
        <w:rPr>
          <w:sz w:val="20"/>
          <w:szCs w:val="20"/>
          <w:color w:val="auto"/>
        </w:rPr>
      </w:pPr>
      <w:r>
        <w:rPr>
          <w:rFonts w:ascii="Times New Roman" w:cs="Times New Roman" w:eastAsia="Times New Roman" w:hAnsi="Times New Roman"/>
          <w:sz w:val="18"/>
          <w:szCs w:val="18"/>
          <w:color w:val="auto"/>
        </w:rPr>
        <w:t>It is not always easy to figure out whether you possess inside information. But there is one important factor to determine whether nonpublic information you know about a public company is inside information: whether sharing the information would likely affect the market price of that company’s stock or be considered important or “material” by investors who are considering trading that company’s stock. If the information makes you want to trade, it would probably have the same effect on others. Keep in mind that both positive and negative information can be material.</w:t>
      </w:r>
    </w:p>
    <w:p>
      <w:pPr>
        <w:spacing w:after="0" w:line="157" w:lineRule="exact"/>
        <w:rPr>
          <w:sz w:val="20"/>
          <w:szCs w:val="20"/>
          <w:color w:val="auto"/>
        </w:rPr>
      </w:pPr>
    </w:p>
    <w:p>
      <w:pPr>
        <w:jc w:val="both"/>
        <w:ind w:left="40" w:right="120" w:firstLine="313"/>
        <w:spacing w:after="0" w:line="292" w:lineRule="auto"/>
        <w:rPr>
          <w:sz w:val="20"/>
          <w:szCs w:val="20"/>
          <w:color w:val="auto"/>
        </w:rPr>
      </w:pPr>
      <w:r>
        <w:rPr>
          <w:rFonts w:ascii="Times New Roman" w:cs="Times New Roman" w:eastAsia="Times New Roman" w:hAnsi="Times New Roman"/>
          <w:sz w:val="18"/>
          <w:szCs w:val="18"/>
          <w:color w:val="auto"/>
        </w:rPr>
        <w:t>The following items may be considered inside information until publicly disclosed. There may be other types of information that would qualify as inside information as well; use this list merely as a non- exhaustive guide:</w:t>
      </w:r>
    </w:p>
    <w:p>
      <w:pPr>
        <w:spacing w:after="0" w:line="202" w:lineRule="exact"/>
        <w:rPr>
          <w:sz w:val="20"/>
          <w:szCs w:val="20"/>
          <w:color w:val="auto"/>
        </w:rPr>
      </w:pPr>
    </w:p>
    <w:p>
      <w:pPr>
        <w:ind w:left="980" w:hanging="309"/>
        <w:spacing w:after="0"/>
        <w:tabs>
          <w:tab w:leader="none" w:pos="980" w:val="left"/>
        </w:tabs>
        <w:numPr>
          <w:ilvl w:val="0"/>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financial results or forecasts;</w:t>
      </w:r>
    </w:p>
    <w:p>
      <w:pPr>
        <w:spacing w:after="0" w:line="53" w:lineRule="exact"/>
        <w:rPr>
          <w:rFonts w:ascii="Arial" w:cs="Arial" w:eastAsia="Arial" w:hAnsi="Arial"/>
          <w:sz w:val="18"/>
          <w:szCs w:val="18"/>
          <w:color w:val="auto"/>
        </w:rPr>
      </w:pPr>
    </w:p>
    <w:p>
      <w:pPr>
        <w:ind w:left="980" w:hanging="309"/>
        <w:spacing w:after="0"/>
        <w:tabs>
          <w:tab w:leader="none" w:pos="980" w:val="left"/>
        </w:tabs>
        <w:numPr>
          <w:ilvl w:val="0"/>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major new products, features, or processes;</w:t>
      </w:r>
    </w:p>
    <w:p>
      <w:pPr>
        <w:spacing w:after="0" w:line="40" w:lineRule="exact"/>
        <w:rPr>
          <w:rFonts w:ascii="Arial" w:cs="Arial" w:eastAsia="Arial" w:hAnsi="Arial"/>
          <w:sz w:val="18"/>
          <w:szCs w:val="18"/>
          <w:color w:val="auto"/>
        </w:rPr>
      </w:pPr>
    </w:p>
    <w:p>
      <w:pPr>
        <w:ind w:left="980" w:hanging="309"/>
        <w:spacing w:after="0"/>
        <w:tabs>
          <w:tab w:leader="none" w:pos="980" w:val="left"/>
        </w:tabs>
        <w:numPr>
          <w:ilvl w:val="0"/>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acquisitions or dispositions of assets, divisions, or companies;</w:t>
      </w:r>
    </w:p>
    <w:p>
      <w:pPr>
        <w:spacing w:after="0" w:line="53" w:lineRule="exact"/>
        <w:rPr>
          <w:rFonts w:ascii="Arial" w:cs="Arial" w:eastAsia="Arial" w:hAnsi="Arial"/>
          <w:sz w:val="18"/>
          <w:szCs w:val="18"/>
          <w:color w:val="auto"/>
        </w:rPr>
      </w:pPr>
    </w:p>
    <w:p>
      <w:pPr>
        <w:ind w:left="980" w:hanging="309"/>
        <w:spacing w:after="0"/>
        <w:tabs>
          <w:tab w:leader="none" w:pos="980" w:val="left"/>
        </w:tabs>
        <w:numPr>
          <w:ilvl w:val="0"/>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pending public or private sales of debt or equity securities;</w:t>
      </w:r>
    </w:p>
    <w:p>
      <w:pPr>
        <w:spacing w:after="0" w:line="40" w:lineRule="exact"/>
        <w:rPr>
          <w:rFonts w:ascii="Arial" w:cs="Arial" w:eastAsia="Arial" w:hAnsi="Arial"/>
          <w:sz w:val="18"/>
          <w:szCs w:val="18"/>
          <w:color w:val="auto"/>
        </w:rPr>
      </w:pPr>
    </w:p>
    <w:p>
      <w:pPr>
        <w:ind w:left="980" w:hanging="309"/>
        <w:spacing w:after="0"/>
        <w:tabs>
          <w:tab w:leader="none" w:pos="980" w:val="left"/>
        </w:tabs>
        <w:numPr>
          <w:ilvl w:val="0"/>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stock splits, dividends, or changes in dividend policy;</w:t>
      </w:r>
    </w:p>
    <w:p>
      <w:pPr>
        <w:spacing w:after="0" w:line="53" w:lineRule="exact"/>
        <w:rPr>
          <w:rFonts w:ascii="Arial" w:cs="Arial" w:eastAsia="Arial" w:hAnsi="Arial"/>
          <w:sz w:val="18"/>
          <w:szCs w:val="18"/>
          <w:color w:val="auto"/>
        </w:rPr>
      </w:pPr>
    </w:p>
    <w:p>
      <w:pPr>
        <w:ind w:left="980" w:hanging="309"/>
        <w:spacing w:after="0"/>
        <w:tabs>
          <w:tab w:leader="none" w:pos="980" w:val="left"/>
        </w:tabs>
        <w:numPr>
          <w:ilvl w:val="0"/>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major contract awards or cancellations;</w:t>
      </w:r>
    </w:p>
    <w:p>
      <w:pPr>
        <w:spacing w:after="0" w:line="40" w:lineRule="exact"/>
        <w:rPr>
          <w:rFonts w:ascii="Arial" w:cs="Arial" w:eastAsia="Arial" w:hAnsi="Arial"/>
          <w:sz w:val="18"/>
          <w:szCs w:val="18"/>
          <w:color w:val="auto"/>
        </w:rPr>
      </w:pPr>
    </w:p>
    <w:p>
      <w:pPr>
        <w:ind w:left="980" w:hanging="309"/>
        <w:spacing w:after="0"/>
        <w:tabs>
          <w:tab w:leader="none" w:pos="980" w:val="left"/>
        </w:tabs>
        <w:numPr>
          <w:ilvl w:val="0"/>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key management or control changes;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160"/>
          </w:cols>
          <w:pgMar w:left="400" w:top="33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80" w:hanging="309"/>
        <w:spacing w:after="0"/>
        <w:tabs>
          <w:tab w:leader="none" w:pos="9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possible tender offers or proxy fights;</w:t>
      </w:r>
    </w:p>
    <w:p>
      <w:pPr>
        <w:spacing w:after="0" w:line="40" w:lineRule="exact"/>
        <w:rPr>
          <w:rFonts w:ascii="Arial" w:cs="Arial" w:eastAsia="Arial" w:hAnsi="Arial"/>
          <w:sz w:val="18"/>
          <w:szCs w:val="18"/>
          <w:color w:val="auto"/>
        </w:rPr>
      </w:pPr>
    </w:p>
    <w:p>
      <w:pPr>
        <w:ind w:left="980" w:hanging="309"/>
        <w:spacing w:after="0"/>
        <w:tabs>
          <w:tab w:leader="none" w:pos="9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significant accounting writeoffs;</w:t>
      </w:r>
    </w:p>
    <w:p>
      <w:pPr>
        <w:spacing w:after="0" w:line="53" w:lineRule="exact"/>
        <w:rPr>
          <w:rFonts w:ascii="Arial" w:cs="Arial" w:eastAsia="Arial" w:hAnsi="Arial"/>
          <w:sz w:val="18"/>
          <w:szCs w:val="18"/>
          <w:color w:val="auto"/>
        </w:rPr>
      </w:pPr>
    </w:p>
    <w:p>
      <w:pPr>
        <w:ind w:left="980" w:hanging="309"/>
        <w:spacing w:after="0"/>
        <w:tabs>
          <w:tab w:leader="none" w:pos="9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significant litigation or settlements;</w:t>
      </w:r>
    </w:p>
    <w:p>
      <w:pPr>
        <w:spacing w:after="0" w:line="40" w:lineRule="exact"/>
        <w:rPr>
          <w:rFonts w:ascii="Arial" w:cs="Arial" w:eastAsia="Arial" w:hAnsi="Arial"/>
          <w:sz w:val="18"/>
          <w:szCs w:val="18"/>
          <w:color w:val="auto"/>
        </w:rPr>
      </w:pPr>
    </w:p>
    <w:p>
      <w:pPr>
        <w:ind w:left="980" w:hanging="309"/>
        <w:spacing w:after="0"/>
        <w:tabs>
          <w:tab w:leader="none" w:pos="9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impending bankruptcy;</w:t>
      </w:r>
    </w:p>
    <w:p>
      <w:pPr>
        <w:spacing w:after="0" w:line="53" w:lineRule="exact"/>
        <w:rPr>
          <w:rFonts w:ascii="Arial" w:cs="Arial" w:eastAsia="Arial" w:hAnsi="Arial"/>
          <w:sz w:val="18"/>
          <w:szCs w:val="18"/>
          <w:color w:val="auto"/>
        </w:rPr>
      </w:pPr>
    </w:p>
    <w:p>
      <w:pPr>
        <w:ind w:left="980" w:hanging="309"/>
        <w:spacing w:after="0"/>
        <w:tabs>
          <w:tab w:leader="none" w:pos="9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gain or loss of a significant license agreement or other contracts with customers or suppliers;</w:t>
      </w:r>
    </w:p>
    <w:p>
      <w:pPr>
        <w:spacing w:after="0" w:line="40" w:lineRule="exact"/>
        <w:rPr>
          <w:rFonts w:ascii="Arial" w:cs="Arial" w:eastAsia="Arial" w:hAnsi="Arial"/>
          <w:sz w:val="18"/>
          <w:szCs w:val="18"/>
          <w:color w:val="auto"/>
        </w:rPr>
      </w:pPr>
    </w:p>
    <w:p>
      <w:pPr>
        <w:ind w:left="980" w:hanging="309"/>
        <w:spacing w:after="0"/>
        <w:tabs>
          <w:tab w:leader="none" w:pos="9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significant changes in corporate objectives;</w:t>
      </w:r>
    </w:p>
    <w:p>
      <w:pPr>
        <w:spacing w:after="0" w:line="53" w:lineRule="exact"/>
        <w:rPr>
          <w:rFonts w:ascii="Arial" w:cs="Arial" w:eastAsia="Arial" w:hAnsi="Arial"/>
          <w:sz w:val="18"/>
          <w:szCs w:val="18"/>
          <w:color w:val="auto"/>
        </w:rPr>
      </w:pPr>
    </w:p>
    <w:p>
      <w:pPr>
        <w:ind w:left="980" w:hanging="309"/>
        <w:spacing w:after="0"/>
        <w:tabs>
          <w:tab w:leader="none" w:pos="9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pricing changes or discount policies; and</w:t>
      </w:r>
    </w:p>
    <w:p>
      <w:pPr>
        <w:spacing w:after="0" w:line="40" w:lineRule="exact"/>
        <w:rPr>
          <w:rFonts w:ascii="Arial" w:cs="Arial" w:eastAsia="Arial" w:hAnsi="Arial"/>
          <w:sz w:val="18"/>
          <w:szCs w:val="18"/>
          <w:color w:val="auto"/>
        </w:rPr>
      </w:pPr>
    </w:p>
    <w:p>
      <w:pPr>
        <w:ind w:left="980" w:hanging="308"/>
        <w:spacing w:after="0"/>
        <w:tabs>
          <w:tab w:leader="none" w:pos="980" w:val="left"/>
        </w:tabs>
        <w:numPr>
          <w:ilvl w:val="0"/>
          <w:numId w:val="47"/>
        </w:numPr>
        <w:rPr>
          <w:rFonts w:ascii="Arial" w:cs="Arial" w:eastAsia="Arial" w:hAnsi="Arial"/>
          <w:sz w:val="18"/>
          <w:szCs w:val="18"/>
          <w:color w:val="auto"/>
        </w:rPr>
      </w:pPr>
      <w:r>
        <w:rPr>
          <w:rFonts w:ascii="Times New Roman" w:cs="Times New Roman" w:eastAsia="Times New Roman" w:hAnsi="Times New Roman"/>
          <w:sz w:val="18"/>
          <w:szCs w:val="18"/>
          <w:color w:val="auto"/>
        </w:rPr>
        <w:t>changes or new corporate partner relationships.</w:t>
      </w:r>
    </w:p>
    <w:p>
      <w:pPr>
        <w:spacing w:after="0" w:line="289" w:lineRule="exact"/>
        <w:rPr>
          <w:sz w:val="20"/>
          <w:szCs w:val="20"/>
          <w:color w:val="auto"/>
        </w:rPr>
      </w:pPr>
    </w:p>
    <w:p>
      <w:pPr>
        <w:jc w:val="both"/>
        <w:ind w:left="40" w:right="120" w:firstLine="627"/>
        <w:spacing w:after="0" w:line="262" w:lineRule="auto"/>
        <w:rPr>
          <w:sz w:val="20"/>
          <w:szCs w:val="20"/>
          <w:color w:val="auto"/>
        </w:rPr>
      </w:pPr>
      <w:r>
        <w:rPr>
          <w:rFonts w:ascii="Times New Roman" w:cs="Times New Roman" w:eastAsia="Times New Roman" w:hAnsi="Times New Roman"/>
          <w:sz w:val="18"/>
          <w:szCs w:val="18"/>
          <w:color w:val="auto"/>
        </w:rPr>
        <w:t>If you do possess inside information, you may not trade in a company’s stock or advise anyone else to do so, even if your decision to trade is not based on such inside information. In addition, if you possess inside information, you may not communicate the information to anyone else (other than employees whose job responsibilities require the information and are bound by this policy) until you know that the information has been publicly disseminated. This policy also applies to all family members and other household members of individuals covered by this policy and all companies controlled by individuals covered by this policy. You should never recommend to another person that they buy, hold, or sell our stock. In some circumstances, you may need to forgo a planned transaction even if you had planned it before learning of the inside information. This prohibition is absolute. So even if you believe you may suffer an economic loss or sacrifice an anticipated profit by waiting to trade, you must wait. “</w:t>
      </w:r>
      <w:r>
        <w:rPr>
          <w:rFonts w:ascii="Times New Roman" w:cs="Times New Roman" w:eastAsia="Times New Roman" w:hAnsi="Times New Roman"/>
          <w:sz w:val="18"/>
          <w:szCs w:val="18"/>
          <w:b w:val="1"/>
          <w:bCs w:val="1"/>
          <w:color w:val="auto"/>
        </w:rPr>
        <w:t>Trading</w:t>
      </w:r>
      <w:r>
        <w:rPr>
          <w:rFonts w:ascii="Times New Roman" w:cs="Times New Roman" w:eastAsia="Times New Roman" w:hAnsi="Times New Roman"/>
          <w:sz w:val="18"/>
          <w:szCs w:val="18"/>
          <w:color w:val="auto"/>
        </w:rPr>
        <w:t>” includes engaging in short sales, transactions in put or call options, hedging transactions, and other inherently speculative transactions.</w:t>
      </w:r>
    </w:p>
    <w:p>
      <w:pPr>
        <w:spacing w:after="0" w:line="179" w:lineRule="exact"/>
        <w:rPr>
          <w:sz w:val="20"/>
          <w:szCs w:val="20"/>
          <w:color w:val="auto"/>
        </w:rPr>
      </w:pPr>
    </w:p>
    <w:p>
      <w:pPr>
        <w:jc w:val="both"/>
        <w:ind w:left="40" w:right="120" w:firstLine="314"/>
        <w:spacing w:after="0" w:line="266" w:lineRule="auto"/>
        <w:rPr>
          <w:sz w:val="20"/>
          <w:szCs w:val="20"/>
          <w:color w:val="auto"/>
        </w:rPr>
      </w:pPr>
      <w:r>
        <w:rPr>
          <w:rFonts w:ascii="Times New Roman" w:cs="Times New Roman" w:eastAsia="Times New Roman" w:hAnsi="Times New Roman"/>
          <w:sz w:val="18"/>
          <w:szCs w:val="18"/>
          <w:color w:val="auto"/>
        </w:rPr>
        <w:t>The prohibition on trading when you have inside information lifts once that information becomes publicly disseminated. But for information to be considered publicly disseminated, it must be widely disclosed through a press release, a filing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other public announcement and enough time must have passed for the information to be widely known. Generally speaking, information will be considered publicly disseminated after two full trading days have elapsed since the information was publicly disclosed. For example, if we announce inside information before trading begins on Wednesday, then you may execute a transaction in MongoDB securities on Friday.</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Stock Trading by MongoDB Employees, Directors, and Consultants</w:t>
      </w:r>
    </w:p>
    <w:p>
      <w:pPr>
        <w:spacing w:after="0" w:line="307" w:lineRule="exact"/>
        <w:rPr>
          <w:sz w:val="20"/>
          <w:szCs w:val="20"/>
          <w:color w:val="auto"/>
        </w:rPr>
      </w:pPr>
    </w:p>
    <w:p>
      <w:pPr>
        <w:jc w:val="both"/>
        <w:ind w:left="40" w:right="120" w:firstLine="314"/>
        <w:spacing w:after="0" w:line="267" w:lineRule="auto"/>
        <w:rPr>
          <w:sz w:val="20"/>
          <w:szCs w:val="20"/>
          <w:color w:val="auto"/>
        </w:rPr>
      </w:pPr>
      <w:r>
        <w:rPr>
          <w:rFonts w:ascii="Times New Roman" w:cs="Times New Roman" w:eastAsia="Times New Roman" w:hAnsi="Times New Roman"/>
          <w:sz w:val="18"/>
          <w:szCs w:val="18"/>
          <w:color w:val="auto"/>
        </w:rPr>
        <w:t>Because our workplace culture tends to be open, odds are that the vast majority of MongoDB employees, directors, and consultants will possess inside information at certain points throughout the year. To minimize even the appearance of insider trading among our employees, directors, and consultants we have established trading blackout periods during which MongoDB employees, directors, and consultants—regardless of whether they possess insider information or not—may not conduct any trades in MongoDB securities. That means that all MongoDB employees, directors, and consultants will be able to sell MongoDB securities only during limited trading windows that open after MongoDB has disseminated its quarterly and annual financial results.</w:t>
      </w:r>
    </w:p>
    <w:p>
      <w:pPr>
        <w:spacing w:after="0" w:line="1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Covered Insiders</w:t>
      </w:r>
    </w:p>
    <w:p>
      <w:pPr>
        <w:spacing w:after="0" w:line="267" w:lineRule="exact"/>
        <w:rPr>
          <w:sz w:val="20"/>
          <w:szCs w:val="20"/>
          <w:color w:val="auto"/>
        </w:rPr>
      </w:pPr>
    </w:p>
    <w:p>
      <w:pPr>
        <w:jc w:val="both"/>
        <w:ind w:left="40" w:right="120" w:firstLine="314"/>
        <w:spacing w:after="0" w:line="282" w:lineRule="auto"/>
        <w:rPr>
          <w:sz w:val="20"/>
          <w:szCs w:val="20"/>
          <w:color w:val="auto"/>
        </w:rPr>
      </w:pPr>
      <w:r>
        <w:rPr>
          <w:rFonts w:ascii="Times New Roman" w:cs="Times New Roman" w:eastAsia="Times New Roman" w:hAnsi="Times New Roman"/>
          <w:sz w:val="18"/>
          <w:szCs w:val="18"/>
          <w:color w:val="auto"/>
        </w:rPr>
        <w:t>This policy sets forth a basic set of rules for all employees, directors, and consultants and a separate set of more stringent rules for officers, directors, and other members of management. What’s more, any entities, immediate family members, or others whose trading activities are controlled by persons subject to this policy are likewise subject to the same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160"/>
          </w:cols>
          <w:pgMar w:left="400" w:top="337"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Open Window</w:t>
      </w:r>
    </w:p>
    <w:p>
      <w:pPr>
        <w:spacing w:after="0" w:line="267" w:lineRule="exact"/>
        <w:rPr>
          <w:sz w:val="20"/>
          <w:szCs w:val="20"/>
          <w:color w:val="auto"/>
        </w:rPr>
      </w:pPr>
    </w:p>
    <w:p>
      <w:pPr>
        <w:jc w:val="both"/>
        <w:ind w:left="40" w:right="120" w:firstLine="314"/>
        <w:spacing w:after="0" w:line="263" w:lineRule="auto"/>
        <w:rPr>
          <w:sz w:val="20"/>
          <w:szCs w:val="20"/>
          <w:color w:val="auto"/>
        </w:rPr>
      </w:pPr>
      <w:r>
        <w:rPr>
          <w:rFonts w:ascii="Times New Roman" w:cs="Times New Roman" w:eastAsia="Times New Roman" w:hAnsi="Times New Roman"/>
          <w:sz w:val="18"/>
          <w:szCs w:val="18"/>
          <w:color w:val="auto"/>
        </w:rPr>
        <w:t>Generally, except as described in this policy, all MongoDB employees, directors, and consultants may buy or sell MongoDB securities only during an “</w:t>
      </w:r>
      <w:r>
        <w:rPr>
          <w:rFonts w:ascii="Times New Roman" w:cs="Times New Roman" w:eastAsia="Times New Roman" w:hAnsi="Times New Roman"/>
          <w:sz w:val="18"/>
          <w:szCs w:val="18"/>
          <w:b w:val="1"/>
          <w:bCs w:val="1"/>
          <w:color w:val="auto"/>
        </w:rPr>
        <w:t>open window</w:t>
      </w:r>
      <w:r>
        <w:rPr>
          <w:rFonts w:ascii="Times New Roman" w:cs="Times New Roman" w:eastAsia="Times New Roman" w:hAnsi="Times New Roman"/>
          <w:sz w:val="18"/>
          <w:szCs w:val="18"/>
          <w:color w:val="auto"/>
        </w:rPr>
        <w:t>” that opens after two full trading days have elapsed since the public dissemination of MongoDB’s annual or quarterly financial results and closes at the end of the last trading day three weeks before the end of the next fiscal quarter. This open window may be closed early or may not open at all if, in the judgment of the Chief Executive Officer, Chief Financial Officer, or General Counsel, there exists undisclosed information that would make trades by employees, directors, and consultants inappropriate. The fact that the open window has closed early or has not opened should be considered inside information. An employee, director, or consultant who believes that special circumstances require them to trade outside the open window should consult the General Counsel. Permission to trade outside the open window will be granted only where the circumstances are extenuating and there appears to be no significant risk that the trade may be subsequently questioned. Any period when the open window is closed is referred to as a “</w:t>
      </w:r>
      <w:r>
        <w:rPr>
          <w:rFonts w:ascii="Times New Roman" w:cs="Times New Roman" w:eastAsia="Times New Roman" w:hAnsi="Times New Roman"/>
          <w:sz w:val="18"/>
          <w:szCs w:val="18"/>
          <w:b w:val="1"/>
          <w:bCs w:val="1"/>
          <w:color w:val="auto"/>
        </w:rPr>
        <w:t>trading blackout period</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Exceptions to Open Window Period</w:t>
      </w:r>
    </w:p>
    <w:p>
      <w:pPr>
        <w:spacing w:after="0" w:line="263" w:lineRule="exact"/>
        <w:rPr>
          <w:sz w:val="20"/>
          <w:szCs w:val="20"/>
          <w:color w:val="auto"/>
        </w:rPr>
      </w:pPr>
    </w:p>
    <w:p>
      <w:pPr>
        <w:jc w:val="both"/>
        <w:ind w:left="40" w:right="120" w:firstLine="317"/>
        <w:spacing w:after="0" w:line="275" w:lineRule="auto"/>
        <w:tabs>
          <w:tab w:leader="none" w:pos="544" w:val="left"/>
        </w:tabs>
        <w:numPr>
          <w:ilvl w:val="0"/>
          <w:numId w:val="48"/>
        </w:numPr>
        <w:rPr>
          <w:rFonts w:ascii="Arial" w:cs="Arial" w:eastAsia="Arial" w:hAnsi="Arial"/>
          <w:sz w:val="17"/>
          <w:szCs w:val="17"/>
          <w:b w:val="1"/>
          <w:bCs w:val="1"/>
          <w:color w:val="auto"/>
        </w:rPr>
      </w:pPr>
      <w:r>
        <w:rPr>
          <w:rFonts w:ascii="Times New Roman" w:cs="Times New Roman" w:eastAsia="Times New Roman" w:hAnsi="Times New Roman"/>
          <w:sz w:val="18"/>
          <w:szCs w:val="18"/>
          <w:b w:val="1"/>
          <w:bCs w:val="1"/>
          <w:i w:val="1"/>
          <w:iCs w:val="1"/>
          <w:color w:val="auto"/>
        </w:rPr>
        <w:t>Option Exercises and RSU Net Settlement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directors, and consultants may (i) exercise options granted under MongoDB’s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plans by paying the exercise price for such options in cash, and (ii) net settle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and have MongoDB withhold shares of common stock to satisfy tax withholding obligations when RSUs settle. However, this policy would then apply to any later sales of stock that were acquired on the exercise of options or delivery of the vested RSUs. Cashless exercise of options is permitted only during an open window.</w:t>
      </w:r>
    </w:p>
    <w:p>
      <w:pPr>
        <w:spacing w:after="0" w:line="149" w:lineRule="exact"/>
        <w:rPr>
          <w:rFonts w:ascii="Arial" w:cs="Arial" w:eastAsia="Arial" w:hAnsi="Arial"/>
          <w:sz w:val="17"/>
          <w:szCs w:val="17"/>
          <w:b w:val="1"/>
          <w:bCs w:val="1"/>
          <w:color w:val="auto"/>
        </w:rPr>
      </w:pPr>
    </w:p>
    <w:p>
      <w:pPr>
        <w:jc w:val="both"/>
        <w:ind w:left="40" w:right="120" w:firstLine="317"/>
        <w:spacing w:after="0" w:line="265" w:lineRule="auto"/>
        <w:tabs>
          <w:tab w:leader="none" w:pos="544" w:val="left"/>
        </w:tabs>
        <w:numPr>
          <w:ilvl w:val="0"/>
          <w:numId w:val="48"/>
        </w:numPr>
        <w:rPr>
          <w:rFonts w:ascii="Arial" w:cs="Arial" w:eastAsia="Arial" w:hAnsi="Arial"/>
          <w:sz w:val="17"/>
          <w:szCs w:val="17"/>
          <w:b w:val="1"/>
          <w:bCs w:val="1"/>
          <w:color w:val="auto"/>
        </w:rPr>
      </w:pPr>
      <w:r>
        <w:rPr>
          <w:rFonts w:ascii="Times New Roman" w:cs="Times New Roman" w:eastAsia="Times New Roman" w:hAnsi="Times New Roman"/>
          <w:sz w:val="18"/>
          <w:szCs w:val="18"/>
          <w:b w:val="1"/>
          <w:bCs w:val="1"/>
          <w:i w:val="1"/>
          <w:iCs w:val="1"/>
          <w:color w:val="auto"/>
        </w:rPr>
        <w:t>10b5-1 Automatic Trading Programs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Rule 10b5-1 of the Securities Exchange Act of 1934, as amended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directors, and consultants may establish a trading plan under which a broker is instructed to buy and sell MongoDB securities based on pre-determined criteria (a “</w:t>
      </w:r>
      <w:r>
        <w:rPr>
          <w:rFonts w:ascii="Times New Roman" w:cs="Times New Roman" w:eastAsia="Times New Roman" w:hAnsi="Times New Roman"/>
          <w:sz w:val="18"/>
          <w:szCs w:val="18"/>
          <w:b w:val="1"/>
          <w:bCs w:val="1"/>
          <w:color w:val="auto"/>
        </w:rPr>
        <w:t>Trading Plan</w:t>
      </w:r>
      <w:r>
        <w:rPr>
          <w:rFonts w:ascii="Times New Roman" w:cs="Times New Roman" w:eastAsia="Times New Roman" w:hAnsi="Times New Roman"/>
          <w:sz w:val="18"/>
          <w:szCs w:val="18"/>
          <w:color w:val="auto"/>
        </w:rPr>
        <w:t>”). So long as a Trading Plan is properly established, purchases and sales of MongoDB securities pursuant to that plan may be made at any time—even in a trading blackout period. An employee’s, director’s, or consultant’s Trading Plan must be established in compliance with the requirements of Rule 10b5-1 of the Exchange Act and MongoDB’s 10b5-1 Trading Plan Guidelines at a time when they lacked inside information about MongoDB and when MongoDB was not in a trading blackout period. Moreover, all Trading Plans must be reviewed by MongoDB before being established to confirm that the Trading Plan complies with all pertinent company policies and the securities laws. MongoDB must be notified before a Trading Plan is established, amended, or terminated.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Prohibition of Speculative or Short-term Trading</w:t>
      </w:r>
    </w:p>
    <w:p>
      <w:pPr>
        <w:spacing w:after="0" w:line="267" w:lineRule="exact"/>
        <w:rPr>
          <w:sz w:val="20"/>
          <w:szCs w:val="20"/>
          <w:color w:val="auto"/>
        </w:rPr>
      </w:pPr>
    </w:p>
    <w:p>
      <w:pPr>
        <w:jc w:val="both"/>
        <w:ind w:left="40" w:right="120" w:firstLine="313"/>
        <w:spacing w:after="0" w:line="292" w:lineRule="auto"/>
        <w:rPr>
          <w:sz w:val="20"/>
          <w:szCs w:val="20"/>
          <w:color w:val="auto"/>
        </w:rPr>
      </w:pPr>
      <w:r>
        <w:rPr>
          <w:rFonts w:ascii="Times New Roman" w:cs="Times New Roman" w:eastAsia="Times New Roman" w:hAnsi="Times New Roman"/>
          <w:sz w:val="18"/>
          <w:szCs w:val="18"/>
          <w:color w:val="auto"/>
        </w:rPr>
        <w:t>No employee, director, or consultant to MongoDB may engage in short sales, transactions in put or call options, hedging transactions, margin accounts, pledges, or other inherently speculative transactions with respect to MongoDB’s stock.</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Pre-Clearance and Advance Notice of Transactions</w:t>
      </w:r>
    </w:p>
    <w:p>
      <w:pPr>
        <w:spacing w:after="0" w:line="281" w:lineRule="exact"/>
        <w:rPr>
          <w:sz w:val="20"/>
          <w:szCs w:val="20"/>
          <w:color w:val="auto"/>
        </w:rPr>
      </w:pPr>
    </w:p>
    <w:p>
      <w:pPr>
        <w:jc w:val="both"/>
        <w:ind w:left="40" w:right="120" w:firstLine="313"/>
        <w:spacing w:after="0" w:line="266" w:lineRule="auto"/>
        <w:rPr>
          <w:sz w:val="20"/>
          <w:szCs w:val="20"/>
          <w:color w:val="auto"/>
        </w:rPr>
      </w:pPr>
      <w:r>
        <w:rPr>
          <w:rFonts w:ascii="Times New Roman" w:cs="Times New Roman" w:eastAsia="Times New Roman" w:hAnsi="Times New Roman"/>
          <w:sz w:val="18"/>
          <w:szCs w:val="18"/>
          <w:color w:val="auto"/>
        </w:rPr>
        <w:t>In addition to the requirements above, officers, directors, and other applicable members of management who have been notified that they are subject to pre-clearance requirements face a further restriction: Even during an open trading window, they may not engage in any transaction in MongoDB’s securities, including any purchase or sale in the open market, loan, or other transfer of beneficial ownership without first obtaining pre-clearance of the transaction from MongoDB’s General Counsel or his/her designee before the proposed transaction. The General Counsel or his/her designee will then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160"/>
          </w:cols>
          <w:pgMar w:left="400" w:top="33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40" w:right="120"/>
        <w:spacing w:after="0" w:line="275" w:lineRule="auto"/>
        <w:rPr>
          <w:sz w:val="20"/>
          <w:szCs w:val="20"/>
          <w:color w:val="auto"/>
        </w:rPr>
      </w:pPr>
      <w:r>
        <w:rPr>
          <w:rFonts w:ascii="Times New Roman" w:cs="Times New Roman" w:eastAsia="Times New Roman" w:hAnsi="Times New Roman"/>
          <w:sz w:val="18"/>
          <w:szCs w:val="18"/>
          <w:color w:val="auto"/>
        </w:rPr>
        <w:t>determine whether the transaction may proceed and, if so, will direct the Compliance Coordinator (as identified in MongoDB’s Section 16 Compliance Program) to help comply with any required reporting requirements under Section 16(a) of the Exchange Act. Pre-cleared transactions not completed within two business days will require new pre-clearance. MongoDB may choose to shorten this period.</w:t>
      </w:r>
    </w:p>
    <w:p>
      <w:pPr>
        <w:spacing w:after="0" w:line="164" w:lineRule="exact"/>
        <w:rPr>
          <w:sz w:val="20"/>
          <w:szCs w:val="20"/>
          <w:color w:val="auto"/>
        </w:rPr>
      </w:pPr>
    </w:p>
    <w:p>
      <w:pPr>
        <w:jc w:val="both"/>
        <w:ind w:left="40" w:right="120" w:firstLine="314"/>
        <w:spacing w:after="0" w:line="269" w:lineRule="auto"/>
        <w:rPr>
          <w:sz w:val="20"/>
          <w:szCs w:val="20"/>
          <w:color w:val="auto"/>
        </w:rPr>
      </w:pPr>
      <w:r>
        <w:rPr>
          <w:rFonts w:ascii="Times New Roman" w:cs="Times New Roman" w:eastAsia="Times New Roman" w:hAnsi="Times New Roman"/>
          <w:sz w:val="18"/>
          <w:szCs w:val="18"/>
          <w:color w:val="auto"/>
        </w:rPr>
        <w:t>For persons subject to pre-clearance, advance notice of gifts or plans to exercise an outstanding stock option must be given to the Compliance Coordinator or General Counsel. Once any transaction takes place, the officer, director, or applicable member of management must immediately notify the Compliance Coordinator and any other individuals identified under the heading “Notification of Execution of Transaction” in MongoDB’s Section 16 Compliance Program so that MongoDB may assist in any Section 16 reporting obligations.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Short-Swing Trading, Control Stock, and Section 16 Reports</w:t>
      </w:r>
    </w:p>
    <w:p>
      <w:pPr>
        <w:spacing w:after="0" w:line="267" w:lineRule="exact"/>
        <w:rPr>
          <w:sz w:val="20"/>
          <w:szCs w:val="20"/>
          <w:color w:val="auto"/>
        </w:rPr>
      </w:pPr>
    </w:p>
    <w:p>
      <w:pPr>
        <w:jc w:val="both"/>
        <w:ind w:left="40" w:right="120" w:firstLine="314"/>
        <w:spacing w:after="0" w:line="274" w:lineRule="auto"/>
        <w:rPr>
          <w:sz w:val="20"/>
          <w:szCs w:val="20"/>
          <w:color w:val="auto"/>
        </w:rPr>
      </w:pPr>
      <w:r>
        <w:rPr>
          <w:rFonts w:ascii="Times New Roman" w:cs="Times New Roman" w:eastAsia="Times New Roman" w:hAnsi="Times New Roman"/>
          <w:sz w:val="18"/>
          <w:szCs w:val="18"/>
          <w:color w:val="auto"/>
        </w:rPr>
        <w:t>Officers and directors subject to the reporting obligations under Section 16 of the Exchange Act may not violate the prohibition on short-swing trading (Section 16(b) of the Exchange Act) and the restrictions on sales by control persons (Rule 144 under the Securities Act of 1933, as amended). In addition, such officers and directors will file all appropriate Section 16(a) reports (Forms 3, 4, and 5), which are described in MongoDB’s Section 16 Compliance Program, and any notices of sale required by Rule 144.</w:t>
      </w:r>
    </w:p>
    <w:p>
      <w:pPr>
        <w:spacing w:after="0" w:line="1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Prohibition of Trading During Pension Fund Blackouts</w:t>
      </w:r>
    </w:p>
    <w:p>
      <w:pPr>
        <w:spacing w:after="0" w:line="281" w:lineRule="exact"/>
        <w:rPr>
          <w:sz w:val="20"/>
          <w:szCs w:val="20"/>
          <w:color w:val="auto"/>
        </w:rPr>
      </w:pPr>
    </w:p>
    <w:p>
      <w:pPr>
        <w:jc w:val="both"/>
        <w:ind w:left="40" w:right="120" w:firstLine="314"/>
        <w:spacing w:after="0" w:line="263" w:lineRule="auto"/>
        <w:rPr>
          <w:sz w:val="20"/>
          <w:szCs w:val="20"/>
          <w:color w:val="auto"/>
        </w:rPr>
      </w:pPr>
      <w:r>
        <w:rPr>
          <w:rFonts w:ascii="Times New Roman" w:cs="Times New Roman" w:eastAsia="Times New Roman" w:hAnsi="Times New Roman"/>
          <w:sz w:val="18"/>
          <w:szCs w:val="18"/>
          <w:color w:val="auto"/>
        </w:rPr>
        <w:t>In accordance with Regulation BTR under the Exchange Act, no director or executive officer of MongoDB may, directly or indirectly, purchase, sell or otherwise acquire or transfer any equity security of MongoDB (other than an exempt security) during any “blackout period’’ (as defined in Regulation BTR) with respect to such equity security, if a director or executive officer acquires or previously acquired such equity security in connection with his or her service or employment as a director or executive officer. This prohibition does not apply to any transactions that are specifically exempted, including but not limited to, purchases or sales of MongoDB’s securities made pursuant to, and in compliance with, a Trading Plan; compensatory grants or awards of equity securities pursuant to a plan that, by its terms, permits executive officers and directors to receive automatic grants or awards and specifies the terms of the grants and awards; acquisitions or dispositions of equity securities involving a bona fide gift or by will or the laws of descent or pursuant to a domestic relations order. MongoDB will notify each director and executive officer of any blackout periods in accordance with the provisions of Regulation BTR.</w:t>
      </w:r>
    </w:p>
    <w:p>
      <w:pPr>
        <w:spacing w:after="0" w:line="1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Exceptions</w:t>
      </w:r>
    </w:p>
    <w:p>
      <w:pPr>
        <w:spacing w:after="0" w:line="267" w:lineRule="exact"/>
        <w:rPr>
          <w:sz w:val="20"/>
          <w:szCs w:val="20"/>
          <w:color w:val="auto"/>
        </w:rPr>
      </w:pPr>
    </w:p>
    <w:p>
      <w:pPr>
        <w:jc w:val="both"/>
        <w:ind w:left="40" w:right="120" w:firstLine="314"/>
        <w:spacing w:after="0" w:line="276" w:lineRule="auto"/>
        <w:rPr>
          <w:sz w:val="20"/>
          <w:szCs w:val="20"/>
          <w:color w:val="auto"/>
        </w:rPr>
      </w:pPr>
      <w:r>
        <w:rPr>
          <w:rFonts w:ascii="Times New Roman" w:cs="Times New Roman" w:eastAsia="Times New Roman" w:hAnsi="Times New Roman"/>
          <w:sz w:val="18"/>
          <w:szCs w:val="18"/>
          <w:color w:val="auto"/>
        </w:rPr>
        <w:t>The only exceptions to these trading restrictions are permitted transactions directly with MongoDB, such as option exercises for cash. However, the subsequent sale or other disposition of stock is subject to these restrictions. The sale of shares in a cashless exercise is also subject to these restrictions.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Policy’s Duration</w:t>
      </w:r>
    </w:p>
    <w:p>
      <w:pPr>
        <w:spacing w:after="0" w:line="307" w:lineRule="exact"/>
        <w:rPr>
          <w:sz w:val="20"/>
          <w:szCs w:val="20"/>
          <w:color w:val="auto"/>
        </w:rPr>
      </w:pPr>
    </w:p>
    <w:p>
      <w:pPr>
        <w:jc w:val="both"/>
        <w:ind w:left="40" w:right="120" w:firstLine="314"/>
        <w:spacing w:after="0" w:line="264" w:lineRule="auto"/>
        <w:rPr>
          <w:sz w:val="20"/>
          <w:szCs w:val="20"/>
          <w:color w:val="auto"/>
        </w:rPr>
      </w:pPr>
      <w:r>
        <w:rPr>
          <w:rFonts w:ascii="Times New Roman" w:cs="Times New Roman" w:eastAsia="Times New Roman" w:hAnsi="Times New Roman"/>
          <w:sz w:val="18"/>
          <w:szCs w:val="18"/>
          <w:color w:val="auto"/>
        </w:rPr>
        <w:t>This policy continues to apply to your transactions in MongoDB’s stock or the stock of other public companies engaged in business transactions with MongoDB even after your relationship with MongoDB has ended, including any then current trading blackout period. If you possess inside information when your relationship with MongoDB ends, you may not trade MongoDB’s stock or the stock of other companies until the inside information has been publicly disseminated or is no longer material.</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160"/>
          </w:cols>
          <w:pgMar w:left="400" w:top="337"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Penalties</w:t>
      </w:r>
    </w:p>
    <w:p>
      <w:pPr>
        <w:spacing w:after="0" w:line="307" w:lineRule="exact"/>
        <w:rPr>
          <w:sz w:val="20"/>
          <w:szCs w:val="20"/>
          <w:color w:val="auto"/>
        </w:rPr>
      </w:pPr>
    </w:p>
    <w:p>
      <w:pPr>
        <w:jc w:val="both"/>
        <w:ind w:left="40" w:right="120" w:firstLine="313"/>
        <w:spacing w:after="0" w:line="275" w:lineRule="auto"/>
        <w:rPr>
          <w:sz w:val="20"/>
          <w:szCs w:val="20"/>
          <w:color w:val="auto"/>
        </w:rPr>
      </w:pPr>
      <w:r>
        <w:rPr>
          <w:rFonts w:ascii="Times New Roman" w:cs="Times New Roman" w:eastAsia="Times New Roman" w:hAnsi="Times New Roman"/>
          <w:sz w:val="18"/>
          <w:szCs w:val="18"/>
          <w:color w:val="auto"/>
        </w:rPr>
        <w:t xml:space="preserve">Anyone who engages in insider trading or otherwise violates this policy may be subject to both civil liability and criminal penalties. Violators also risk disciplinary action by MongoDB, including termination. Anyone who has questions about this policy should contact their own attorney or </w:t>
      </w:r>
      <w:r>
        <w:rPr>
          <w:rFonts w:ascii="Times New Roman" w:cs="Times New Roman" w:eastAsia="Times New Roman" w:hAnsi="Times New Roman"/>
          <w:sz w:val="18"/>
          <w:szCs w:val="18"/>
          <w:u w:val="single" w:color="auto"/>
          <w:color w:val="0000FF"/>
        </w:rPr>
        <w:t>trading@mongodb.com</w:t>
      </w:r>
      <w:r>
        <w:rPr>
          <w:rFonts w:ascii="Times New Roman" w:cs="Times New Roman" w:eastAsia="Times New Roman" w:hAnsi="Times New Roman"/>
          <w:sz w:val="18"/>
          <w:szCs w:val="18"/>
          <w:color w:val="000000"/>
        </w:rPr>
        <w:t>. Please also see Frequently Asked Questions, which are attached as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b w:val="1"/>
          <w:bCs w:val="1"/>
          <w:color w:val="000000"/>
        </w:rPr>
        <w:t>Exhibit A</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160"/>
          </w:cols>
          <w:pgMar w:left="400" w:top="337"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Frequently Asked Questions</w:t>
      </w:r>
    </w:p>
    <w:p>
      <w:pPr>
        <w:spacing w:after="0" w:line="239" w:lineRule="exact"/>
        <w:rPr>
          <w:sz w:val="20"/>
          <w:szCs w:val="20"/>
          <w:color w:val="auto"/>
        </w:rPr>
      </w:pPr>
    </w:p>
    <w:p>
      <w:pPr>
        <w:ind w:left="700" w:hanging="616"/>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is insider trading?</w:t>
      </w:r>
    </w:p>
    <w:p>
      <w:pPr>
        <w:spacing w:after="0" w:line="267" w:lineRule="exact"/>
        <w:rPr>
          <w:rFonts w:ascii="Times New Roman" w:cs="Times New Roman" w:eastAsia="Times New Roman" w:hAnsi="Times New Roman"/>
          <w:sz w:val="18"/>
          <w:szCs w:val="18"/>
          <w:b w:val="1"/>
          <w:bCs w:val="1"/>
          <w:color w:val="auto"/>
        </w:rPr>
      </w:pPr>
    </w:p>
    <w:p>
      <w:pPr>
        <w:jc w:val="both"/>
        <w:ind w:left="80" w:right="120" w:firstLine="631"/>
        <w:spacing w:after="0" w:line="269" w:lineRule="auto"/>
        <w:tabs>
          <w:tab w:leader="none" w:pos="972"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Insider trading is the buying or selling of stocks, bonds, futures, or other securities by someone who possesses material nonpublic information. Insider trading also includes trading in options (puts and calls) where the price is linked to the underlying price of a company’s stock. It does not matter how many shares you buy or sell, or whether it has an effect on the stock price. Bottom line: If you have material nonpublic information and you trade, you have broken the law.</w:t>
      </w:r>
    </w:p>
    <w:p>
      <w:pPr>
        <w:spacing w:after="0" w:line="152" w:lineRule="exact"/>
        <w:rPr>
          <w:rFonts w:ascii="Times New Roman" w:cs="Times New Roman" w:eastAsia="Times New Roman" w:hAnsi="Times New Roman"/>
          <w:sz w:val="18"/>
          <w:szCs w:val="18"/>
          <w:b w:val="1"/>
          <w:bCs w:val="1"/>
          <w:color w:val="auto"/>
        </w:rPr>
      </w:pPr>
    </w:p>
    <w:p>
      <w:pPr>
        <w:ind w:left="700" w:hanging="616"/>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Why is insider trading illegal?</w:t>
      </w:r>
    </w:p>
    <w:p>
      <w:pPr>
        <w:spacing w:after="0" w:line="280" w:lineRule="exact"/>
        <w:rPr>
          <w:rFonts w:ascii="Times New Roman" w:cs="Times New Roman" w:eastAsia="Times New Roman" w:hAnsi="Times New Roman"/>
          <w:sz w:val="18"/>
          <w:szCs w:val="18"/>
          <w:b w:val="1"/>
          <w:bCs w:val="1"/>
          <w:color w:val="auto"/>
        </w:rPr>
      </w:pPr>
    </w:p>
    <w:p>
      <w:pPr>
        <w:jc w:val="both"/>
        <w:ind w:left="80" w:right="120" w:firstLine="631"/>
        <w:spacing w:after="0" w:line="275" w:lineRule="auto"/>
        <w:tabs>
          <w:tab w:leader="none" w:pos="94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company insiders are able to use their confidential knowledge to their financial advantage, other investors would not have confidence in the fairness and integrity of the market. This ensures that there is an even playing field by requiring those who have inside information to disclose the information to the public or refrain from trading.</w:t>
      </w:r>
    </w:p>
    <w:p>
      <w:pPr>
        <w:spacing w:after="0" w:line="147" w:lineRule="exact"/>
        <w:rPr>
          <w:rFonts w:ascii="Times New Roman" w:cs="Times New Roman" w:eastAsia="Times New Roman" w:hAnsi="Times New Roman"/>
          <w:sz w:val="18"/>
          <w:szCs w:val="18"/>
          <w:b w:val="1"/>
          <w:bCs w:val="1"/>
          <w:color w:val="auto"/>
        </w:rPr>
      </w:pPr>
    </w:p>
    <w:p>
      <w:pPr>
        <w:ind w:left="700" w:hanging="616"/>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is material nonpublic information?</w:t>
      </w:r>
    </w:p>
    <w:p>
      <w:pPr>
        <w:spacing w:after="0" w:line="267" w:lineRule="exact"/>
        <w:rPr>
          <w:rFonts w:ascii="Times New Roman" w:cs="Times New Roman" w:eastAsia="Times New Roman" w:hAnsi="Times New Roman"/>
          <w:sz w:val="18"/>
          <w:szCs w:val="18"/>
          <w:b w:val="1"/>
          <w:bCs w:val="1"/>
          <w:color w:val="auto"/>
        </w:rPr>
      </w:pPr>
    </w:p>
    <w:p>
      <w:pPr>
        <w:jc w:val="both"/>
        <w:ind w:left="80" w:right="120" w:firstLine="630"/>
        <w:spacing w:after="0" w:line="275" w:lineRule="auto"/>
        <w:tabs>
          <w:tab w:leader="none" w:pos="946"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Information is material if it would influence a reasonable investor to buy or sell a stock, bond future, or other security. This could mean many things: financial results, potential acquisitions, or major contracts to name just a few. Information is nonpublic if it has not yet been released and disseminated to the public.</w:t>
      </w:r>
    </w:p>
    <w:p>
      <w:pPr>
        <w:spacing w:after="0" w:line="147" w:lineRule="exact"/>
        <w:rPr>
          <w:rFonts w:ascii="Times New Roman" w:cs="Times New Roman" w:eastAsia="Times New Roman" w:hAnsi="Times New Roman"/>
          <w:sz w:val="18"/>
          <w:szCs w:val="18"/>
          <w:b w:val="1"/>
          <w:bCs w:val="1"/>
          <w:color w:val="auto"/>
        </w:rPr>
      </w:pPr>
    </w:p>
    <w:p>
      <w:pPr>
        <w:ind w:left="700" w:hanging="617"/>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Who can be guilty of insider trading?</w:t>
      </w:r>
    </w:p>
    <w:p>
      <w:pPr>
        <w:spacing w:after="0" w:line="280" w:lineRule="exact"/>
        <w:rPr>
          <w:rFonts w:ascii="Times New Roman" w:cs="Times New Roman" w:eastAsia="Times New Roman" w:hAnsi="Times New Roman"/>
          <w:sz w:val="18"/>
          <w:szCs w:val="18"/>
          <w:b w:val="1"/>
          <w:bCs w:val="1"/>
          <w:color w:val="auto"/>
        </w:rPr>
      </w:pPr>
    </w:p>
    <w:p>
      <w:pPr>
        <w:jc w:val="both"/>
        <w:ind w:left="80" w:right="120" w:firstLine="630"/>
        <w:spacing w:after="0" w:line="269" w:lineRule="auto"/>
        <w:tabs>
          <w:tab w:leader="none" w:pos="959"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Anyone who buys, sells or provides material nonpublic information that someone else uses to buy or sell a security can be guilty of insider trading. This applies to all individuals, including officers, directors, and others who don’t even work at MongoDB. Regardless of who you are, if you know something material about the value of a security that not everyone knows and you or one of your associates trades while in possession of that material information, you can be found guilty of insider trading.</w:t>
      </w:r>
    </w:p>
    <w:p>
      <w:pPr>
        <w:spacing w:after="0" w:line="152" w:lineRule="exact"/>
        <w:rPr>
          <w:rFonts w:ascii="Times New Roman" w:cs="Times New Roman" w:eastAsia="Times New Roman" w:hAnsi="Times New Roman"/>
          <w:sz w:val="18"/>
          <w:szCs w:val="18"/>
          <w:b w:val="1"/>
          <w:bCs w:val="1"/>
          <w:color w:val="auto"/>
        </w:rPr>
      </w:pPr>
    </w:p>
    <w:p>
      <w:pPr>
        <w:ind w:left="700" w:hanging="617"/>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Does MongoDB have an insider trading policy?</w:t>
      </w:r>
    </w:p>
    <w:p>
      <w:pPr>
        <w:spacing w:after="0" w:line="267" w:lineRule="exact"/>
        <w:rPr>
          <w:rFonts w:ascii="Times New Roman" w:cs="Times New Roman" w:eastAsia="Times New Roman" w:hAnsi="Times New Roman"/>
          <w:sz w:val="18"/>
          <w:szCs w:val="18"/>
          <w:b w:val="1"/>
          <w:bCs w:val="1"/>
          <w:color w:val="auto"/>
        </w:rPr>
      </w:pPr>
    </w:p>
    <w:p>
      <w:pPr>
        <w:ind w:left="940" w:hanging="230"/>
        <w:spacing w:after="0"/>
        <w:tabs>
          <w:tab w:leader="none" w:pos="940"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insider trading policy is available to read on the Equity page on the MongoDB wiki.</w:t>
      </w:r>
    </w:p>
    <w:p>
      <w:pPr>
        <w:spacing w:after="0" w:line="246" w:lineRule="exact"/>
        <w:rPr>
          <w:rFonts w:ascii="Times New Roman" w:cs="Times New Roman" w:eastAsia="Times New Roman" w:hAnsi="Times New Roman"/>
          <w:sz w:val="18"/>
          <w:szCs w:val="18"/>
          <w:b w:val="1"/>
          <w:bCs w:val="1"/>
          <w:color w:val="auto"/>
        </w:rPr>
      </w:pPr>
    </w:p>
    <w:p>
      <w:pPr>
        <w:ind w:left="700" w:hanging="616"/>
        <w:spacing w:after="0"/>
        <w:tabs>
          <w:tab w:leader="none" w:pos="7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if I work in a foreign office?</w:t>
      </w:r>
    </w:p>
    <w:p>
      <w:pPr>
        <w:spacing w:after="0" w:line="267" w:lineRule="exact"/>
        <w:rPr>
          <w:rFonts w:ascii="Times New Roman" w:cs="Times New Roman" w:eastAsia="Times New Roman" w:hAnsi="Times New Roman"/>
          <w:sz w:val="18"/>
          <w:szCs w:val="18"/>
          <w:b w:val="1"/>
          <w:bCs w:val="1"/>
          <w:color w:val="auto"/>
        </w:rPr>
      </w:pPr>
    </w:p>
    <w:p>
      <w:pPr>
        <w:jc w:val="both"/>
        <w:ind w:left="80" w:right="120" w:firstLine="630"/>
        <w:spacing w:after="0" w:line="270" w:lineRule="auto"/>
        <w:tabs>
          <w:tab w:leader="none" w:pos="959"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same rules apply to U.S. and foreign employees and consultants. Because our Class A common stock trades on a U.S. securities exchange, the insider trading laws of the United States apply. The Securities and Exchange Commission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MongoDB employee or consultant, our policies apply to you no matter where you work.</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00"/>
          </w:cols>
          <w:pgMar w:left="360" w:top="337"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20" w:hanging="616"/>
        <w:spacing w:after="0"/>
        <w:tabs>
          <w:tab w:leader="none" w:pos="6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if I don’t buy or sell anything, but I tell someone else the information and they buy or sell?</w:t>
      </w:r>
    </w:p>
    <w:p>
      <w:pPr>
        <w:spacing w:after="0" w:line="228" w:lineRule="exact"/>
        <w:rPr>
          <w:rFonts w:ascii="Times New Roman" w:cs="Times New Roman" w:eastAsia="Times New Roman" w:hAnsi="Times New Roman"/>
          <w:sz w:val="18"/>
          <w:szCs w:val="18"/>
          <w:b w:val="1"/>
          <w:bCs w:val="1"/>
          <w:color w:val="auto"/>
        </w:rPr>
      </w:pPr>
    </w:p>
    <w:p>
      <w:pPr>
        <w:jc w:val="both"/>
        <w:ind w:right="120" w:firstLine="630"/>
        <w:spacing w:after="0" w:line="266" w:lineRule="auto"/>
        <w:tabs>
          <w:tab w:leader="none" w:pos="865"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is called “tipping.” You are the “tipper” and the other person is called the “tippee.” If the tippee buys or sells based on that material nonpublic information, you might still be guilty of insider trading. In fact, if you tell family members who tell others and those people then trade on the information, those family members might be guilty of insider trading too. To prevent this, you should not discuss material nonpublic information about the company with anyone outside MongoDB, including spouses, family members, friends, or business associates. This includes anonymous discussions on the internet about MongoDB or companies with which MongoDB does business.</w:t>
      </w:r>
    </w:p>
    <w:p>
      <w:pPr>
        <w:spacing w:after="0" w:line="155" w:lineRule="exact"/>
        <w:rPr>
          <w:rFonts w:ascii="Times New Roman" w:cs="Times New Roman" w:eastAsia="Times New Roman" w:hAnsi="Times New Roman"/>
          <w:sz w:val="18"/>
          <w:szCs w:val="18"/>
          <w:b w:val="1"/>
          <w:bCs w:val="1"/>
          <w:color w:val="auto"/>
        </w:rPr>
      </w:pPr>
    </w:p>
    <w:p>
      <w:pPr>
        <w:ind w:left="620" w:hanging="615"/>
        <w:spacing w:after="0"/>
        <w:tabs>
          <w:tab w:leader="none" w:pos="6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if I don’t tell them the information itself; I just tell them whether they should buy or sell?</w:t>
      </w:r>
    </w:p>
    <w:p>
      <w:pPr>
        <w:spacing w:after="0" w:line="254" w:lineRule="exact"/>
        <w:rPr>
          <w:rFonts w:ascii="Times New Roman" w:cs="Times New Roman" w:eastAsia="Times New Roman" w:hAnsi="Times New Roman"/>
          <w:sz w:val="18"/>
          <w:szCs w:val="18"/>
          <w:b w:val="1"/>
          <w:bCs w:val="1"/>
          <w:color w:val="auto"/>
        </w:rPr>
      </w:pPr>
    </w:p>
    <w:p>
      <w:pPr>
        <w:ind w:right="120" w:firstLine="632"/>
        <w:spacing w:after="0" w:line="292" w:lineRule="auto"/>
        <w:tabs>
          <w:tab w:leader="none" w:pos="866"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is still tipping, and you can still be responsible for insider trading. You should not recommend to another person that they buy, hold, or sell our common stock or any derivative security related to our common stock, since that could be a form of tipping.</w:t>
      </w:r>
    </w:p>
    <w:p>
      <w:pPr>
        <w:spacing w:after="0" w:line="171" w:lineRule="exact"/>
        <w:rPr>
          <w:rFonts w:ascii="Times New Roman" w:cs="Times New Roman" w:eastAsia="Times New Roman" w:hAnsi="Times New Roman"/>
          <w:sz w:val="18"/>
          <w:szCs w:val="18"/>
          <w:b w:val="1"/>
          <w:bCs w:val="1"/>
          <w:color w:val="auto"/>
        </w:rPr>
      </w:pPr>
    </w:p>
    <w:p>
      <w:pPr>
        <w:ind w:left="620" w:hanging="615"/>
        <w:spacing w:after="0"/>
        <w:tabs>
          <w:tab w:leader="none" w:pos="6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are the penalties if I trade on inside information or tip off someone else?</w:t>
      </w:r>
    </w:p>
    <w:p>
      <w:pPr>
        <w:spacing w:after="0" w:line="280" w:lineRule="exact"/>
        <w:rPr>
          <w:rFonts w:ascii="Times New Roman" w:cs="Times New Roman" w:eastAsia="Times New Roman" w:hAnsi="Times New Roman"/>
          <w:sz w:val="18"/>
          <w:szCs w:val="18"/>
          <w:b w:val="1"/>
          <w:bCs w:val="1"/>
          <w:color w:val="auto"/>
        </w:rPr>
      </w:pPr>
    </w:p>
    <w:p>
      <w:pPr>
        <w:jc w:val="both"/>
        <w:ind w:right="120" w:firstLine="631"/>
        <w:spacing w:after="0" w:line="268" w:lineRule="auto"/>
        <w:tabs>
          <w:tab w:leader="none" w:pos="878"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disciplinary action by MongoDB—which may include termination—you may be liable for civil penalties for trading on inside information. The penalties for doing so may include paying the U.S. government up to three times any profit made or any loss avoided. Persons found liable for tipping inside information, even if they did not trade themselves, may also face a penalty of up to three times the amount of any profit gained or loss avoided by everyone in the chain of tippees. In addition, anyone convicted of criminal insider trading could face prison and additional fines.</w:t>
      </w:r>
    </w:p>
    <w:p>
      <w:pPr>
        <w:spacing w:after="0" w:line="378" w:lineRule="exact"/>
        <w:rPr>
          <w:rFonts w:ascii="Times New Roman" w:cs="Times New Roman" w:eastAsia="Times New Roman" w:hAnsi="Times New Roman"/>
          <w:sz w:val="18"/>
          <w:szCs w:val="18"/>
          <w:b w:val="1"/>
          <w:bCs w:val="1"/>
          <w:color w:val="auto"/>
        </w:rPr>
      </w:pPr>
    </w:p>
    <w:p>
      <w:pPr>
        <w:ind w:left="620" w:hanging="614"/>
        <w:spacing w:after="0"/>
        <w:tabs>
          <w:tab w:leader="none" w:pos="6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is “loss avoided”?</w:t>
      </w:r>
    </w:p>
    <w:p>
      <w:pPr>
        <w:spacing w:after="0" w:line="254" w:lineRule="exact"/>
        <w:rPr>
          <w:rFonts w:ascii="Times New Roman" w:cs="Times New Roman" w:eastAsia="Times New Roman" w:hAnsi="Times New Roman"/>
          <w:sz w:val="18"/>
          <w:szCs w:val="18"/>
          <w:b w:val="1"/>
          <w:bCs w:val="1"/>
          <w:color w:val="auto"/>
        </w:rPr>
      </w:pPr>
    </w:p>
    <w:p>
      <w:pPr>
        <w:ind w:right="120" w:firstLine="632"/>
        <w:spacing w:after="0" w:line="292" w:lineRule="auto"/>
        <w:tabs>
          <w:tab w:leader="none" w:pos="865"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sell common stock or a related derivative security before negative news is publicly announced, and as a result of the announcement the stock price declines, you have avoided the loss caused by the negative news.</w:t>
      </w:r>
    </w:p>
    <w:p>
      <w:pPr>
        <w:spacing w:after="0" w:line="184" w:lineRule="exact"/>
        <w:rPr>
          <w:rFonts w:ascii="Times New Roman" w:cs="Times New Roman" w:eastAsia="Times New Roman" w:hAnsi="Times New Roman"/>
          <w:sz w:val="18"/>
          <w:szCs w:val="18"/>
          <w:b w:val="1"/>
          <w:bCs w:val="1"/>
          <w:color w:val="auto"/>
        </w:rPr>
      </w:pPr>
    </w:p>
    <w:p>
      <w:pPr>
        <w:ind w:left="500" w:hanging="495"/>
        <w:spacing w:after="0"/>
        <w:tabs>
          <w:tab w:leader="none" w:pos="5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 I restricted from trading securities of any companies other than MongoDB, for example a customer or competitor of MongoDB?</w:t>
      </w:r>
    </w:p>
    <w:p>
      <w:pPr>
        <w:spacing w:after="0" w:line="228" w:lineRule="exact"/>
        <w:rPr>
          <w:rFonts w:ascii="Times New Roman" w:cs="Times New Roman" w:eastAsia="Times New Roman" w:hAnsi="Times New Roman"/>
          <w:sz w:val="18"/>
          <w:szCs w:val="18"/>
          <w:b w:val="1"/>
          <w:bCs w:val="1"/>
          <w:color w:val="auto"/>
        </w:rPr>
      </w:pPr>
    </w:p>
    <w:p>
      <w:pPr>
        <w:jc w:val="both"/>
        <w:ind w:right="120" w:firstLine="632"/>
        <w:spacing w:after="0" w:line="269" w:lineRule="auto"/>
        <w:tabs>
          <w:tab w:leader="none" w:pos="865"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Possibly. U.S. insider trading laws restrict everyone from trading in a company’s securities based on material nonpublic information about that company, regardless of whether the person is directly connected with that company. Therefore, if you have material nonpublic information about another company, you should not trade in that company’s securities. You should be particularly conscious of this restriction if, through your position at MongoDB, you sometimes obtain sensitive, material information about other companies and their business dealings with MongoDB.</w:t>
      </w:r>
    </w:p>
    <w:p>
      <w:pPr>
        <w:spacing w:after="0" w:line="152" w:lineRule="exact"/>
        <w:rPr>
          <w:rFonts w:ascii="Times New Roman" w:cs="Times New Roman" w:eastAsia="Times New Roman" w:hAnsi="Times New Roman"/>
          <w:sz w:val="18"/>
          <w:szCs w:val="18"/>
          <w:b w:val="1"/>
          <w:bCs w:val="1"/>
          <w:color w:val="auto"/>
        </w:rPr>
      </w:pPr>
    </w:p>
    <w:p>
      <w:pPr>
        <w:ind w:left="500" w:hanging="494"/>
        <w:spacing w:after="0"/>
        <w:tabs>
          <w:tab w:leader="none" w:pos="5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So if I do not trade MongoDB securities when I have material nonpublic information, and I don’t “tip” other people, I am in the clear,</w:t>
      </w:r>
    </w:p>
    <w:p>
      <w:pPr>
        <w:spacing w:after="0" w:line="34"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right?</w:t>
      </w:r>
    </w:p>
    <w:p>
      <w:pPr>
        <w:spacing w:after="0" w:line="248" w:lineRule="exact"/>
        <w:rPr>
          <w:rFonts w:ascii="Times New Roman" w:cs="Times New Roman" w:eastAsia="Times New Roman" w:hAnsi="Times New Roman"/>
          <w:sz w:val="18"/>
          <w:szCs w:val="18"/>
          <w:b w:val="1"/>
          <w:bCs w:val="1"/>
          <w:color w:val="auto"/>
        </w:rPr>
      </w:pPr>
    </w:p>
    <w:p>
      <w:pPr>
        <w:jc w:val="both"/>
        <w:ind w:right="120" w:firstLine="633"/>
        <w:spacing w:after="0" w:line="269" w:lineRule="auto"/>
        <w:tabs>
          <w:tab w:leader="none" w:pos="879"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necessarily. Even if you do not violate U.S. law, you may still violate our policies. For example, employees and consultants may violate our policies by breaching their confidentiality obligations or by recommending MongoDB stock as an investment, even if these actions do not violate securities laws. Our policies are stricter than the law requires so that we and our employees and consultants can avoid even the appearance of wrongdoing. Therefore, please review the entire policy carefully.</w:t>
      </w:r>
    </w:p>
    <w:p>
      <w:pPr>
        <w:spacing w:after="0" w:line="200" w:lineRule="exact"/>
        <w:rPr>
          <w:sz w:val="20"/>
          <w:szCs w:val="20"/>
          <w:color w:val="auto"/>
        </w:rPr>
      </w:pPr>
    </w:p>
    <w:p>
      <w:pPr>
        <w:spacing w:after="0" w:line="26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120"/>
          </w:cols>
          <w:pgMar w:left="440" w:top="337"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40" w:right="660" w:hanging="636"/>
        <w:spacing w:after="0" w:line="297" w:lineRule="auto"/>
        <w:tabs>
          <w:tab w:leader="none" w:pos="63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If I am aware of new product or feature developments that have not been announced to the public, do I possess material nonpublic information?</w:t>
      </w:r>
    </w:p>
    <w:p>
      <w:pPr>
        <w:spacing w:after="0" w:line="145" w:lineRule="exact"/>
        <w:rPr>
          <w:rFonts w:ascii="Times New Roman" w:cs="Times New Roman" w:eastAsia="Times New Roman" w:hAnsi="Times New Roman"/>
          <w:sz w:val="18"/>
          <w:szCs w:val="18"/>
          <w:b w:val="1"/>
          <w:bCs w:val="1"/>
          <w:color w:val="auto"/>
        </w:rPr>
      </w:pPr>
    </w:p>
    <w:p>
      <w:pPr>
        <w:jc w:val="both"/>
        <w:ind w:right="120" w:firstLine="630"/>
        <w:spacing w:after="0" w:line="269" w:lineRule="auto"/>
        <w:tabs>
          <w:tab w:leader="none" w:pos="865"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most circumstances, MongoDB does not consider new product and service developments to be material information that would require the trading window to close for those who know about these developments. But there are circumstances when a new product or feature in development or issues with respect to current or past products or services could be so significant that it constitutes material nonpublic information. In these circumstances, you will be notified by email if the trading window is closed for you.</w:t>
      </w:r>
    </w:p>
    <w:p>
      <w:pPr>
        <w:spacing w:after="0" w:line="152" w:lineRule="exact"/>
        <w:rPr>
          <w:rFonts w:ascii="Times New Roman" w:cs="Times New Roman" w:eastAsia="Times New Roman" w:hAnsi="Times New Roman"/>
          <w:sz w:val="18"/>
          <w:szCs w:val="18"/>
          <w:b w:val="1"/>
          <w:bCs w:val="1"/>
          <w:color w:val="auto"/>
        </w:rPr>
      </w:pPr>
    </w:p>
    <w:p>
      <w:pPr>
        <w:ind w:left="620" w:hanging="616"/>
        <w:spacing w:after="0"/>
        <w:tabs>
          <w:tab w:leader="none" w:pos="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So when can I buy or sell my MongoDB securities?</w:t>
      </w:r>
    </w:p>
    <w:p>
      <w:pPr>
        <w:spacing w:after="0" w:line="267" w:lineRule="exact"/>
        <w:rPr>
          <w:rFonts w:ascii="Times New Roman" w:cs="Times New Roman" w:eastAsia="Times New Roman" w:hAnsi="Times New Roman"/>
          <w:sz w:val="18"/>
          <w:szCs w:val="18"/>
          <w:b w:val="1"/>
          <w:bCs w:val="1"/>
          <w:color w:val="auto"/>
        </w:rPr>
      </w:pPr>
    </w:p>
    <w:p>
      <w:pPr>
        <w:jc w:val="both"/>
        <w:ind w:right="120" w:firstLine="630"/>
        <w:spacing w:after="0" w:line="264" w:lineRule="auto"/>
        <w:tabs>
          <w:tab w:leader="none" w:pos="866"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you have material nonpublic information, you may not buy or sell our common stock until the third trading day after that information is released or announced to the public. At that point, the information is considered public. </w:t>
      </w:r>
      <w:r>
        <w:rPr>
          <w:rFonts w:ascii="Times New Roman" w:cs="Times New Roman" w:eastAsia="Times New Roman" w:hAnsi="Times New Roman"/>
          <w:sz w:val="18"/>
          <w:szCs w:val="18"/>
          <w:b w:val="1"/>
          <w:bCs w:val="1"/>
          <w:color w:val="auto"/>
        </w:rPr>
        <w:t>Even if you do not have material, nonpublic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may not trade our common stock during any trading blackout period</w:t>
      </w:r>
      <w:r>
        <w:rPr>
          <w:rFonts w:ascii="Times New Roman" w:cs="Times New Roman" w:eastAsia="Times New Roman" w:hAnsi="Times New Roman"/>
          <w:sz w:val="18"/>
          <w:szCs w:val="18"/>
          <w:color w:val="auto"/>
        </w:rPr>
        <w:t>. Our insider trading policy describes the quarterly trading blackout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and additional trading blackout periods may be announced by email.</w:t>
      </w:r>
    </w:p>
    <w:p>
      <w:pPr>
        <w:spacing w:after="0" w:line="209" w:lineRule="exact"/>
        <w:rPr>
          <w:rFonts w:ascii="Times New Roman" w:cs="Times New Roman" w:eastAsia="Times New Roman" w:hAnsi="Times New Roman"/>
          <w:sz w:val="18"/>
          <w:szCs w:val="18"/>
          <w:b w:val="1"/>
          <w:bCs w:val="1"/>
          <w:color w:val="auto"/>
        </w:rPr>
      </w:pPr>
    </w:p>
    <w:p>
      <w:pPr>
        <w:ind w:right="320" w:firstLine="4"/>
        <w:spacing w:after="0" w:line="297" w:lineRule="auto"/>
        <w:tabs>
          <w:tab w:leader="none" w:pos="503"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If I have an open order to buy or sell MongoDB securities on the date the trading window closes, can I leave it to my broker to cancel the open order and avoid executing the trade?</w:t>
      </w:r>
    </w:p>
    <w:p>
      <w:pPr>
        <w:spacing w:after="0" w:line="158" w:lineRule="exact"/>
        <w:rPr>
          <w:rFonts w:ascii="Times New Roman" w:cs="Times New Roman" w:eastAsia="Times New Roman" w:hAnsi="Times New Roman"/>
          <w:sz w:val="18"/>
          <w:szCs w:val="18"/>
          <w:b w:val="1"/>
          <w:bCs w:val="1"/>
          <w:color w:val="auto"/>
        </w:rPr>
      </w:pPr>
    </w:p>
    <w:p>
      <w:pPr>
        <w:jc w:val="both"/>
        <w:ind w:right="120" w:firstLine="630"/>
        <w:spacing w:after="0" w:line="275" w:lineRule="auto"/>
        <w:tabs>
          <w:tab w:leader="none" w:pos="865"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If you have any open orders when the trading window closes, it is your responsibility to cancel these orders with your broker. If you have an open order and it executes after the trading window closes, you will have violated our insider trading policy and may also have violated insider trading laws.</w:t>
      </w:r>
    </w:p>
    <w:p>
      <w:pPr>
        <w:spacing w:after="0" w:line="186" w:lineRule="exact"/>
        <w:rPr>
          <w:rFonts w:ascii="Times New Roman" w:cs="Times New Roman" w:eastAsia="Times New Roman" w:hAnsi="Times New Roman"/>
          <w:sz w:val="18"/>
          <w:szCs w:val="18"/>
          <w:b w:val="1"/>
          <w:bCs w:val="1"/>
          <w:color w:val="auto"/>
        </w:rPr>
      </w:pPr>
    </w:p>
    <w:p>
      <w:pPr>
        <w:ind w:left="620" w:hanging="616"/>
        <w:spacing w:after="0"/>
        <w:tabs>
          <w:tab w:leader="none" w:pos="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 I allowed to trade derivative securities of MongoDB? Or short MongoDB common stock?</w:t>
      </w:r>
    </w:p>
    <w:p>
      <w:pPr>
        <w:spacing w:after="0" w:line="267" w:lineRule="exact"/>
        <w:rPr>
          <w:rFonts w:ascii="Times New Roman" w:cs="Times New Roman" w:eastAsia="Times New Roman" w:hAnsi="Times New Roman"/>
          <w:sz w:val="18"/>
          <w:szCs w:val="18"/>
          <w:b w:val="1"/>
          <w:bCs w:val="1"/>
          <w:color w:val="auto"/>
        </w:rPr>
      </w:pPr>
    </w:p>
    <w:p>
      <w:pPr>
        <w:ind w:right="120" w:firstLine="630"/>
        <w:spacing w:after="0" w:line="292" w:lineRule="auto"/>
        <w:tabs>
          <w:tab w:leader="none" w:pos="865"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Under our policies, you may not trade in derivative securities related to our common stock, which include publicly traded call and put options. In addition, under our policies, you may not engage in short selling of our common stock at any time.</w:t>
      </w:r>
    </w:p>
    <w:p>
      <w:pPr>
        <w:spacing w:after="0" w:line="150" w:lineRule="exact"/>
        <w:rPr>
          <w:sz w:val="20"/>
          <w:szCs w:val="20"/>
          <w:color w:val="auto"/>
        </w:rPr>
      </w:pPr>
    </w:p>
    <w:p>
      <w:pPr>
        <w:jc w:val="both"/>
        <w:ind w:right="120" w:firstLine="627"/>
        <w:spacing w:after="0" w:line="275" w:lineRule="auto"/>
        <w:rPr>
          <w:sz w:val="20"/>
          <w:szCs w:val="20"/>
          <w:color w:val="auto"/>
        </w:rPr>
      </w:pPr>
      <w:r>
        <w:rPr>
          <w:rFonts w:ascii="Times New Roman" w:cs="Times New Roman" w:eastAsia="Times New Roman" w:hAnsi="Times New Roman"/>
          <w:sz w:val="18"/>
          <w:szCs w:val="18"/>
          <w:color w:val="auto"/>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stock options, which are not derivative securities</w:t>
      </w:r>
      <w:r>
        <w:rPr>
          <w:rFonts w:ascii="Times New Roman" w:cs="Times New Roman" w:eastAsia="Times New Roman" w:hAnsi="Times New Roman"/>
          <w:sz w:val="18"/>
          <w:szCs w:val="18"/>
          <w:b w:val="1"/>
          <w:bCs w:val="1"/>
          <w:i w:val="1"/>
          <w:iCs w:val="1"/>
          <w:color w:val="auto"/>
        </w:rPr>
        <w:t>.</w:t>
      </w:r>
    </w:p>
    <w:p>
      <w:pPr>
        <w:spacing w:after="0" w:line="164" w:lineRule="exact"/>
        <w:rPr>
          <w:sz w:val="20"/>
          <w:szCs w:val="20"/>
          <w:color w:val="auto"/>
        </w:rPr>
      </w:pPr>
    </w:p>
    <w:p>
      <w:pPr>
        <w:jc w:val="both"/>
        <w:ind w:right="120" w:firstLine="627"/>
        <w:spacing w:after="0" w:line="275" w:lineRule="auto"/>
        <w:rPr>
          <w:sz w:val="20"/>
          <w:szCs w:val="20"/>
          <w:color w:val="auto"/>
        </w:rPr>
      </w:pPr>
      <w:r>
        <w:rPr>
          <w:rFonts w:ascii="Times New Roman" w:cs="Times New Roman" w:eastAsia="Times New Roman" w:hAnsi="Times New Roman"/>
          <w:sz w:val="18"/>
          <w:szCs w:val="18"/>
          <w:color w:val="auto"/>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spacing w:after="0" w:line="147" w:lineRule="exact"/>
        <w:rPr>
          <w:sz w:val="20"/>
          <w:szCs w:val="20"/>
          <w:color w:val="auto"/>
        </w:rPr>
      </w:pPr>
    </w:p>
    <w:p>
      <w:pPr>
        <w:ind w:left="620" w:hanging="616"/>
        <w:spacing w:after="0"/>
        <w:tabs>
          <w:tab w:leader="none" w:pos="62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Why does MongoDB prohibit trading in derivative securities and short selling?</w:t>
      </w:r>
    </w:p>
    <w:p>
      <w:pPr>
        <w:spacing w:after="0" w:line="280" w:lineRule="exact"/>
        <w:rPr>
          <w:rFonts w:ascii="Times New Roman" w:cs="Times New Roman" w:eastAsia="Times New Roman" w:hAnsi="Times New Roman"/>
          <w:sz w:val="18"/>
          <w:szCs w:val="18"/>
          <w:b w:val="1"/>
          <w:bCs w:val="1"/>
          <w:color w:val="auto"/>
        </w:rPr>
      </w:pPr>
    </w:p>
    <w:p>
      <w:pPr>
        <w:jc w:val="both"/>
        <w:ind w:right="120" w:firstLine="630"/>
        <w:spacing w:after="0" w:line="269" w:lineRule="auto"/>
        <w:tabs>
          <w:tab w:leader="none" w:pos="865"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and short selling our common stock conflicts with our values and would not be well-received by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120"/>
          </w:cols>
          <w:pgMar w:left="440" w:top="337"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20" w:hanging="616"/>
        <w:spacing w:after="0"/>
        <w:tabs>
          <w:tab w:leader="none" w:pos="6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Can I purchase MongoDB securities on margin or hold them in a margin account?</w:t>
      </w:r>
    </w:p>
    <w:p>
      <w:pPr>
        <w:spacing w:after="0" w:line="250"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Under our policies, you may not purchase our common stock on margin or hold it in a margin account at any time.</w:t>
      </w:r>
    </w:p>
    <w:p>
      <w:pPr>
        <w:spacing w:after="0" w:line="267" w:lineRule="exact"/>
        <w:rPr>
          <w:sz w:val="20"/>
          <w:szCs w:val="20"/>
          <w:color w:val="auto"/>
        </w:rPr>
      </w:pPr>
    </w:p>
    <w:p>
      <w:pPr>
        <w:ind w:right="120" w:firstLine="627"/>
        <w:spacing w:after="0" w:line="292" w:lineRule="auto"/>
        <w:rPr>
          <w:sz w:val="20"/>
          <w:szCs w:val="20"/>
          <w:color w:val="auto"/>
        </w:rPr>
      </w:pPr>
      <w:r>
        <w:rPr>
          <w:rFonts w:ascii="Times New Roman" w:cs="Times New Roman" w:eastAsia="Times New Roman" w:hAnsi="Times New Roman"/>
          <w:sz w:val="18"/>
          <w:szCs w:val="18"/>
          <w:color w:val="auto"/>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spacing w:after="0" w:line="146" w:lineRule="exact"/>
        <w:rPr>
          <w:sz w:val="20"/>
          <w:szCs w:val="20"/>
          <w:color w:val="auto"/>
        </w:rPr>
      </w:pPr>
    </w:p>
    <w:p>
      <w:pPr>
        <w:ind w:left="500" w:hanging="496"/>
        <w:spacing w:after="0"/>
        <w:tabs>
          <w:tab w:leader="none" w:pos="5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Why does MongoDB prohibit me from purchasing MongoDB securities on margin or holding them in a margin account?</w:t>
      </w:r>
    </w:p>
    <w:p>
      <w:pPr>
        <w:spacing w:after="0" w:line="254" w:lineRule="exact"/>
        <w:rPr>
          <w:rFonts w:ascii="Times New Roman" w:cs="Times New Roman" w:eastAsia="Times New Roman" w:hAnsi="Times New Roman"/>
          <w:sz w:val="18"/>
          <w:szCs w:val="18"/>
          <w:b w:val="1"/>
          <w:bCs w:val="1"/>
          <w:color w:val="auto"/>
        </w:rPr>
      </w:pPr>
    </w:p>
    <w:p>
      <w:pPr>
        <w:jc w:val="both"/>
        <w:ind w:right="120" w:firstLine="631"/>
        <w:spacing w:after="0" w:line="270" w:lineRule="auto"/>
        <w:tabs>
          <w:tab w:leader="none" w:pos="866"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Margin loans are subject to a margin call whether or not you possess material nonpublic information at the time of the call. If a margin call were to be made at a time when you had insider information and you could not or did not supply other collateral, you and MongoDB may be restricted based on your insider trading activities because of the sale of the stock (through the margin call) when you possessed material nonpublic information. The sale would be attributed to you even though the lender made the ultimate determination to sell. The Securities and Exchange Commission takes the view that you made the determination to not supply the additional collateral and you are therefore responsible for the sale.</w:t>
      </w:r>
    </w:p>
    <w:p>
      <w:pPr>
        <w:spacing w:after="0" w:line="138" w:lineRule="exact"/>
        <w:rPr>
          <w:rFonts w:ascii="Times New Roman" w:cs="Times New Roman" w:eastAsia="Times New Roman" w:hAnsi="Times New Roman"/>
          <w:sz w:val="18"/>
          <w:szCs w:val="18"/>
          <w:b w:val="1"/>
          <w:bCs w:val="1"/>
          <w:color w:val="auto"/>
        </w:rPr>
      </w:pPr>
    </w:p>
    <w:p>
      <w:pPr>
        <w:ind w:left="620" w:hanging="616"/>
        <w:spacing w:after="0"/>
        <w:tabs>
          <w:tab w:leader="none" w:pos="6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Can I pledge my MongoDB shares as collateral for a personal loan?</w:t>
      </w:r>
    </w:p>
    <w:p>
      <w:pPr>
        <w:spacing w:after="0" w:line="267" w:lineRule="exact"/>
        <w:rPr>
          <w:rFonts w:ascii="Times New Roman" w:cs="Times New Roman" w:eastAsia="Times New Roman" w:hAnsi="Times New Roman"/>
          <w:sz w:val="18"/>
          <w:szCs w:val="18"/>
          <w:b w:val="1"/>
          <w:bCs w:val="1"/>
          <w:color w:val="auto"/>
        </w:rPr>
      </w:pPr>
    </w:p>
    <w:p>
      <w:pPr>
        <w:ind w:right="120" w:firstLine="631"/>
        <w:spacing w:after="0" w:line="292" w:lineRule="auto"/>
        <w:tabs>
          <w:tab w:leader="none" w:pos="865"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Pledging your shares as collateral for a personal loan could cause you to transfer your shares during a trading blackout period. As a result, you may not pledge your shares as collateral for a loan.</w:t>
      </w:r>
    </w:p>
    <w:p>
      <w:pPr>
        <w:spacing w:after="0" w:line="184" w:lineRule="exact"/>
        <w:rPr>
          <w:rFonts w:ascii="Times New Roman" w:cs="Times New Roman" w:eastAsia="Times New Roman" w:hAnsi="Times New Roman"/>
          <w:sz w:val="18"/>
          <w:szCs w:val="18"/>
          <w:b w:val="1"/>
          <w:bCs w:val="1"/>
          <w:color w:val="auto"/>
        </w:rPr>
      </w:pPr>
    </w:p>
    <w:p>
      <w:pPr>
        <w:ind w:left="620" w:hanging="616"/>
        <w:spacing w:after="0"/>
        <w:tabs>
          <w:tab w:leader="none" w:pos="6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Can I exercise stock options during a trading blackout period or when I possess material nonpublic information?</w:t>
      </w:r>
    </w:p>
    <w:p>
      <w:pPr>
        <w:spacing w:after="0" w:line="267" w:lineRule="exact"/>
        <w:rPr>
          <w:rFonts w:ascii="Times New Roman" w:cs="Times New Roman" w:eastAsia="Times New Roman" w:hAnsi="Times New Roman"/>
          <w:sz w:val="18"/>
          <w:szCs w:val="18"/>
          <w:b w:val="1"/>
          <w:bCs w:val="1"/>
          <w:color w:val="auto"/>
        </w:rPr>
      </w:pPr>
    </w:p>
    <w:p>
      <w:pPr>
        <w:jc w:val="both"/>
        <w:ind w:right="120" w:firstLine="631"/>
        <w:spacing w:after="0" w:line="275" w:lineRule="auto"/>
        <w:tabs>
          <w:tab w:leader="none" w:pos="866"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may exercise the option and receive shares, but you may not sell the shares (even to pay the exercise price or any taxes due) or net settle the option during a trading blackout period or any time that you have material nonpublic information. Also note that if you choose to exercise and hold the shares, you will be responsible at that time for any taxes due.</w:t>
      </w:r>
    </w:p>
    <w:p>
      <w:pPr>
        <w:spacing w:after="0" w:line="160" w:lineRule="exact"/>
        <w:rPr>
          <w:rFonts w:ascii="Times New Roman" w:cs="Times New Roman" w:eastAsia="Times New Roman" w:hAnsi="Times New Roman"/>
          <w:sz w:val="18"/>
          <w:szCs w:val="18"/>
          <w:b w:val="1"/>
          <w:bCs w:val="1"/>
          <w:color w:val="auto"/>
        </w:rPr>
      </w:pPr>
    </w:p>
    <w:p>
      <w:pPr>
        <w:ind w:left="500" w:hanging="496"/>
        <w:spacing w:after="0"/>
        <w:tabs>
          <w:tab w:leader="none" w:pos="5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 I subject to the trading blackout period if I am no longer an employee or consultant of MongoDB?</w:t>
      </w:r>
    </w:p>
    <w:p>
      <w:pPr>
        <w:spacing w:after="0" w:line="228" w:lineRule="exact"/>
        <w:rPr>
          <w:rFonts w:ascii="Times New Roman" w:cs="Times New Roman" w:eastAsia="Times New Roman" w:hAnsi="Times New Roman"/>
          <w:sz w:val="18"/>
          <w:szCs w:val="18"/>
          <w:b w:val="1"/>
          <w:bCs w:val="1"/>
          <w:color w:val="auto"/>
        </w:rPr>
      </w:pPr>
    </w:p>
    <w:p>
      <w:pPr>
        <w:jc w:val="both"/>
        <w:ind w:right="120" w:firstLine="631"/>
        <w:spacing w:after="0" w:line="266" w:lineRule="auto"/>
        <w:tabs>
          <w:tab w:leader="none" w:pos="865" w:val="left"/>
        </w:tabs>
        <w:numPr>
          <w:ilvl w:val="1"/>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depends. If your employment with MongoDB ends on a day during the trading blackout period, you will be subject to the remainder of the trading blackout period then in effect. If your employment with MongoDB ends on a day that the trading window is open, you will not be subject to the next trading blackout period. However, even if you are not subject to our trading blackout period after you leave MongoDB, you should not trade in MongoDB securities if you possess material nonpublic information. That restriction stays with you as long as the information you possess is material and not released by MongoDB.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4.</w:t>
      </w:r>
    </w:p>
    <w:p>
      <w:pPr>
        <w:sectPr>
          <w:pgSz w:w="11900" w:h="16838" w:orient="portrait"/>
          <w:cols w:equalWidth="0" w:num="1">
            <w:col w:w="11120"/>
          </w:cols>
          <w:pgMar w:left="440" w:top="33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20" w:hanging="616"/>
        <w:spacing w:after="0"/>
        <w:tabs>
          <w:tab w:leader="none" w:pos="6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Can I gift stock while I possess material nonpublic information or during a trading blackout period?</w:t>
      </w:r>
    </w:p>
    <w:p>
      <w:pPr>
        <w:spacing w:after="0" w:line="228" w:lineRule="exact"/>
        <w:rPr>
          <w:rFonts w:ascii="Times New Roman" w:cs="Times New Roman" w:eastAsia="Times New Roman" w:hAnsi="Times New Roman"/>
          <w:sz w:val="18"/>
          <w:szCs w:val="18"/>
          <w:b w:val="1"/>
          <w:bCs w:val="1"/>
          <w:color w:val="auto"/>
        </w:rPr>
      </w:pPr>
    </w:p>
    <w:p>
      <w:pPr>
        <w:ind w:right="120" w:firstLine="631"/>
        <w:spacing w:after="0" w:line="292" w:lineRule="auto"/>
        <w:tabs>
          <w:tab w:leader="none" w:pos="879"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Because of the potential for the appearance of impropriety, you may not make gifts, whether to charities, a trust, or otherwise, of our common stock when you possess material nonpublic information or during a trading blackout period.</w:t>
      </w:r>
    </w:p>
    <w:p>
      <w:pPr>
        <w:spacing w:after="0" w:line="158" w:lineRule="exact"/>
        <w:rPr>
          <w:rFonts w:ascii="Times New Roman" w:cs="Times New Roman" w:eastAsia="Times New Roman" w:hAnsi="Times New Roman"/>
          <w:sz w:val="18"/>
          <w:szCs w:val="18"/>
          <w:b w:val="1"/>
          <w:bCs w:val="1"/>
          <w:color w:val="auto"/>
        </w:rPr>
      </w:pPr>
    </w:p>
    <w:p>
      <w:pPr>
        <w:ind w:left="500" w:hanging="496"/>
        <w:spacing w:after="0"/>
        <w:tabs>
          <w:tab w:leader="none" w:pos="5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if I purchased publicly traded options or other derivative securities before I became a MongoDB employee, contractor, or consultant?</w:t>
      </w:r>
    </w:p>
    <w:p>
      <w:pPr>
        <w:spacing w:after="0" w:line="254" w:lineRule="exact"/>
        <w:rPr>
          <w:rFonts w:ascii="Times New Roman" w:cs="Times New Roman" w:eastAsia="Times New Roman" w:hAnsi="Times New Roman"/>
          <w:sz w:val="18"/>
          <w:szCs w:val="18"/>
          <w:b w:val="1"/>
          <w:bCs w:val="1"/>
          <w:color w:val="auto"/>
        </w:rPr>
      </w:pPr>
    </w:p>
    <w:p>
      <w:pPr>
        <w:ind w:right="120" w:firstLine="631"/>
        <w:spacing w:after="0" w:line="292" w:lineRule="auto"/>
        <w:tabs>
          <w:tab w:leader="none" w:pos="866"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same rules apply as for employee stock options. You may exercise the publicly traded options at any time, but you may not sell the securities during a trading blackout period or at any time that you have material nonpublic information.</w:t>
      </w:r>
    </w:p>
    <w:p>
      <w:pPr>
        <w:spacing w:after="0" w:line="171" w:lineRule="exact"/>
        <w:rPr>
          <w:rFonts w:ascii="Times New Roman" w:cs="Times New Roman" w:eastAsia="Times New Roman" w:hAnsi="Times New Roman"/>
          <w:sz w:val="18"/>
          <w:szCs w:val="18"/>
          <w:b w:val="1"/>
          <w:bCs w:val="1"/>
          <w:color w:val="auto"/>
        </w:rPr>
      </w:pPr>
    </w:p>
    <w:p>
      <w:pPr>
        <w:ind w:left="620" w:hanging="616"/>
        <w:spacing w:after="0"/>
        <w:tabs>
          <w:tab w:leader="none" w:pos="6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May I own shares of a mutual fund that invests in MongoDB?</w:t>
      </w:r>
    </w:p>
    <w:p>
      <w:pPr>
        <w:spacing w:after="0" w:line="254" w:lineRule="exact"/>
        <w:rPr>
          <w:rFonts w:ascii="Times New Roman" w:cs="Times New Roman" w:eastAsia="Times New Roman" w:hAnsi="Times New Roman"/>
          <w:sz w:val="18"/>
          <w:szCs w:val="18"/>
          <w:b w:val="1"/>
          <w:bCs w:val="1"/>
          <w:color w:val="auto"/>
        </w:rPr>
      </w:pPr>
    </w:p>
    <w:p>
      <w:pPr>
        <w:ind w:left="860" w:hanging="229"/>
        <w:spacing w:after="0"/>
        <w:tabs>
          <w:tab w:leader="none" w:pos="86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w:t>
      </w:r>
    </w:p>
    <w:p>
      <w:pPr>
        <w:spacing w:after="0" w:line="259" w:lineRule="exact"/>
        <w:rPr>
          <w:rFonts w:ascii="Times New Roman" w:cs="Times New Roman" w:eastAsia="Times New Roman" w:hAnsi="Times New Roman"/>
          <w:sz w:val="18"/>
          <w:szCs w:val="18"/>
          <w:b w:val="1"/>
          <w:bCs w:val="1"/>
          <w:color w:val="auto"/>
        </w:rPr>
      </w:pPr>
    </w:p>
    <w:p>
      <w:pPr>
        <w:ind w:left="500" w:hanging="497"/>
        <w:spacing w:after="0"/>
        <w:tabs>
          <w:tab w:leader="none" w:pos="5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Are mutual fund shares holding MongoDB common stock subject to the trading blackout periods?</w:t>
      </w:r>
    </w:p>
    <w:p>
      <w:pPr>
        <w:spacing w:after="0" w:line="254" w:lineRule="exact"/>
        <w:rPr>
          <w:rFonts w:ascii="Times New Roman" w:cs="Times New Roman" w:eastAsia="Times New Roman" w:hAnsi="Times New Roman"/>
          <w:sz w:val="18"/>
          <w:szCs w:val="18"/>
          <w:b w:val="1"/>
          <w:bCs w:val="1"/>
          <w:color w:val="auto"/>
        </w:rPr>
      </w:pPr>
    </w:p>
    <w:p>
      <w:pPr>
        <w:ind w:left="860" w:hanging="229"/>
        <w:spacing w:after="0"/>
        <w:tabs>
          <w:tab w:leader="none" w:pos="86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You may trade in mutual funds holding MongoDB common stock at any time.</w:t>
      </w:r>
    </w:p>
    <w:p>
      <w:pPr>
        <w:spacing w:after="0" w:line="246" w:lineRule="exact"/>
        <w:rPr>
          <w:rFonts w:ascii="Times New Roman" w:cs="Times New Roman" w:eastAsia="Times New Roman" w:hAnsi="Times New Roman"/>
          <w:sz w:val="18"/>
          <w:szCs w:val="18"/>
          <w:b w:val="1"/>
          <w:bCs w:val="1"/>
          <w:color w:val="auto"/>
        </w:rPr>
      </w:pPr>
    </w:p>
    <w:p>
      <w:pPr>
        <w:ind w:left="620" w:hanging="616"/>
        <w:spacing w:after="0"/>
        <w:tabs>
          <w:tab w:leader="none" w:pos="6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May I use a “routine trading program” or “10b5-1 plan”?</w:t>
      </w:r>
    </w:p>
    <w:p>
      <w:pPr>
        <w:spacing w:after="0" w:line="267" w:lineRule="exact"/>
        <w:rPr>
          <w:rFonts w:ascii="Times New Roman" w:cs="Times New Roman" w:eastAsia="Times New Roman" w:hAnsi="Times New Roman"/>
          <w:sz w:val="18"/>
          <w:szCs w:val="18"/>
          <w:b w:val="1"/>
          <w:bCs w:val="1"/>
          <w:color w:val="auto"/>
        </w:rPr>
      </w:pPr>
    </w:p>
    <w:p>
      <w:pPr>
        <w:jc w:val="both"/>
        <w:ind w:right="120" w:firstLine="630"/>
        <w:spacing w:after="0" w:line="282" w:lineRule="auto"/>
        <w:tabs>
          <w:tab w:leader="none" w:pos="865"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Yes, subject to the requirements discussed in our insider trading policy. A routine trading program, also known as a 10b5-1 plan, allows you to set up a highly-structured program with your stock broker where you specify ahead of time the date, price, and amount of securities to be traded. If you wish to create a 10b5-1 plan, please contact the Corporate Legal team for approval at </w:t>
      </w:r>
      <w:r>
        <w:rPr>
          <w:rFonts w:ascii="Times New Roman" w:cs="Times New Roman" w:eastAsia="Times New Roman" w:hAnsi="Times New Roman"/>
          <w:sz w:val="18"/>
          <w:szCs w:val="18"/>
          <w:u w:val="single" w:color="auto"/>
          <w:color w:val="0000FF"/>
        </w:rPr>
        <w:t>trading@mongodb.com</w:t>
      </w:r>
      <w:r>
        <w:rPr>
          <w:rFonts w:ascii="Times New Roman" w:cs="Times New Roman" w:eastAsia="Times New Roman" w:hAnsi="Times New Roman"/>
          <w:sz w:val="18"/>
          <w:szCs w:val="18"/>
          <w:color w:val="auto"/>
        </w:rPr>
        <w:t>.</w:t>
      </w:r>
    </w:p>
    <w:p>
      <w:pPr>
        <w:spacing w:after="0" w:line="128" w:lineRule="exact"/>
        <w:rPr>
          <w:rFonts w:ascii="Times New Roman" w:cs="Times New Roman" w:eastAsia="Times New Roman" w:hAnsi="Times New Roman"/>
          <w:sz w:val="18"/>
          <w:szCs w:val="18"/>
          <w:b w:val="1"/>
          <w:bCs w:val="1"/>
          <w:color w:val="auto"/>
        </w:rPr>
      </w:pPr>
    </w:p>
    <w:p>
      <w:pPr>
        <w:ind w:left="620" w:hanging="616"/>
        <w:spacing w:after="0"/>
        <w:tabs>
          <w:tab w:leader="none" w:pos="6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What happens if I violate our insider trading policy?</w:t>
      </w:r>
    </w:p>
    <w:p>
      <w:pPr>
        <w:spacing w:after="0" w:line="267" w:lineRule="exact"/>
        <w:rPr>
          <w:rFonts w:ascii="Times New Roman" w:cs="Times New Roman" w:eastAsia="Times New Roman" w:hAnsi="Times New Roman"/>
          <w:sz w:val="18"/>
          <w:szCs w:val="18"/>
          <w:b w:val="1"/>
          <w:bCs w:val="1"/>
          <w:color w:val="auto"/>
        </w:rPr>
      </w:pPr>
    </w:p>
    <w:p>
      <w:pPr>
        <w:ind w:right="120" w:firstLine="630"/>
        <w:spacing w:after="0" w:line="292" w:lineRule="auto"/>
        <w:tabs>
          <w:tab w:leader="none" w:pos="878"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Violating our policies may result in disciplinary action, which may include termination of your employment or other relationship with MongoDB. In addition, you may be subject to criminal and civil actions.</w:t>
      </w:r>
    </w:p>
    <w:p>
      <w:pPr>
        <w:spacing w:after="0" w:line="171" w:lineRule="exact"/>
        <w:rPr>
          <w:rFonts w:ascii="Times New Roman" w:cs="Times New Roman" w:eastAsia="Times New Roman" w:hAnsi="Times New Roman"/>
          <w:sz w:val="18"/>
          <w:szCs w:val="18"/>
          <w:b w:val="1"/>
          <w:bCs w:val="1"/>
          <w:color w:val="auto"/>
        </w:rPr>
      </w:pPr>
    </w:p>
    <w:p>
      <w:pPr>
        <w:ind w:left="620" w:hanging="616"/>
        <w:spacing w:after="0"/>
        <w:tabs>
          <w:tab w:leader="none" w:pos="6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Who should I contact if I have questions about our insider trading policy?</w:t>
      </w:r>
    </w:p>
    <w:p>
      <w:pPr>
        <w:spacing w:after="0" w:line="254" w:lineRule="exact"/>
        <w:rPr>
          <w:rFonts w:ascii="Times New Roman" w:cs="Times New Roman" w:eastAsia="Times New Roman" w:hAnsi="Times New Roman"/>
          <w:sz w:val="18"/>
          <w:szCs w:val="18"/>
          <w:b w:val="1"/>
          <w:bCs w:val="1"/>
          <w:color w:val="auto"/>
        </w:rPr>
      </w:pPr>
    </w:p>
    <w:p>
      <w:pPr>
        <w:ind w:left="860" w:hanging="229"/>
        <w:spacing w:after="0"/>
        <w:tabs>
          <w:tab w:leader="none" w:pos="860"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You should contact </w:t>
      </w:r>
      <w:r>
        <w:rPr>
          <w:rFonts w:ascii="Times New Roman" w:cs="Times New Roman" w:eastAsia="Times New Roman" w:hAnsi="Times New Roman"/>
          <w:sz w:val="18"/>
          <w:szCs w:val="18"/>
          <w:u w:val="single" w:color="auto"/>
          <w:color w:val="0000FF"/>
        </w:rPr>
        <w:t>trading@mongodb.com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color w:val="auto"/>
        </w:rPr>
        <w:t>5.</w:t>
      </w:r>
    </w:p>
    <w:p>
      <w:pPr>
        <w:sectPr>
          <w:pgSz w:w="11900" w:h="16838" w:orient="portrait"/>
          <w:cols w:equalWidth="0" w:num="1">
            <w:col w:w="11120"/>
          </w:cols>
          <w:pgMar w:left="440" w:top="337"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00" w:lineRule="exact"/>
        <w:rPr>
          <w:sz w:val="20"/>
          <w:szCs w:val="20"/>
          <w:color w:val="auto"/>
        </w:rPr>
      </w:pPr>
    </w:p>
    <w:p>
      <w:pPr>
        <w:spacing w:after="0" w:line="219" w:lineRule="exact"/>
        <w:rPr>
          <w:sz w:val="20"/>
          <w:szCs w:val="20"/>
          <w:color w:val="auto"/>
        </w:rPr>
      </w:pPr>
    </w:p>
    <w:p>
      <w:pPr>
        <w:ind w:right="80"/>
        <w:spacing w:after="0" w:line="216" w:lineRule="exact"/>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S-8 (No. 333-221028, 333-224058, 333-230661, 333-237570, 333-254592, 333-263701, 333-270654 and 333-277993) and Form S-3 (No. 333-257514) of MongoDB, Inc. of our report dated March 20, 2025 relating to the financial statements and the effectiveness of internal control over financial reporting, which appears in this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20, 2025</w:t>
      </w:r>
    </w:p>
    <w:p>
      <w:pPr>
        <w:sectPr>
          <w:pgSz w:w="11900" w:h="16838" w:orient="portrait"/>
          <w:cols w:equalWidth="0" w:num="1">
            <w:col w:w="11240"/>
          </w:cols>
          <w:pgMar w:left="320" w:top="354"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Certification by the Chief Executive Officer pursuant to</w:t>
      </w:r>
    </w:p>
    <w:p>
      <w:pPr>
        <w:spacing w:after="0" w:line="3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Securities Exchange Act Rules 13a-14(a) and 15d-14(a)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Dev Ittycheria, certify that:</w:t>
      </w:r>
    </w:p>
    <w:p>
      <w:pPr>
        <w:spacing w:after="0" w:line="249" w:lineRule="exact"/>
        <w:rPr>
          <w:sz w:val="20"/>
          <w:szCs w:val="20"/>
          <w:color w:val="auto"/>
        </w:rPr>
      </w:pPr>
    </w:p>
    <w:p>
      <w:pPr>
        <w:ind w:left="640" w:hanging="322"/>
        <w:spacing w:after="0"/>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MongoDB, Inc. (the “registrant”) for the fiscal year ended January 31, 2025;</w:t>
      </w:r>
    </w:p>
    <w:p>
      <w:pPr>
        <w:spacing w:after="0" w:line="353" w:lineRule="exact"/>
        <w:rPr>
          <w:rFonts w:ascii="Times New Roman" w:cs="Times New Roman" w:eastAsia="Times New Roman" w:hAnsi="Times New Roman"/>
          <w:sz w:val="17"/>
          <w:szCs w:val="17"/>
          <w:color w:val="auto"/>
        </w:rPr>
      </w:pPr>
    </w:p>
    <w:p>
      <w:pPr>
        <w:jc w:val="both"/>
        <w:ind w:left="640" w:right="480" w:hanging="322"/>
        <w:spacing w:after="0" w:line="276" w:lineRule="auto"/>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2" w:lineRule="exact"/>
        <w:rPr>
          <w:rFonts w:ascii="Times New Roman" w:cs="Times New Roman" w:eastAsia="Times New Roman" w:hAnsi="Times New Roman"/>
          <w:sz w:val="17"/>
          <w:szCs w:val="17"/>
          <w:color w:val="auto"/>
        </w:rPr>
      </w:pPr>
    </w:p>
    <w:p>
      <w:pPr>
        <w:ind w:left="640" w:right="440" w:hanging="322"/>
        <w:spacing w:after="0" w:line="295" w:lineRule="auto"/>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7" w:lineRule="exact"/>
        <w:rPr>
          <w:rFonts w:ascii="Times New Roman" w:cs="Times New Roman" w:eastAsia="Times New Roman" w:hAnsi="Times New Roman"/>
          <w:sz w:val="17"/>
          <w:szCs w:val="17"/>
          <w:color w:val="auto"/>
        </w:rPr>
      </w:pPr>
    </w:p>
    <w:p>
      <w:pPr>
        <w:ind w:left="640" w:right="60" w:hanging="322"/>
        <w:spacing w:after="0" w:line="276" w:lineRule="auto"/>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Times New Roman" w:cs="Times New Roman" w:eastAsia="Times New Roman" w:hAnsi="Times New Roman"/>
          <w:sz w:val="17"/>
          <w:szCs w:val="17"/>
          <w:color w:val="auto"/>
        </w:rPr>
      </w:pPr>
    </w:p>
    <w:p>
      <w:pPr>
        <w:ind w:left="940" w:right="420" w:hanging="308"/>
        <w:spacing w:after="0" w:line="276" w:lineRule="auto"/>
        <w:tabs>
          <w:tab w:leader="none" w:pos="932"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7"/>
          <w:szCs w:val="17"/>
          <w:color w:val="auto"/>
        </w:rPr>
      </w:pPr>
    </w:p>
    <w:p>
      <w:pPr>
        <w:ind w:left="940" w:right="120" w:hanging="308"/>
        <w:spacing w:after="0" w:line="276" w:lineRule="auto"/>
        <w:tabs>
          <w:tab w:leader="none" w:pos="928"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7"/>
          <w:szCs w:val="17"/>
          <w:color w:val="auto"/>
        </w:rPr>
      </w:pPr>
    </w:p>
    <w:p>
      <w:pPr>
        <w:jc w:val="both"/>
        <w:ind w:left="940" w:right="880" w:hanging="308"/>
        <w:spacing w:after="0" w:line="295" w:lineRule="auto"/>
        <w:tabs>
          <w:tab w:leader="none" w:pos="932"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7"/>
          <w:szCs w:val="17"/>
          <w:color w:val="auto"/>
        </w:rPr>
      </w:pPr>
    </w:p>
    <w:p>
      <w:pPr>
        <w:jc w:val="both"/>
        <w:ind w:left="940" w:right="40" w:hanging="308"/>
        <w:spacing w:after="0" w:line="276" w:lineRule="auto"/>
        <w:tabs>
          <w:tab w:leader="none" w:pos="928"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2" w:lineRule="exact"/>
        <w:rPr>
          <w:rFonts w:ascii="Times New Roman" w:cs="Times New Roman" w:eastAsia="Times New Roman" w:hAnsi="Times New Roman"/>
          <w:sz w:val="17"/>
          <w:szCs w:val="17"/>
          <w:color w:val="auto"/>
        </w:rPr>
      </w:pPr>
    </w:p>
    <w:p>
      <w:pPr>
        <w:ind w:left="640" w:right="200" w:hanging="322"/>
        <w:spacing w:after="0" w:line="295" w:lineRule="auto"/>
        <w:tabs>
          <w:tab w:leader="none" w:pos="6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7"/>
          <w:szCs w:val="17"/>
          <w:color w:val="auto"/>
        </w:rPr>
      </w:pPr>
    </w:p>
    <w:p>
      <w:pPr>
        <w:ind w:left="940" w:right="320" w:hanging="308"/>
        <w:spacing w:after="0" w:line="295" w:lineRule="auto"/>
        <w:tabs>
          <w:tab w:leader="none" w:pos="932"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7"/>
          <w:szCs w:val="17"/>
          <w:color w:val="auto"/>
        </w:rPr>
      </w:pPr>
    </w:p>
    <w:p>
      <w:pPr>
        <w:ind w:left="940" w:right="300" w:hanging="308"/>
        <w:spacing w:after="0" w:line="295" w:lineRule="auto"/>
        <w:tabs>
          <w:tab w:leader="none" w:pos="928"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1180"/>
        <w:spacing w:after="0"/>
        <w:tabs>
          <w:tab w:leader="none" w:pos="5780" w:val="left"/>
          <w:tab w:leader="none" w:pos="6960" w:val="left"/>
        </w:tabs>
        <w:rPr>
          <w:sz w:val="20"/>
          <w:szCs w:val="20"/>
          <w:color w:val="auto"/>
        </w:rPr>
      </w:pPr>
      <w:r>
        <w:rPr>
          <w:rFonts w:ascii="Times New Roman" w:cs="Times New Roman" w:eastAsia="Times New Roman" w:hAnsi="Times New Roman"/>
          <w:sz w:val="17"/>
          <w:szCs w:val="17"/>
          <w:color w:val="auto"/>
        </w:rPr>
        <w:t>Date: March 20,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20320</wp:posOffset>
            </wp:positionV>
            <wp:extent cx="24149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44"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7"/>
          <w:szCs w:val="17"/>
          <w:b w:val="1"/>
          <w:bCs w:val="1"/>
          <w:color w:val="auto"/>
        </w:rPr>
        <w:t>Name:</w:t>
      </w:r>
      <w:r>
        <w:rPr>
          <w:sz w:val="20"/>
          <w:szCs w:val="20"/>
          <w:color w:val="auto"/>
        </w:rPr>
        <w:tab/>
      </w:r>
      <w:r>
        <w:rPr>
          <w:rFonts w:ascii="Times New Roman" w:cs="Times New Roman" w:eastAsia="Times New Roman" w:hAnsi="Times New Roman"/>
          <w:sz w:val="17"/>
          <w:szCs w:val="17"/>
          <w:color w:val="auto"/>
        </w:rPr>
        <w:t>Dev Ittycheria</w:t>
      </w:r>
    </w:p>
    <w:p>
      <w:pPr>
        <w:spacing w:after="0" w:line="66" w:lineRule="exact"/>
        <w:rPr>
          <w:sz w:val="20"/>
          <w:szCs w:val="20"/>
          <w:color w:val="auto"/>
        </w:rPr>
      </w:pPr>
    </w:p>
    <w:p>
      <w:pPr>
        <w:ind w:left="6300"/>
        <w:spacing w:after="0"/>
        <w:tabs>
          <w:tab w:leader="none" w:pos="6960" w:val="left"/>
        </w:tabs>
        <w:rPr>
          <w:sz w:val="20"/>
          <w:szCs w:val="20"/>
          <w:color w:val="auto"/>
        </w:rPr>
      </w:pPr>
      <w:r>
        <w:rPr>
          <w:rFonts w:ascii="Times New Roman" w:cs="Times New Roman" w:eastAsia="Times New Roman" w:hAnsi="Times New Roman"/>
          <w:sz w:val="17"/>
          <w:szCs w:val="17"/>
          <w:b w:val="1"/>
          <w:bCs w:val="1"/>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6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19"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b w:val="1"/>
          <w:bCs w:val="1"/>
          <w:color w:val="auto"/>
        </w:rPr>
        <w:t>Certification by the Chief Financial Officer pursuant to</w:t>
      </w:r>
    </w:p>
    <w:p>
      <w:pPr>
        <w:spacing w:after="0" w:line="3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Securities Exchange Act Rules 13a-14(a) and 15d-14(a)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Srdjan Tanjga, certify that:</w:t>
      </w:r>
    </w:p>
    <w:p>
      <w:pPr>
        <w:spacing w:after="0" w:line="249" w:lineRule="exact"/>
        <w:rPr>
          <w:sz w:val="20"/>
          <w:szCs w:val="20"/>
          <w:color w:val="auto"/>
        </w:rPr>
      </w:pPr>
    </w:p>
    <w:p>
      <w:pPr>
        <w:ind w:left="640" w:hanging="322"/>
        <w:spacing w:after="0"/>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MongoDB, Inc. (the “registrant”) for the fiscal year ended January 31, 2025;</w:t>
      </w:r>
    </w:p>
    <w:p>
      <w:pPr>
        <w:spacing w:after="0" w:line="353" w:lineRule="exact"/>
        <w:rPr>
          <w:rFonts w:ascii="Times New Roman" w:cs="Times New Roman" w:eastAsia="Times New Roman" w:hAnsi="Times New Roman"/>
          <w:sz w:val="17"/>
          <w:szCs w:val="17"/>
          <w:color w:val="auto"/>
        </w:rPr>
      </w:pPr>
    </w:p>
    <w:p>
      <w:pPr>
        <w:jc w:val="both"/>
        <w:ind w:left="640" w:right="480" w:hanging="322"/>
        <w:spacing w:after="0" w:line="276" w:lineRule="auto"/>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2" w:lineRule="exact"/>
        <w:rPr>
          <w:rFonts w:ascii="Times New Roman" w:cs="Times New Roman" w:eastAsia="Times New Roman" w:hAnsi="Times New Roman"/>
          <w:sz w:val="17"/>
          <w:szCs w:val="17"/>
          <w:color w:val="auto"/>
        </w:rPr>
      </w:pPr>
    </w:p>
    <w:p>
      <w:pPr>
        <w:ind w:left="640" w:right="440" w:hanging="322"/>
        <w:spacing w:after="0" w:line="295" w:lineRule="auto"/>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7" w:lineRule="exact"/>
        <w:rPr>
          <w:rFonts w:ascii="Times New Roman" w:cs="Times New Roman" w:eastAsia="Times New Roman" w:hAnsi="Times New Roman"/>
          <w:sz w:val="17"/>
          <w:szCs w:val="17"/>
          <w:color w:val="auto"/>
        </w:rPr>
      </w:pPr>
    </w:p>
    <w:p>
      <w:pPr>
        <w:ind w:left="640" w:right="60" w:hanging="322"/>
        <w:spacing w:after="0" w:line="276" w:lineRule="auto"/>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Times New Roman" w:cs="Times New Roman" w:eastAsia="Times New Roman" w:hAnsi="Times New Roman"/>
          <w:sz w:val="17"/>
          <w:szCs w:val="17"/>
          <w:color w:val="auto"/>
        </w:rPr>
      </w:pPr>
    </w:p>
    <w:p>
      <w:pPr>
        <w:ind w:left="940" w:right="420" w:hanging="308"/>
        <w:spacing w:after="0" w:line="276" w:lineRule="auto"/>
        <w:tabs>
          <w:tab w:leader="none" w:pos="932"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Times New Roman" w:cs="Times New Roman" w:eastAsia="Times New Roman" w:hAnsi="Times New Roman"/>
          <w:sz w:val="17"/>
          <w:szCs w:val="17"/>
          <w:color w:val="auto"/>
        </w:rPr>
      </w:pPr>
    </w:p>
    <w:p>
      <w:pPr>
        <w:ind w:left="940" w:right="120" w:hanging="308"/>
        <w:spacing w:after="0" w:line="276" w:lineRule="auto"/>
        <w:tabs>
          <w:tab w:leader="none" w:pos="928"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Times New Roman" w:cs="Times New Roman" w:eastAsia="Times New Roman" w:hAnsi="Times New Roman"/>
          <w:sz w:val="17"/>
          <w:szCs w:val="17"/>
          <w:color w:val="auto"/>
        </w:rPr>
      </w:pPr>
    </w:p>
    <w:p>
      <w:pPr>
        <w:jc w:val="both"/>
        <w:ind w:left="940" w:right="880" w:hanging="308"/>
        <w:spacing w:after="0" w:line="295" w:lineRule="auto"/>
        <w:tabs>
          <w:tab w:leader="none" w:pos="932"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7"/>
          <w:szCs w:val="17"/>
          <w:color w:val="auto"/>
        </w:rPr>
      </w:pPr>
    </w:p>
    <w:p>
      <w:pPr>
        <w:jc w:val="both"/>
        <w:ind w:left="940" w:right="40" w:hanging="308"/>
        <w:spacing w:after="0" w:line="276" w:lineRule="auto"/>
        <w:tabs>
          <w:tab w:leader="none" w:pos="928"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2" w:lineRule="exact"/>
        <w:rPr>
          <w:rFonts w:ascii="Times New Roman" w:cs="Times New Roman" w:eastAsia="Times New Roman" w:hAnsi="Times New Roman"/>
          <w:sz w:val="17"/>
          <w:szCs w:val="17"/>
          <w:color w:val="auto"/>
        </w:rPr>
      </w:pPr>
    </w:p>
    <w:p>
      <w:pPr>
        <w:ind w:left="640" w:right="200" w:hanging="322"/>
        <w:spacing w:after="0" w:line="295" w:lineRule="auto"/>
        <w:tabs>
          <w:tab w:leader="none" w:pos="6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7"/>
          <w:szCs w:val="17"/>
          <w:color w:val="auto"/>
        </w:rPr>
      </w:pPr>
    </w:p>
    <w:p>
      <w:pPr>
        <w:ind w:left="940" w:right="320" w:hanging="308"/>
        <w:spacing w:after="0" w:line="295" w:lineRule="auto"/>
        <w:tabs>
          <w:tab w:leader="none" w:pos="932"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7"/>
          <w:szCs w:val="17"/>
          <w:color w:val="auto"/>
        </w:rPr>
      </w:pPr>
    </w:p>
    <w:p>
      <w:pPr>
        <w:ind w:left="940" w:right="300" w:hanging="308"/>
        <w:spacing w:after="0" w:line="295" w:lineRule="auto"/>
        <w:tabs>
          <w:tab w:leader="none" w:pos="928"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p>
      <w:pPr>
        <w:ind w:left="1180"/>
        <w:spacing w:after="0"/>
        <w:tabs>
          <w:tab w:leader="none" w:pos="5000" w:val="left"/>
          <w:tab w:leader="none" w:pos="6180" w:val="left"/>
        </w:tabs>
        <w:rPr>
          <w:sz w:val="20"/>
          <w:szCs w:val="20"/>
          <w:color w:val="auto"/>
        </w:rPr>
      </w:pPr>
      <w:r>
        <w:rPr>
          <w:rFonts w:ascii="Times New Roman" w:cs="Times New Roman" w:eastAsia="Times New Roman" w:hAnsi="Times New Roman"/>
          <w:sz w:val="17"/>
          <w:szCs w:val="17"/>
          <w:color w:val="auto"/>
        </w:rPr>
        <w:t>Date: March 20,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Srdjan Tanjga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20320</wp:posOffset>
            </wp:positionV>
            <wp:extent cx="29127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44" w:lineRule="exact"/>
        <w:rPr>
          <w:sz w:val="20"/>
          <w:szCs w:val="20"/>
          <w:color w:val="auto"/>
        </w:rPr>
      </w:pPr>
    </w:p>
    <w:p>
      <w:pPr>
        <w:ind w:left="5520"/>
        <w:spacing w:after="0"/>
        <w:tabs>
          <w:tab w:leader="none" w:pos="6180" w:val="left"/>
        </w:tabs>
        <w:rPr>
          <w:sz w:val="20"/>
          <w:szCs w:val="20"/>
          <w:color w:val="auto"/>
        </w:rPr>
      </w:pPr>
      <w:r>
        <w:rPr>
          <w:rFonts w:ascii="Times New Roman" w:cs="Times New Roman" w:eastAsia="Times New Roman" w:hAnsi="Times New Roman"/>
          <w:sz w:val="17"/>
          <w:szCs w:val="17"/>
          <w:b w:val="1"/>
          <w:bCs w:val="1"/>
          <w:color w:val="auto"/>
        </w:rPr>
        <w:t>Name:</w:t>
      </w:r>
      <w:r>
        <w:rPr>
          <w:sz w:val="20"/>
          <w:szCs w:val="20"/>
          <w:color w:val="auto"/>
        </w:rPr>
        <w:tab/>
      </w:r>
      <w:r>
        <w:rPr>
          <w:rFonts w:ascii="Times New Roman" w:cs="Times New Roman" w:eastAsia="Times New Roman" w:hAnsi="Times New Roman"/>
          <w:sz w:val="17"/>
          <w:szCs w:val="17"/>
          <w:color w:val="auto"/>
        </w:rPr>
        <w:t>Srdjan Tanjga</w:t>
      </w:r>
    </w:p>
    <w:p>
      <w:pPr>
        <w:spacing w:after="0" w:line="66" w:lineRule="exact"/>
        <w:rPr>
          <w:sz w:val="20"/>
          <w:szCs w:val="20"/>
          <w:color w:val="auto"/>
        </w:rPr>
      </w:pPr>
    </w:p>
    <w:p>
      <w:pPr>
        <w:ind w:left="5520"/>
        <w:spacing w:after="0"/>
        <w:tabs>
          <w:tab w:leader="none" w:pos="6180" w:val="left"/>
        </w:tabs>
        <w:rPr>
          <w:sz w:val="20"/>
          <w:szCs w:val="20"/>
          <w:color w:val="auto"/>
        </w:rPr>
      </w:pPr>
      <w:r>
        <w:rPr>
          <w:rFonts w:ascii="Times New Roman" w:cs="Times New Roman" w:eastAsia="Times New Roman" w:hAnsi="Times New Roman"/>
          <w:sz w:val="17"/>
          <w:szCs w:val="17"/>
          <w:b w:val="1"/>
          <w:bCs w:val="1"/>
          <w:color w:val="auto"/>
        </w:rPr>
        <w:t>Title:</w:t>
      </w:r>
      <w:r>
        <w:rPr>
          <w:sz w:val="20"/>
          <w:szCs w:val="20"/>
          <w:color w:val="auto"/>
        </w:rPr>
        <w:tab/>
      </w:r>
      <w:r>
        <w:rPr>
          <w:rFonts w:ascii="Times New Roman" w:cs="Times New Roman" w:eastAsia="Times New Roman" w:hAnsi="Times New Roman"/>
          <w:sz w:val="17"/>
          <w:szCs w:val="17"/>
          <w:color w:val="auto"/>
        </w:rPr>
        <w:t>Interim Chief Financial Officer</w:t>
      </w:r>
    </w:p>
    <w:p>
      <w:pPr>
        <w:spacing w:after="0" w:line="6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Financial Officer</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119"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31"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7"/>
          <w:szCs w:val="17"/>
          <w:color w:val="auto"/>
        </w:rPr>
        <w:t>I, Dev Ittycheria, certify, pursuant to 18 U.S.C. Section 1350, as adopted pursuant to Section 906 of the Sarbanes-Oxley Act of 2002, that the Annual Report on Form 10-K of MongoDB, Inc. for the fiscal year ended January 31, 2025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400" w:lineRule="exact"/>
        <w:rPr>
          <w:sz w:val="20"/>
          <w:szCs w:val="20"/>
          <w:color w:val="auto"/>
        </w:rPr>
      </w:pPr>
    </w:p>
    <w:p>
      <w:pPr>
        <w:ind w:left="1200"/>
        <w:spacing w:after="0"/>
        <w:tabs>
          <w:tab w:leader="none" w:pos="5760" w:val="left"/>
          <w:tab w:leader="none" w:pos="6940" w:val="left"/>
        </w:tabs>
        <w:rPr>
          <w:sz w:val="20"/>
          <w:szCs w:val="20"/>
          <w:color w:val="auto"/>
        </w:rPr>
      </w:pPr>
      <w:r>
        <w:rPr>
          <w:rFonts w:ascii="Times New Roman" w:cs="Times New Roman" w:eastAsia="Times New Roman" w:hAnsi="Times New Roman"/>
          <w:sz w:val="17"/>
          <w:szCs w:val="17"/>
          <w:color w:val="auto"/>
        </w:rPr>
        <w:t>Date: March 20,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20320</wp:posOffset>
            </wp:positionV>
            <wp:extent cx="24149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8">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44" w:lineRule="exact"/>
        <w:rPr>
          <w:sz w:val="20"/>
          <w:szCs w:val="20"/>
          <w:color w:val="auto"/>
        </w:rPr>
      </w:pPr>
    </w:p>
    <w:p>
      <w:pPr>
        <w:ind w:left="6280"/>
        <w:spacing w:after="0"/>
        <w:tabs>
          <w:tab w:leader="none" w:pos="6940" w:val="left"/>
        </w:tabs>
        <w:rPr>
          <w:sz w:val="20"/>
          <w:szCs w:val="20"/>
          <w:color w:val="auto"/>
        </w:rPr>
      </w:pPr>
      <w:r>
        <w:rPr>
          <w:rFonts w:ascii="Times New Roman" w:cs="Times New Roman" w:eastAsia="Times New Roman" w:hAnsi="Times New Roman"/>
          <w:sz w:val="17"/>
          <w:szCs w:val="17"/>
          <w:b w:val="1"/>
          <w:bCs w:val="1"/>
          <w:color w:val="auto"/>
        </w:rPr>
        <w:t>Name:</w:t>
      </w:r>
      <w:r>
        <w:rPr>
          <w:sz w:val="20"/>
          <w:szCs w:val="20"/>
          <w:color w:val="auto"/>
        </w:rPr>
        <w:tab/>
      </w:r>
      <w:r>
        <w:rPr>
          <w:rFonts w:ascii="Times New Roman" w:cs="Times New Roman" w:eastAsia="Times New Roman" w:hAnsi="Times New Roman"/>
          <w:sz w:val="17"/>
          <w:szCs w:val="17"/>
          <w:color w:val="auto"/>
        </w:rPr>
        <w:t>Dev Ittycheria</w:t>
      </w:r>
    </w:p>
    <w:p>
      <w:pPr>
        <w:spacing w:after="0" w:line="66" w:lineRule="exact"/>
        <w:rPr>
          <w:sz w:val="20"/>
          <w:szCs w:val="20"/>
          <w:color w:val="auto"/>
        </w:rPr>
      </w:pPr>
    </w:p>
    <w:p>
      <w:pPr>
        <w:ind w:left="6280"/>
        <w:spacing w:after="0"/>
        <w:tabs>
          <w:tab w:leader="none" w:pos="6940" w:val="left"/>
        </w:tabs>
        <w:rPr>
          <w:sz w:val="20"/>
          <w:szCs w:val="20"/>
          <w:color w:val="auto"/>
        </w:rPr>
      </w:pPr>
      <w:r>
        <w:rPr>
          <w:rFonts w:ascii="Times New Roman" w:cs="Times New Roman" w:eastAsia="Times New Roman" w:hAnsi="Times New Roman"/>
          <w:sz w:val="17"/>
          <w:szCs w:val="17"/>
          <w:b w:val="1"/>
          <w:bCs w:val="1"/>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6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Principal Executive Officer</w:t>
      </w:r>
      <w:r>
        <w:rPr>
          <w:rFonts w:ascii="Times New Roman" w:cs="Times New Roman" w:eastAsia="Times New Roman" w:hAnsi="Times New Roman"/>
          <w:sz w:val="17"/>
          <w:szCs w:val="17"/>
          <w:color w:val="auto"/>
        </w:rPr>
        <w:t>)</w:t>
      </w:r>
    </w:p>
    <w:p>
      <w:pPr>
        <w:spacing w:after="0" w:line="329"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p>
      <w:pPr>
        <w:sectPr>
          <w:pgSz w:w="11900" w:h="16838" w:orient="portrait"/>
          <w:cols w:equalWidth="0" w:num="1">
            <w:col w:w="11240"/>
          </w:cols>
          <w:pgMar w:left="320" w:top="119"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31"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7"/>
          <w:szCs w:val="17"/>
          <w:color w:val="auto"/>
        </w:rPr>
        <w:t>I, Srdjan Tanjga, certify, pursuant to 18 U.S.C. Section 1350, as adopted pursuant to Section 906 of the Sarbanes-Oxley Act of 2002, that the Annual Report on Form 10-K of MongoDB, Inc. for the fiscal year ended January 31, 2025 fully complies with the requirements of Section 13(a) or 15(d) of the Securities Exchange Act of 1934, as amended, and that information contained in such Annual Report on Form 10-K fairly presents, in all material respects, the financial condition and results of operations of MongoDB, Inc.</w:t>
      </w:r>
    </w:p>
    <w:p>
      <w:pPr>
        <w:spacing w:after="0" w:line="200" w:lineRule="exact"/>
        <w:rPr>
          <w:sz w:val="20"/>
          <w:szCs w:val="20"/>
          <w:color w:val="auto"/>
        </w:rPr>
      </w:pPr>
    </w:p>
    <w:p>
      <w:pPr>
        <w:spacing w:after="0" w:line="400" w:lineRule="exact"/>
        <w:rPr>
          <w:sz w:val="20"/>
          <w:szCs w:val="20"/>
          <w:color w:val="auto"/>
        </w:rPr>
      </w:pPr>
    </w:p>
    <w:p>
      <w:pPr>
        <w:ind w:left="1180"/>
        <w:spacing w:after="0"/>
        <w:tabs>
          <w:tab w:leader="none" w:pos="5000" w:val="left"/>
          <w:tab w:leader="none" w:pos="6180" w:val="left"/>
        </w:tabs>
        <w:rPr>
          <w:sz w:val="20"/>
          <w:szCs w:val="20"/>
          <w:color w:val="auto"/>
        </w:rPr>
      </w:pPr>
      <w:r>
        <w:rPr>
          <w:rFonts w:ascii="Times New Roman" w:cs="Times New Roman" w:eastAsia="Times New Roman" w:hAnsi="Times New Roman"/>
          <w:sz w:val="17"/>
          <w:szCs w:val="17"/>
          <w:color w:val="auto"/>
        </w:rPr>
        <w:t>Date: March 20,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Srdjan Tanjga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3496310</wp:posOffset>
            </wp:positionH>
            <wp:positionV relativeFrom="paragraph">
              <wp:posOffset>20320</wp:posOffset>
            </wp:positionV>
            <wp:extent cx="29127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2912745" cy="8255"/>
                    </a:xfrm>
                    <a:prstGeom prst="rect">
                      <a:avLst/>
                    </a:prstGeom>
                    <a:noFill/>
                  </pic:spPr>
                </pic:pic>
              </a:graphicData>
            </a:graphic>
          </wp:anchor>
        </w:drawing>
      </w:r>
    </w:p>
    <w:p>
      <w:pPr>
        <w:spacing w:after="0" w:line="44" w:lineRule="exact"/>
        <w:rPr>
          <w:sz w:val="20"/>
          <w:szCs w:val="20"/>
          <w:color w:val="auto"/>
        </w:rPr>
      </w:pPr>
    </w:p>
    <w:p>
      <w:pPr>
        <w:ind w:left="5520"/>
        <w:spacing w:after="0"/>
        <w:tabs>
          <w:tab w:leader="none" w:pos="6180" w:val="left"/>
        </w:tabs>
        <w:rPr>
          <w:sz w:val="20"/>
          <w:szCs w:val="20"/>
          <w:color w:val="auto"/>
        </w:rPr>
      </w:pPr>
      <w:r>
        <w:rPr>
          <w:rFonts w:ascii="Times New Roman" w:cs="Times New Roman" w:eastAsia="Times New Roman" w:hAnsi="Times New Roman"/>
          <w:sz w:val="17"/>
          <w:szCs w:val="17"/>
          <w:b w:val="1"/>
          <w:bCs w:val="1"/>
          <w:color w:val="auto"/>
        </w:rPr>
        <w:t>Name:</w:t>
      </w:r>
      <w:r>
        <w:rPr>
          <w:sz w:val="20"/>
          <w:szCs w:val="20"/>
          <w:color w:val="auto"/>
        </w:rPr>
        <w:tab/>
      </w:r>
      <w:r>
        <w:rPr>
          <w:rFonts w:ascii="Times New Roman" w:cs="Times New Roman" w:eastAsia="Times New Roman" w:hAnsi="Times New Roman"/>
          <w:sz w:val="17"/>
          <w:szCs w:val="17"/>
          <w:color w:val="auto"/>
        </w:rPr>
        <w:t>Srdjan Tanjga</w:t>
      </w:r>
    </w:p>
    <w:p>
      <w:pPr>
        <w:spacing w:after="0" w:line="66" w:lineRule="exact"/>
        <w:rPr>
          <w:sz w:val="20"/>
          <w:szCs w:val="20"/>
          <w:color w:val="auto"/>
        </w:rPr>
      </w:pPr>
    </w:p>
    <w:p>
      <w:pPr>
        <w:ind w:left="5520"/>
        <w:spacing w:after="0"/>
        <w:tabs>
          <w:tab w:leader="none" w:pos="6180" w:val="left"/>
        </w:tabs>
        <w:rPr>
          <w:sz w:val="20"/>
          <w:szCs w:val="20"/>
          <w:color w:val="auto"/>
        </w:rPr>
      </w:pPr>
      <w:r>
        <w:rPr>
          <w:rFonts w:ascii="Times New Roman" w:cs="Times New Roman" w:eastAsia="Times New Roman" w:hAnsi="Times New Roman"/>
          <w:sz w:val="17"/>
          <w:szCs w:val="17"/>
          <w:b w:val="1"/>
          <w:bCs w:val="1"/>
          <w:color w:val="auto"/>
        </w:rPr>
        <w:t>Title:</w:t>
      </w:r>
      <w:r>
        <w:rPr>
          <w:sz w:val="20"/>
          <w:szCs w:val="20"/>
          <w:color w:val="auto"/>
        </w:rPr>
        <w:tab/>
      </w:r>
      <w:r>
        <w:rPr>
          <w:rFonts w:ascii="Times New Roman" w:cs="Times New Roman" w:eastAsia="Times New Roman" w:hAnsi="Times New Roman"/>
          <w:sz w:val="17"/>
          <w:szCs w:val="17"/>
          <w:color w:val="auto"/>
        </w:rPr>
        <w:t>Interim Chief Financial Officer</w:t>
      </w:r>
    </w:p>
    <w:p>
      <w:pPr>
        <w:spacing w:after="0" w:line="6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327"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This certification accompanies the Annual Report, is not deemed filed with the Securities and Exchange Commission and is not to be incorporated by reference into any filing of MongoDB, Inc. under the Securities Act of 1933, as amended, or the Securities Exchange Act of 1934, as amended (whether made before or after the date of the Annual Report on Form 10-K), irrespective of any general incorporation language contained in such filing.</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1."/>
      <w:numFmt w:val="lowerRoman"/>
      <w:start w:val="1"/>
    </w:lvl>
  </w:abstractNum>
  <w:abstractNum w:abstractNumId="30">
    <w:nsid w:val="725A06FB"/>
    <w:multiLevelType w:val="hybridMultilevel"/>
    <w:lvl w:ilvl="0">
      <w:lvlJc w:val="left"/>
      <w:lvlText w:val="(%1)"/>
      <w:numFmt w:val="lowerRoman"/>
      <w:start w:val="2"/>
    </w:lvl>
  </w:abstractNum>
  <w:abstractNum w:abstractNumId="31">
    <w:nsid w:val="2CD89A32"/>
    <w:multiLevelType w:val="hybridMultilevel"/>
    <w:lvl w:ilvl="0">
      <w:lvlJc w:val="left"/>
      <w:lvlText w:val="(%1)"/>
      <w:numFmt w:val="lowerRoman"/>
      <w:start w:val="2"/>
    </w:lvl>
  </w:abstractNum>
  <w:abstractNum w:abstractNumId="32">
    <w:nsid w:val="57E4CCAF"/>
    <w:multiLevelType w:val="hybridMultilevel"/>
    <w:lvl w:ilvl="0">
      <w:lvlJc w:val="left"/>
      <w:lvlText w:val="\emdash "/>
      <w:numFmt w:val="bullet"/>
      <w:start w:val="1"/>
    </w:lvl>
  </w:abstractNum>
  <w:abstractNum w:abstractNumId="33">
    <w:nsid w:val="7A6D8D3C"/>
    <w:multiLevelType w:val="hybridMultilevel"/>
    <w:lvl w:ilvl="0">
      <w:lvlJc w:val="left"/>
      <w:lvlText w:val="%1"/>
      <w:numFmt w:val="decimal"/>
      <w:start w:val="78"/>
    </w:lvl>
  </w:abstractNum>
  <w:abstractNum w:abstractNumId="34">
    <w:nsid w:val="4B588F54"/>
    <w:multiLevelType w:val="hybridMultilevel"/>
    <w:lvl w:ilvl="0">
      <w:lvlJc w:val="left"/>
      <w:lvlText w:val="(%1)"/>
      <w:numFmt w:val="decimal"/>
      <w:start w:val="924"/>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1."/>
      <w:numFmt w:val="lowerRoman"/>
      <w:start w:val="1"/>
    </w:lvl>
  </w:abstractNum>
  <w:abstractNum w:abstractNumId="37">
    <w:nsid w:val="38437FDB"/>
    <w:multiLevelType w:val="hybridMultilevel"/>
    <w:lvl w:ilvl="0">
      <w:lvlJc w:val="left"/>
      <w:lvlText w:val="%1."/>
      <w:numFmt w:val="lowerRoman"/>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1."/>
      <w:numFmt w:val="decimal"/>
      <w:start w:val="5"/>
    </w:lvl>
  </w:abstractNum>
  <w:abstractNum w:abstractNumId="44">
    <w:nsid w:val="1BA026FA"/>
    <w:multiLevelType w:val="hybridMultilevel"/>
    <w:lvl w:ilvl="0">
      <w:lvlJc w:val="left"/>
      <w:lvlText w:val="%1."/>
      <w:numFmt w:val="decimal"/>
      <w:start w:val="8"/>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decimal"/>
      <w:start w:val="1"/>
    </w:lvl>
    <w:lvl w:ilvl="1">
      <w:lvlJc w:val="left"/>
      <w:lvlText w:val="%2:"/>
      <w:numFmt w:val="upperLetter"/>
      <w:start w:val="1"/>
    </w:lvl>
  </w:abstractNum>
  <w:abstractNum w:abstractNumId="49">
    <w:nsid w:val="520EEDD1"/>
    <w:multiLevelType w:val="hybridMultilevel"/>
    <w:lvl w:ilvl="0">
      <w:lvlJc w:val="left"/>
      <w:lvlText w:val="%1."/>
      <w:numFmt w:val="decimal"/>
      <w:start w:val="7"/>
    </w:lvl>
    <w:lvl w:ilvl="1">
      <w:lvlJc w:val="left"/>
      <w:lvlText w:val="%2:"/>
      <w:numFmt w:val="upperLetter"/>
      <w:start w:val="1"/>
    </w:lvl>
  </w:abstractNum>
  <w:abstractNum w:abstractNumId="50">
    <w:nsid w:val="374A3FE6"/>
    <w:multiLevelType w:val="hybridMultilevel"/>
    <w:lvl w:ilvl="0">
      <w:lvlJc w:val="left"/>
      <w:lvlText w:val="%1."/>
      <w:numFmt w:val="decimal"/>
      <w:start w:val="13"/>
    </w:lvl>
    <w:lvl w:ilvl="1">
      <w:lvlJc w:val="left"/>
      <w:lvlText w:val="%2:"/>
      <w:numFmt w:val="upperLetter"/>
      <w:start w:val="1"/>
    </w:lvl>
  </w:abstractNum>
  <w:abstractNum w:abstractNumId="51">
    <w:nsid w:val="4F4EF005"/>
    <w:multiLevelType w:val="hybridMultilevel"/>
    <w:lvl w:ilvl="0">
      <w:lvlJc w:val="left"/>
      <w:lvlText w:val="%1."/>
      <w:numFmt w:val="decimal"/>
      <w:start w:val="17"/>
    </w:lvl>
    <w:lvl w:ilvl="1">
      <w:lvlJc w:val="left"/>
      <w:lvlText w:val="%2:"/>
      <w:numFmt w:val="upperLetter"/>
      <w:start w:val="1"/>
    </w:lvl>
  </w:abstractNum>
  <w:abstractNum w:abstractNumId="52">
    <w:nsid w:val="23F9C13C"/>
    <w:multiLevelType w:val="hybridMultilevel"/>
    <w:lvl w:ilvl="0">
      <w:lvlJc w:val="left"/>
      <w:lvlText w:val="%1."/>
      <w:numFmt w:val="decimal"/>
      <w:start w:val="18"/>
    </w:lvl>
  </w:abstractNum>
  <w:abstractNum w:abstractNumId="53">
    <w:nsid w:val="649BB77C"/>
    <w:multiLevelType w:val="hybridMultilevel"/>
    <w:lvl w:ilvl="0">
      <w:lvlJc w:val="left"/>
      <w:lvlText w:val="%1."/>
      <w:numFmt w:val="decimal"/>
      <w:start w:val="19"/>
    </w:lvl>
    <w:lvl w:ilvl="1">
      <w:lvlJc w:val="left"/>
      <w:lvlText w:val="%2:"/>
      <w:numFmt w:val="upperLetter"/>
      <w:start w:val="1"/>
    </w:lvl>
  </w:abstractNum>
  <w:abstractNum w:abstractNumId="54">
    <w:nsid w:val="275AC794"/>
    <w:multiLevelType w:val="hybridMultilevel"/>
    <w:lvl w:ilvl="0">
      <w:lvlJc w:val="left"/>
      <w:lvlText w:val="%1."/>
      <w:numFmt w:val="decimal"/>
      <w:start w:val="23"/>
    </w:lvl>
    <w:lvl w:ilvl="1">
      <w:lvlJc w:val="left"/>
      <w:lvlText w:val="%2:"/>
      <w:numFmt w:val="upp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188" Type="http://schemas.openxmlformats.org/officeDocument/2006/relationships/image" Target="media/image154.png"/><Relationship Id="rId189" Type="http://schemas.openxmlformats.org/officeDocument/2006/relationships/image" Target="media/image155.png"/><Relationship Id="rId151" Type="http://schemas.openxmlformats.org/officeDocument/2006/relationships/hyperlink" Target="https://www.sec.gov/Archives/edgar/data/1441816/000110465917063753/a17-24439_1ex3d1.htm" TargetMode="External"/><Relationship Id="rId152" Type="http://schemas.openxmlformats.org/officeDocument/2006/relationships/hyperlink" Target="https://www.sec.gov/Archives/edgar/data/1441816/000144181624000247/amendedandrestatedbylawsof.htm" TargetMode="External"/><Relationship Id="rId153" Type="http://schemas.openxmlformats.org/officeDocument/2006/relationships/hyperlink" Target="https://www.sec.gov/Archives/edgar/data/0001441816/000144181620000114/mdb-certificateofretir.htm" TargetMode="External"/><Relationship Id="rId154" Type="http://schemas.openxmlformats.org/officeDocument/2006/relationships/hyperlink" Target="https://www.sec.gov/Archives/edgar/data/1441816/000104746917006246/a2233386zex-4_1.htm" TargetMode="External"/><Relationship Id="rId155" Type="http://schemas.openxmlformats.org/officeDocument/2006/relationships/hyperlink" Target="https://www.sec.gov/Archives/edgar/data/1441816/000110465920003938/tm201523d2_ex4-1.htm" TargetMode="External"/><Relationship Id="rId156" Type="http://schemas.openxmlformats.org/officeDocument/2006/relationships/hyperlink" Target="https://www.sec.gov/Archives/edgar/data/1441816/000144181624000049/mdb-exx44descriptionofstock.htm" TargetMode="External"/><Relationship Id="rId157" Type="http://schemas.openxmlformats.org/officeDocument/2006/relationships/hyperlink" Target="https://www.sec.gov/Archives/edgar/data/1441816/000104746917006014/a2233365zex-10_1.htm" TargetMode="External"/><Relationship Id="rId158" Type="http://schemas.openxmlformats.org/officeDocument/2006/relationships/hyperlink" Target="https://www.sec.gov/Archives/edgar/data/1441816/000104746917006246/a2233386zex-10_2.htm" TargetMode="External"/><Relationship Id="rId159" Type="http://schemas.openxmlformats.org/officeDocument/2006/relationships/hyperlink" Target="https://www.sec.gov/Archives/edgar/data/1441816/000144181622000059/a103amendedandrestatedform.htm" TargetMode="External"/><Relationship Id="rId160" Type="http://schemas.openxmlformats.org/officeDocument/2006/relationships/hyperlink" Target="https://www.sec.gov/Archives/edgar/data/1441816/000144181618000028/mdb-13118x10kxex103.htm" TargetMode="External"/><Relationship Id="rId161" Type="http://schemas.openxmlformats.org/officeDocument/2006/relationships/hyperlink" Target="https://www.sec.gov/Archives/edgar/data/1441816/000104746917006246/a2233386zex-10_3.htm" TargetMode="External"/><Relationship Id="rId162" Type="http://schemas.openxmlformats.org/officeDocument/2006/relationships/hyperlink" Target="https://www.sec.gov/Archives/edgar/data/1441816/000104746917006246/a2233386zex-10_4.htm" TargetMode="External"/><Relationship Id="rId163" Type="http://schemas.openxmlformats.org/officeDocument/2006/relationships/hyperlink" Target="https://www.sec.gov/Archives/edgar/data/1441816/000104746917006014/a2233365zex-10_5.htm" TargetMode="External"/><Relationship Id="rId164" Type="http://schemas.openxmlformats.org/officeDocument/2006/relationships/hyperlink" Target="https://www.sec.gov/Archives/edgar/data/1441816/000144181622000059/a108secondamendedandrestat.htm" TargetMode="External"/><Relationship Id="rId165" Type="http://schemas.openxmlformats.org/officeDocument/2006/relationships/hyperlink" Target="https://www.sec.gov/Archives/edgar/data/1441816/000144181622000059/a109secondamendedandrestat.htm" TargetMode="External"/><Relationship Id="rId166" Type="http://schemas.openxmlformats.org/officeDocument/2006/relationships/hyperlink" Target="https://www.sec.gov/Archives/edgar/data/1441816/000144181622000059/a1010amendedandrestatedemp.htm" TargetMode="External"/><Relationship Id="rId167" Type="http://schemas.openxmlformats.org/officeDocument/2006/relationships/hyperlink" Target="https://www.sec.gov/Archives/edgar/data/1441816/000144181622000059/a1011amendedandrestatedoff.htm" TargetMode="External"/><Relationship Id="rId168" Type="http://schemas.openxmlformats.org/officeDocument/2006/relationships/hyperlink" Target="https://www.sec.gov/Archives/edgar/data/1441816/000144181623000087/markporteremploymentagreem.htm" TargetMode="External"/><Relationship Id="rId169" Type="http://schemas.openxmlformats.org/officeDocument/2006/relationships/hyperlink" Target="https://www.sec.gov/Archives/edgar/data/1441816/000144181623000168/markporterseparationagreem.htm" TargetMode="External"/><Relationship Id="rId173" Type="http://schemas.openxmlformats.org/officeDocument/2006/relationships/hyperlink" Target="https://www.sec.gov/Archives/edgar/data/1441816/000144181618000028/mdb-1318x10kxex1012.htm" TargetMode="External"/><Relationship Id="rId174" Type="http://schemas.openxmlformats.org/officeDocument/2006/relationships/hyperlink" Target="https://www.sec.gov/Archives/edgar/data/1441816/000110465918042924/a18-16173_1ex99d1.htm#Exhibit99_1_050204" TargetMode="External"/><Relationship Id="rId175" Type="http://schemas.openxmlformats.org/officeDocument/2006/relationships/hyperlink" Target="https://www.sec.gov/Archives/edgar/data/1441816/000110465918042924/a18-16173_1ex99d2.htm#Exhibit99_2_052450" TargetMode="External"/><Relationship Id="rId176" Type="http://schemas.openxmlformats.org/officeDocument/2006/relationships/hyperlink" Target="https://www.sec.gov/Archives/edgar/data/1441816/000110465918042924/a18-16173_1ex99d1.htm" TargetMode="External"/><Relationship Id="rId177" Type="http://schemas.openxmlformats.org/officeDocument/2006/relationships/hyperlink" Target="https://www.sec.gov/Archives/edgar/data/1441816/000110465918042924/a18-16173_1ex99d2.htm" TargetMode="External"/><Relationship Id="rId178" Type="http://schemas.openxmlformats.org/officeDocument/2006/relationships/hyperlink" Target="https://www.sec.gov/Archives/edgar/data/1441816/000144181624000049/mongodbincrestrictedstocku.htm" TargetMode="External"/><Relationship Id="rId179" Type="http://schemas.openxmlformats.org/officeDocument/2006/relationships/hyperlink" Target="https://www.sec.gov/Archives/edgar/data/1441816/000144181624000049/mdb-13124x10kxex211.htm" TargetMode="External"/><Relationship Id="rId180" Type="http://schemas.openxmlformats.org/officeDocument/2006/relationships/hyperlink" Target="https://www.sec.gov/Archives/edgar/data/1441816/000144181624000049/mongodb-financialrestat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2025-03-21T05:23:04Z</dcterms:created>
  <dcterms:modified xsi:type="dcterms:W3CDTF">2025-03-21T05:23:04Z</dcterms:modified>
</cp:coreProperties>
</file>