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17"/>
          <w:szCs w:val="17"/>
          <w:color w:val="auto"/>
        </w:rPr>
        <w:t>May 28, 2026</w:t>
      </w:r>
    </w:p>
    <w:p>
      <w:pPr>
        <w:spacing w:after="0" w:line="6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3"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2600" w:type="dxa"/>
            <w:vAlign w:val="bottom"/>
          </w:tcPr>
          <w:p>
            <w:pPr>
              <w:jc w:val="center"/>
              <w:ind w:left="3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240" w:type="dxa"/>
            <w:vAlign w:val="bottom"/>
          </w:tcPr>
          <w:p>
            <w:pPr>
              <w:jc w:val="right"/>
              <w:ind w:right="1719"/>
              <w:spacing w:after="0"/>
              <w:rPr>
                <w:sz w:val="20"/>
                <w:szCs w:val="20"/>
                <w:color w:val="auto"/>
              </w:rPr>
            </w:pPr>
            <w:r>
              <w:rPr>
                <w:rFonts w:ascii="Times New Roman" w:cs="Times New Roman" w:eastAsia="Times New Roman" w:hAnsi="Times New Roman"/>
                <w:sz w:val="20"/>
                <w:szCs w:val="20"/>
                <w:b w:val="1"/>
                <w:bCs w:val="1"/>
                <w:color w:val="auto"/>
              </w:rPr>
              <w:t>001-38240</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26-1463205</w:t>
            </w:r>
          </w:p>
        </w:tc>
      </w:tr>
      <w:tr>
        <w:trPr>
          <w:trHeight w:val="143"/>
        </w:trPr>
        <w:tc>
          <w:tcPr>
            <w:tcW w:w="2600" w:type="dxa"/>
            <w:vAlign w:val="bottom"/>
          </w:tcPr>
          <w:p>
            <w:pPr>
              <w:jc w:val="center"/>
              <w:ind w:left="19"/>
              <w:spacing w:after="0" w:line="143"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240" w:type="dxa"/>
            <w:vAlign w:val="bottom"/>
          </w:tcPr>
          <w:p>
            <w:pPr>
              <w:jc w:val="center"/>
              <w:ind w:right="139"/>
              <w:spacing w:after="0" w:line="143"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480" w:type="dxa"/>
            <w:vAlign w:val="bottom"/>
          </w:tcPr>
          <w:p>
            <w:pPr>
              <w:jc w:val="center"/>
              <w:ind w:left="403"/>
              <w:spacing w:after="0" w:line="143"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600" w:type="dxa"/>
            <w:vAlign w:val="bottom"/>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4240" w:type="dxa"/>
            <w:vAlign w:val="bottom"/>
          </w:tcPr>
          <w:p>
            <w:pPr>
              <w:spacing w:after="0"/>
              <w:rPr>
                <w:sz w:val="14"/>
                <w:szCs w:val="14"/>
                <w:color w:val="auto"/>
              </w:rPr>
            </w:pPr>
          </w:p>
        </w:tc>
        <w:tc>
          <w:tcPr>
            <w:tcW w:w="1480" w:type="dxa"/>
            <w:vAlign w:val="bottom"/>
          </w:tcPr>
          <w:p>
            <w:pPr>
              <w:jc w:val="center"/>
              <w:ind w:left="403"/>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488"/>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1633 Broadway, 38th Floor</w:t>
            </w:r>
          </w:p>
        </w:tc>
        <w:tc>
          <w:tcPr>
            <w:tcW w:w="4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4"/>
        </w:trPr>
        <w:tc>
          <w:tcPr>
            <w:tcW w:w="26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New York, NY</w:t>
            </w:r>
          </w:p>
        </w:tc>
        <w:tc>
          <w:tcPr>
            <w:tcW w:w="4240" w:type="dxa"/>
            <w:vAlign w:val="bottom"/>
          </w:tcPr>
          <w:p>
            <w:pPr>
              <w:spacing w:after="0"/>
              <w:rPr>
                <w:sz w:val="24"/>
                <w:szCs w:val="24"/>
                <w:color w:val="auto"/>
              </w:rPr>
            </w:pPr>
          </w:p>
        </w:tc>
        <w:tc>
          <w:tcPr>
            <w:tcW w:w="1480" w:type="dxa"/>
            <w:vAlign w:val="bottom"/>
          </w:tcPr>
          <w:p>
            <w:pPr>
              <w:jc w:val="right"/>
              <w:ind w:right="183"/>
              <w:spacing w:after="0"/>
              <w:rPr>
                <w:sz w:val="20"/>
                <w:szCs w:val="20"/>
                <w:color w:val="auto"/>
              </w:rPr>
            </w:pPr>
            <w:r>
              <w:rPr>
                <w:rFonts w:ascii="Times New Roman" w:cs="Times New Roman" w:eastAsia="Times New Roman" w:hAnsi="Times New Roman"/>
                <w:sz w:val="20"/>
                <w:szCs w:val="20"/>
                <w:b w:val="1"/>
                <w:bCs w:val="1"/>
                <w:color w:val="auto"/>
              </w:rPr>
              <w:t>10019</w:t>
            </w:r>
          </w:p>
        </w:tc>
      </w:tr>
      <w:tr>
        <w:trPr>
          <w:trHeight w:val="194"/>
        </w:trPr>
        <w:tc>
          <w:tcPr>
            <w:tcW w:w="2600" w:type="dxa"/>
            <w:vAlign w:val="bottom"/>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240" w:type="dxa"/>
            <w:vAlign w:val="bottom"/>
          </w:tcPr>
          <w:p>
            <w:pPr>
              <w:spacing w:after="0"/>
              <w:rPr>
                <w:sz w:val="16"/>
                <w:szCs w:val="16"/>
                <w:color w:val="auto"/>
              </w:rPr>
            </w:pPr>
          </w:p>
        </w:tc>
        <w:tc>
          <w:tcPr>
            <w:tcW w:w="1480" w:type="dxa"/>
            <w:vAlign w:val="bottom"/>
          </w:tcPr>
          <w:p>
            <w:pPr>
              <w:jc w:val="center"/>
              <w:ind w:left="38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82"/>
        </w:trPr>
        <w:tc>
          <w:tcPr>
            <w:tcW w:w="2600" w:type="dxa"/>
            <w:vAlign w:val="bottom"/>
          </w:tcPr>
          <w:p>
            <w:pPr>
              <w:spacing w:after="0"/>
              <w:rPr>
                <w:sz w:val="24"/>
                <w:szCs w:val="24"/>
                <w:color w:val="auto"/>
              </w:rPr>
            </w:pPr>
          </w:p>
        </w:tc>
        <w:tc>
          <w:tcPr>
            <w:tcW w:w="4240" w:type="dxa"/>
            <w:vAlign w:val="bottom"/>
          </w:tcPr>
          <w:p>
            <w:pPr>
              <w:jc w:val="center"/>
              <w:ind w:right="239"/>
              <w:spacing w:after="0"/>
              <w:rPr>
                <w:sz w:val="20"/>
                <w:szCs w:val="20"/>
                <w:color w:val="auto"/>
              </w:rPr>
            </w:pPr>
            <w:r>
              <w:rPr>
                <w:rFonts w:ascii="Times New Roman" w:cs="Times New Roman" w:eastAsia="Times New Roman" w:hAnsi="Times New Roman"/>
                <w:sz w:val="20"/>
                <w:szCs w:val="20"/>
                <w:b w:val="1"/>
                <w:bCs w:val="1"/>
                <w:color w:val="auto"/>
                <w:w w:val="98"/>
              </w:rPr>
              <w:t>646-727-4092</w:t>
            </w:r>
          </w:p>
        </w:tc>
        <w:tc>
          <w:tcPr>
            <w:tcW w:w="148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4240" w:type="dxa"/>
            <w:vAlign w:val="bottom"/>
          </w:tcPr>
          <w:p>
            <w:pPr>
              <w:jc w:val="center"/>
              <w:ind w:right="239"/>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c>
          <w:tcPr>
            <w:tcW w:w="1480" w:type="dxa"/>
            <w:vAlign w:val="bottom"/>
          </w:tcPr>
          <w:p>
            <w:pPr>
              <w:spacing w:after="0"/>
              <w:rPr>
                <w:sz w:val="14"/>
                <w:szCs w:val="14"/>
                <w:color w:val="auto"/>
              </w:rPr>
            </w:pPr>
          </w:p>
        </w:tc>
      </w:tr>
      <w:tr>
        <w:trPr>
          <w:trHeight w:val="387"/>
        </w:trPr>
        <w:tc>
          <w:tcPr>
            <w:tcW w:w="2600" w:type="dxa"/>
            <w:vAlign w:val="bottom"/>
          </w:tcPr>
          <w:p>
            <w:pPr>
              <w:spacing w:after="0"/>
              <w:rPr>
                <w:sz w:val="24"/>
                <w:szCs w:val="24"/>
                <w:color w:val="auto"/>
              </w:rPr>
            </w:pPr>
          </w:p>
        </w:tc>
        <w:tc>
          <w:tcPr>
            <w:tcW w:w="4240" w:type="dxa"/>
            <w:vAlign w:val="bottom"/>
          </w:tcPr>
          <w:p>
            <w:pPr>
              <w:jc w:val="center"/>
              <w:ind w:right="239"/>
              <w:spacing w:after="0"/>
              <w:rPr>
                <w:sz w:val="20"/>
                <w:szCs w:val="20"/>
                <w:color w:val="auto"/>
              </w:rPr>
            </w:pPr>
            <w:r>
              <w:rPr>
                <w:rFonts w:ascii="Times New Roman" w:cs="Times New Roman" w:eastAsia="Times New Roman" w:hAnsi="Times New Roman"/>
                <w:sz w:val="20"/>
                <w:szCs w:val="20"/>
                <w:b w:val="1"/>
                <w:bCs w:val="1"/>
                <w:color w:val="auto"/>
                <w:w w:val="99"/>
              </w:rPr>
              <w:t>Not Applicable</w:t>
            </w:r>
          </w:p>
        </w:tc>
        <w:tc>
          <w:tcPr>
            <w:tcW w:w="1480" w:type="dxa"/>
            <w:vAlign w:val="bottom"/>
          </w:tcPr>
          <w:p>
            <w:pPr>
              <w:spacing w:after="0"/>
              <w:rPr>
                <w:sz w:val="24"/>
                <w:szCs w:val="24"/>
                <w:color w:val="auto"/>
              </w:rPr>
            </w:pPr>
          </w:p>
        </w:tc>
      </w:tr>
      <w:tr>
        <w:trPr>
          <w:trHeight w:val="162"/>
        </w:trPr>
        <w:tc>
          <w:tcPr>
            <w:tcW w:w="2600" w:type="dxa"/>
            <w:vAlign w:val="bottom"/>
          </w:tcPr>
          <w:p>
            <w:pPr>
              <w:spacing w:after="0"/>
              <w:rPr>
                <w:sz w:val="14"/>
                <w:szCs w:val="14"/>
                <w:color w:val="auto"/>
              </w:rPr>
            </w:pPr>
          </w:p>
        </w:tc>
        <w:tc>
          <w:tcPr>
            <w:tcW w:w="4240" w:type="dxa"/>
            <w:vAlign w:val="bottom"/>
          </w:tcPr>
          <w:p>
            <w:pPr>
              <w:jc w:val="center"/>
              <w:ind w:right="239"/>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480" w:type="dxa"/>
            <w:vAlign w:val="bottom"/>
          </w:tcPr>
          <w:p>
            <w:pPr>
              <w:spacing w:after="0"/>
              <w:rPr>
                <w:sz w:val="14"/>
                <w:szCs w:val="14"/>
                <w:color w:val="auto"/>
              </w:rPr>
            </w:pPr>
          </w:p>
        </w:tc>
      </w:tr>
    </w:tbl>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6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08"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8"/>
                <w:szCs w:val="18"/>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MDB</w:t>
            </w:r>
          </w:p>
        </w:tc>
        <w:tc>
          <w:tcPr>
            <w:tcW w:w="100" w:type="dxa"/>
            <w:vAlign w:val="bottom"/>
          </w:tcPr>
          <w:p>
            <w:pPr>
              <w:spacing w:after="0"/>
              <w:rPr>
                <w:sz w:val="18"/>
                <w:szCs w:val="18"/>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firstLine="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078" w:right="4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28, 2026, MongoDB, Inc. (the “Company”) issued a press release announcing its financial results for the three months ended April 30,</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2026. A copy of the press release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is incorporated herein by reference.</w:t>
      </w:r>
    </w:p>
    <w:p>
      <w:pPr>
        <w:spacing w:after="0" w:line="90"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No.</w:t>
            </w:r>
          </w:p>
        </w:tc>
        <w:tc>
          <w:tcPr>
            <w:tcW w:w="9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3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5"/>
                <w:szCs w:val="15"/>
                <w:color w:val="auto"/>
              </w:rPr>
            </w:pPr>
          </w:p>
        </w:tc>
        <w:tc>
          <w:tcPr>
            <w:tcW w:w="96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Press Release, dated May 28, 2026, reporting financial results for the quarter ended April 30, 2026</w:t>
            </w:r>
          </w:p>
        </w:tc>
        <w:tc>
          <w:tcPr>
            <w:tcW w:w="20" w:type="dxa"/>
            <w:vAlign w:val="bottom"/>
          </w:tcPr>
          <w:p>
            <w:pPr>
              <w:spacing w:after="0"/>
              <w:rPr>
                <w:sz w:val="15"/>
                <w:szCs w:val="15"/>
                <w:color w:val="auto"/>
              </w:rPr>
            </w:pPr>
          </w:p>
        </w:tc>
      </w:tr>
      <w:tr>
        <w:trPr>
          <w:trHeight w:val="1108"/>
        </w:trPr>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100" w:type="dxa"/>
            <w:vAlign w:val="bottom"/>
            <w:tcBorders>
              <w:top w:val="single" w:sz="8" w:color="0000FF"/>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tabs>
          <w:tab w:leader="none" w:pos="5420" w:val="left"/>
          <w:tab w:leader="none" w:pos="6140" w:val="left"/>
        </w:tabs>
        <w:rPr>
          <w:sz w:val="20"/>
          <w:szCs w:val="20"/>
          <w:color w:val="auto"/>
        </w:rPr>
      </w:pPr>
      <w:r>
        <w:rPr>
          <w:rFonts w:ascii="Times New Roman" w:cs="Times New Roman" w:eastAsia="Times New Roman" w:hAnsi="Times New Roman"/>
          <w:sz w:val="18"/>
          <w:szCs w:val="18"/>
          <w:color w:val="auto"/>
        </w:rPr>
        <w:t>Dated: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Chirantan 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154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Chirantan J. Desai</w:t>
      </w: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80"/>
          </w:cols>
          <w:pgMar w:left="320" w:top="1049"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MongoDB, Inc. Announces First Quarter Fiscal 2027 Financial Results</w:t>
      </w:r>
    </w:p>
    <w:p>
      <w:pPr>
        <w:spacing w:after="0" w:line="298" w:lineRule="exact"/>
        <w:rPr>
          <w:sz w:val="20"/>
          <w:szCs w:val="20"/>
          <w:color w:val="auto"/>
        </w:rPr>
      </w:pPr>
    </w:p>
    <w:p>
      <w:pPr>
        <w:jc w:val="center"/>
        <w:spacing w:after="0" w:line="359" w:lineRule="auto"/>
        <w:rPr>
          <w:sz w:val="20"/>
          <w:szCs w:val="20"/>
          <w:color w:val="auto"/>
        </w:rPr>
      </w:pPr>
      <w:r>
        <w:rPr>
          <w:rFonts w:ascii="Times New Roman" w:cs="Times New Roman" w:eastAsia="Times New Roman" w:hAnsi="Times New Roman"/>
          <w:sz w:val="20"/>
          <w:szCs w:val="20"/>
          <w:b w:val="1"/>
          <w:bCs w:val="1"/>
          <w:i w:val="1"/>
          <w:iCs w:val="1"/>
          <w:color w:val="auto"/>
        </w:rPr>
        <w:t>First quarter fiscal 2027 total revenue of $687.6 million, up 25% year-over-year Atlas revenue up more than 29% year-over-year in the first quarter fiscal 2027 EA &amp; other revenue up more than 13% year-over-year in the first quarter fiscal 2027 Raising full-year fiscal 2027 guidance driven mainly by strength in Atlas</w:t>
      </w:r>
    </w:p>
    <w:p>
      <w:pPr>
        <w:spacing w:after="0" w:line="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NEW YORK - May 28, 2026 - </w:t>
      </w:r>
      <w:r>
        <w:rPr>
          <w:rFonts w:ascii="Times New Roman" w:cs="Times New Roman" w:eastAsia="Times New Roman" w:hAnsi="Times New Roman"/>
          <w:sz w:val="20"/>
          <w:szCs w:val="20"/>
          <w:color w:val="auto"/>
        </w:rPr>
        <w:t>MongoDB, Inc. (NASDAQ: MDB) today announced its financial results for the first quarter ended April 30,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w:t>
      </w:r>
    </w:p>
    <w:p>
      <w:pPr>
        <w:spacing w:after="0" w:line="88"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“We delivered better-than-expected first quarter results, as our go-to-market teams continue to execute well and capitalize on strong end-market demand for the MongoDB platform across enterprise use cases and emerging AI opportunities. At the same time, we continue to show strong profitability, demonstrating we can drive durable revenue growth while simultaneously expanding margin. Based on the momentum we are seeing in the business, we are raising our fiscal 2027 guidance," said CJ Desai, President and Chief Executive Officer of MongoDB.</w:t>
      </w:r>
    </w:p>
    <w:p>
      <w:pPr>
        <w:spacing w:after="0" w:line="212"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20"/>
          <w:szCs w:val="20"/>
          <w:color w:val="auto"/>
        </w:rPr>
        <w:t>“With our recently expanded leadership across both product and sales, I’m confident that we have the right team in place to move with even greater velocity. These changes sharpen our focus on delivering mission-critical innovation for our customers while scaling our global go-to-market engine, giving us high confidence in our ability to drive durable, long-term growth.”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Fiscal 2027 Financial Highlights</w:t>
      </w:r>
    </w:p>
    <w:p>
      <w:pPr>
        <w:spacing w:after="0" w:line="175" w:lineRule="exact"/>
        <w:rPr>
          <w:sz w:val="20"/>
          <w:szCs w:val="20"/>
          <w:color w:val="auto"/>
        </w:rPr>
      </w:pPr>
    </w:p>
    <w:p>
      <w:pPr>
        <w:ind w:left="660" w:right="300" w:hanging="328"/>
        <w:spacing w:after="0" w:line="26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Total revenue was $687.6 million for the first quarter of fiscal 2027, an increase of 25% year-over-year. Subscription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was $666.1 million, an increase of 25% year-over-year, and services revenue was $21.5 million, an increase of 22% year-over-year.</w:t>
      </w:r>
    </w:p>
    <w:p>
      <w:pPr>
        <w:spacing w:after="0" w:line="67" w:lineRule="exact"/>
        <w:rPr>
          <w:rFonts w:ascii="Times New Roman" w:cs="Times New Roman" w:eastAsia="Times New Roman" w:hAnsi="Times New Roman"/>
          <w:sz w:val="20"/>
          <w:szCs w:val="20"/>
          <w:color w:val="auto"/>
        </w:rPr>
      </w:pPr>
    </w:p>
    <w:p>
      <w:pPr>
        <w:jc w:val="both"/>
        <w:ind w:left="660" w:right="40" w:hanging="328"/>
        <w:spacing w:after="0" w:line="26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Profit: </w:t>
      </w:r>
      <w:r>
        <w:rPr>
          <w:rFonts w:ascii="Times New Roman" w:cs="Times New Roman" w:eastAsia="Times New Roman" w:hAnsi="Times New Roman"/>
          <w:sz w:val="20"/>
          <w:szCs w:val="20"/>
          <w:color w:val="auto"/>
        </w:rPr>
        <w:t>Gross profit was $496.2 million for the first quarter of fiscal 2027, representing a 72% gross margin compared to 71%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year-ago period. Non-GAAP gross profit was $512.2 million, representing a 74% non-GAAP gross margin, consistent with the year-ago period.</w:t>
      </w:r>
    </w:p>
    <w:p>
      <w:pPr>
        <w:spacing w:after="0" w:line="53" w:lineRule="exact"/>
        <w:rPr>
          <w:rFonts w:ascii="Times New Roman" w:cs="Times New Roman" w:eastAsia="Times New Roman" w:hAnsi="Times New Roman"/>
          <w:sz w:val="20"/>
          <w:szCs w:val="20"/>
          <w:color w:val="auto"/>
        </w:rPr>
      </w:pPr>
    </w:p>
    <w:p>
      <w:pPr>
        <w:ind w:left="660" w:right="60" w:hanging="328"/>
        <w:spacing w:after="0" w:line="27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Loss from Operations: </w:t>
      </w:r>
      <w:r>
        <w:rPr>
          <w:rFonts w:ascii="Times New Roman" w:cs="Times New Roman" w:eastAsia="Times New Roman" w:hAnsi="Times New Roman"/>
          <w:sz w:val="20"/>
          <w:szCs w:val="20"/>
          <w:color w:val="auto"/>
        </w:rPr>
        <w:t>Loss from operations was $24.8 million for the first quarter of fiscal 2027, compared to a loss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operations of $53.6 million in the year-ago period. Non-GAAP income from operations was $123.2 million, compared to non-GAAP income from operations of $87.4 million in the year-ago period.</w:t>
      </w:r>
    </w:p>
    <w:p>
      <w:pPr>
        <w:spacing w:after="0" w:line="47"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Income (Loss): </w:t>
      </w:r>
      <w:r>
        <w:rPr>
          <w:rFonts w:ascii="Times New Roman" w:cs="Times New Roman" w:eastAsia="Times New Roman" w:hAnsi="Times New Roman"/>
          <w:sz w:val="20"/>
          <w:szCs w:val="20"/>
          <w:color w:val="auto"/>
        </w:rPr>
        <w:t>Net income was $4.4 million,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$0.05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 share, based on 81.6 million diluted weighted-average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outstanding, for the first quarter of fiscal 2027. This compares to a net loss of $37.6 million, or $0.46 per share, based on 81.1 million basic and diluted weighted-average shares outstanding in the year-ago period. Non-GAAP net income was $112.3 million, or $1.32 per share, based on 85.3 million fully diluted weighted-average shares outstanding. This compares to a non-GAAP net income of $86.3 million, or $1.00, based on 86.3 million fully diluted weighted-average shares outstanding in the year-ago period.</w:t>
      </w:r>
    </w:p>
    <w:p>
      <w:pPr>
        <w:spacing w:after="0" w:line="59" w:lineRule="exact"/>
        <w:rPr>
          <w:rFonts w:ascii="Times New Roman" w:cs="Times New Roman" w:eastAsia="Times New Roman" w:hAnsi="Times New Roman"/>
          <w:sz w:val="20"/>
          <w:szCs w:val="20"/>
          <w:color w:val="auto"/>
        </w:rPr>
      </w:pPr>
    </w:p>
    <w:p>
      <w:pPr>
        <w:ind w:left="660" w:right="60" w:hanging="328"/>
        <w:spacing w:after="0" w:line="287"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Remaining Performance Obligations (“RPO”)</w:t>
      </w:r>
      <w:r>
        <w:rPr>
          <w:rFonts w:ascii="Times New Roman" w:cs="Times New Roman" w:eastAsia="Times New Roman" w:hAnsi="Times New Roman"/>
          <w:sz w:val="20"/>
          <w:szCs w:val="20"/>
          <w:color w:val="auto"/>
        </w:rPr>
        <w:t>: RPO was $1,458.6 million, an increase of 88% year-over-year. Current Remaining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RPO (“cRPO”) was $766.3 million, an increase of 69% year-over-year.</w:t>
      </w:r>
    </w:p>
    <w:p>
      <w:pPr>
        <w:spacing w:after="0" w:line="30" w:lineRule="exact"/>
        <w:rPr>
          <w:rFonts w:ascii="Times New Roman" w:cs="Times New Roman" w:eastAsia="Times New Roman" w:hAnsi="Times New Roman"/>
          <w:sz w:val="20"/>
          <w:szCs w:val="20"/>
          <w:color w:val="auto"/>
        </w:rPr>
      </w:pPr>
    </w:p>
    <w:p>
      <w:pPr>
        <w:ind w:left="660" w:right="22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Flow</w:t>
      </w:r>
      <w:r>
        <w:rPr>
          <w:rFonts w:ascii="Times New Roman" w:cs="Times New Roman" w:eastAsia="Times New Roman" w:hAnsi="Times New Roman"/>
          <w:sz w:val="20"/>
          <w:szCs w:val="20"/>
          <w:color w:val="auto"/>
        </w:rPr>
        <w:t>: As of April 30, 2026, MongoDB had $2.4 billion in cash, cash equivalents, short-term investments and restricted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three months ended April 30, 2026, MongoDB generated $201.6 million of cash from operations, compared to $109.9 million of cash from operations in the year-ago period. MongoDB used $2.3 million of cash in capital expenditures and used $1.8 million of cash in principal payments of finance leases, leading to free cash flow of $197.5 million, compared to free cash flow of $105.9 million in the year-ago period.</w:t>
      </w:r>
    </w:p>
    <w:p>
      <w:pPr>
        <w:sectPr>
          <w:pgSz w:w="11900" w:h="16838" w:orient="portrait"/>
          <w:cols w:equalWidth="0" w:num="1">
            <w:col w:w="11240"/>
          </w:cols>
          <w:pgMar w:left="320" w:top="114" w:right="339" w:bottom="1440" w:gutter="0" w:footer="0" w:header="0"/>
        </w:sectPr>
      </w:pPr>
    </w:p>
    <w:bookmarkStart w:id="4" w:name="page5"/>
    <w:bookmarkEnd w:id="4"/>
    <w:p>
      <w:pPr>
        <w:ind w:right="300"/>
        <w:spacing w:after="0" w:line="263" w:lineRule="auto"/>
        <w:rPr>
          <w:sz w:val="20"/>
          <w:szCs w:val="20"/>
          <w:color w:val="auto"/>
        </w:rPr>
      </w:pPr>
      <w:r>
        <w:rPr>
          <w:rFonts w:ascii="Times New Roman" w:cs="Times New Roman" w:eastAsia="Times New Roman" w:hAnsi="Times New Roman"/>
          <w:sz w:val="20"/>
          <w:szCs w:val="20"/>
          <w:i w:val="1"/>
          <w:iCs w:val="1"/>
          <w:color w:val="auto"/>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Fiscal 2027 Recent Business Highlights</w:t>
      </w:r>
    </w:p>
    <w:p>
      <w:pPr>
        <w:spacing w:after="0" w:line="166" w:lineRule="exact"/>
        <w:rPr>
          <w:sz w:val="20"/>
          <w:szCs w:val="20"/>
          <w:color w:val="auto"/>
        </w:rPr>
      </w:pPr>
    </w:p>
    <w:p>
      <w:pPr>
        <w:ind w:left="66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MongoDB acquired Clarity Business Solutions to strengthen its US Federal vertical. Clarity has been a trusted partner of ours since 2021, providing specialized support and professional services for highly classified workloads within the US Government. Clarity will operate as a separate entity as we work through the integration process.</w:t>
      </w:r>
    </w:p>
    <w:p>
      <w:pPr>
        <w:spacing w:after="0" w:line="53" w:lineRule="exact"/>
        <w:rPr>
          <w:rFonts w:ascii="Times New Roman" w:cs="Times New Roman" w:eastAsia="Times New Roman" w:hAnsi="Times New Roman"/>
          <w:sz w:val="20"/>
          <w:szCs w:val="20"/>
          <w:color w:val="auto"/>
        </w:rPr>
      </w:pPr>
    </w:p>
    <w:p>
      <w:pPr>
        <w:ind w:left="660" w:right="52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MongoDB.local London, MongoDB announced seven new platform capabilities designed to close the gap between AI experimentation and high-performance production deployment. These updates advance MongoDB’s automated retrieval and persistent AI agent memory capability, strengthen the core database foundation for mission critical workloads, and help upskill builders to deploy production AI.</w:t>
      </w:r>
    </w:p>
    <w:p>
      <w:pPr>
        <w:spacing w:after="0" w:line="77" w:lineRule="exact"/>
        <w:rPr>
          <w:rFonts w:ascii="Times New Roman" w:cs="Times New Roman" w:eastAsia="Times New Roman" w:hAnsi="Times New Roman"/>
          <w:sz w:val="20"/>
          <w:szCs w:val="20"/>
          <w:color w:val="auto"/>
        </w:rPr>
      </w:pPr>
    </w:p>
    <w:p>
      <w:pPr>
        <w:ind w:left="660" w:right="10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MongoDB appointed Ryan Mac Ban as Chief Revenue Officer and Doug Bowers as Chief Information Security Officer. Pablo Stern joined the company as Chief Product Officer, AI and Emerging Products, while Ben Cefalo, a longtime MongoDB product leader, was named Chief Product Officer, Core Products.</w:t>
      </w:r>
    </w:p>
    <w:p>
      <w:pPr>
        <w:spacing w:after="0" w:line="59" w:lineRule="exact"/>
        <w:rPr>
          <w:rFonts w:ascii="Times New Roman" w:cs="Times New Roman" w:eastAsia="Times New Roman" w:hAnsi="Times New Roman"/>
          <w:sz w:val="20"/>
          <w:szCs w:val="20"/>
          <w:color w:val="auto"/>
        </w:rPr>
      </w:pPr>
    </w:p>
    <w:p>
      <w:pPr>
        <w:ind w:left="660" w:right="46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MongoDB and LangChain formalized a strategic partnership to transform MongoDB Atlas into the premier unified backend for production-ready AI agents. This collaboration streamlines the transition from prototype to scale by integrating vector search, persistent memory, and natural-language querying into a single, enterprise-grade platform.</w:t>
      </w:r>
    </w:p>
    <w:p>
      <w:pPr>
        <w:spacing w:after="0" w:line="53" w:lineRule="exact"/>
        <w:rPr>
          <w:rFonts w:ascii="Times New Roman" w:cs="Times New Roman" w:eastAsia="Times New Roman" w:hAnsi="Times New Roman"/>
          <w:sz w:val="20"/>
          <w:szCs w:val="20"/>
          <w:color w:val="auto"/>
        </w:rPr>
      </w:pPr>
    </w:p>
    <w:p>
      <w:pPr>
        <w:ind w:left="660" w:right="34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MongoDB announced an investment to expand its Irish operations in engineering and AI development. The investment will grow MongoDB’s Irish workforce by more than 50% across its Dublin international headquarters and new Cork office by 2027, while helping customers in Ireland’s thriving tech hub move from AI experimentation to production at scale.</w:t>
      </w:r>
    </w:p>
    <w:p>
      <w:pPr>
        <w:spacing w:after="0" w:line="73" w:lineRule="exact"/>
        <w:rPr>
          <w:rFonts w:ascii="Times New Roman" w:cs="Times New Roman" w:eastAsia="Times New Roman" w:hAnsi="Times New Roman"/>
          <w:sz w:val="20"/>
          <w:szCs w:val="20"/>
          <w:color w:val="auto"/>
        </w:rPr>
      </w:pPr>
    </w:p>
    <w:p>
      <w:pPr>
        <w:ind w:left="660" w:right="8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MongoDB was named the 2026 Google Cloud Partner of the Year: Marketplace - Data. This marks MongoDB’s seventh consecutive year as a Google Cloud Partner of the Year, and underscores MongoDB Atlas’s role as the trusted data layer for the Google Cloud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8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Second Quarter Fiscal 2027 Guidance</w:t>
      </w:r>
    </w:p>
    <w:p>
      <w:pPr>
        <w:spacing w:after="0" w:line="179"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Based on information available to management as of today, May 28, 2026, MongoDB is issuing the following financial guidance for the second quarter fiscal 2027.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Revenues are expected to be in the range of:</w:t>
            </w:r>
          </w:p>
        </w:tc>
        <w:tc>
          <w:tcPr>
            <w:tcW w:w="446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20"/>
                <w:szCs w:val="20"/>
                <w:color w:val="auto"/>
              </w:rPr>
              <w:t>$729 million to $734 million</w:t>
            </w:r>
          </w:p>
        </w:tc>
      </w:tr>
      <w:tr>
        <w:trPr>
          <w:trHeight w:val="257"/>
        </w:trPr>
        <w:tc>
          <w:tcPr>
            <w:tcW w:w="6780" w:type="dxa"/>
            <w:vAlign w:val="bottom"/>
          </w:tcPr>
          <w:p>
            <w:pPr>
              <w:spacing w:after="0"/>
              <w:rPr>
                <w:sz w:val="22"/>
                <w:szCs w:val="22"/>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GAAP</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Non-GAAP</w:t>
            </w:r>
          </w:p>
        </w:tc>
      </w:tr>
      <w:tr>
        <w:trPr>
          <w:trHeight w:val="183"/>
        </w:trPr>
        <w:tc>
          <w:tcPr>
            <w:tcW w:w="67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20"/>
                <w:szCs w:val="20"/>
                <w:color w:val="auto"/>
              </w:rPr>
              <w:t>Income (Loss) from Operations are expected to be in the range of:</w:t>
            </w:r>
          </w:p>
        </w:tc>
        <w:tc>
          <w:tcPr>
            <w:tcW w:w="218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20"/>
                <w:szCs w:val="20"/>
                <w:color w:val="auto"/>
                <w:w w:val="98"/>
              </w:rPr>
              <w:t>$(10.0) million to $(6.0)</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20"/>
                <w:szCs w:val="20"/>
                <w:color w:val="auto"/>
                <w:w w:val="98"/>
              </w:rPr>
              <w:t>$152.0 million to $156.0</w:t>
            </w:r>
          </w:p>
        </w:tc>
      </w:tr>
      <w:tr>
        <w:trPr>
          <w:trHeight w:val="257"/>
        </w:trPr>
        <w:tc>
          <w:tcPr>
            <w:tcW w:w="6780" w:type="dxa"/>
            <w:vAlign w:val="bottom"/>
            <w:shd w:val="clear" w:color="auto" w:fill="CCEEFF"/>
          </w:tcPr>
          <w:p>
            <w:pPr>
              <w:spacing w:after="0"/>
              <w:rPr>
                <w:sz w:val="22"/>
                <w:szCs w:val="22"/>
                <w:color w:val="auto"/>
              </w:rPr>
            </w:pP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rPr>
              <w:t>million</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million</w:t>
            </w:r>
          </w:p>
        </w:tc>
      </w:tr>
      <w:tr>
        <w:trPr>
          <w:trHeight w:val="289"/>
        </w:trPr>
        <w:tc>
          <w:tcPr>
            <w:tcW w:w="6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 (Loss) per Share is expected to be in the range of:</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$0.08 to $0.12</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$1.58 to $1.61</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Fiscal 2027 Guidance</w:t>
      </w:r>
    </w:p>
    <w:p>
      <w:pPr>
        <w:spacing w:after="0" w:line="17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Based on information available to management as of today, May 28, 2026, MongoDB is issuing the following financial guidance for the full year fiscal 2027.</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Revenues are expected to be in the range of:</w:t>
            </w:r>
          </w:p>
        </w:tc>
        <w:tc>
          <w:tcPr>
            <w:tcW w:w="446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20"/>
                <w:szCs w:val="20"/>
                <w:color w:val="auto"/>
              </w:rPr>
              <w:t>$2.92 billion to $2.96 billion</w:t>
            </w:r>
          </w:p>
        </w:tc>
      </w:tr>
      <w:tr>
        <w:trPr>
          <w:trHeight w:val="257"/>
        </w:trPr>
        <w:tc>
          <w:tcPr>
            <w:tcW w:w="6780" w:type="dxa"/>
            <w:vAlign w:val="bottom"/>
          </w:tcPr>
          <w:p>
            <w:pPr>
              <w:spacing w:after="0"/>
              <w:rPr>
                <w:sz w:val="22"/>
                <w:szCs w:val="22"/>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GAAP</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Non-GAAP</w:t>
            </w:r>
          </w:p>
        </w:tc>
      </w:tr>
      <w:tr>
        <w:trPr>
          <w:trHeight w:val="187"/>
        </w:trPr>
        <w:tc>
          <w:tcPr>
            <w:tcW w:w="6780" w:type="dxa"/>
            <w:vAlign w:val="bottom"/>
            <w:tcBorders>
              <w:top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20"/>
                <w:szCs w:val="20"/>
                <w:color w:val="auto"/>
              </w:rPr>
              <w:t>Income (Loss) from Operations are expected to be in the range of:</w:t>
            </w:r>
          </w:p>
        </w:tc>
        <w:tc>
          <w:tcPr>
            <w:tcW w:w="218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$(78.0) million to $(58.0)</w:t>
            </w:r>
          </w:p>
        </w:tc>
        <w:tc>
          <w:tcPr>
            <w:tcW w:w="10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$571.0 million to $591.0</w:t>
            </w:r>
          </w:p>
        </w:tc>
      </w:tr>
      <w:tr>
        <w:trPr>
          <w:trHeight w:val="252"/>
        </w:trPr>
        <w:tc>
          <w:tcPr>
            <w:tcW w:w="678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rPr>
              <w:t>million</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million</w:t>
            </w:r>
          </w:p>
        </w:tc>
      </w:tr>
      <w:tr>
        <w:trPr>
          <w:trHeight w:val="289"/>
        </w:trPr>
        <w:tc>
          <w:tcPr>
            <w:tcW w:w="6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 (Loss) per Share is expected to be in the range of:</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$0.15 to $0.39</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$5.95 to $6.14</w:t>
            </w: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1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MongoDB will host a conference call today, May 28, 2026, at 5:00 p.m. (Eastern Time) to discuss its financial results and business outlook. A live webcast of the call will be available on the “Investor Relations” page of MongoDB’s website at https://investors.mongodb.com. To access the call by phone, please go to this link (registration link), and you will be provided with dial in details. To avoid delays, the Company encourages participants to dial into the conference call fifteen minutes ahead of the scheduled start time. A replay of the webcast will also be available for a limited time at https://investors.mongodb.com.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This press release includes certain “forward-looking statements” within the meaning of Section 27A of the Securities Act of 1933, as amended, or the Securities Act, and Section 21E of the Securities Exchange Act of 1934, as amended, including statements concerning MongoDB’s financial guidance for the second fiscal quarter and full year fiscal 2027.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the Company has made. Although the Company believes that our plans, intentions, expectations, strategies and prospects as reflected in or suggested by those forward-looking statements are reasonable, the Company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our customers renewing their subscriptions with us and expanding their usage of software and related services; global political changes; the effects of the ongoing geopolitical instability resulting from the conflict in Iran, the unrest in Mexico, the conflicts between Russia and Ukraine, Israel and Hamas and recent events in Venezuela on our business and future operating results; economic downturns and/or the effects of rising interest rates, inflation and volatility in the global economy and financial markets on our business and future operating results; our potential failure to meet publicly announced guidance or other expectations about our business and future operating results; reputational harm or other adverse consequences resulting from use of AI and ML in our product offerings and internal operations if they don't produce the desired benefits; our limited operating history; our history of losses; our potential failure to repurchase shares of our common stock at favorable prices, if at all; failure of our platform to satisfy customer demands; the effects of increased competition; our investments in new products and our ability to introduce new features, services or enhancements, including AI and ML, for both traditional and emerging use cases; social, ethical and security issues relating to the use of new and evolving technologies, such as artificial intelligence, in our offerings or partnerships;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property;our ability to continue to increase revenue from our Atlas platform; the effects of social, ethical and regulatory issues relating to the use of new and evolving technologies, such as AI and ML, in our offerings or partnerships; the growth and expansion of the market for database products and our ability to penetrate that market; our ability to maintain the security of our software and adequately address privacy concerns; our ability to manage our growth effectively and successfully recruit and retain additional highly-qualified personnel; our ability to integrate acquisitions and work with our strategic partners effectively</w:t>
      </w:r>
      <w:r>
        <w:rPr>
          <w:rFonts w:ascii="Times New Roman" w:cs="Times New Roman" w:eastAsia="Times New Roman" w:hAnsi="Times New Roman"/>
          <w:sz w:val="20"/>
          <w:szCs w:val="20"/>
          <w:color w:val="008080"/>
        </w:rPr>
        <w:t>;</w:t>
      </w:r>
      <w:r>
        <w:rPr>
          <w:rFonts w:ascii="Times New Roman" w:cs="Times New Roman" w:eastAsia="Times New Roman" w:hAnsi="Times New Roman"/>
          <w:sz w:val="19"/>
          <w:szCs w:val="19"/>
          <w:color w:val="auto"/>
        </w:rPr>
        <w:t xml:space="preserve"> and the price volatility of our common stock. These and other risks and uncertainties are more fully described in our filings with the Securities and Exchange Commission (“SEC”), including under the caption “Risk Factors” in our Annual Report on Form 10-K for the fiscal year ended January 31, 2026, filed with the SEC on March 11, 2026. Additional information will be made available in our Quarterly Report on Form 10-Q for the quarter ended April 30, 2026, and other filings and reports that the Company may file from time to time with the SEC. Except as required by law, the Company undertakes no duty or obligation to update any forward-looking statements contained in this release as a result of new information, future events, changes in expectations or otherwise.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This press release includes the following financial measures defined as non-GAAP financial measures by the SEC: non-GAAP gross profit, non-GAAP gross margin, non-GAAP operating expenses, non-GAAP income from operations, non-GAAP operating margin, non-GAAP net income, non-GAAP net income per share, and free cash flow. Non-GAAP gross profit and non-GAAP gross margin exclude expenses associated with stock-based compensation. Non-GAAP operating expenses, non-GAAP income from operations, non-GAAP operating margin,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882"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non-GAAP net income and non-GAAP net income per share, exclude:</w:t>
      </w:r>
    </w:p>
    <w:p>
      <w:pPr>
        <w:spacing w:after="0" w:line="175" w:lineRule="exact"/>
        <w:rPr>
          <w:sz w:val="20"/>
          <w:szCs w:val="20"/>
          <w:color w:val="auto"/>
        </w:rPr>
      </w:pPr>
    </w:p>
    <w:p>
      <w:pPr>
        <w:ind w:left="660" w:right="80" w:hanging="328"/>
        <w:spacing w:after="0" w:line="26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associated with stock-based compensation including employer payroll taxes upon the vesting and exercising of stock-based awards and expenses related to stock appreciation rights previously issued to our employees in China;</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intangible assets for the acquired technology and acquired customer relationships associated with prior acquisitions;</w:t>
      </w:r>
    </w:p>
    <w:p>
      <w:pPr>
        <w:spacing w:after="0" w:line="107" w:lineRule="exact"/>
        <w:rPr>
          <w:rFonts w:ascii="Times New Roman" w:cs="Times New Roman" w:eastAsia="Times New Roman" w:hAnsi="Times New Roman"/>
          <w:sz w:val="20"/>
          <w:szCs w:val="20"/>
          <w:color w:val="auto"/>
        </w:rPr>
      </w:pPr>
    </w:p>
    <w:p>
      <w:pPr>
        <w:ind w:left="660" w:right="200" w:hanging="328"/>
        <w:spacing w:after="0" w:line="25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acquisition-related costs and other, including due diligence costs, professional fees in connection with an acquisition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w:t>
      </w:r>
    </w:p>
    <w:p>
      <w:pPr>
        <w:spacing w:after="0" w:line="77" w:lineRule="exact"/>
        <w:rPr>
          <w:rFonts w:ascii="Times New Roman" w:cs="Times New Roman" w:eastAsia="Times New Roman" w:hAnsi="Times New Roman"/>
          <w:sz w:val="20"/>
          <w:szCs w:val="20"/>
          <w:color w:val="auto"/>
        </w:rPr>
      </w:pPr>
    </w:p>
    <w:p>
      <w:pPr>
        <w:ind w:left="660" w:right="540" w:hanging="328"/>
        <w:spacing w:after="0" w:line="295" w:lineRule="auto"/>
        <w:tabs>
          <w:tab w:leader="none" w:pos="6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restructuring costs associated with a formal restructuring plan that are primarily related to workforce reductions. The Company excludes these expenses because they are not reflective of ordinary course ongoing business and operating results; and</w:t>
      </w:r>
    </w:p>
    <w:p>
      <w:pPr>
        <w:spacing w:after="0" w:line="43" w:lineRule="exact"/>
        <w:rPr>
          <w:rFonts w:ascii="Times New Roman" w:cs="Times New Roman" w:eastAsia="Times New Roman" w:hAnsi="Times New Roman"/>
          <w:sz w:val="19"/>
          <w:szCs w:val="19"/>
          <w:color w:val="auto"/>
        </w:rPr>
      </w:pPr>
    </w:p>
    <w:p>
      <w:pPr>
        <w:ind w:left="660" w:right="280" w:hanging="328"/>
        <w:spacing w:after="0" w:line="282"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in the case of non-GAAP net income and non-GAAP net income per share, amortization of the debt issuance costs associated with our convertible senior notes and gains or losses on our financial instruments;</w:t>
      </w:r>
    </w:p>
    <w:p>
      <w:pPr>
        <w:spacing w:after="0" w:line="39" w:lineRule="exact"/>
        <w:rPr>
          <w:rFonts w:ascii="Arial" w:cs="Arial" w:eastAsia="Arial" w:hAnsi="Arial"/>
          <w:sz w:val="20"/>
          <w:szCs w:val="20"/>
          <w:color w:val="auto"/>
        </w:rPr>
      </w:pPr>
    </w:p>
    <w:p>
      <w:pPr>
        <w:ind w:left="660" w:right="300" w:hanging="328"/>
        <w:spacing w:after="0" w:line="23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non-GAAP net income and non-GAAP net income per share, are adjusted for an assumed provision for income taxes based on an estimated long-term non-GAAP tax rate as well as the tax charges or benefits resulting from the integration of intellectual property from acquisitions. The non-GAAP tax rate was calculated utilizing a three-year financial projection that excludes the direct impact of the GAAP to non-GAAP adjustments and considers other factors such as operating structure and existing tax positions in various jurisdictions. The Company intends to periodically reevaluate the projected long-term tax rate, as necessary, for significant events and our ongoing analysis of relevant tax law changes.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w:t>
      </w:r>
    </w:p>
    <w:p>
      <w:pPr>
        <w:spacing w:after="0" w:line="138"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color w:val="auto"/>
        </w:rPr>
        <w:t>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spacing w:after="0" w:line="13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operating expenses, non-GAAP income from operations, non-GAAP net income, non-GAAP net income per share, free cash flow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This earnings press release and any future releases containing such non-GAAP reconciliations can also be found on the Investor Relations page of MongoDB’s website at https://investors.mongodb.com.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Remaining Performance Obligations</w:t>
      </w:r>
    </w:p>
    <w:p>
      <w:pPr>
        <w:spacing w:after="0" w:line="1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The Company applies the practical expedient to omit disclosure with respect to the amount of the transaction price allocated to remaining performance obligations if the related contract has a total duration of 12 months or less.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MongoDB</w:t>
      </w:r>
    </w:p>
    <w:p>
      <w:pPr>
        <w:spacing w:after="0" w:line="1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Headquartered in New York, MongoDB’s mission is to empower innovators to create, transform, and disrupt industries with software and data. MongoDB's unified, intelligent data platform was built to power the next generation of applications, and MongoDB is the most widely available, globally distributed database on the market. With integrated capabilities for operational data, search, real-time analytics, and AI-powered retrieval, MongoDB helps organizations everywhere move faster, innovate more efficiently, and simplify complex architectures. Millions of developers and more than 67,000 customers across almost every industry—including approximately 75% of the Fortune 100— rely on MongoDB for their most important applications. To learn more, visit https://mongodb.com.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Jess Lubert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jess.lubert@mongodb.com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Relations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MongoDB</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press@mongodb.com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882" w:right="419" w:bottom="1440" w:gutter="0" w:footer="0" w:header="0"/>
        </w:sectPr>
      </w:pPr>
    </w:p>
    <w:bookmarkStart w:id="9" w:name="page10"/>
    <w:bookmarkEnd w:id="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87" w:lineRule="exact"/>
        <w:rPr>
          <w:sz w:val="20"/>
          <w:szCs w:val="20"/>
          <w:color w:val="auto"/>
        </w:rPr>
      </w:pPr>
    </w:p>
    <w:p>
      <w:pPr>
        <w:jc w:val="right"/>
        <w:ind w:right="180"/>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April 30, 2026</w:t>
      </w:r>
      <w:r>
        <w:rPr>
          <w:sz w:val="20"/>
          <w:szCs w:val="20"/>
          <w:color w:val="auto"/>
        </w:rPr>
        <w:tab/>
      </w:r>
      <w:r>
        <w:rPr>
          <w:rFonts w:ascii="Times New Roman" w:cs="Times New Roman" w:eastAsia="Times New Roman" w:hAnsi="Times New Roman"/>
          <w:sz w:val="14"/>
          <w:szCs w:val="14"/>
          <w:b w:val="1"/>
          <w:bCs w:val="1"/>
          <w:color w:val="auto"/>
        </w:rPr>
        <w:t>January 31, 2026</w:t>
      </w:r>
    </w:p>
    <w:p>
      <w:pPr>
        <w:sectPr>
          <w:pgSz w:w="11900" w:h="16838" w:orient="portrait"/>
          <w:cols w:equalWidth="0" w:num="1">
            <w:col w:w="10820"/>
          </w:cols>
          <w:pgMar w:left="380" w:top="887" w:right="69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80" w:type="dxa"/>
            <w:vAlign w:val="bottom"/>
          </w:tcPr>
          <w:p>
            <w:pPr>
              <w:spacing w:after="0"/>
              <w:rPr>
                <w:sz w:val="18"/>
                <w:szCs w:val="18"/>
                <w:color w:val="auto"/>
              </w:rPr>
            </w:pPr>
          </w:p>
        </w:tc>
      </w:tr>
      <w:tr>
        <w:trPr>
          <w:trHeight w:val="216"/>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80" w:type="dxa"/>
            <w:vAlign w:val="bottom"/>
          </w:tcPr>
          <w:p>
            <w:pPr>
              <w:spacing w:after="0"/>
              <w:rPr>
                <w:sz w:val="18"/>
                <w:szCs w:val="18"/>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380" w:type="dxa"/>
            <w:vAlign w:val="bottom"/>
          </w:tcPr>
          <w:p>
            <w:pPr>
              <w:spacing w:after="0"/>
              <w:rPr>
                <w:sz w:val="19"/>
                <w:szCs w:val="19"/>
                <w:color w:val="auto"/>
              </w:rPr>
            </w:pPr>
          </w:p>
        </w:tc>
      </w:tr>
      <w:tr>
        <w:trPr>
          <w:trHeight w:val="222"/>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$12,252 and $12,979 as of April 30, 2026 and</w:t>
            </w:r>
          </w:p>
        </w:tc>
        <w:tc>
          <w:tcPr>
            <w:tcW w:w="380" w:type="dxa"/>
            <w:vAlign w:val="bottom"/>
          </w:tcPr>
          <w:p>
            <w:pPr>
              <w:spacing w:after="0"/>
              <w:rPr>
                <w:sz w:val="19"/>
                <w:szCs w:val="19"/>
                <w:color w:val="auto"/>
              </w:rPr>
            </w:pPr>
          </w:p>
        </w:tc>
      </w:tr>
      <w:tr>
        <w:trPr>
          <w:trHeight w:val="21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January 31, 2026, respectively</w:t>
            </w:r>
          </w:p>
        </w:tc>
        <w:tc>
          <w:tcPr>
            <w:tcW w:w="380" w:type="dxa"/>
            <w:vAlign w:val="bottom"/>
          </w:tcPr>
          <w:p>
            <w:pPr>
              <w:spacing w:after="0"/>
              <w:rPr>
                <w:sz w:val="18"/>
                <w:szCs w:val="18"/>
                <w:color w:val="auto"/>
              </w:rPr>
            </w:pPr>
          </w:p>
        </w:tc>
      </w:tr>
      <w:tr>
        <w:trPr>
          <w:trHeight w:val="257"/>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commissions</w:t>
            </w:r>
          </w:p>
        </w:tc>
        <w:tc>
          <w:tcPr>
            <w:tcW w:w="380" w:type="dxa"/>
            <w:vAlign w:val="bottom"/>
          </w:tcPr>
          <w:p>
            <w:pPr>
              <w:spacing w:after="0"/>
              <w:rPr>
                <w:sz w:val="22"/>
                <w:szCs w:val="22"/>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21"/>
                <w:szCs w:val="21"/>
                <w:color w:val="auto"/>
              </w:rPr>
            </w:pPr>
          </w:p>
        </w:tc>
      </w:tr>
      <w:tr>
        <w:trPr>
          <w:trHeight w:val="270"/>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Pr>
          <w:p>
            <w:pPr>
              <w:spacing w:after="0"/>
              <w:rPr>
                <w:sz w:val="23"/>
                <w:szCs w:val="23"/>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80" w:type="dxa"/>
            <w:vAlign w:val="bottom"/>
          </w:tcPr>
          <w:p>
            <w:pPr>
              <w:spacing w:after="0"/>
              <w:rPr>
                <w:sz w:val="21"/>
                <w:szCs w:val="2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0" w:type="dxa"/>
            <w:vAlign w:val="bottom"/>
          </w:tcPr>
          <w:p>
            <w:pPr>
              <w:spacing w:after="0"/>
              <w:rPr>
                <w:sz w:val="21"/>
                <w:szCs w:val="2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21"/>
                <w:szCs w:val="2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380" w:type="dxa"/>
            <w:vAlign w:val="bottom"/>
          </w:tcPr>
          <w:p>
            <w:pPr>
              <w:spacing w:after="0"/>
              <w:rPr>
                <w:sz w:val="21"/>
                <w:szCs w:val="2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assets</w:t>
            </w:r>
          </w:p>
        </w:tc>
        <w:tc>
          <w:tcPr>
            <w:tcW w:w="380" w:type="dxa"/>
            <w:vAlign w:val="bottom"/>
          </w:tcPr>
          <w:p>
            <w:pPr>
              <w:spacing w:after="0"/>
              <w:rPr>
                <w:sz w:val="21"/>
                <w:szCs w:val="2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Pr>
          <w:p>
            <w:pPr>
              <w:spacing w:after="0"/>
              <w:rPr>
                <w:sz w:val="21"/>
                <w:szCs w:val="21"/>
                <w:color w:val="auto"/>
              </w:rPr>
            </w:pPr>
          </w:p>
        </w:tc>
      </w:tr>
      <w:tr>
        <w:trPr>
          <w:trHeight w:val="297"/>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80" w:type="dxa"/>
            <w:vAlign w:val="bottom"/>
          </w:tcPr>
          <w:p>
            <w:pPr>
              <w:spacing w:after="0"/>
              <w:rPr>
                <w:sz w:val="21"/>
                <w:szCs w:val="21"/>
                <w:color w:val="auto"/>
              </w:rPr>
            </w:pPr>
          </w:p>
        </w:tc>
      </w:tr>
      <w:tr>
        <w:trPr>
          <w:trHeight w:val="216"/>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80" w:type="dxa"/>
            <w:vAlign w:val="bottom"/>
          </w:tcPr>
          <w:p>
            <w:pPr>
              <w:spacing w:after="0"/>
              <w:rPr>
                <w:sz w:val="18"/>
                <w:szCs w:val="18"/>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80" w:type="dxa"/>
            <w:vAlign w:val="bottom"/>
          </w:tcPr>
          <w:p>
            <w:pPr>
              <w:spacing w:after="0"/>
              <w:rPr>
                <w:sz w:val="19"/>
                <w:szCs w:val="19"/>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tcPr>
          <w:p>
            <w:pPr>
              <w:spacing w:after="0"/>
              <w:rPr>
                <w:sz w:val="21"/>
                <w:szCs w:val="21"/>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80" w:type="dxa"/>
            <w:vAlign w:val="bottom"/>
          </w:tcPr>
          <w:p>
            <w:pPr>
              <w:spacing w:after="0"/>
              <w:rPr>
                <w:sz w:val="21"/>
                <w:szCs w:val="21"/>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21"/>
                <w:szCs w:val="21"/>
                <w:color w:val="auto"/>
              </w:rPr>
            </w:pPr>
          </w:p>
        </w:tc>
      </w:tr>
      <w:tr>
        <w:trPr>
          <w:trHeight w:val="270"/>
        </w:trPr>
        <w:tc>
          <w:tcPr>
            <w:tcW w:w="7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80" w:type="dxa"/>
            <w:vAlign w:val="bottom"/>
          </w:tcPr>
          <w:p>
            <w:pPr>
              <w:spacing w:after="0"/>
              <w:rPr>
                <w:sz w:val="23"/>
                <w:szCs w:val="23"/>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liability</w:t>
            </w:r>
          </w:p>
        </w:tc>
        <w:tc>
          <w:tcPr>
            <w:tcW w:w="380" w:type="dxa"/>
            <w:vAlign w:val="bottom"/>
          </w:tcPr>
          <w:p>
            <w:pPr>
              <w:spacing w:after="0"/>
              <w:rPr>
                <w:sz w:val="21"/>
                <w:szCs w:val="2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tcPr>
          <w:p>
            <w:pPr>
              <w:spacing w:after="0"/>
              <w:rPr>
                <w:sz w:val="21"/>
                <w:szCs w:val="21"/>
                <w:color w:val="auto"/>
              </w:rPr>
            </w:pPr>
          </w:p>
        </w:tc>
      </w:tr>
      <w:tr>
        <w:trPr>
          <w:trHeight w:val="270"/>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23"/>
                <w:szCs w:val="23"/>
                <w:color w:val="auto"/>
              </w:rPr>
            </w:pPr>
          </w:p>
        </w:tc>
      </w:tr>
      <w:tr>
        <w:trPr>
          <w:trHeight w:val="270"/>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Pr>
          <w:p>
            <w:pPr>
              <w:spacing w:after="0"/>
              <w:rPr>
                <w:sz w:val="23"/>
                <w:szCs w:val="23"/>
                <w:color w:val="auto"/>
              </w:rPr>
            </w:pPr>
          </w:p>
        </w:tc>
      </w:tr>
      <w:tr>
        <w:trPr>
          <w:trHeight w:val="270"/>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Pr>
          <w:p>
            <w:pPr>
              <w:spacing w:after="0"/>
              <w:rPr>
                <w:sz w:val="23"/>
                <w:szCs w:val="23"/>
                <w:color w:val="auto"/>
              </w:rPr>
            </w:pPr>
          </w:p>
        </w:tc>
      </w:tr>
      <w:tr>
        <w:trPr>
          <w:trHeight w:val="256"/>
        </w:trPr>
        <w:tc>
          <w:tcPr>
            <w:tcW w:w="7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-4384675</wp:posOffset>
            </wp:positionV>
            <wp:extent cx="690943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-4076065</wp:posOffset>
            </wp:positionV>
            <wp:extent cx="6909435"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9435" cy="28257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-3638550</wp:posOffset>
            </wp:positionV>
            <wp:extent cx="69094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-3312795</wp:posOffset>
            </wp:positionV>
            <wp:extent cx="690943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-3004185</wp:posOffset>
            </wp:positionV>
            <wp:extent cx="690943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-2695575</wp:posOffset>
            </wp:positionV>
            <wp:extent cx="690943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-2052955</wp:posOffset>
            </wp:positionV>
            <wp:extent cx="690943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-1761490</wp:posOffset>
            </wp:positionV>
            <wp:extent cx="690943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-1452880</wp:posOffset>
            </wp:positionV>
            <wp:extent cx="690943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-818515</wp:posOffset>
            </wp:positionV>
            <wp:extent cx="69094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-475615</wp:posOffset>
            </wp:positionV>
            <wp:extent cx="69094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-132715</wp:posOffset>
            </wp:positionV>
            <wp:extent cx="690943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-1127125</wp:posOffset>
            </wp:positionV>
            <wp:extent cx="690943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-2369820</wp:posOffset>
            </wp:positionV>
            <wp:extent cx="690943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9435" cy="18034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-4658995</wp:posOffset>
            </wp:positionV>
            <wp:extent cx="690943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9435" cy="137160"/>
                    </a:xfrm>
                    <a:prstGeom prst="rect">
                      <a:avLst/>
                    </a:prstGeom>
                    <a:noFill/>
                  </pic:spPr>
                </pic:pic>
              </a:graphicData>
            </a:graphic>
          </wp:anchor>
        </w:drawing>
      </w:r>
    </w:p>
    <w:p>
      <w:pPr>
        <w:ind w:left="200" w:right="160" w:hanging="80"/>
        <w:spacing w:after="0" w:line="272" w:lineRule="auto"/>
        <w:rPr>
          <w:sz w:val="20"/>
          <w:szCs w:val="20"/>
          <w:color w:val="auto"/>
        </w:rPr>
      </w:pPr>
      <w:r>
        <w:rPr>
          <w:rFonts w:ascii="Times New Roman" w:cs="Times New Roman" w:eastAsia="Times New Roman" w:hAnsi="Times New Roman"/>
          <w:sz w:val="16"/>
          <w:szCs w:val="16"/>
          <w:color w:val="auto"/>
        </w:rPr>
        <w:t>Common stock, par value of $0.001 per share; 1,000,000,000 shares authorized as of April 30, 2026 and January 31, 2026; 80,703,488 shares issued and 80,503,576 shares outstanding as of April 30, 2026; 83,370,769 shares issued and 80,492,774 shares outstanding as of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wp:posOffset>
            </wp:positionV>
            <wp:extent cx="690943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9435" cy="1543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59" w:lineRule="exact"/>
        <w:rPr>
          <w:sz w:val="20"/>
          <w:szCs w:val="20"/>
          <w:color w:val="auto"/>
        </w:rPr>
      </w:pPr>
    </w:p>
    <w:p>
      <w:pPr>
        <w:ind w:left="200" w:right="480" w:hanging="121"/>
        <w:spacing w:after="0" w:line="280" w:lineRule="auto"/>
        <w:rPr>
          <w:sz w:val="20"/>
          <w:szCs w:val="20"/>
          <w:color w:val="auto"/>
        </w:rPr>
      </w:pPr>
      <w:r>
        <w:rPr>
          <w:rFonts w:ascii="Times New Roman" w:cs="Times New Roman" w:eastAsia="Times New Roman" w:hAnsi="Times New Roman"/>
          <w:sz w:val="16"/>
          <w:szCs w:val="16"/>
          <w:color w:val="auto"/>
        </w:rPr>
        <w:t>Treasury stock, 199,912 shares (repurchased at an average of $41.43 per share) as of April 30, 2026 and 2,877,995 shares (repurchased at an average of $171.84 per share) as of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wp:posOffset>
            </wp:positionV>
            <wp:extent cx="690943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9435" cy="15430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46355</wp:posOffset>
            </wp:positionV>
            <wp:extent cx="690943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9435" cy="154305"/>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59"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6"/>
          <w:szCs w:val="16"/>
          <w:color w:val="auto"/>
        </w:rPr>
        <w:t>Total liabilities and stockholders’ equity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1,036,354</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1,083,540</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1,390,799</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1,303,701</w:t>
            </w:r>
          </w:p>
        </w:tc>
      </w:tr>
      <w:tr>
        <w:trPr>
          <w:trHeight w:val="446"/>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387,294</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499,002</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129,894</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131,442</w:t>
            </w:r>
          </w:p>
        </w:tc>
      </w:tr>
      <w:tr>
        <w:trPr>
          <w:trHeight w:val="27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115,277</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97,170</w:t>
            </w:r>
          </w:p>
        </w:tc>
      </w:tr>
      <w:tr>
        <w:trPr>
          <w:trHeight w:val="220"/>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3,059,618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3,114,855</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40,900</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39,773</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26,606</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28,978</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191,397</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191,397</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30,851</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34,502</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26,061</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26,021</w:t>
            </w:r>
          </w:p>
        </w:tc>
      </w:tr>
      <w:tr>
        <w:trPr>
          <w:trHeight w:val="27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317,258</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323,322</w:t>
            </w:r>
          </w:p>
        </w:tc>
      </w:tr>
      <w:tr>
        <w:trPr>
          <w:trHeight w:val="236"/>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3,692,691</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3,758,848</w:t>
            </w:r>
          </w:p>
        </w:tc>
      </w:tr>
      <w:tr>
        <w:trPr>
          <w:trHeight w:val="24"/>
        </w:trPr>
        <w:tc>
          <w:tcPr>
            <w:tcW w:w="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35"/>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41,664</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20,269</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115,563</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143,046</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9,360</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110,516</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109,803</w:t>
            </w:r>
          </w:p>
        </w:tc>
      </w:tr>
      <w:tr>
        <w:trPr>
          <w:trHeight w:val="27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341,076</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387,119</w:t>
            </w:r>
          </w:p>
        </w:tc>
      </w:tr>
      <w:tr>
        <w:trPr>
          <w:trHeight w:val="220"/>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618,179</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669,496</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358</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70"/>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21,067</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23,600</w:t>
            </w:r>
          </w:p>
        </w:tc>
      </w:tr>
      <w:tr>
        <w:trPr>
          <w:trHeight w:val="270"/>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91,236</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83,588</w:t>
            </w:r>
          </w:p>
        </w:tc>
      </w:tr>
      <w:tr>
        <w:trPr>
          <w:trHeight w:val="27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26,891</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29,454</w:t>
            </w:r>
          </w:p>
        </w:tc>
      </w:tr>
      <w:tr>
        <w:trPr>
          <w:trHeight w:val="247"/>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757,731</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806,490</w:t>
            </w:r>
          </w:p>
        </w:tc>
      </w:tr>
      <w:tr>
        <w:trPr>
          <w:trHeight w:val="850"/>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81</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4,843,315</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5,345,494</w:t>
            </w:r>
          </w:p>
        </w:tc>
      </w:tr>
      <w:tr>
        <w:trPr>
          <w:trHeight w:val="445"/>
        </w:trPr>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(8,283)</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(494,569)</w:t>
            </w:r>
          </w:p>
        </w:tc>
      </w:tr>
      <w:tr>
        <w:trPr>
          <w:trHeight w:val="24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7,268</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13,207</w:t>
            </w:r>
          </w:p>
        </w:tc>
      </w:tr>
      <w:tr>
        <w:trPr>
          <w:trHeight w:val="273"/>
        </w:trPr>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(1,907,421)</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(1,911,855)</w:t>
            </w:r>
          </w:p>
        </w:tc>
      </w:tr>
      <w:tr>
        <w:trPr>
          <w:trHeight w:val="220"/>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2,934,960</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2,952,358</w:t>
            </w:r>
          </w:p>
        </w:tc>
      </w:tr>
      <w:tr>
        <w:trPr>
          <w:trHeight w:val="213"/>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3,692,691</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3,758,848</w:t>
            </w:r>
          </w:p>
        </w:tc>
      </w:tr>
      <w:tr>
        <w:trPr>
          <w:trHeight w:val="23"/>
        </w:trPr>
        <w:tc>
          <w:tcPr>
            <w:tcW w:w="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-33655</wp:posOffset>
            </wp:positionV>
            <wp:extent cx="8915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-8255</wp:posOffset>
            </wp:positionV>
            <wp:extent cx="8915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-179705</wp:posOffset>
            </wp:positionV>
            <wp:extent cx="8915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-1807845</wp:posOffset>
            </wp:positionV>
            <wp:extent cx="891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-3685540</wp:posOffset>
            </wp:positionV>
            <wp:extent cx="891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-4971415</wp:posOffset>
            </wp:positionV>
            <wp:extent cx="8915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520"/>
            <w:col w:w="2300"/>
          </w:cols>
          <w:pgMar w:left="380" w:top="887" w:right="69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380" w:top="887" w:right="69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Subscription</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Services</w:t>
      </w:r>
    </w:p>
    <w:p>
      <w:pPr>
        <w:spacing w:after="0" w:line="77"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Total revenue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1"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p>
      <w:pPr>
        <w:spacing w:after="0" w:line="31" w:lineRule="exact"/>
        <w:rPr>
          <w:sz w:val="20"/>
          <w:szCs w:val="20"/>
          <w:color w:val="auto"/>
        </w:rPr>
      </w:pPr>
    </w:p>
    <w:tbl>
      <w:tblPr>
        <w:tblLayout w:type="fixed"/>
        <w:tblInd w:w="492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93"/>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666,138</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531,455</w:t>
            </w:r>
          </w:p>
        </w:tc>
      </w:tr>
      <w:tr>
        <w:trPr>
          <w:trHeight w:val="283"/>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w:t>
            </w:r>
          </w:p>
        </w:tc>
      </w:tr>
      <w:tr>
        <w:trPr>
          <w:trHeight w:val="250"/>
        </w:trPr>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687,616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-685165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-359410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-7620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2220" w:space="720"/>
            <w:col w:w="830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265"/>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129,585</w:t>
            </w:r>
          </w:p>
        </w:tc>
        <w:tc>
          <w:tcPr>
            <w:tcW w:w="0" w:type="dxa"/>
            <w:vAlign w:val="bottom"/>
          </w:tcPr>
          <w:p>
            <w:pPr>
              <w:spacing w:after="0"/>
              <w:rPr>
                <w:sz w:val="1"/>
                <w:szCs w:val="1"/>
                <w:color w:val="auto"/>
              </w:rPr>
            </w:pPr>
          </w:p>
        </w:tc>
      </w:tr>
      <w:tr>
        <w:trPr>
          <w:trHeight w:val="28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26,534</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0" w:type="dxa"/>
            <w:vAlign w:val="bottom"/>
          </w:tcPr>
          <w:p>
            <w:pPr>
              <w:spacing w:after="0"/>
              <w:rPr>
                <w:sz w:val="1"/>
                <w:szCs w:val="1"/>
                <w:color w:val="auto"/>
              </w:rPr>
            </w:pPr>
          </w:p>
        </w:tc>
      </w:tr>
      <w:tr>
        <w:trPr>
          <w:trHeight w:val="263"/>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191,441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158,041</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496,175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390,973</w:t>
            </w:r>
          </w:p>
        </w:tc>
        <w:tc>
          <w:tcPr>
            <w:tcW w:w="0" w:type="dxa"/>
            <w:vAlign w:val="bottom"/>
          </w:tcPr>
          <w:p>
            <w:pPr>
              <w:spacing w:after="0"/>
              <w:rPr>
                <w:sz w:val="1"/>
                <w:szCs w:val="1"/>
                <w:color w:val="auto"/>
              </w:rPr>
            </w:pPr>
          </w:p>
        </w:tc>
      </w:tr>
      <w:tr>
        <w:trPr>
          <w:trHeight w:val="229"/>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220,923</w:t>
            </w:r>
          </w:p>
        </w:tc>
        <w:tc>
          <w:tcPr>
            <w:tcW w:w="0" w:type="dxa"/>
            <w:vAlign w:val="bottom"/>
          </w:tcPr>
          <w:p>
            <w:pPr>
              <w:spacing w:after="0"/>
              <w:rPr>
                <w:sz w:val="1"/>
                <w:szCs w:val="1"/>
                <w:color w:val="auto"/>
              </w:rPr>
            </w:pPr>
          </w:p>
        </w:tc>
      </w:tr>
      <w:tr>
        <w:trPr>
          <w:trHeight w:val="27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168,829</w:t>
            </w:r>
          </w:p>
        </w:tc>
        <w:tc>
          <w:tcPr>
            <w:tcW w:w="0" w:type="dxa"/>
            <w:vAlign w:val="bottom"/>
          </w:tcPr>
          <w:p>
            <w:pPr>
              <w:spacing w:after="0"/>
              <w:rPr>
                <w:sz w:val="1"/>
                <w:szCs w:val="1"/>
                <w:color w:val="auto"/>
              </w:rPr>
            </w:pPr>
          </w:p>
        </w:tc>
      </w:tr>
      <w:tr>
        <w:trPr>
          <w:trHeight w:val="284"/>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71,236</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0" w:type="dxa"/>
            <w:vAlign w:val="bottom"/>
          </w:tcPr>
          <w:p>
            <w:pPr>
              <w:spacing w:after="0"/>
              <w:rPr>
                <w:sz w:val="1"/>
                <w:szCs w:val="1"/>
                <w:color w:val="auto"/>
              </w:rPr>
            </w:pPr>
          </w:p>
        </w:tc>
      </w:tr>
      <w:tr>
        <w:trPr>
          <w:trHeight w:val="263"/>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520,979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444,527</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(53,554)</w:t>
            </w:r>
          </w:p>
        </w:tc>
        <w:tc>
          <w:tcPr>
            <w:tcW w:w="0" w:type="dxa"/>
            <w:vAlign w:val="bottom"/>
          </w:tcPr>
          <w:p>
            <w:pPr>
              <w:spacing w:after="0"/>
              <w:rPr>
                <w:sz w:val="1"/>
                <w:szCs w:val="1"/>
                <w:color w:val="auto"/>
              </w:rPr>
            </w:pPr>
          </w:p>
        </w:tc>
      </w:tr>
      <w:tr>
        <w:trPr>
          <w:trHeight w:val="270"/>
        </w:trPr>
        <w:tc>
          <w:tcPr>
            <w:tcW w:w="7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33,598</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w:t>
            </w:r>
          </w:p>
        </w:tc>
        <w:tc>
          <w:tcPr>
            <w:tcW w:w="0" w:type="dxa"/>
            <w:vAlign w:val="bottom"/>
          </w:tcPr>
          <w:p>
            <w:pPr>
              <w:spacing w:after="0"/>
              <w:rPr>
                <w:sz w:val="1"/>
                <w:szCs w:val="1"/>
                <w:color w:val="auto"/>
              </w:rPr>
            </w:pPr>
          </w:p>
        </w:tc>
      </w:tr>
      <w:tr>
        <w:trPr>
          <w:trHeight w:val="284"/>
        </w:trPr>
        <w:tc>
          <w:tcPr>
            <w:tcW w:w="7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0" w:type="dxa"/>
            <w:vAlign w:val="bottom"/>
          </w:tcPr>
          <w:p>
            <w:pPr>
              <w:spacing w:after="0"/>
              <w:rPr>
                <w:sz w:val="1"/>
                <w:szCs w:val="1"/>
                <w:color w:val="auto"/>
              </w:rPr>
            </w:pPr>
          </w:p>
        </w:tc>
      </w:tr>
      <w:tr>
        <w:trPr>
          <w:trHeight w:val="68"/>
        </w:trPr>
        <w:tc>
          <w:tcPr>
            <w:tcW w:w="7860" w:type="dxa"/>
            <w:vAlign w:val="bottom"/>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7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0"/>
        </w:trPr>
        <w:tc>
          <w:tcPr>
            <w:tcW w:w="7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net income (loss) per share</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78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80,357,498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81,060,822</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81,581,387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81,060,822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line="265" w:lineRule="exact"/>
        <w:tabs>
          <w:tab w:leader="none" w:pos="80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Includes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 follows:</w:t>
      </w:r>
    </w:p>
    <w:p>
      <w:pPr>
        <w:sectPr>
          <w:pgSz w:w="11900" w:h="16838" w:orient="portrait"/>
          <w:cols w:equalWidth="0" w:num="1">
            <w:col w:w="1124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revenue—subscription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revenue—services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36" w:lineRule="exact"/>
        <w:rPr>
          <w:sz w:val="20"/>
          <w:szCs w:val="20"/>
          <w:color w:val="auto"/>
        </w:rPr>
      </w:pPr>
    </w:p>
    <w:p>
      <w:pPr>
        <w:ind w:left="260"/>
        <w:spacing w:after="0" w:line="196" w:lineRule="exact"/>
        <w:rPr>
          <w:sz w:val="20"/>
          <w:szCs w:val="20"/>
          <w:color w:val="auto"/>
        </w:rPr>
      </w:pPr>
      <w:r>
        <w:rPr>
          <w:rFonts w:ascii="Times New Roman" w:cs="Times New Roman" w:eastAsia="Times New Roman" w:hAnsi="Times New Roman"/>
          <w:sz w:val="17"/>
          <w:szCs w:val="17"/>
          <w:color w:val="auto"/>
        </w:rPr>
        <w:t>Total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r>
      <w:tr>
        <w:trPr>
          <w:trHeight w:val="270"/>
        </w:trPr>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70"/>
        </w:trPr>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39,102</w:t>
            </w:r>
          </w:p>
        </w:tc>
      </w:tr>
      <w:tr>
        <w:trPr>
          <w:trHeight w:val="270"/>
        </w:trPr>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66,405</w:t>
            </w:r>
          </w:p>
        </w:tc>
      </w:tr>
      <w:tr>
        <w:trPr>
          <w:trHeight w:val="283"/>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14,635</w:t>
            </w:r>
          </w:p>
        </w:tc>
      </w:tr>
      <w:tr>
        <w:trPr>
          <w:trHeight w:val="264"/>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132,431</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-1079500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-736600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-393700</wp:posOffset>
            </wp:positionV>
            <wp:extent cx="71323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ectPr>
          <w:pgSz w:w="11900" w:h="16838" w:orient="portrait"/>
          <w:cols w:equalWidth="0" w:num="1">
            <w:col w:w="11240"/>
          </w:cols>
          <w:pgMar w:left="320" w:top="887" w:right="339" w:bottom="1440" w:gutter="0" w:footer="0" w:header="0"/>
        </w:sectPr>
      </w:pP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income (loss)</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Amortization of finance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Amortization of operating right-of-use assets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Amortization of premium and accretion of discount on short-term investments, net</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Realized and unrealized loss (gain) on financial instruments,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Unrealized foreign exchange loss</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commissions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Other liabilities, non-current</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(37,626)</w:t>
            </w:r>
          </w:p>
        </w:tc>
      </w:tr>
      <w:tr>
        <w:trPr>
          <w:trHeight w:val="459"/>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132,431</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r>
      <w:tr>
        <w:trPr>
          <w:trHeight w:val="459"/>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112,951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79,895</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(12,593)</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(19,353)</w:t>
            </w:r>
          </w:p>
        </w:tc>
      </w:tr>
      <w:tr>
        <w:trPr>
          <w:trHeight w:val="243"/>
        </w:trPr>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w:t>
            </w:r>
          </w:p>
        </w:tc>
      </w:tr>
      <w:tr>
        <w:trPr>
          <w:trHeight w:val="270"/>
        </w:trPr>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(39,624)</w:t>
            </w:r>
          </w:p>
        </w:tc>
      </w:tr>
      <w:tr>
        <w:trPr>
          <w:trHeight w:val="273"/>
        </w:trPr>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r>
      <w:tr>
        <w:trPr>
          <w:trHeight w:val="223"/>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201,631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109,929</w:t>
            </w:r>
          </w:p>
        </w:tc>
      </w:tr>
    </w:tbl>
    <w:p>
      <w:pPr>
        <w:spacing w:after="0" w:line="216" w:lineRule="exact"/>
        <w:rPr>
          <w:sz w:val="20"/>
          <w:szCs w:val="20"/>
          <w:color w:val="auto"/>
        </w:rPr>
      </w:pPr>
    </w:p>
    <w:p>
      <w:pPr>
        <w:sectPr>
          <w:pgSz w:w="11900" w:h="16838" w:orient="portrait"/>
          <w:cols w:equalWidth="0" w:num="2">
            <w:col w:w="7760" w:space="720"/>
            <w:col w:w="27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r>
      <w:tr>
        <w:trPr>
          <w:trHeight w:val="246"/>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Investments in non-marketable securities</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w:t>
            </w:r>
          </w:p>
        </w:tc>
      </w:tr>
      <w:tr>
        <w:trPr>
          <w:trHeight w:val="240"/>
        </w:trPr>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3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r>
      <w:tr>
        <w:trPr>
          <w:trHeight w:val="246"/>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198,660</w:t>
            </w:r>
          </w:p>
        </w:tc>
      </w:tr>
      <w:tr>
        <w:trPr>
          <w:trHeight w:val="240"/>
        </w:trPr>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non-marketable securities</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(352,122)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(138,624)</w:t>
            </w:r>
          </w:p>
        </w:tc>
      </w:tr>
      <w:tr>
        <w:trPr>
          <w:trHeight w:val="220"/>
        </w:trPr>
        <w:tc>
          <w:tcPr>
            <w:tcW w:w="8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51,571</w:t>
            </w:r>
          </w:p>
        </w:tc>
      </w:tr>
      <w:tr>
        <w:trPr>
          <w:trHeight w:val="19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0"/>
        </w:trPr>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40"/>
        </w:trPr>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r>
      <w:tr>
        <w:trPr>
          <w:trHeight w:val="220"/>
        </w:trPr>
        <w:tc>
          <w:tcPr>
            <w:tcW w:w="8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53"/>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20"/>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167,685</w:t>
            </w:r>
          </w:p>
        </w:tc>
      </w:tr>
      <w:tr>
        <w:trPr>
          <w:trHeight w:val="273"/>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1,086,625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492,753</w:t>
            </w: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1,039,760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660,438</w:t>
            </w:r>
          </w:p>
        </w:tc>
      </w:tr>
      <w:tr>
        <w:trPr>
          <w:trHeight w:val="24"/>
        </w:trPr>
        <w:tc>
          <w:tcPr>
            <w:tcW w:w="8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7" w:right="339" w:bottom="1440" w:gutter="0" w:footer="0" w:header="0"/>
          <w:type w:val="continuous"/>
        </w:sectPr>
      </w:pPr>
    </w:p>
    <w:bookmarkStart w:id="12" w:name="page13"/>
    <w:bookmarkEnd w:id="1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37"/>
        </w:trPr>
        <w:tc>
          <w:tcPr>
            <w:tcW w:w="8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gross profit to non-GAAP gross profit: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profit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496,175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390,973</w:t>
            </w: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Gross margin (Gross profit/Total revenue) on a GAAP basis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71 %</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 Cost of Revenue—Subscription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8,622</w:t>
            </w: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 Cost of Revenue—Services</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4,586</w:t>
            </w: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2,367</w:t>
            </w:r>
          </w:p>
        </w:tc>
      </w:tr>
      <w:tr>
        <w:trPr>
          <w:trHeight w:val="212"/>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512,224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406,548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Non-GAAP gross margin (Non-GAAP gross profit/Total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74 %</w:t>
            </w: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operating expenses to non-GAAP 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 operating expense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249,334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220,923</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34,263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39,904</w:t>
            </w: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sales and marketing operating expense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214,714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181,019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operating expense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200,409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168,829</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73,220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68,177</w:t>
            </w: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8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research and development operating expense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127,076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100,442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operating expense on a GAAP basis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71,236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54,775</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15,230</w:t>
            </w: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1,890</w:t>
            </w: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general and administrative operating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47,263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37,655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loss from operations to non-GAAP income from operations: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operations on a GAAP basis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(53,554)</w:t>
            </w:r>
          </w:p>
        </w:tc>
        <w:tc>
          <w:tcPr>
            <w:tcW w:w="0" w:type="dxa"/>
            <w:vAlign w:val="bottom"/>
          </w:tcPr>
          <w:p>
            <w:pPr>
              <w:spacing w:after="0"/>
              <w:rPr>
                <w:sz w:val="1"/>
                <w:szCs w:val="1"/>
                <w:color w:val="auto"/>
              </w:rPr>
            </w:pPr>
          </w:p>
        </w:tc>
      </w:tr>
      <w:tr>
        <w:trPr>
          <w:trHeight w:val="214"/>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i w:val="1"/>
                <w:iCs w:val="1"/>
                <w:color w:val="auto"/>
              </w:rPr>
              <w:t>GAAP operating margin (Loss from operations/Total revenue)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144,276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136,519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212"/>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123,171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87,432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i w:val="1"/>
                <w:iCs w:val="1"/>
                <w:color w:val="auto"/>
              </w:rPr>
              <w:t>Non-GAAP operating margin (Non-GAAP income from operations/Total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net income (loss) to non-GAAP net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4,434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(37,626)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144,276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136,519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Gains (loss) on financial instruments,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Income tax effects and adjustments </w:t>
            </w:r>
            <w:r>
              <w:rPr>
                <w:rFonts w:ascii="Times New Roman" w:cs="Times New Roman" w:eastAsia="Times New Roman" w:hAnsi="Times New Roman"/>
                <w:sz w:val="21"/>
                <w:szCs w:val="21"/>
                <w:color w:val="auto"/>
                <w:vertAlign w:val="superscript"/>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23,710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17,285</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112,279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86,347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GAAP net income (loss) per share, diluted, to non-GAAP net income per share, fully diluted: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per share, diluted, on a GAAP basis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Gains (loss) on financial instruments,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Income tax effects and adjustments *</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net income per share,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Adjustment for fully diluted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net income per share, fully diluted **</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right="40" w:hanging="8"/>
        <w:spacing w:after="0" w:line="255" w:lineRule="auto"/>
        <w:tabs>
          <w:tab w:leader="none" w:pos="46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financial information is adjusted for an assumed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spacing w:after="0" w:line="1" w:lineRule="exact"/>
        <w:rPr>
          <w:rFonts w:ascii="Times New Roman" w:cs="Times New Roman" w:eastAsia="Times New Roman" w:hAnsi="Times New Roman"/>
          <w:sz w:val="16"/>
          <w:szCs w:val="16"/>
          <w:color w:val="auto"/>
        </w:rPr>
      </w:pPr>
    </w:p>
    <w:p>
      <w:pPr>
        <w:jc w:val="both"/>
        <w:ind w:left="340" w:right="12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Fully diluted non-GAAP net income per share is calculated based upon 85.3 million of fully diluted weighted-average shares of outstanding common stock for the three months ended April 30, 2026 and 86.3 million of fully diluted weighted-average shares of outstanding common stock for the three months ended April 30, 2025.</w:t>
      </w:r>
    </w:p>
    <w:p>
      <w:pPr>
        <w:spacing w:after="0" w:line="200" w:lineRule="exact"/>
        <w:rPr>
          <w:sz w:val="20"/>
          <w:szCs w:val="20"/>
          <w:color w:val="auto"/>
        </w:rPr>
      </w:pPr>
    </w:p>
    <w:p>
      <w:pPr>
        <w:spacing w:after="0" w:line="3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38" w:right="339" w:bottom="1440" w:gutter="0" w:footer="0" w:header="0"/>
        </w:sectPr>
      </w:pPr>
    </w:p>
    <w:bookmarkStart w:id="14" w:name="page15"/>
    <w:bookmarkEnd w:id="14"/>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GAAP measure, for each of the periods indicated (unaudited,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r>
      <w:tr>
        <w:trPr>
          <w:trHeight w:val="171"/>
        </w:trPr>
        <w:tc>
          <w:tcPr>
            <w:tcW w:w="8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28"/>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109,929</w:t>
            </w:r>
          </w:p>
        </w:tc>
      </w:tr>
      <w:tr>
        <w:trPr>
          <w:trHeight w:val="240"/>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r>
      <w:tr>
        <w:trPr>
          <w:trHeight w:val="2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r>
      <w:tr>
        <w:trPr>
          <w:trHeight w:val="220"/>
        </w:trPr>
        <w:tc>
          <w:tcPr>
            <w:tcW w:w="8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Free cash flow</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105,924</w:t>
            </w:r>
          </w:p>
        </w:tc>
      </w:tr>
      <w:tr>
        <w:trPr>
          <w:trHeight w:val="24"/>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34" w:right="339" w:bottom="1440" w:gutter="0" w:footer="0" w:header="0"/>
        </w:sectPr>
      </w:pPr>
    </w:p>
    <w:bookmarkStart w:id="15" w:name="page16"/>
    <w:bookmarkEnd w:id="15"/>
    <w:p>
      <w:pPr>
        <w:ind w:left="49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7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RECONCILIATION OF GAAP GUIDANCE TO NON-GAAP GUIDANCE</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SECOND QUARTER &amp; FULL YEAR FISCAL 2027</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(in millions of U.S. dollars, except share and per share data)</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Second Quarter</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Full Year</w:t>
            </w:r>
          </w:p>
        </w:tc>
      </w:tr>
      <w:tr>
        <w:trPr>
          <w:trHeight w:val="241"/>
        </w:trPr>
        <w:tc>
          <w:tcPr>
            <w:tcW w:w="5860" w:type="dxa"/>
            <w:vAlign w:val="bottom"/>
          </w:tcPr>
          <w:p>
            <w:pPr>
              <w:spacing w:after="0"/>
              <w:rPr>
                <w:sz w:val="20"/>
                <w:szCs w:val="20"/>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Fiscal 2027</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2027</w:t>
            </w:r>
          </w:p>
        </w:tc>
      </w:tr>
      <w:tr>
        <w:trPr>
          <w:trHeight w:val="212"/>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 - GAAP Guidance</w:t>
            </w: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 to $(6.0)</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$(78.0) to $(58.0)</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158.3</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634.6</w:t>
            </w: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12.4</w:t>
            </w:r>
          </w:p>
        </w:tc>
      </w:tr>
      <w:tr>
        <w:trPr>
          <w:trHeight w:val="213"/>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23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 - non-GAAP guidance</w:t>
            </w:r>
          </w:p>
        </w:tc>
        <w:tc>
          <w:tcPr>
            <w:tcW w:w="2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$152.0 to $156.0</w:t>
            </w:r>
          </w:p>
        </w:tc>
        <w:tc>
          <w:tcPr>
            <w:tcW w:w="1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$571.0 to $591.0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14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b w:val="1"/>
          <w:bCs w:val="1"/>
          <w:color w:val="auto"/>
        </w:rPr>
        <w:t>Second Quarter</w:t>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Fiscal 2027</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Full Year</w:t>
      </w:r>
    </w:p>
    <w:p>
      <w:pPr>
        <w:spacing w:after="0" w:line="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Fiscal 2027</w:t>
      </w:r>
    </w:p>
    <w:p>
      <w:pPr>
        <w:spacing w:after="0" w:line="7" w:lineRule="exact"/>
        <w:rPr>
          <w:sz w:val="20"/>
          <w:szCs w:val="20"/>
          <w:color w:val="auto"/>
        </w:rPr>
      </w:pPr>
    </w:p>
    <w:p>
      <w:pPr>
        <w:sectPr>
          <w:pgSz w:w="11900" w:h="16838" w:orient="portrait"/>
          <w:cols w:equalWidth="0" w:num="2">
            <w:col w:w="8780" w:space="720"/>
            <w:col w:w="174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 GAAP guidance</w:t>
            </w: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$0.08 to $0.12</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$0.15 to $0.39</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Expenses associated with stock-based compensation</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1.90</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rPr>
              <w:t>7.59</w:t>
            </w:r>
          </w:p>
        </w:tc>
      </w:tr>
      <w:tr>
        <w:trPr>
          <w:trHeight w:val="21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64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0.04</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rPr>
              <w:t>0.15</w:t>
            </w:r>
          </w:p>
        </w:tc>
      </w:tr>
      <w:tr>
        <w:trPr>
          <w:trHeight w:val="21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Certain acquisition-related costs and other</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100" w:type="dxa"/>
            <w:vAlign w:val="bottom"/>
          </w:tcPr>
          <w:p>
            <w:pPr>
              <w:spacing w:after="0"/>
              <w:rPr>
                <w:sz w:val="18"/>
                <w:szCs w:val="18"/>
                <w:color w:val="auto"/>
              </w:rPr>
            </w:pPr>
          </w:p>
        </w:tc>
        <w:tc>
          <w:tcPr>
            <w:tcW w:w="264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r>
      <w:tr>
        <w:trPr>
          <w:trHeight w:val="21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 (loss) on financial instruments, net</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64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rPr>
              <w:t>0.20</w:t>
            </w:r>
          </w:p>
        </w:tc>
      </w:tr>
      <w:tr>
        <w:trPr>
          <w:trHeight w:val="21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effects and adjustments*</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0.39 to 0.40</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1.55 to 1.60</w:t>
            </w:r>
          </w:p>
        </w:tc>
      </w:tr>
      <w:tr>
        <w:trPr>
          <w:trHeight w:val="21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Adjustment for fully diluted earnings per share</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rPr>
              <w:t>(0.22)</w:t>
            </w:r>
          </w:p>
        </w:tc>
      </w:tr>
      <w:tr>
        <w:trPr>
          <w:trHeight w:val="23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 non-GAAP guidance</w:t>
            </w:r>
          </w:p>
        </w:tc>
        <w:tc>
          <w:tcPr>
            <w:tcW w:w="2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$1.58 to $1.61</w:t>
            </w:r>
          </w:p>
        </w:tc>
        <w:tc>
          <w:tcPr>
            <w:tcW w:w="1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$5.95 to $6.14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40" w:right="40" w:hanging="8"/>
        <w:spacing w:after="0" w:line="272" w:lineRule="auto"/>
        <w:tabs>
          <w:tab w:leader="none" w:pos="46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financial information is adjusted for an assumed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81" w:right="339" w:bottom="1440" w:gutter="0" w:footer="0" w:header="0"/>
          <w:type w:val="continuous"/>
        </w:sectPr>
      </w:pPr>
    </w:p>
    <w:bookmarkStart w:id="16" w:name="page17"/>
    <w:bookmarkEnd w:id="16"/>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CUSTOMER COUNT METRICS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customer count information as of the periods indicated: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4/30/2024</w:t>
            </w:r>
          </w:p>
        </w:tc>
        <w:tc>
          <w:tcPr>
            <w:tcW w:w="8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7/31/2024</w:t>
            </w: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10/31/2024</w:t>
            </w:r>
          </w:p>
        </w:tc>
        <w:tc>
          <w:tcPr>
            <w:tcW w:w="12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1/31/2025</w:t>
            </w:r>
          </w:p>
        </w:tc>
        <w:tc>
          <w:tcPr>
            <w:tcW w:w="12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4/30/2025</w:t>
            </w: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7/31/2025</w:t>
            </w:r>
          </w:p>
        </w:tc>
        <w:tc>
          <w:tcPr>
            <w:tcW w:w="12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10/31/2025</w:t>
            </w:r>
          </w:p>
        </w:tc>
        <w:tc>
          <w:tcPr>
            <w:tcW w:w="10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1/31/2026</w:t>
            </w:r>
          </w:p>
        </w:tc>
        <w:tc>
          <w:tcPr>
            <w:tcW w:w="8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4/30/2026</w:t>
            </w:r>
          </w:p>
        </w:tc>
      </w:tr>
      <w:tr>
        <w:trPr>
          <w:trHeight w:val="228"/>
        </w:trPr>
        <w:tc>
          <w:tcPr>
            <w:tcW w:w="2360" w:type="dxa"/>
            <w:vAlign w:val="bottom"/>
            <w:shd w:val="clear" w:color="auto" w:fill="CCEEFF"/>
          </w:tcPr>
          <w:p>
            <w:pPr>
              <w:ind w:left="60"/>
              <w:spacing w:after="0" w:line="228" w:lineRule="exact"/>
              <w:rPr>
                <w:sz w:val="20"/>
                <w:szCs w:val="20"/>
                <w:color w:val="auto"/>
              </w:rPr>
            </w:pPr>
            <w:r>
              <w:rPr>
                <w:rFonts w:ascii="Times New Roman" w:cs="Times New Roman" w:eastAsia="Times New Roman" w:hAnsi="Times New Roman"/>
                <w:sz w:val="16"/>
                <w:szCs w:val="16"/>
                <w:color w:val="auto"/>
              </w:rPr>
              <w:t>Total Customers</w:t>
            </w:r>
            <w:r>
              <w:rPr>
                <w:rFonts w:ascii="Times New Roman" w:cs="Times New Roman" w:eastAsia="Times New Roman" w:hAnsi="Times New Roman"/>
                <w:sz w:val="21"/>
                <w:szCs w:val="21"/>
                <w:color w:val="auto"/>
                <w:vertAlign w:val="superscript"/>
              </w:rPr>
              <w:t>(a)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67,700+</w:t>
            </w:r>
          </w:p>
        </w:tc>
      </w:tr>
      <w:tr>
        <w:trPr>
          <w:trHeight w:val="233"/>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MongoDB Atlas Customers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47,700+</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58,500+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63,900+</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66,400+</w:t>
            </w:r>
          </w:p>
        </w:tc>
      </w:tr>
      <w:tr>
        <w:trPr>
          <w:trHeight w:val="253"/>
        </w:trPr>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Customers over $100K</w:t>
            </w:r>
            <w:r>
              <w:rPr>
                <w:rFonts w:ascii="Times New Roman" w:cs="Times New Roman" w:eastAsia="Times New Roman" w:hAnsi="Times New Roman"/>
                <w:sz w:val="21"/>
                <w:szCs w:val="21"/>
                <w:color w:val="auto"/>
                <w:vertAlign w:val="superscript"/>
              </w:rPr>
              <w:t>(b)</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r>
    </w:tbl>
    <w:p>
      <w:pPr>
        <w:spacing w:after="0" w:line="243" w:lineRule="exact"/>
        <w:rPr>
          <w:sz w:val="20"/>
          <w:szCs w:val="20"/>
          <w:color w:val="auto"/>
        </w:rPr>
      </w:pPr>
    </w:p>
    <w:p>
      <w:pPr>
        <w:ind w:left="560" w:hanging="228"/>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definition of “customer” excludes users of our free offerings and all affiliated entities are counted as a single customer.</w:t>
      </w:r>
    </w:p>
    <w:p>
      <w:pPr>
        <w:spacing w:after="0" w:line="59" w:lineRule="exact"/>
        <w:rPr>
          <w:rFonts w:ascii="Times New Roman" w:cs="Times New Roman" w:eastAsia="Times New Roman" w:hAnsi="Times New Roman"/>
          <w:sz w:val="16"/>
          <w:szCs w:val="16"/>
          <w:color w:val="auto"/>
        </w:rPr>
      </w:pPr>
    </w:p>
    <w:p>
      <w:pPr>
        <w:ind w:left="340" w:right="60" w:hanging="8"/>
        <w:spacing w:after="0" w:line="263" w:lineRule="auto"/>
        <w:tabs>
          <w:tab w:leader="none" w:pos="56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customers with $100,000 or greater in annualized recurring revenue (“ARR”). ARR includes the revenue we expect to receive from our customers over the following 12 months based on contractual commitments and, in the case of Direct Sales Customers of Atlas, by annualizing the prior 90 days of their actual consumption of Atlas, assuming no increases or reductions in their subscriptions or usage. For all other customers of our self-serve products, we calculate ARR by annualizing the prior 30 days of their actual consumption of such products, assuming no increases or reductions in usage. ARR excludes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87" w:right="339" w:bottom="1440" w:gutter="0" w:footer="0" w:header="0"/>
        </w:sectPr>
      </w:pPr>
    </w:p>
    <w:bookmarkStart w:id="17" w:name="page18"/>
    <w:bookmarkEnd w:id="17"/>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SUPPLEMENTAL REVENUE INFORMATION</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certain supplemental revenue information as of the periods indicated: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4/30/2024</w:t>
            </w:r>
          </w:p>
        </w:tc>
        <w:tc>
          <w:tcPr>
            <w:tcW w:w="102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7/31/2024</w:t>
            </w:r>
          </w:p>
        </w:tc>
        <w:tc>
          <w:tcPr>
            <w:tcW w:w="10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10/31/2024</w:t>
            </w:r>
          </w:p>
        </w:tc>
        <w:tc>
          <w:tcPr>
            <w:tcW w:w="100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1/31/2025</w:t>
            </w:r>
          </w:p>
        </w:tc>
        <w:tc>
          <w:tcPr>
            <w:tcW w:w="9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4/30/2025</w:t>
            </w:r>
          </w:p>
        </w:tc>
        <w:tc>
          <w:tcPr>
            <w:tcW w:w="12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7/31/2025</w:t>
            </w:r>
          </w:p>
        </w:tc>
        <w:tc>
          <w:tcPr>
            <w:tcW w:w="12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10/31/2025</w:t>
            </w: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1/31/2026</w:t>
            </w:r>
          </w:p>
        </w:tc>
        <w:tc>
          <w:tcPr>
            <w:tcW w:w="12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4/30/2026</w:t>
            </w:r>
          </w:p>
        </w:tc>
        <w:tc>
          <w:tcPr>
            <w:tcW w:w="0" w:type="dxa"/>
            <w:vAlign w:val="bottom"/>
          </w:tcPr>
          <w:p>
            <w:pPr>
              <w:spacing w:after="0"/>
              <w:rPr>
                <w:sz w:val="1"/>
                <w:szCs w:val="1"/>
                <w:color w:val="auto"/>
              </w:rPr>
            </w:pPr>
          </w:p>
        </w:tc>
      </w:tr>
      <w:tr>
        <w:trPr>
          <w:trHeight w:val="18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MongoDB Enterprise</w:t>
            </w:r>
          </w:p>
        </w:tc>
        <w:tc>
          <w:tcPr>
            <w:tcW w:w="106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25 %</w:t>
            </w:r>
          </w:p>
        </w:tc>
        <w:tc>
          <w:tcPr>
            <w:tcW w:w="102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24 %</w:t>
            </w:r>
          </w:p>
        </w:tc>
        <w:tc>
          <w:tcPr>
            <w:tcW w:w="108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25 %</w:t>
            </w:r>
          </w:p>
        </w:tc>
        <w:tc>
          <w:tcPr>
            <w:tcW w:w="100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23 %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Advanced: % of</w:t>
            </w:r>
          </w:p>
        </w:tc>
        <w:tc>
          <w:tcPr>
            <w:tcW w:w="10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Subscription Revenue</w:t>
            </w:r>
          </w:p>
        </w:tc>
        <w:tc>
          <w:tcPr>
            <w:tcW w:w="1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geography, based on address of the Company's customers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r>
      <w:tr>
        <w:trPr>
          <w:trHeight w:val="25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332,867</w:t>
            </w: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150,766</w:t>
            </w:r>
          </w:p>
        </w:tc>
      </w:tr>
      <w:tr>
        <w:trPr>
          <w:trHeight w:val="28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65,381</w:t>
            </w:r>
          </w:p>
        </w:tc>
      </w:tr>
      <w:tr>
        <w:trPr>
          <w:trHeight w:val="26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687,616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549,014</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subscription product categories and services (in thousands):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Subscription product categories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Atlas-related</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MongoDB Enterprise Advanced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Services</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19113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3"/>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512,466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395,893</w:t>
            </w:r>
          </w:p>
        </w:tc>
      </w:tr>
      <w:tr>
        <w:trPr>
          <w:trHeight w:val="270"/>
        </w:trPr>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135,562</w:t>
            </w:r>
          </w:p>
        </w:tc>
      </w:tr>
      <w:tr>
        <w:trPr>
          <w:trHeight w:val="283"/>
        </w:trPr>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w:t>
            </w:r>
          </w:p>
        </w:tc>
      </w:tr>
      <w:tr>
        <w:trPr>
          <w:trHeight w:val="26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687,616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549,014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2026-05-28T16:48:53Z</dcterms:created>
  <dcterms:modified xsi:type="dcterms:W3CDTF">2026-05-28T16:48:53Z</dcterms:modified>
</cp:coreProperties>
</file>