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406400</wp:posOffset>
            </wp:positionH>
            <wp:positionV relativeFrom="page">
              <wp:posOffset>474980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page">
              <wp:posOffset>406400</wp:posOffset>
            </wp:positionH>
            <wp:positionV relativeFrom="page">
              <wp:posOffset>492125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ind w:left="5040"/>
        <w:spacing w:after="0"/>
        <w:rPr>
          <w:sz w:val="20"/>
          <w:szCs w:val="20"/>
          <w:color w:val="auto"/>
        </w:rPr>
      </w:pPr>
      <w:r>
        <w:rPr>
          <w:rFonts w:ascii="Arial" w:cs="Arial" w:eastAsia="Arial" w:hAnsi="Arial"/>
          <w:sz w:val="14"/>
          <w:szCs w:val="14"/>
          <w:color w:val="auto"/>
        </w:rPr>
        <w:t>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4" w:lineRule="exact"/>
        <w:rPr>
          <w:rFonts w:ascii="MS PGothic" w:cs="MS PGothic" w:eastAsia="MS PGothic" w:hAnsi="MS PGothic"/>
          <w:sz w:val="22"/>
          <w:szCs w:val="22"/>
          <w:color w:val="auto"/>
        </w:rPr>
      </w:pPr>
    </w:p>
    <w:p>
      <w:pPr>
        <w:ind w:left="39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30, 2018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-7620</wp:posOffset>
            </wp:positionV>
            <wp:extent cx="609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001-38240</w:t>
      </w:r>
    </w:p>
    <w:p>
      <w:pPr>
        <w:spacing w:after="0" w:line="117"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260"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2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26-1463205</w:t>
            </w:r>
          </w:p>
        </w:tc>
      </w:tr>
      <w:tr>
        <w:trPr>
          <w:trHeight w:val="180"/>
        </w:trPr>
        <w:tc>
          <w:tcPr>
            <w:tcW w:w="4220" w:type="dxa"/>
            <w:vAlign w:val="bottom"/>
          </w:tcPr>
          <w:p>
            <w:pPr>
              <w:jc w:val="center"/>
              <w:ind w:right="1819"/>
              <w:spacing w:after="0"/>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177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2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2"/>
              </w:rPr>
              <w:t>229 W. 43rd Street, 5th Floor</w:t>
            </w:r>
          </w:p>
        </w:tc>
        <w:tc>
          <w:tcPr>
            <w:tcW w:w="2960" w:type="dxa"/>
            <w:vAlign w:val="bottom"/>
          </w:tcPr>
          <w:p>
            <w:pPr>
              <w:spacing w:after="0"/>
              <w:rPr>
                <w:sz w:val="24"/>
                <w:szCs w:val="24"/>
                <w:color w:val="auto"/>
              </w:rPr>
            </w:pPr>
          </w:p>
        </w:tc>
      </w:tr>
      <w:tr>
        <w:trPr>
          <w:trHeight w:val="234"/>
        </w:trPr>
        <w:tc>
          <w:tcPr>
            <w:tcW w:w="42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New York, NY</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10036</w:t>
            </w:r>
          </w:p>
        </w:tc>
      </w:tr>
      <w:tr>
        <w:trPr>
          <w:trHeight w:val="218"/>
        </w:trPr>
        <w:tc>
          <w:tcPr>
            <w:tcW w:w="422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646-727-4092</w:t>
      </w:r>
    </w:p>
    <w:p>
      <w:pPr>
        <w:spacing w:after="0" w:line="145" w:lineRule="exact"/>
        <w:rPr>
          <w:sz w:val="24"/>
          <w:szCs w:val="24"/>
          <w:color w:val="auto"/>
        </w:rPr>
      </w:pPr>
    </w:p>
    <w:p>
      <w:pPr>
        <w:ind w:firstLine="446"/>
        <w:spacing w:after="0" w:line="26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112" w:lineRule="exact"/>
        <w:rPr>
          <w:sz w:val="24"/>
          <w:szCs w:val="24"/>
          <w:color w:val="auto"/>
        </w:rPr>
      </w:pPr>
    </w:p>
    <w:p>
      <w:pPr>
        <w:ind w:right="100" w:firstLine="446"/>
        <w:spacing w:after="0" w:line="265"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85" w:lineRule="exact"/>
        <w:rPr>
          <w:sz w:val="24"/>
          <w:szCs w:val="24"/>
          <w:color w:val="auto"/>
        </w:rPr>
      </w:pPr>
    </w:p>
    <w:p>
      <w:pPr>
        <w:ind w:right="20" w:firstLine="446"/>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1" w:lineRule="exact"/>
        <w:rPr>
          <w:sz w:val="24"/>
          <w:szCs w:val="24"/>
          <w:color w:val="auto"/>
        </w:rPr>
      </w:pPr>
    </w:p>
    <w:tbl>
      <w:tblPr>
        <w:tblLayout w:type="fixed"/>
        <w:tblInd w:w="42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4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292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446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 reporting company)</w:t>
            </w:r>
          </w:p>
        </w:tc>
        <w:tc>
          <w:tcPr>
            <w:tcW w:w="2920" w:type="dxa"/>
            <w:vAlign w:val="bottom"/>
          </w:tcPr>
          <w:p>
            <w:pPr>
              <w:ind w:left="720"/>
              <w:spacing w:after="0"/>
              <w:rPr>
                <w:sz w:val="20"/>
                <w:szCs w:val="20"/>
                <w:color w:val="auto"/>
              </w:rPr>
            </w:pPr>
            <w:r>
              <w:rPr>
                <w:rFonts w:ascii="Arial" w:cs="Arial" w:eastAsia="Arial" w:hAnsi="Arial"/>
                <w:sz w:val="17"/>
                <w:szCs w:val="17"/>
                <w:color w:val="auto"/>
              </w:rPr>
              <w:t>Small reporting company</w:t>
            </w:r>
          </w:p>
        </w:tc>
        <w:tc>
          <w:tcPr>
            <w:tcW w:w="60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4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292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128" w:lineRule="exact"/>
        <w:rPr>
          <w:sz w:val="24"/>
          <w:szCs w:val="24"/>
          <w:color w:val="auto"/>
        </w:rPr>
      </w:pPr>
    </w:p>
    <w:p>
      <w:pPr>
        <w:ind w:right="180" w:firstLine="446"/>
        <w:spacing w:after="0" w:line="26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4" w:lineRule="exact"/>
        <w:rPr>
          <w:sz w:val="24"/>
          <w:szCs w:val="24"/>
          <w:color w:val="auto"/>
        </w:rPr>
      </w:pPr>
    </w:p>
    <w:p>
      <w:pPr>
        <w:ind w:left="460"/>
        <w:spacing w:after="0" w:line="242" w:lineRule="exact"/>
        <w:tabs>
          <w:tab w:leader="none" w:pos="89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1"/>
          <w:szCs w:val="21"/>
          <w:color w:val="auto"/>
        </w:rPr>
        <w:t>☒</w:t>
      </w:r>
    </w:p>
    <w:p>
      <w:pPr>
        <w:spacing w:after="0" w:line="248" w:lineRule="exact"/>
        <w:rPr>
          <w:sz w:val="24"/>
          <w:szCs w:val="24"/>
          <w:color w:val="auto"/>
        </w:rPr>
      </w:pPr>
    </w:p>
    <w:p>
      <w:pPr>
        <w:ind w:right="180" w:firstLine="446"/>
        <w:spacing w:after="0" w:line="290" w:lineRule="auto"/>
        <w:rPr>
          <w:sz w:val="20"/>
          <w:szCs w:val="20"/>
          <w:color w:val="auto"/>
        </w:rPr>
      </w:pPr>
      <w:r>
        <w:rPr>
          <w:rFonts w:ascii="Arial" w:cs="Arial" w:eastAsia="Arial" w:hAnsi="Arial"/>
          <w:sz w:val="17"/>
          <w:szCs w:val="17"/>
          <w:color w:val="auto"/>
        </w:rPr>
        <w:t>As of June 4, 2018, there were 24,766,963 shares of the registrant’s Class A common stock and 25,864,505 shares of the registrant’s Class B common stock, each with a par value of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6757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6757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40"/>
          </w:cols>
          <w:pgMar w:left="240" w:top="864" w:right="3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3.</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1A.</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5.</w:t>
        </w:r>
      </w:hyperlink>
    </w:p>
    <w:p>
      <w:pPr>
        <w:spacing w:after="0" w:line="144" w:lineRule="exact"/>
        <w:rPr>
          <w:sz w:val="20"/>
          <w:szCs w:val="20"/>
          <w:color w:val="auto"/>
        </w:rPr>
      </w:pPr>
    </w:p>
    <w:p>
      <w:pPr>
        <w:ind w:left="20" w:hanging="12"/>
        <w:spacing w:after="0" w:line="569" w:lineRule="auto"/>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Item 6.</w:t>
        </w:r>
      </w:hyperlink>
      <w:r>
        <w:rPr>
          <w:rFonts w:ascii="Arial" w:cs="Arial" w:eastAsia="Arial" w:hAnsi="Arial"/>
          <w:sz w:val="15"/>
          <w:szCs w:val="15"/>
          <w:u w:val="single" w:color="auto"/>
          <w:color w:val="0000EE"/>
        </w:rPr>
        <w:t xml:space="preserve"> </w:t>
      </w:r>
      <w:hyperlink w:anchor="page28">
        <w:r>
          <w:rPr>
            <w:rFonts w:ascii="Arial" w:cs="Arial" w:eastAsia="Arial" w:hAnsi="Arial"/>
            <w:sz w:val="15"/>
            <w:szCs w:val="15"/>
            <w:u w:val="single" w:color="auto"/>
            <w:color w:val="0000EE"/>
          </w:rPr>
          <w:t>Signatures</w:t>
        </w:r>
      </w:hyperlink>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80" w:type="dxa"/>
            <w:vAlign w:val="bottom"/>
            <w:gridSpan w:val="11"/>
          </w:tcPr>
          <w:p>
            <w:pPr>
              <w:jc w:val="center"/>
              <w:ind w:right="36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260" w:type="dxa"/>
            <w:vAlign w:val="bottom"/>
            <w:gridSpan w:val="3"/>
          </w:tcPr>
          <w:p>
            <w:pPr>
              <w:spacing w:after="0"/>
              <w:rPr>
                <w:sz w:val="24"/>
                <w:szCs w:val="24"/>
                <w:color w:val="auto"/>
              </w:rPr>
            </w:pPr>
          </w:p>
        </w:tc>
        <w:tc>
          <w:tcPr>
            <w:tcW w:w="3060" w:type="dxa"/>
            <w:vAlign w:val="bottom"/>
            <w:tcBorders>
              <w:top w:val="single" w:sz="8" w:color="0000EE"/>
            </w:tcBorders>
            <w:gridSpan w:val="5"/>
          </w:tcPr>
          <w:p>
            <w:pPr>
              <w:spacing w:after="0"/>
              <w:rPr>
                <w:sz w:val="24"/>
                <w:szCs w:val="24"/>
                <w:color w:val="auto"/>
              </w:rPr>
            </w:pPr>
          </w:p>
        </w:tc>
        <w:tc>
          <w:tcPr>
            <w:tcW w:w="3620" w:type="dxa"/>
            <w:vAlign w:val="bottom"/>
            <w:gridSpan w:val="6"/>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250"/>
        </w:trPr>
        <w:tc>
          <w:tcPr>
            <w:tcW w:w="160" w:type="dxa"/>
            <w:vAlign w:val="bottom"/>
          </w:tcPr>
          <w:p>
            <w:pPr>
              <w:spacing w:after="0"/>
              <w:rPr>
                <w:sz w:val="21"/>
                <w:szCs w:val="21"/>
                <w:color w:val="auto"/>
              </w:rPr>
            </w:pPr>
          </w:p>
        </w:tc>
        <w:tc>
          <w:tcPr>
            <w:tcW w:w="6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as of April 30, 2018 and January 31, 2018</w:t>
              </w:r>
            </w:hyperlink>
          </w:p>
        </w:tc>
        <w:tc>
          <w:tcPr>
            <w:tcW w:w="248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82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 months ended April 30, 2018 and 2017</w:t>
              </w:r>
            </w:hyperlink>
          </w:p>
        </w:tc>
        <w:tc>
          <w:tcPr>
            <w:tcW w:w="104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89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Loss for the three months ended April 30, 2018 and 2017</w:t>
              </w:r>
            </w:hyperlink>
          </w:p>
        </w:tc>
        <w:tc>
          <w:tcPr>
            <w:tcW w:w="3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92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 for the three months ended April 30, 2018 and 2017</w:t>
              </w:r>
            </w:hyperlink>
          </w:p>
        </w:tc>
        <w:tc>
          <w:tcPr>
            <w:tcW w:w="5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828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00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60" w:type="dxa"/>
            <w:vAlign w:val="bottom"/>
            <w:gridSpan w:val="1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340" w:type="dxa"/>
            <w:vAlign w:val="bottom"/>
            <w:gridSpan w:val="10"/>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4"/>
                <w:szCs w:val="24"/>
                <w:color w:val="auto"/>
              </w:rPr>
            </w:pPr>
          </w:p>
        </w:tc>
        <w:tc>
          <w:tcPr>
            <w:tcW w:w="2980" w:type="dxa"/>
            <w:vAlign w:val="bottom"/>
            <w:gridSpan w:val="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gridSpan w:val="2"/>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34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100" w:type="dxa"/>
            <w:vAlign w:val="bottom"/>
            <w:gridSpan w:val="9"/>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20" w:type="dxa"/>
            <w:vAlign w:val="bottom"/>
          </w:tcPr>
          <w:p>
            <w:pPr>
              <w:spacing w:after="0"/>
              <w:rPr>
                <w:sz w:val="24"/>
                <w:szCs w:val="24"/>
                <w:color w:val="auto"/>
              </w:rPr>
            </w:pPr>
          </w:p>
        </w:tc>
      </w:tr>
      <w:tr>
        <w:trPr>
          <w:trHeight w:val="547"/>
        </w:trPr>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376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94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00" w:type="dxa"/>
            <w:vAlign w:val="bottom"/>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400" w:type="dxa"/>
            <w:vAlign w:val="bottom"/>
          </w:tcPr>
          <w:p>
            <w:pPr>
              <w:spacing w:after="0"/>
              <w:rPr>
                <w:sz w:val="24"/>
                <w:szCs w:val="24"/>
                <w:color w:val="auto"/>
              </w:rPr>
            </w:pPr>
          </w:p>
        </w:tc>
        <w:tc>
          <w:tcPr>
            <w:tcW w:w="8140" w:type="dxa"/>
            <w:vAlign w:val="bottom"/>
            <w:gridSpan w:val="1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320" w:type="dxa"/>
            <w:vAlign w:val="bottom"/>
            <w:gridSpan w:val="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Defaults Upon Senior Securities</w:t>
              </w:r>
            </w:hyperlink>
          </w:p>
        </w:tc>
        <w:tc>
          <w:tcPr>
            <w:tcW w:w="2020" w:type="dxa"/>
            <w:vAlign w:val="bottom"/>
            <w:gridSpan w:val="3"/>
          </w:tcPr>
          <w:p>
            <w:pPr>
              <w:spacing w:after="0"/>
              <w:rPr>
                <w:sz w:val="24"/>
                <w:szCs w:val="24"/>
                <w:color w:val="auto"/>
              </w:rPr>
            </w:pPr>
          </w:p>
        </w:tc>
        <w:tc>
          <w:tcPr>
            <w:tcW w:w="5100" w:type="dxa"/>
            <w:vAlign w:val="bottom"/>
            <w:gridSpan w:val="9"/>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1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32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7120" w:type="dxa"/>
            <w:vAlign w:val="bottom"/>
            <w:gridSpan w:val="12"/>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76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7680" w:type="dxa"/>
            <w:vAlign w:val="bottom"/>
            <w:gridSpan w:val="13"/>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00" w:type="dxa"/>
            <w:vAlign w:val="bottom"/>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700" w:type="dxa"/>
            <w:vAlign w:val="bottom"/>
            <w:gridSpan w:val="2"/>
          </w:tcPr>
          <w:p>
            <w:pPr>
              <w:spacing w:after="0"/>
              <w:rPr>
                <w:sz w:val="24"/>
                <w:szCs w:val="24"/>
                <w:color w:val="auto"/>
              </w:rPr>
            </w:pPr>
          </w:p>
        </w:tc>
        <w:tc>
          <w:tcPr>
            <w:tcW w:w="8140" w:type="dxa"/>
            <w:vAlign w:val="bottom"/>
            <w:gridSpan w:val="1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80" w:space="620"/>
            <w:col w:w="10000"/>
          </w:cols>
          <w:pgMar w:left="260" w:top="369"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PART I—FINANCIAL INFORMATION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 2018</w:t>
            </w:r>
          </w:p>
        </w:tc>
        <w:tc>
          <w:tcPr>
            <w:tcW w:w="1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9"/>
              </w:rPr>
              <w:t>January 31, 2018</w:t>
            </w:r>
          </w:p>
        </w:tc>
      </w:tr>
      <w:tr>
        <w:trPr>
          <w:trHeight w:val="26"/>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8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24"/>
        </w:trPr>
        <w:tc>
          <w:tcPr>
            <w:tcW w:w="8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61,902</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159,371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217,072</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Accounts receivable, net of allowance for doubtful accounts of $1,235 and $1,238 as of April 30, 2018 and January 31, 2018,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32,475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46,872</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Deferred commissions</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13,155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11,820</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5,884</w:t>
            </w:r>
          </w:p>
        </w:tc>
      </w:tr>
      <w:tr>
        <w:trPr>
          <w:trHeight w:val="217"/>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325,719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343,550</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59,557</w:t>
            </w:r>
          </w:p>
        </w:tc>
      </w:tr>
      <w:tr>
        <w:trPr>
          <w:trHeight w:val="237"/>
        </w:trPr>
        <w:tc>
          <w:tcPr>
            <w:tcW w:w="8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1,700</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w:t>
            </w:r>
          </w:p>
        </w:tc>
      </w:tr>
      <w:tr>
        <w:trPr>
          <w:trHeight w:val="237"/>
        </w:trPr>
        <w:tc>
          <w:tcPr>
            <w:tcW w:w="88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8,436</w:t>
            </w:r>
          </w:p>
        </w:tc>
      </w:tr>
      <w:tr>
        <w:trPr>
          <w:trHeight w:val="217"/>
        </w:trPr>
        <w:tc>
          <w:tcPr>
            <w:tcW w:w="8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400,227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415,196</w:t>
            </w:r>
          </w:p>
        </w:tc>
      </w:tr>
      <w:tr>
        <w:trPr>
          <w:trHeight w:val="100"/>
        </w:trPr>
        <w:tc>
          <w:tcPr>
            <w:tcW w:w="88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177"/>
        </w:trPr>
        <w:tc>
          <w:tcPr>
            <w:tcW w:w="88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8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24"/>
        </w:trPr>
        <w:tc>
          <w:tcPr>
            <w:tcW w:w="8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17,433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8,423</w:t>
            </w:r>
          </w:p>
        </w:tc>
      </w:tr>
      <w:tr>
        <w:trPr>
          <w:trHeight w:val="224"/>
        </w:trPr>
        <w:tc>
          <w:tcPr>
            <w:tcW w:w="88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119,936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114,500</w:t>
            </w:r>
          </w:p>
        </w:tc>
      </w:tr>
      <w:tr>
        <w:trPr>
          <w:trHeight w:val="47"/>
        </w:trPr>
        <w:tc>
          <w:tcPr>
            <w:tcW w:w="8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142,617</w:t>
            </w:r>
          </w:p>
        </w:tc>
      </w:tr>
      <w:tr>
        <w:trPr>
          <w:trHeight w:val="237"/>
        </w:trPr>
        <w:tc>
          <w:tcPr>
            <w:tcW w:w="8800" w:type="dxa"/>
            <w:vAlign w:val="bottom"/>
          </w:tcPr>
          <w:p>
            <w:pPr>
              <w:ind w:left="20"/>
              <w:spacing w:after="0"/>
              <w:rPr>
                <w:sz w:val="20"/>
                <w:szCs w:val="20"/>
                <w:color w:val="auto"/>
              </w:rPr>
            </w:pPr>
            <w:r>
              <w:rPr>
                <w:rFonts w:ascii="Arial" w:cs="Arial" w:eastAsia="Arial" w:hAnsi="Arial"/>
                <w:sz w:val="16"/>
                <w:szCs w:val="16"/>
                <w:color w:val="auto"/>
              </w:rPr>
              <w:t>Deferred rent, non-current</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liability,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4"/>
        </w:trPr>
        <w:tc>
          <w:tcPr>
            <w:tcW w:w="880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21,909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22,930</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55,213</w:t>
            </w:r>
          </w:p>
        </w:tc>
      </w:tr>
      <w:tr>
        <w:trPr>
          <w:trHeight w:val="217"/>
        </w:trPr>
        <w:tc>
          <w:tcPr>
            <w:tcW w:w="88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227,720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221,703</w:t>
            </w:r>
          </w:p>
        </w:tc>
      </w:tr>
      <w:tr>
        <w:trPr>
          <w:trHeight w:val="47"/>
        </w:trPr>
        <w:tc>
          <w:tcPr>
            <w:tcW w:w="8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4)</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2"/>
              </w:rPr>
              <w:t>Class A common stock, par value of $0.001 per share; 1,000,000,000 shares authorized as of April 30, 2018 and January 31, 2018;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23,635,144 and 13,303,028 shares issued and outstanding as of April 30, 2018 and January 31, 2018,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20"/>
        </w:trPr>
        <w:tc>
          <w:tcPr>
            <w:tcW w:w="8800" w:type="dxa"/>
            <w:vAlign w:val="bottom"/>
          </w:tcPr>
          <w:p>
            <w:pPr>
              <w:ind w:left="200"/>
              <w:spacing w:after="0"/>
              <w:rPr>
                <w:sz w:val="20"/>
                <w:szCs w:val="20"/>
                <w:color w:val="auto"/>
              </w:rPr>
            </w:pPr>
            <w:r>
              <w:rPr>
                <w:rFonts w:ascii="Arial" w:cs="Arial" w:eastAsia="Arial" w:hAnsi="Arial"/>
                <w:sz w:val="16"/>
                <w:szCs w:val="16"/>
                <w:color w:val="auto"/>
                <w:w w:val="93"/>
              </w:rPr>
              <w:t>Class B common stock, par value of $0.001 per share; 100,000,000 shares authorized as of April 30, 2018 and January 31, 2018;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3"/>
        </w:trPr>
        <w:tc>
          <w:tcPr>
            <w:tcW w:w="8800" w:type="dxa"/>
            <w:vAlign w:val="bottom"/>
          </w:tcPr>
          <w:p>
            <w:pPr>
              <w:ind w:left="380"/>
              <w:spacing w:after="0"/>
              <w:rPr>
                <w:sz w:val="20"/>
                <w:szCs w:val="20"/>
                <w:color w:val="auto"/>
              </w:rPr>
            </w:pPr>
            <w:r>
              <w:rPr>
                <w:rFonts w:ascii="Arial" w:cs="Arial" w:eastAsia="Arial" w:hAnsi="Arial"/>
                <w:sz w:val="16"/>
                <w:szCs w:val="16"/>
                <w:color w:val="auto"/>
                <w:w w:val="93"/>
              </w:rPr>
              <w:t>27,061,251 and 37,371,914 shares issued as of April 30, 2018 and January 31, 2018, respectively; 26,961,880 and 37,272,543</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8800" w:type="dxa"/>
            <w:vAlign w:val="bottom"/>
          </w:tcPr>
          <w:p>
            <w:pPr>
              <w:ind w:left="380"/>
              <w:spacing w:after="0"/>
              <w:rPr>
                <w:sz w:val="20"/>
                <w:szCs w:val="20"/>
                <w:color w:val="auto"/>
              </w:rPr>
            </w:pPr>
            <w:r>
              <w:rPr>
                <w:rFonts w:ascii="Arial" w:cs="Arial" w:eastAsia="Arial" w:hAnsi="Arial"/>
                <w:sz w:val="16"/>
                <w:szCs w:val="16"/>
                <w:color w:val="auto"/>
              </w:rPr>
              <w:t>shares outstanding as of April 30, 2018 and January 31, 2018, respectively</w:t>
            </w: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638,680</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w w:val="99"/>
              </w:rPr>
              <w:t>Treasury stock, 99,371 shares (repurchased at an average of $13.27 per share) as of April 30, 2018 and January 31, 2018</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24"/>
        </w:trPr>
        <w:tc>
          <w:tcPr>
            <w:tcW w:w="880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(472,924)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(443,760)</w:t>
            </w:r>
          </w:p>
        </w:tc>
      </w:tr>
      <w:tr>
        <w:trPr>
          <w:trHeight w:val="47"/>
        </w:trPr>
        <w:tc>
          <w:tcPr>
            <w:tcW w:w="8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193,493</w:t>
            </w:r>
          </w:p>
        </w:tc>
      </w:tr>
      <w:tr>
        <w:trPr>
          <w:trHeight w:val="60"/>
        </w:trPr>
        <w:tc>
          <w:tcPr>
            <w:tcW w:w="88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r>
      <w:tr>
        <w:trPr>
          <w:trHeight w:val="217"/>
        </w:trPr>
        <w:tc>
          <w:tcPr>
            <w:tcW w:w="88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400,227</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415,196</w:t>
            </w:r>
          </w:p>
        </w:tc>
      </w:tr>
      <w:tr>
        <w:trPr>
          <w:trHeight w:val="60"/>
        </w:trPr>
        <w:tc>
          <w:tcPr>
            <w:tcW w:w="88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(unaudited)</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44,565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29,187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48,222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32,390</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23,191</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13,077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42,993</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81"/>
        </w:trPr>
        <w:tc>
          <w:tcPr>
            <w:tcW w:w="5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Weighted-average shares used to compute net loss per share, basic</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50,350,052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13,164,559</w:t>
            </w:r>
          </w:p>
        </w:tc>
        <w:tc>
          <w:tcPr>
            <w:tcW w:w="0" w:type="dxa"/>
            <w:vAlign w:val="bottom"/>
          </w:tcPr>
          <w:p>
            <w:pPr>
              <w:spacing w:after="0"/>
              <w:rPr>
                <w:sz w:val="1"/>
                <w:szCs w:val="1"/>
                <w:color w:val="auto"/>
              </w:rPr>
            </w:pPr>
          </w:p>
        </w:tc>
      </w:tr>
      <w:tr>
        <w:trPr>
          <w:trHeight w:val="271"/>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34"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(unaudited)</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5"/>
        </w:trPr>
        <w:tc>
          <w:tcPr>
            <w:tcW w:w="5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(19,690)</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77"/>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(19,632)</w:t>
            </w:r>
          </w:p>
        </w:tc>
      </w:tr>
      <w:tr>
        <w:trPr>
          <w:trHeight w:val="54"/>
        </w:trPr>
        <w:tc>
          <w:tcPr>
            <w:tcW w:w="5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4"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(29,164)</w:t>
            </w:r>
          </w:p>
        </w:tc>
        <w:tc>
          <w:tcPr>
            <w:tcW w:w="120" w:type="dxa"/>
            <w:vAlign w:val="bottom"/>
          </w:tcPr>
          <w:p>
            <w:pPr>
              <w:spacing w:after="0"/>
              <w:rPr>
                <w:sz w:val="20"/>
                <w:szCs w:val="20"/>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(19,690)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14,312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commissions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Other long-term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(11,721)</w:t>
            </w:r>
          </w:p>
        </w:tc>
        <w:tc>
          <w:tcPr>
            <w:tcW w:w="0" w:type="dxa"/>
            <w:vAlign w:val="bottom"/>
          </w:tcPr>
          <w:p>
            <w:pPr>
              <w:spacing w:after="0"/>
              <w:rPr>
                <w:sz w:val="1"/>
                <w:szCs w:val="1"/>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Proceeds from maturities of marketable securities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58,000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47,230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marketable securities</w:t>
            </w: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(64,620)</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57,633</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(18,102)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 including early exercised stock options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4,650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Repurchase of early exercised stock options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79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49,712</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(25,110)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62,427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69,412</w:t>
            </w:r>
          </w:p>
        </w:tc>
        <w:tc>
          <w:tcPr>
            <w:tcW w:w="0" w:type="dxa"/>
            <w:vAlign w:val="bottom"/>
          </w:tcPr>
          <w:p>
            <w:pPr>
              <w:spacing w:after="0"/>
              <w:rPr>
                <w:sz w:val="1"/>
                <w:szCs w:val="1"/>
                <w:color w:val="auto"/>
              </w:rPr>
            </w:pPr>
          </w:p>
        </w:tc>
      </w:tr>
      <w:tr>
        <w:trPr>
          <w:trHeight w:val="231"/>
        </w:trPr>
        <w:tc>
          <w:tcPr>
            <w:tcW w:w="79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112,139</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44,302</w:t>
            </w:r>
          </w:p>
        </w:tc>
        <w:tc>
          <w:tcPr>
            <w:tcW w:w="0" w:type="dxa"/>
            <w:vAlign w:val="bottom"/>
          </w:tcPr>
          <w:p>
            <w:pPr>
              <w:spacing w:after="0"/>
              <w:rPr>
                <w:sz w:val="1"/>
                <w:szCs w:val="1"/>
                <w:color w:val="auto"/>
              </w:rPr>
            </w:pPr>
          </w:p>
        </w:tc>
      </w:tr>
      <w:tr>
        <w:trPr>
          <w:trHeight w:val="87"/>
        </w:trPr>
        <w:tc>
          <w:tcPr>
            <w:tcW w:w="790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 of noncash investing and financing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Vesting of early exercised stock options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900" w:type="dxa"/>
            <w:vAlign w:val="bottom"/>
          </w:tcPr>
          <w:p>
            <w:pPr>
              <w:ind w:left="260"/>
              <w:spacing w:after="0"/>
              <w:rPr>
                <w:sz w:val="20"/>
                <w:szCs w:val="20"/>
                <w:color w:val="auto"/>
              </w:rPr>
            </w:pPr>
            <w:r>
              <w:rPr>
                <w:rFonts w:ascii="Arial" w:cs="Arial" w:eastAsia="Arial" w:hAnsi="Arial"/>
                <w:sz w:val="16"/>
                <w:szCs w:val="16"/>
                <w:color w:val="auto"/>
              </w:rPr>
              <w:t>Costs related to initial public offering included in accounts payable and accrued liabilities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49"/>
        </w:trPr>
        <w:tc>
          <w:tcPr>
            <w:tcW w:w="79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Construction in progress related to build-to-suit lease obligations</w:t>
            </w:r>
          </w:p>
        </w:tc>
        <w:tc>
          <w:tcPr>
            <w:tcW w:w="1040" w:type="dxa"/>
            <w:vAlign w:val="bottom"/>
            <w:tcBorders>
              <w:top w:val="single" w:sz="8" w:color="auto"/>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w w:val="91"/>
              </w:rPr>
              <w:t>Reconciliation of cash, cash equivalents, and restricted cash within the condensed consolidated balance sheets,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220"/>
              <w:spacing w:after="0"/>
              <w:rPr>
                <w:sz w:val="20"/>
                <w:szCs w:val="20"/>
                <w:color w:val="auto"/>
              </w:rPr>
            </w:pPr>
            <w:r>
              <w:rPr>
                <w:rFonts w:ascii="Arial" w:cs="Arial" w:eastAsia="Arial" w:hAnsi="Arial"/>
                <w:sz w:val="16"/>
                <w:szCs w:val="16"/>
                <w:b w:val="1"/>
                <w:bCs w:val="1"/>
                <w:color w:val="auto"/>
              </w:rPr>
              <w:t>end of period, to the amounts shown in the statements of cash flows above:</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111,617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44,193</w:t>
            </w: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200"/>
              <w:spacing w:after="0"/>
              <w:rPr>
                <w:sz w:val="20"/>
                <w:szCs w:val="20"/>
                <w:color w:val="auto"/>
              </w:rPr>
            </w:pPr>
            <w:r>
              <w:rPr>
                <w:rFonts w:ascii="Arial" w:cs="Arial" w:eastAsia="Arial" w:hAnsi="Arial"/>
                <w:sz w:val="16"/>
                <w:szCs w:val="16"/>
                <w:color w:val="auto"/>
              </w:rPr>
              <w:t>Restricted cash, current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9"/>
                <w:szCs w:val="19"/>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112,139</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44,302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4" w:right="239" w:bottom="1440" w:gutter="0" w:footer="0" w:header="0"/>
          <w:type w:val="continuous"/>
        </w:sectPr>
      </w:pPr>
    </w:p>
    <w:bookmarkStart w:id="6" w:name="page7"/>
    <w:bookmarkEnd w:id="6"/>
    <w:p>
      <w:pPr>
        <w:jc w:val="center"/>
        <w:ind w:left="5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our platform at scale in the cloud, on-premise, or in a hybrid environment. In addition to selling its software, the Company provides post-contract support, training, and consulting services for its offerings. The Company’s fiscal year ends January 31.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accompanying interim condensed consolidated balance sheet as of April 30, 2018 and the interim condensed consolidated statements of operations and of comprehensive loss and interim condensed consolidated statement of cash flows for the three months ended April 30, 2018 and 2017, are unaudited. The interim unaudited condensed consolidated financial statements have been prepared on a basis consistent with the annual consolidated financial statements and, in the opinion of management, reflect all adjustments, which include only normal recurring adjustments, necessary to state fairly the Company’s financial position as of April 30, 2018, its results of operations and of comprehensive loss for the three months ended April 30, 2018 and 2017, and its statement of cash flows for the three months ended April 30, 2018 and 2017. The financial data and the other financial information disclosed in the notes to these interim condensed consolidated financial statements related to the three-month periods are also unaudited. The results of operations for the three months ended April 30, 2018 are not necessarily indicative of the results to be expected for the fiscal year ending January 31, 2019 or for any other future year or interim period.</w:t>
      </w:r>
    </w:p>
    <w:p>
      <w:pPr>
        <w:spacing w:after="0" w:line="112"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The interim unaudited condensed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 Certain information and note disclosures normally included in the financial statements prepared in accordance with U.S.</w:t>
      </w:r>
    </w:p>
    <w:p>
      <w:pPr>
        <w:ind w:right="180"/>
        <w:spacing w:after="0" w:line="254" w:lineRule="auto"/>
        <w:rPr>
          <w:sz w:val="20"/>
          <w:szCs w:val="20"/>
          <w:color w:val="auto"/>
        </w:rPr>
      </w:pPr>
      <w:r>
        <w:rPr>
          <w:rFonts w:ascii="Arial" w:cs="Arial" w:eastAsia="Arial" w:hAnsi="Arial"/>
          <w:sz w:val="18"/>
          <w:szCs w:val="18"/>
          <w:color w:val="auto"/>
        </w:rPr>
        <w:t>GAAP have been condensed or omitted pursuant to the applicable rules and regulations of the Securities and Exchange Commission (“SEC”).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2018 (the “2018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preparation of the interim unaudited condensed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stock-based compensation, legal contingencies, fair value of acquired intangible assets and goodwill, useful lives of acquired intangible assets and property and equipment, fair value of property and equipment and accounting for income taxes.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Emerging Growth Company Status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an “emerging growth company” (“EGC”),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As a result, the Company’s financial statements may not be comparable to the financial statements of issuers who are required to comply with the effective dates for new or revised accounting standards that are applicable to public companies, which may make the Company’s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Significant Accounting Policies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changes to the Company’s significant accounting policies described in the Company’s 2018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Related Party Transactions</w:t>
      </w:r>
    </w:p>
    <w:p>
      <w:pPr>
        <w:spacing w:after="0" w:line="17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All contracts with related parties are executed in ordinary course of business. There were no material related party transactions in the three months ended April 30, 2018 and 2017. As of April 30, 2018 and January 31, 2018 , there were no material amounts payable to or amounts receivable from related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New Accounting Pronouncements Not Yet Adopted</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In January 2017, the Financial Accounting Standards Board (“FASB”) issued ASU 2017-04—</w:t>
      </w:r>
      <w:r>
        <w:rPr>
          <w:rFonts w:ascii="Arial" w:cs="Arial" w:eastAsia="Arial" w:hAnsi="Arial"/>
          <w:sz w:val="17"/>
          <w:szCs w:val="17"/>
          <w:i w:val="1"/>
          <w:iCs w:val="1"/>
          <w:color w:val="auto"/>
        </w:rPr>
        <w:t xml:space="preserve">Intangibles—Goodwill and Other </w:t>
      </w:r>
      <w:r>
        <w:rPr>
          <w:rFonts w:ascii="Arial" w:cs="Arial" w:eastAsia="Arial" w:hAnsi="Arial"/>
          <w:sz w:val="17"/>
          <w:szCs w:val="17"/>
          <w:color w:val="auto"/>
        </w:rPr>
        <w:t>(Topic 350): Simplifying the Test for Goodwill Impairment. The new standard will simplify the measurement of goodwill by eliminating step two of the two-step impairment test. 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 deductible goodwill on the carrying amount of the reporting unit when measuring the goodwill impairment loss, if applicable. The new guidance becomes effective for the Company for the fiscal year ending January 31, 2022, though early adoption is permitted. The Company does not expect the adoption of the new accounting standard to have a material impact on its consolidated financial statements.</w:t>
      </w:r>
    </w:p>
    <w:p>
      <w:pPr>
        <w:spacing w:after="0" w:line="125"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which modifies lease accounting for lessees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transparency and comparability by recording lease assets and liabilities for operating leases and disclosing key information about leasing arrangements. Depending on when the Company loses its EGC status, it may be required to adopt the new lease standard as early as its interim results for the period ending April 30, 2019, but no later than for its annual results for the fiscal year ending January 31, 2021, though early adoption is permitted. The Company is currently evaluating adoption methods and whether this standard will have a material impact on its consolidated financial statements.</w:t>
      </w:r>
    </w:p>
    <w:p>
      <w:pPr>
        <w:spacing w:after="0" w:line="104"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which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existing accounting standard for revenue recognition. ASU 2014-09 is based on principles that govern the recognition of revenue at an amount to which an entity expects to be entitled when products are transferred to customers. Subsequently, the FASB has issued the following pronouncements related to ASU 2014-09: ASU No. 2016-08,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Principal versus Agent Considerations</w:t>
      </w:r>
      <w:r>
        <w:rPr>
          <w:rFonts w:ascii="Arial" w:cs="Arial" w:eastAsia="Arial" w:hAnsi="Arial"/>
          <w:sz w:val="17"/>
          <w:szCs w:val="17"/>
          <w:color w:val="auto"/>
        </w:rPr>
        <w:t xml:space="preserve">; ASU No. 2016-10,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w:t>
      </w:r>
      <w:r>
        <w:rPr>
          <w:rFonts w:ascii="Arial" w:cs="Arial" w:eastAsia="Arial" w:hAnsi="Arial"/>
          <w:sz w:val="17"/>
          <w:szCs w:val="17"/>
          <w:i w:val="1"/>
          <w:iCs w:val="1"/>
          <w:color w:val="auto"/>
        </w:rPr>
        <w:t xml:space="preserve">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 xml:space="preserve">(Topic 606):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and ASU 2016-20, </w:t>
      </w:r>
      <w:r>
        <w:rPr>
          <w:rFonts w:ascii="Arial" w:cs="Arial" w:eastAsia="Arial" w:hAnsi="Arial"/>
          <w:sz w:val="17"/>
          <w:szCs w:val="17"/>
          <w:i w:val="1"/>
          <w:iCs w:val="1"/>
          <w:color w:val="auto"/>
        </w:rPr>
        <w:t>Technical Corrections and Improvements to Topic 606</w:t>
      </w:r>
      <w:r>
        <w:rPr>
          <w:rFonts w:ascii="Arial" w:cs="Arial" w:eastAsia="Arial" w:hAnsi="Arial"/>
          <w:sz w:val="17"/>
          <w:szCs w:val="17"/>
          <w:color w:val="auto"/>
        </w:rPr>
        <w:t>, which clarifies narrow aspects of ASC 606 or corrects unintended application of the guidance. The Company must adopt ASU 2016-08, ASU 2016-10, ASU 2016-12, and ASU 2016-20 with ASU 2014-09 (collectively, the “new revenue standard”).</w:t>
      </w:r>
    </w:p>
    <w:p>
      <w:pPr>
        <w:spacing w:after="0" w:line="1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Company plans to adopt the new revenue standard using the full retrospective transition method when it becomes effective for the Company. Depending on when the Company loses its EGC status, it may be required to adopt the new revenue standard as early as its annual results for the fiscal year ending January 31, 2019, but no later than for its annual results for the fiscal year ending January 31, 2020, though early adoption is permitted. While the Company continues to assess the potential impacts of the new revenue standard, the Company currently expects unearned subscription revenue to decline significantly upon adoption. Currently, as the Company’s subscription offerings include software term licenses and post-contract customer support for which the Company has not established vendor specific objective evidence (“VSOE”), the entire subscription fee is recognized ratably over the term of the contract. However, under the new revenue standard, the requirement for VSOE for undelivered elements is eliminated and, as a result, the Company is required to identify all deliverables in a contract and recognize revenue based on each deliverable separately. The Company currently expects that the portion related to the software term license deliverable will be recognized upon delivery, which may result in greater fluctuations in its consolidated financial statements. The Company is in the process of determining the revenue recognition impact for the other deliverables of each contract. The Company continues to evaluate the effect that the new revenue standard will have on its consolidated financial statements and related disclosures, and preliminary assessments are subject to change.</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1"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April 30, 2018 and January 31, 2018, and indicate the fair value hierarchy of the valuation inputs utilized to determine such fair value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100"/>
              <w:spacing w:after="0"/>
              <w:rPr>
                <w:sz w:val="20"/>
                <w:szCs w:val="20"/>
                <w:color w:val="auto"/>
              </w:rPr>
            </w:pPr>
            <w:r>
              <w:rPr>
                <w:rFonts w:ascii="Arial" w:cs="Arial" w:eastAsia="Arial" w:hAnsi="Arial"/>
                <w:sz w:val="14"/>
                <w:szCs w:val="14"/>
                <w:b w:val="1"/>
                <w:bCs w:val="1"/>
                <w:color w:val="auto"/>
              </w:rPr>
              <w:t>Fair Value Measurement at April 30, 2018</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94,300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159,371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159,371</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253,671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253,671</w:t>
            </w: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2"/>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Measurement at January 31, 2018</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217,072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217,072</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262,990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262,990</w:t>
            </w: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The Company utilized the market approach and Level 1 valuation inputs to value its money market mutual funds and U.S. government treasury securities because published net asset values were readily available. As of April 30, 2018 and January 31, 2018, gross unrealized gains and unrealized losses for cash equivalents and short-term investments were not material, and the contractual maturity of all marketable securities was less than one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Leases</w:t>
      </w:r>
    </w:p>
    <w:p>
      <w:pPr>
        <w:spacing w:after="0" w:line="171"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The Company has entered into non-cancelable operating leases, primarily related to rental of office space expiring through 2029. The Company recognizes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The Company may receive renewal or expansion options, leasehold improvement allowances or other incentives on certain lease agreements. Total rent expense related to operating leases was $3.1 million and $2.1 million for the three months ended April 30, 2018 and 2017,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Commitments</w:t>
      </w:r>
    </w:p>
    <w:p>
      <w:pPr>
        <w:spacing w:after="0" w:line="17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Company has also entered into certain other non-cancelable agreements primarily for cloud infrastructure capacity commitments, as well as subscriptions and marketing events.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From time to time, the Company has become involved in claims and other legal matters arising in the ordinary course of business. 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3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accrues estimates for resolution of legal and other contingencies when losses are probable and estimable. From time to time, the Company is a party to litigation and subject to claims and threatened claims incident to the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ordinary course of business, including intellectual property claims, labor and employment claims, breach of contract claims, and other matters.</w:t>
      </w:r>
    </w:p>
    <w:p>
      <w:pPr>
        <w:spacing w:after="0" w:line="171"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Although the results of litigation and claims are inherently unpredictable, the Company believes that there was not at least a reasonable possibility that the Company had incurred a material loss with respect to such loss contingencies, as of April 30, 2018 and January 31, 2018, therefore, the Company has not recorded an accrual for such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360" w:firstLine="486"/>
        <w:spacing w:after="0" w:line="272" w:lineRule="auto"/>
        <w:rPr>
          <w:sz w:val="20"/>
          <w:szCs w:val="20"/>
          <w:color w:val="auto"/>
        </w:rPr>
      </w:pPr>
      <w:r>
        <w:rPr>
          <w:rFonts w:ascii="Arial" w:cs="Arial" w:eastAsia="Arial" w:hAnsi="Arial"/>
          <w:sz w:val="17"/>
          <w:szCs w:val="17"/>
          <w:color w:val="auto"/>
        </w:rPr>
        <w:t>The Company enters into indemnification provisions under its agreements with other companies in the ordinary course of business, including customers,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2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Incentive Plans and Employee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Equity Incentive Plans</w:t>
      </w:r>
    </w:p>
    <w:p>
      <w:pPr>
        <w:spacing w:after="0" w:line="171"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The Company adopted the 2008 Stock Incentive Plan (as amended, the “2008 Plan”) in 2008 and the 2016 Equity Incentive Plan (as amended, the “2016 Plan”) in 2016, primarily for the purpose of granting stock-based awards to employees, directors, and consultants.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2016 Plan provides for the issuance of incentive stock options to employees and nonstatutory stock options to employees, directors or consultants.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w:t>
      </w:r>
    </w:p>
    <w:p>
      <w:pPr>
        <w:spacing w:after="0" w:line="133"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summarizes stock option activity for the three months ended April 30, 2018 (in thousands, except share and per share data and years):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4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2"/>
              </w:rPr>
              <w:t>Price Per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9"/>
              </w:rPr>
              <w:t>Term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Balance - January 31, 2018</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12,637,435</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7.63</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7.72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246,227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granted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(40,723)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6.36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early exercised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Stock options forfeited and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(123,781)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9.22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1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April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12,472,931</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7.61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7.44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353,927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 January 31,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5,540,858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6.33</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115,122</w:t>
            </w:r>
          </w:p>
        </w:tc>
        <w:tc>
          <w:tcPr>
            <w:tcW w:w="0" w:type="dxa"/>
            <w:vAlign w:val="bottom"/>
          </w:tcPr>
          <w:p>
            <w:pPr>
              <w:spacing w:after="0"/>
              <w:rPr>
                <w:sz w:val="1"/>
                <w:szCs w:val="1"/>
                <w:color w:val="auto"/>
              </w:rPr>
            </w:pPr>
          </w:p>
        </w:tc>
      </w:tr>
      <w:tr>
        <w:trPr>
          <w:trHeight w:val="81"/>
        </w:trPr>
        <w:tc>
          <w:tcPr>
            <w:tcW w:w="5160" w:type="dxa"/>
            <w:vAlign w:val="bottom"/>
            <w:tcBorders>
              <w:bottom w:val="single" w:sz="8" w:color="CCEEFF"/>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CCEEFF"/>
            </w:tcBorders>
          </w:tcPr>
          <w:p>
            <w:pPr>
              <w:spacing w:after="0"/>
              <w:rPr>
                <w:sz w:val="7"/>
                <w:szCs w:val="7"/>
                <w:color w:val="auto"/>
              </w:rPr>
            </w:pPr>
          </w:p>
        </w:tc>
        <w:tc>
          <w:tcPr>
            <w:tcW w:w="4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3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2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Vested and exercisable - April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6,236,117</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6.46</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6.51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184,152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160" w:type="dxa"/>
            <w:vAlign w:val="bottom"/>
          </w:tcPr>
          <w:p>
            <w:pPr>
              <w:spacing w:after="0"/>
              <w:rPr>
                <w:sz w:val="24"/>
                <w:szCs w:val="24"/>
                <w:color w:val="auto"/>
              </w:rPr>
            </w:pPr>
          </w:p>
        </w:tc>
        <w:tc>
          <w:tcPr>
            <w:tcW w:w="1500" w:type="dxa"/>
            <w:vAlign w:val="bottom"/>
          </w:tcPr>
          <w:p>
            <w:pPr>
              <w:jc w:val="right"/>
              <w:ind w:right="8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Stock Units</w:t>
      </w:r>
    </w:p>
    <w:p>
      <w:pPr>
        <w:spacing w:after="0" w:line="171"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2016 Plan provides for the issuance of restricted stock units (“RSUs”) to employees, directors and consultants. RSUs generally vest over a period of four years with 25% vesting on the one year anniversary of the award and the remainder vesting quarterly over the next 12 quarters of the grantee’s service to the Company.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three months ended April 30,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Date Fair Value per RSU</w:t>
            </w:r>
          </w:p>
        </w:tc>
        <w:tc>
          <w:tcPr>
            <w:tcW w:w="0" w:type="dxa"/>
            <w:vAlign w:val="bottom"/>
          </w:tcPr>
          <w:p>
            <w:pPr>
              <w:spacing w:after="0"/>
              <w:rPr>
                <w:sz w:val="1"/>
                <w:szCs w:val="1"/>
                <w:color w:val="auto"/>
              </w:rPr>
            </w:pPr>
          </w:p>
        </w:tc>
      </w:tr>
      <w:tr>
        <w:trPr>
          <w:trHeight w:val="26"/>
        </w:trPr>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Unvested - January 31, 2018</w:t>
            </w: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245,746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 granted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RSUs 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 forfeited and canceled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Unvested - April 30, 2018</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1,296,281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41"/>
        </w:trPr>
        <w:tc>
          <w:tcPr>
            <w:tcW w:w="44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Employee Stock Purchase Plan</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October 2017, the Board of Directors adopted, and stockholders approved, the 2017 Employee Stock Purchase Plan (“ESPP”). A total of 1.5 million shares of the Company’s Class A common stock have been authorized for issuance under the 2017 ESPP. Subject to any plan limitations, the 2017 ESPP allows eligible employees to contribute, normally through payroll deductions, up to 15% of their earnings for the purchase of the Company’s Class A common stock at a discounted price per share. Except for the initial offering period, the ESPP provides for separate six-month offering periods. The initial offering period will run from October 18, 2017 through June 15, 2018.</w:t>
      </w:r>
    </w:p>
    <w:p>
      <w:pPr>
        <w:spacing w:after="0" w:line="134"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Unless otherwise determined by the Board of Directors or a committee thereof, the Company’s Class A common stock will be purchased for the accounts of employees participating in the ESPP at a price per share that is the lesser of (1) 85% of the fair market value of the Company’s Class A common stock on the first trading day of the offering period, which for the initial offering period is the price at which shares of the Company’s Class A common stock were first sold to the public, or (2) 85% of the fair market value of the Company’s Class A common stock on the last trading day of the offering period.</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April 30, 2018, no shares of Class A common stock were purchased under the 2017 ESPP.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 Expense</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Total stock-based compensation expense recognized in the Company’s interim unaudited condensed consolidated statements of operations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20"/>
                <w:szCs w:val="20"/>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revenue—subscription</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Cost of revenue—services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1,215</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2,206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1,245</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2,610</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1,771</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7,577</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4,454</w:t>
            </w:r>
          </w:p>
        </w:tc>
      </w:tr>
      <w:tr>
        <w:trPr>
          <w:trHeight w:val="54"/>
        </w:trPr>
        <w:tc>
          <w:tcPr>
            <w:tcW w:w="51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175"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stock equivalents outstanding for the period, including stock options and restricted stock units.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Prior to the Company’s closing of its initial public offering in October 2017, the Company calculated basic and diluted net loss per share attributable to common stockholders in conformity with the two-class method required for companies with participating securities. The Company considered all series of redeemable convertible preferred stock to have been participating securities as the holders were entitled to receive non-cumulative dividends on a pari passu basis in the event that a dividend had been paid on common stock. For further details on the Company’s historical participating securities, including warrants to purchase redeemable convertible preferred stock and common stock, refer to the Company’s 2018 Form 10-K, specifically in Part II, Item 8, Financial Statements and Supplementary Data under the Notes to Consolidated Financial Statements.</w:t>
      </w:r>
    </w:p>
    <w:p>
      <w:pPr>
        <w:spacing w:after="0" w:line="12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the two-class method, basic net loss per share attributable to common stockholders was calculated by dividing the net loss by the weighted-average number of shares of common stock outstanding during the period, less shares subject to repurchase. The net loss attributable to common stockholders was not allocated to the redeemable convertible preferred stock as the holders of redeemable convertible preferred stock did not have a contractual obligation to share in losses. Diluted net loss per share attributable to common stockholders was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were considered common shares equivalents, but had been excluded from the calculation of diluted net loss per share attributable to common stockholders as their effect was antidilutive.</w:t>
      </w:r>
    </w:p>
    <w:p>
      <w:pPr>
        <w:spacing w:after="0" w:line="11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Basic and diluted net loss per share was the same for each period presented, as the inclusion of all potential common shares outstanding would have been antidilutive.</w:t>
      </w:r>
    </w:p>
    <w:p>
      <w:pPr>
        <w:spacing w:after="0" w:line="116"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Each share of Class A common stock is entitled to one vote per share and each share of Class B common stock is entitled to 10 votes per share. As the liquidation and dividend rights are identical for Class A and Class B common stock, the undistributed earnings are allocated on a proportionate basis and the resulting net loss per share will, therefore, be the same for both Class A and Class B common stock on an individual or combined basis.</w:t>
      </w:r>
    </w:p>
    <w:p>
      <w:pPr>
        <w:spacing w:after="0" w:line="10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7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6"/>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(19,690)</w:t>
            </w:r>
          </w:p>
        </w:tc>
      </w:tr>
      <w:tr>
        <w:trPr>
          <w:trHeight w:val="54"/>
        </w:trPr>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24"/>
        </w:trPr>
        <w:tc>
          <w:tcPr>
            <w:tcW w:w="7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54"/>
        </w:trPr>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7"/>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50,350,052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13,164,559</w:t>
            </w:r>
          </w:p>
        </w:tc>
      </w:tr>
      <w:tr>
        <w:trPr>
          <w:trHeight w:val="324"/>
        </w:trPr>
        <w:tc>
          <w:tcPr>
            <w:tcW w:w="7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54"/>
        </w:trPr>
        <w:tc>
          <w:tcPr>
            <w:tcW w:w="79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14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weighted-average outstanding potentially dilutive common shares were excluded from the computation of diluted net loss per share for the periods presented because the impact of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90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5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5140" w:type="dxa"/>
            <w:vAlign w:val="bottom"/>
          </w:tcPr>
          <w:p>
            <w:pPr>
              <w:spacing w:after="0"/>
              <w:rPr>
                <w:sz w:val="20"/>
                <w:szCs w:val="20"/>
                <w:color w:val="auto"/>
              </w:rPr>
            </w:pPr>
          </w:p>
        </w:tc>
        <w:tc>
          <w:tcPr>
            <w:tcW w:w="416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6"/>
        </w:trPr>
        <w:tc>
          <w:tcPr>
            <w:tcW w:w="51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 (as converted)</w:t>
            </w:r>
          </w:p>
        </w:tc>
        <w:tc>
          <w:tcPr>
            <w:tcW w:w="27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26,899,852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8"/>
              </w:rPr>
              <w:t>Redeemable convertible preferred stock warrants (as converted)</w:t>
            </w:r>
          </w:p>
        </w:tc>
        <w:tc>
          <w:tcPr>
            <w:tcW w:w="27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54,604</w:t>
            </w:r>
          </w:p>
        </w:tc>
      </w:tr>
      <w:tr>
        <w:trPr>
          <w:trHeight w:val="27"/>
        </w:trPr>
        <w:tc>
          <w:tcPr>
            <w:tcW w:w="5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27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122,043</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Stock options to purchase Class A common stock</w:t>
            </w:r>
          </w:p>
        </w:tc>
        <w:tc>
          <w:tcPr>
            <w:tcW w:w="4160" w:type="dxa"/>
            <w:vAlign w:val="bottom"/>
            <w:gridSpan w:val="2"/>
          </w:tcPr>
          <w:p>
            <w:pPr>
              <w:jc w:val="right"/>
              <w:ind w:right="14"/>
              <w:spacing w:after="0"/>
              <w:rPr>
                <w:sz w:val="20"/>
                <w:szCs w:val="20"/>
                <w:color w:val="auto"/>
              </w:rPr>
            </w:pPr>
            <w:r>
              <w:rPr>
                <w:rFonts w:ascii="Arial" w:cs="Arial" w:eastAsia="Arial" w:hAnsi="Arial"/>
                <w:sz w:val="18"/>
                <w:szCs w:val="18"/>
                <w:color w:val="auto"/>
              </w:rPr>
              <w:t>3,539,338</w:t>
            </w:r>
          </w:p>
        </w:tc>
        <w:tc>
          <w:tcPr>
            <w:tcW w:w="1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910,513</w:t>
            </w:r>
          </w:p>
        </w:tc>
      </w:tr>
      <w:tr>
        <w:trPr>
          <w:trHeight w:val="27"/>
        </w:trPr>
        <w:tc>
          <w:tcPr>
            <w:tcW w:w="5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to purchase Class B common stock</w:t>
            </w:r>
          </w:p>
        </w:tc>
        <w:tc>
          <w:tcPr>
            <w:tcW w:w="41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9,001,291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10,340,401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Early exercised stock options</w:t>
            </w:r>
          </w:p>
        </w:tc>
        <w:tc>
          <w:tcPr>
            <w:tcW w:w="4160" w:type="dxa"/>
            <w:vAlign w:val="bottom"/>
            <w:gridSpan w:val="2"/>
          </w:tcPr>
          <w:p>
            <w:pPr>
              <w:jc w:val="right"/>
              <w:ind w:right="14"/>
              <w:spacing w:after="0"/>
              <w:rPr>
                <w:sz w:val="20"/>
                <w:szCs w:val="20"/>
                <w:color w:val="auto"/>
              </w:rPr>
            </w:pPr>
            <w:r>
              <w:rPr>
                <w:rFonts w:ascii="Arial" w:cs="Arial" w:eastAsia="Arial" w:hAnsi="Arial"/>
                <w:sz w:val="18"/>
                <w:szCs w:val="18"/>
                <w:color w:val="auto"/>
              </w:rPr>
              <w:t>234,646</w:t>
            </w:r>
          </w:p>
        </w:tc>
        <w:tc>
          <w:tcPr>
            <w:tcW w:w="1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128,609</w:t>
            </w:r>
          </w:p>
        </w:tc>
      </w:tr>
      <w:tr>
        <w:trPr>
          <w:trHeight w:val="878"/>
        </w:trPr>
        <w:tc>
          <w:tcPr>
            <w:tcW w:w="5140" w:type="dxa"/>
            <w:vAlign w:val="bottom"/>
          </w:tcPr>
          <w:p>
            <w:pPr>
              <w:spacing w:after="0"/>
              <w:rPr>
                <w:sz w:val="24"/>
                <w:szCs w:val="24"/>
                <w:color w:val="auto"/>
              </w:rPr>
            </w:pPr>
          </w:p>
        </w:tc>
        <w:tc>
          <w:tcPr>
            <w:tcW w:w="2760" w:type="dxa"/>
            <w:vAlign w:val="bottom"/>
          </w:tcPr>
          <w:p>
            <w:pPr>
              <w:jc w:val="right"/>
              <w:ind w:right="2014"/>
              <w:spacing w:after="0"/>
              <w:rPr>
                <w:sz w:val="20"/>
                <w:szCs w:val="20"/>
                <w:color w:val="auto"/>
              </w:rPr>
            </w:pPr>
            <w:r>
              <w:rPr>
                <w:rFonts w:ascii="Arial" w:cs="Arial" w:eastAsia="Arial" w:hAnsi="Arial"/>
                <w:sz w:val="18"/>
                <w:szCs w:val="18"/>
                <w:color w:val="auto"/>
              </w:rPr>
              <w:t>10</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Company recorded a provision for income taxes of $0.5 million and $0.2 million for the three months ended April 30, 2018 and 2017, respectively. The provision for income taxes was primarily due to foreign taxes. [The provision for income taxes is based upon the estimated annual effective tax rates for the year applied to the current period income (loss) before tax plus the tax effect of any significant unusual items, discrete events or changes in tax law.]</w:t>
      </w:r>
    </w:p>
    <w:p>
      <w:pPr>
        <w:spacing w:after="0" w:line="9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On December 22, 2017, the 2017 Tax Cuts and Jobs Act (the “Tax Act”) was enacted into law and the new legislation significantly revised the Internal Revenue Code of 1986, as amended. The newly enacted federal income tax law, among other things, contains significant changes to corporate taxation, including the reduction of the corporate tax rate from a top marginal rate of 35% to a flat rate of 21%, limitation of the deduction for newly generated net operating losses (“NOLs”) to 80% of current year taxable income and elimination of NOL carrybacks and one-time taxation of offshore earnings at reduced rates regardless of whether they are repatriated. The Company is required to recognize the effect of these significant tax law changes in the period of enactment.</w:t>
      </w:r>
    </w:p>
    <w:p>
      <w:pPr>
        <w:spacing w:after="0" w:line="13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 xml:space="preserve">Also on December 22, 2017, the SEC staff issued Staff Accounting Bulletin No. 118, </w:t>
      </w:r>
      <w:r>
        <w:rPr>
          <w:rFonts w:ascii="Arial" w:cs="Arial" w:eastAsia="Arial" w:hAnsi="Arial"/>
          <w:sz w:val="16"/>
          <w:szCs w:val="16"/>
          <w:i w:val="1"/>
          <w:iCs w:val="1"/>
          <w:color w:val="auto"/>
        </w:rPr>
        <w:t>Income Tax Accounting Implications of the Tax Cuts and Jobs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(“SAB 118”), which allows the Company to record provisional amounts during a measurement period not to extend beyond one year of the enactment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Given the significant complexity of the Tax Act, anticipated guidance from the Internal Revenue Service about implementing the Tax Act, and the potential for additional guidance from the SEC or the FASB related to the Tax Act, the Company’s current estimates may be adjusted in future periods. The Company expects to complete its analysis within the measurement period in accordance with SAB 118. Any subsequent adjustments to current estimates will be recorded to tax expense during the quarter in the Company’s fiscal year ending January 31, 2019 in which the Company’s analysis of and accounting for the Tax Act is complete. The Company has not recorded any further adjustments during the three months ended April 30, 2018. For information on the Company’s initial provisional estimates recorded during the year ended January 31, 2018, refer to the Company’s 2018 Form 10-K, specifically Part II, Item 8, Financial Statements and Supplementary Data under Note 11,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Consolidated Financial Statements.</w:t>
      </w:r>
    </w:p>
    <w:p>
      <w:pPr>
        <w:spacing w:after="0" w:line="113"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For the Global Intangible Low-Taxed Income (“GILTI”) provisions of the Tax Act, the Company has not yet completed its assessment or elected an accounting policy to either recognize deferred taxes for basis differences expected to reverse as GILTI or to record GILTI as period costs if and when incurred.</w:t>
      </w:r>
    </w:p>
    <w:p>
      <w:pPr>
        <w:spacing w:after="0" w:line="127" w:lineRule="exact"/>
        <w:rPr>
          <w:sz w:val="20"/>
          <w:szCs w:val="20"/>
          <w:color w:val="auto"/>
        </w:rPr>
      </w:pPr>
    </w:p>
    <w:p>
      <w:pPr>
        <w:ind w:right="340" w:firstLine="486"/>
        <w:spacing w:after="0" w:line="302" w:lineRule="auto"/>
        <w:rPr>
          <w:sz w:val="20"/>
          <w:szCs w:val="20"/>
          <w:color w:val="auto"/>
        </w:rPr>
      </w:pPr>
      <w:r>
        <w:rPr>
          <w:rFonts w:ascii="Arial" w:cs="Arial" w:eastAsia="Arial" w:hAnsi="Arial"/>
          <w:sz w:val="16"/>
          <w:szCs w:val="16"/>
          <w:color w:val="auto"/>
        </w:rPr>
        <w:t xml:space="preserve">The Company assesses uncertain tax positions in accordance with ASC 740-10, </w:t>
      </w:r>
      <w:r>
        <w:rPr>
          <w:rFonts w:ascii="Arial" w:cs="Arial" w:eastAsia="Arial" w:hAnsi="Arial"/>
          <w:sz w:val="16"/>
          <w:szCs w:val="16"/>
          <w:i w:val="1"/>
          <w:iCs w:val="1"/>
          <w:color w:val="auto"/>
        </w:rPr>
        <w:t>Accounting for Uncertainties in Tax</w:t>
      </w:r>
      <w:r>
        <w:rPr>
          <w:rFonts w:ascii="Arial" w:cs="Arial" w:eastAsia="Arial" w:hAnsi="Arial"/>
          <w:sz w:val="16"/>
          <w:szCs w:val="16"/>
          <w:color w:val="auto"/>
        </w:rPr>
        <w:t>. As of April 30, 2018, the Company’s net unrecognized tax benefits totaled $4.3 million, none of which would impact the Company’s effective tax rate if recognized. The Company anticipates that the amount of reasonably possible unrecognized tax benefits that could decrease over the next 12 months due to the expiration of certain statutes of limitations and settlement of tax audits is not material to the Company’s interim unaudited condensed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Segments and Geographic Revenue</w:t>
      </w:r>
    </w:p>
    <w:p>
      <w:pPr>
        <w:spacing w:after="0" w:line="175" w:lineRule="exact"/>
        <w:rPr>
          <w:sz w:val="20"/>
          <w:szCs w:val="20"/>
          <w:color w:val="auto"/>
        </w:rPr>
      </w:pPr>
    </w:p>
    <w:p>
      <w:pPr>
        <w:jc w:val="both"/>
        <w:ind w:right="340" w:firstLine="486"/>
        <w:spacing w:after="0" w:line="264" w:lineRule="auto"/>
        <w:rPr>
          <w:sz w:val="20"/>
          <w:szCs w:val="20"/>
          <w:color w:val="auto"/>
        </w:rPr>
      </w:pPr>
      <w:r>
        <w:rPr>
          <w:rFonts w:ascii="Arial" w:cs="Arial" w:eastAsia="Arial" w:hAnsi="Arial"/>
          <w:sz w:val="18"/>
          <w:szCs w:val="18"/>
          <w:color w:val="auto"/>
        </w:rPr>
        <w:t>The Company operates its business as one operating segment as it only reports financial information on an aggregate and consolidated basis to the Chief Executive Officer, who is the Company’s chief operating decision maker. The following table sets forth the Company’s total revenue by geographic area based on the customers’ location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Pr>
          <w:p>
            <w:pPr>
              <w:spacing w:after="0"/>
              <w:rPr>
                <w:sz w:val="16"/>
                <w:szCs w:val="16"/>
                <w:color w:val="auto"/>
              </w:rPr>
            </w:pPr>
          </w:p>
        </w:tc>
      </w:tr>
      <w:tr>
        <w:trPr>
          <w:trHeight w:val="26"/>
        </w:trPr>
        <w:tc>
          <w:tcPr>
            <w:tcW w:w="5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8"/>
        </w:trPr>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0"/>
                <w:szCs w:val="20"/>
                <w:color w:val="auto"/>
              </w:rPr>
            </w:pPr>
          </w:p>
        </w:tc>
      </w:tr>
      <w:tr>
        <w:trPr>
          <w:trHeight w:val="26"/>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31,275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22,402</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14,400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8,929</w:t>
            </w:r>
          </w:p>
        </w:tc>
      </w:tr>
      <w:tr>
        <w:trPr>
          <w:trHeight w:val="27"/>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8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48,222</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32,390</w:t>
            </w:r>
          </w:p>
        </w:tc>
      </w:tr>
      <w:tr>
        <w:trPr>
          <w:trHeight w:val="54"/>
        </w:trPr>
        <w:tc>
          <w:tcPr>
            <w:tcW w:w="51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Customers located in the United States accounted for 61% and 66% of total revenue for the three months ended April 30, 2018 and 2017, respectively. Customers located in the United Kingdom accounted for 11% and 10% of total revenue for the three months ended April 30, 2018 and 2017, respectively. No other country accounted for 10% or more of revenue for the periods presented.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2018 and January 31, 2018, substantially all of the Company’s long-lived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p>
      <w:pPr>
        <w:ind w:left="880" w:right="840" w:hanging="877"/>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8"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w:t>
      </w:r>
    </w:p>
    <w:p>
      <w:pPr>
        <w:ind w:right="60" w:firstLine="8"/>
        <w:spacing w:after="0" w:line="273"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audited consolidated financial statements and the related notes and the discussion under the heading “Management’s Discussion and Analysis of Financial Condition and Results of Operations” included in our Annual Report on Form 10-K for the fiscal year ended January 31, 2018 (the “2018 Form 10-K”). All information presented herein is based on our fiscal calendar, which ends January 31. Unless otherwise stated, references to particular years, quarters, months or periods refer to our fiscal years ended January 31 and the associated quarters, months and periods of those fiscal years.</w:t>
      </w:r>
    </w:p>
    <w:p>
      <w:pPr>
        <w:spacing w:after="0" w:line="12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our 2018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4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 xml:space="preserve">Our corporate website is located at </w:t>
      </w:r>
      <w:r>
        <w:rPr>
          <w:rFonts w:ascii="Arial" w:cs="Arial" w:eastAsia="Arial" w:hAnsi="Arial"/>
          <w:sz w:val="18"/>
          <w:szCs w:val="18"/>
          <w:i w:val="1"/>
          <w:iCs w:val="1"/>
          <w:color w:val="auto"/>
        </w:rPr>
        <w:t>www.mongodb.com</w:t>
      </w:r>
      <w:r>
        <w:rPr>
          <w:rFonts w:ascii="Arial" w:cs="Arial" w:eastAsia="Arial" w:hAnsi="Arial"/>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 Information contained on our corporate website is not part of this Quarterly Report on Form 10-Q or any other report filed with or furnished to the SEC.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113"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We generate revenue primarily from sales of subscriptions, which accounted for 92% and 90% of our total revenue for the three months ended April 30, 2018 and 2017, respectively. Our primary subscription package is MongoDB Enterprise Advanced, which represented 66% and 69% of our subscription revenue for the three months ended April 30, 2018 and 2017, respectively.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w:t>
      </w:r>
    </w:p>
    <w:p>
      <w:pPr>
        <w:spacing w:after="0" w:line="11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invoiced upfront, although a growing number of our customers are entering into multi-year subscriptions. When we enter into multi-year subscriptions, we typically invoice the customer on an annual basis.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introduced MongoDB Atlas in June 2016. MongoDB Atlas is our cloud-hosted database-as-a-service (“DBaaS”) offering that includes comprehensive infrastructure and management of Community Server. During the three months ended April 30, 2018, MongoDB Atlas revenue represented 14% of our total revenue, reflecting the continued growth of MongoDB Atlas since its introduction. We have experienced strong growth in both self-service customers of MongoDB Atlas and customers sold by our sales force. Self-service customers are charged monthly based on their usage while customers sold by our sales force typically sign annual commitments and pay in advance, for the entire year or monthly. Given our platform has been downloaded from our website more than 35 million times since February 2009 and over 12 million times in the last 12 months alone, our initial growth strategy for MongoDB Atlas is to convert developers and their organizations who are already using Community Server to customers of MongoDB Atlas, enabling them to enjoy the benefits of a managed offering.</w:t>
      </w:r>
    </w:p>
    <w:p>
      <w:pPr>
        <w:spacing w:after="0" w:line="138" w:lineRule="exact"/>
        <w:rPr>
          <w:sz w:val="20"/>
          <w:szCs w:val="20"/>
          <w:color w:val="auto"/>
        </w:rPr>
      </w:pPr>
    </w:p>
    <w:p>
      <w:pPr>
        <w:jc w:val="both"/>
        <w:ind w:right="400"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8% and 10% of our total revenue for the three months ended April 30, 2018 and 2017,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believe the market for our offerings is large and growing, and we have experienced rapid growth. We have made substantial investments in developing our platform and expanding our sales and marketing footprint and intend to continue to invest heavily to grow our business to take advantage of our market opportunity rather than optimizing for profitability or cash flow in the near term.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focused on continuing to grow our customer base. We have invested, and expect to continue to invest, heavily in our sales and marketing efforts and developer community outreach, which are critical to driving customer acquisition. As of April 30, 2018, we had over 6,600 customers across a wide range of industries and in over 100 countries, compared to over 3,600 customers as of April 30, 2017. All affiliated entities are counted as a single customer. As of April 30, 2018, we had over 1,550 customers that were sold through our direct sales force and channel partners, as compared to over 1,300 such customers as of April 30, 2017. These customers, which we refer to as our Direct Customers, accounted for 87% and 93% of our subscription revenue for the three months ended April 30, 2018 and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Increasing Adoption of MongoDB Atlas</w:t>
      </w:r>
    </w:p>
    <w:p>
      <w:pPr>
        <w:spacing w:after="0" w:line="171"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MongoDB Atlas, our hosted cloud offering, is an important part of our run-anywhere strategy and allows us to generate revenue from Community Server, converting users who do not need all of the benefits of MongoDB Enterprise Advanced to customers. To accelerate adoption of this DBaaS offering, in 2017, we introduced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In December 2017, we announced the availability of MongoDB Atlas on AWS Marketplace, making it easier for AWS customers to buy and consume MongoDB Atlas. We have invested significantly in MongoDB Atlas and our ability to drive adoption of MongoDB Atlas is a key component of our growth strategy. From its launch in June 2016, we have grown MongoDB Atlas to over 4,400 customers as of April 30, 2018, which includes new customers to MongoDB, as well as existing MongoDB Enterprise Advanced customers adding incremental MongoDB Atlas workloads.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Customers has increased. In addition, self-service customers have begun to increase their consumption of our products, particularly MongoDB Atlas.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monitor annualized recurring revenue (“ARR”) to help us measure our subscription performance. We define ARR as the subscription revenue we would contractually expect to receive from customers over the following 12 months assuming no increases or reductions in their subscriptions. ARR excludes self-service products, including MongoDB Atlas not sold on a commitment basis. ARR also excludes professional services. For customers who utilize</w:t>
      </w:r>
    </w:p>
    <w:p>
      <w:pPr>
        <w:ind w:right="80"/>
        <w:spacing w:after="0" w:line="253" w:lineRule="auto"/>
        <w:rPr>
          <w:sz w:val="20"/>
          <w:szCs w:val="20"/>
          <w:color w:val="auto"/>
        </w:rPr>
      </w:pPr>
      <w:r>
        <w:rPr>
          <w:rFonts w:ascii="Arial" w:cs="Arial" w:eastAsia="Arial" w:hAnsi="Arial"/>
          <w:sz w:val="18"/>
          <w:szCs w:val="18"/>
          <w:color w:val="auto"/>
        </w:rPr>
        <w:t>our self-service offerings, we measure the annualized monthly recurring revenue (“MRR”), which is calculated by annualizing their usage of our self-serve products in the prior 30 days and assuming no increases or reductions in their usage. The number of customers with $100,000 or greater in ARR and annualized MRR was 394 and 268 as of April 30, 2018 and 2017,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60" w:firstLine="486"/>
        <w:spacing w:after="0" w:line="220" w:lineRule="exact"/>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Our subscription revenue is comprised of term licenses and hosted as</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service solutions. Subscriptions to term licenses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support and access to new software versions on a when</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if available basis. Revenue from our term licenses is recognized ratably and is typically billed annually in advance. Revenue from our hosted as</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service solutions is primarily generated on a usage basis and is billed either in arrears or paid up front.</w:t>
      </w:r>
    </w:p>
    <w:p>
      <w:pPr>
        <w:spacing w:after="0" w:line="150" w:lineRule="exact"/>
        <w:rPr>
          <w:sz w:val="20"/>
          <w:szCs w:val="20"/>
          <w:color w:val="auto"/>
        </w:rPr>
      </w:pPr>
    </w:p>
    <w:p>
      <w:pPr>
        <w:ind w:firstLine="486"/>
        <w:spacing w:after="0" w:line="221" w:lineRule="exact"/>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 if sold on a stand</w:t>
      </w:r>
      <w:r>
        <w:rPr>
          <w:rFonts w:ascii="MS PGothic" w:cs="MS PGothic" w:eastAsia="MS PGothic" w:hAnsi="MS PGothic"/>
          <w:sz w:val="18"/>
          <w:szCs w:val="18"/>
          <w:color w:val="auto"/>
        </w:rPr>
        <w:t>‑</w:t>
      </w:r>
      <w:r>
        <w:rPr>
          <w:rFonts w:ascii="Arial" w:cs="Arial" w:eastAsia="Arial" w:hAnsi="Arial"/>
          <w:sz w:val="18"/>
          <w:szCs w:val="18"/>
          <w:color w:val="auto"/>
        </w:rPr>
        <w:t>alone basis and ratably over the contractual period if sold as a bundled element along with our subscriptions.</w:t>
      </w:r>
    </w:p>
    <w:p>
      <w:pPr>
        <w:spacing w:after="0" w:line="148" w:lineRule="exact"/>
        <w:rPr>
          <w:sz w:val="20"/>
          <w:szCs w:val="20"/>
          <w:color w:val="auto"/>
        </w:rPr>
      </w:pPr>
    </w:p>
    <w:p>
      <w:pPr>
        <w:ind w:right="100" w:firstLine="486"/>
        <w:spacing w:after="0" w:line="219" w:lineRule="exact"/>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the rate of customer renewals and expansions, delivery of professional services, the impact of significant transactions and seasonality of or fluctuations in usage for our consumption</w:t>
      </w:r>
      <w:r>
        <w:rPr>
          <w:rFonts w:ascii="MS PGothic" w:cs="MS PGothic" w:eastAsia="MS PGothic" w:hAnsi="MS PGothic"/>
          <w:sz w:val="17"/>
          <w:szCs w:val="17"/>
          <w:color w:val="auto"/>
        </w:rPr>
        <w:t>‑</w:t>
      </w:r>
      <w:r>
        <w:rPr>
          <w:rFonts w:ascii="Arial" w:cs="Arial" w:eastAsia="Arial" w:hAnsi="Arial"/>
          <w:sz w:val="17"/>
          <w:szCs w:val="17"/>
          <w:color w:val="auto"/>
        </w:rPr>
        <w:t>based customers. Certain of our services agreements are sold as a bundled element along with our subscriptions. In those cases, when the delivery of services commences later than the start date of the subscription, no revenue is recognized until the delivery of services commences. As long as all other revenue recognition criteria have been met, once delivery of services commences, we record a cumulative catch up of revenue that would have been recognized over the period from the beginning of the subscription term until the commencement of service delivery.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Cost of Subscription Revenue. </w:t>
      </w:r>
      <w:r>
        <w:rPr>
          <w:rFonts w:ascii="Arial" w:cs="Arial" w:eastAsia="Arial" w:hAnsi="Arial"/>
          <w:sz w:val="17"/>
          <w:szCs w:val="17"/>
          <w:color w:val="auto"/>
        </w:rPr>
        <w:t>Cost of subscription revenue primarily includes personnel costs, including salaries, bonuses and benefits, and</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employees associated with our subscription arrangements principally related to technical support and allocated shared costs, as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well as depreciation and amortization. Our cost of subscription revenue for our hosted as</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service solutions includes third</w:t>
      </w:r>
      <w:r>
        <w:rPr>
          <w:rFonts w:ascii="MS PGothic" w:cs="MS PGothic" w:eastAsia="MS PGothic" w:hAnsi="MS PGothic"/>
          <w:sz w:val="16"/>
          <w:szCs w:val="16"/>
          <w:color w:val="auto"/>
        </w:rPr>
        <w:t>‑</w:t>
      </w:r>
      <w:r>
        <w:rPr>
          <w:rFonts w:ascii="Arial" w:cs="Arial" w:eastAsia="Arial" w:hAnsi="Arial"/>
          <w:sz w:val="16"/>
          <w:szCs w:val="16"/>
          <w:color w:val="auto"/>
        </w:rPr>
        <w:t>party cloud infrastructure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overhead. We expect our cost of subscription revenue to increase in absolute dollars as our subscription revenue increases and, depending on the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MongoDB Atlas, our cost of subscription revenue may increase as a percentage of subscription revenue as well.</w:t>
      </w:r>
    </w:p>
    <w:p>
      <w:pPr>
        <w:spacing w:after="0" w:line="157" w:lineRule="exact"/>
        <w:rPr>
          <w:sz w:val="20"/>
          <w:szCs w:val="20"/>
          <w:color w:val="auto"/>
        </w:rPr>
      </w:pPr>
    </w:p>
    <w:p>
      <w:pPr>
        <w:ind w:right="560" w:firstLine="486"/>
        <w:spacing w:after="0" w:line="221" w:lineRule="exact"/>
        <w:rPr>
          <w:sz w:val="20"/>
          <w:szCs w:val="20"/>
          <w:color w:val="auto"/>
        </w:rPr>
      </w:pPr>
      <w:r>
        <w:rPr>
          <w:rFonts w:ascii="Arial" w:cs="Arial" w:eastAsia="Arial" w:hAnsi="Arial"/>
          <w:sz w:val="17"/>
          <w:szCs w:val="17"/>
          <w:i w:val="1"/>
          <w:iCs w:val="1"/>
          <w:color w:val="auto"/>
        </w:rPr>
        <w:t xml:space="preserve">Cost of Services Revenue. </w:t>
      </w:r>
      <w:r>
        <w:rPr>
          <w:rFonts w:ascii="Arial" w:cs="Arial" w:eastAsia="Arial" w:hAnsi="Arial"/>
          <w:sz w:val="17"/>
          <w:szCs w:val="17"/>
          <w:color w:val="auto"/>
        </w:rPr>
        <w:t>Cost of services revenue primarily includes personnel costs, including salaries, bonuses and benefits, and stock</w:t>
      </w:r>
      <w:r>
        <w:rPr>
          <w:rFonts w:ascii="MS PGothic" w:cs="MS PGothic" w:eastAsia="MS PGothic" w:hAnsi="MS PGothic"/>
          <w:sz w:val="17"/>
          <w:szCs w:val="17"/>
          <w:color w:val="auto"/>
        </w:rPr>
        <w:t>‑</w:t>
      </w:r>
      <w:r>
        <w:rPr>
          <w:rFonts w:ascii="Arial" w:cs="Arial" w:eastAsia="Arial" w:hAnsi="Arial"/>
          <w:sz w:val="17"/>
          <w:szCs w:val="17"/>
          <w:color w:val="auto"/>
        </w:rPr>
        <w:t>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or gross profit as a percentage of revenue, has been and will continue to be affected by a variety of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4"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27" w:lineRule="exact"/>
        <w:rPr>
          <w:sz w:val="20"/>
          <w:szCs w:val="20"/>
          <w:color w:val="auto"/>
        </w:rPr>
      </w:pPr>
    </w:p>
    <w:p>
      <w:pPr>
        <w:ind w:right="80" w:firstLine="486"/>
        <w:spacing w:after="0" w:line="219" w:lineRule="exact"/>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Arial" w:cs="Arial" w:eastAsia="Arial" w:hAnsi="Arial"/>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Arial" w:cs="Arial" w:eastAsia="Arial" w:hAnsi="Arial"/>
          <w:sz w:val="18"/>
          <w:szCs w:val="18"/>
          <w:color w:val="auto"/>
        </w:rPr>
        <w:t>building and developer</w:t>
      </w:r>
      <w:r>
        <w:rPr>
          <w:rFonts w:ascii="MS PGothic" w:cs="MS PGothic" w:eastAsia="MS PGothic" w:hAnsi="MS PGothic"/>
          <w:sz w:val="18"/>
          <w:szCs w:val="18"/>
          <w:color w:val="auto"/>
        </w:rPr>
        <w:t>‑</w:t>
      </w:r>
      <w:r>
        <w:rPr>
          <w:rFonts w:ascii="Arial" w:cs="Arial" w:eastAsia="Arial" w:hAnsi="Arial"/>
          <w:sz w:val="18"/>
          <w:szCs w:val="18"/>
          <w:color w:val="auto"/>
        </w:rPr>
        <w:t>community activities. We expect our sales and marketing expense to increase in absolute dollars over time as we expand our sales force and increase our marketing resources, expand into new markets and further develop our channel program.</w:t>
      </w:r>
    </w:p>
    <w:p>
      <w:pPr>
        <w:spacing w:after="0" w:line="152" w:lineRule="exact"/>
        <w:rPr>
          <w:sz w:val="20"/>
          <w:szCs w:val="20"/>
          <w:color w:val="auto"/>
        </w:rPr>
      </w:pPr>
    </w:p>
    <w:p>
      <w:pPr>
        <w:ind w:right="300" w:firstLine="486"/>
        <w:spacing w:after="0" w:line="221"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48" w:lineRule="exact"/>
        <w:rPr>
          <w:sz w:val="20"/>
          <w:szCs w:val="20"/>
          <w:color w:val="auto"/>
        </w:rPr>
      </w:pPr>
    </w:p>
    <w:p>
      <w:pPr>
        <w:ind w:right="100" w:firstLine="486"/>
        <w:spacing w:after="0" w:line="220"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incur the costs of compliance associated with being a publicly traded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Income Taxes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Provision for income taxes consists primarily of state income taxes in the United States and income taxes in certain foreign jurisdictions in which we conduct business. As of January 31, 2018, we had net operating loss (“NOL”) carryforwards for federal, state and Irish income tax purposes of $209.5 million, $166.5 million and $182.3 million, respectively, which begin to expire in the year ending January 31, 2028 for federal purposes and January 31, 2021 for state purposes if not utilized. Ireland allows NOLs to be carried forward indefinitely. The deferred tax assets associated with the NOL carryforwards in each of these jurisdictions are subject to a full valuation allowance.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2018 Summary</w:t>
      </w:r>
    </w:p>
    <w:p>
      <w:pPr>
        <w:spacing w:after="0" w:line="17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For the three months ended April 30, 2018, our total revenue was $48.2 million as compared to $32.4 million for the three months ended April 30, 2017. Our net loss was $29.2 million for the three months ended April 30, 2018 as compared to $19.7 million for the three months ended April 30, 2017. Our operating cash flow was $(8.0) million and $(11.7) million for the three months ended April 30, 2018 and 2017, respectively. Our free cash flow was $(8.4) million and $(12.4) million for the three months ended April 30, 2018 and 2017, respectively. See the section titled “Liquidity and Capital Resources—Non-GAAP Free Cash Flow”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4"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6"/>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r>
      <w:tr>
        <w:trPr>
          <w:trHeight w:val="244"/>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7"/>
              </w:rPr>
              <w:t>(unaudited, dollars in thousands)</w:t>
            </w: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w:t>
            </w: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3,203</w:t>
            </w:r>
          </w:p>
        </w:tc>
      </w:tr>
      <w:tr>
        <w:trPr>
          <w:trHeight w:val="41"/>
        </w:trPr>
        <w:tc>
          <w:tcPr>
            <w:tcW w:w="5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r>
      <w:tr>
        <w:trPr>
          <w:trHeight w:val="270"/>
        </w:trPr>
        <w:tc>
          <w:tcPr>
            <w:tcW w:w="5040" w:type="dxa"/>
            <w:vAlign w:val="bottom"/>
          </w:tcPr>
          <w:p>
            <w:pPr>
              <w:ind w:left="2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41"/>
        </w:trPr>
        <w:tc>
          <w:tcPr>
            <w:tcW w:w="5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7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13,749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23,191</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040" w:type="dxa"/>
            <w:vAlign w:val="bottom"/>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33,889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22,145</w:t>
            </w:r>
          </w:p>
        </w:tc>
      </w:tr>
      <w:tr>
        <w:trPr>
          <w:trHeight w:val="270"/>
        </w:trPr>
        <w:tc>
          <w:tcPr>
            <w:tcW w:w="50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w:t>
            </w:r>
          </w:p>
        </w:tc>
      </w:tr>
      <w:tr>
        <w:trPr>
          <w:trHeight w:val="284"/>
        </w:trPr>
        <w:tc>
          <w:tcPr>
            <w:tcW w:w="504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11,227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r>
      <w:tr>
        <w:trPr>
          <w:trHeight w:val="27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63,761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42,993</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(19,802)</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(19,461)</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(19,690)</w:t>
            </w:r>
          </w:p>
        </w:tc>
      </w:tr>
      <w:tr>
        <w:trPr>
          <w:trHeight w:val="54"/>
        </w:trPr>
        <w:tc>
          <w:tcPr>
            <w:tcW w:w="50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20" w:hanging="212"/>
        <w:spacing w:after="0" w:line="288" w:lineRule="exact"/>
        <w:tabs>
          <w:tab w:leader="none" w:pos="2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(unaudited, dollars in thousands)</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Cost of revenue—services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80"/>
        </w:trPr>
        <w:tc>
          <w:tcPr>
            <w:tcW w:w="51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7,577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134"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5"/>
        </w:trPr>
        <w:tc>
          <w:tcPr>
            <w:tcW w:w="102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(unaudited, dollars in thousands)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Revenue Data:</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28 %</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72 %</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132 %</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1 %</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1 %</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Comparison of the Three Months Ended April 30, 2018 and 2017</w:t>
            </w: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Pr>
          <w:p>
            <w:pPr>
              <w:spacing w:after="0"/>
              <w:rPr>
                <w:sz w:val="24"/>
                <w:szCs w:val="24"/>
                <w:color w:val="auto"/>
              </w:rPr>
            </w:pPr>
          </w:p>
        </w:tc>
        <w:tc>
          <w:tcPr>
            <w:tcW w:w="1640" w:type="dxa"/>
            <w:vAlign w:val="bottom"/>
            <w:gridSpan w:val="2"/>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0"/>
                <w:szCs w:val="20"/>
                <w:color w:val="auto"/>
              </w:rPr>
            </w:pPr>
          </w:p>
        </w:tc>
        <w:tc>
          <w:tcPr>
            <w:tcW w:w="108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5"/>
          </w:tcPr>
          <w:p>
            <w:pPr>
              <w:ind w:left="240"/>
              <w:spacing w:after="0"/>
              <w:rPr>
                <w:sz w:val="20"/>
                <w:szCs w:val="20"/>
                <w:color w:val="auto"/>
              </w:rPr>
            </w:pPr>
            <w:r>
              <w:rPr>
                <w:rFonts w:ascii="Arial" w:cs="Arial" w:eastAsia="Arial" w:hAnsi="Arial"/>
                <w:sz w:val="14"/>
                <w:szCs w:val="14"/>
                <w:b w:val="1"/>
                <w:bCs w:val="1"/>
                <w:color w:val="auto"/>
              </w:rPr>
              <w:t>(unaudited, dollars 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15,378</w:t>
            </w: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15,832</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$15.4 million primarily due to $9.6 million from sales to new customers. The remainder of the increase in subscription revenue resulted from sales to existing customers. The increase in services revenue was driven primarily by an increase in sales of professional services to new customers.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April 30,</w:t>
            </w:r>
          </w:p>
        </w:tc>
        <w:tc>
          <w:tcPr>
            <w:tcW w:w="820" w:type="dxa"/>
            <w:vAlign w:val="bottom"/>
          </w:tcPr>
          <w:p>
            <w:pPr>
              <w:spacing w:after="0"/>
              <w:rPr>
                <w:sz w:val="16"/>
                <w:szCs w:val="16"/>
                <w:color w:val="auto"/>
              </w:rPr>
            </w:pPr>
          </w:p>
        </w:tc>
        <w:tc>
          <w:tcPr>
            <w:tcW w:w="1220" w:type="dxa"/>
            <w:vAlign w:val="bottom"/>
            <w:gridSpan w:val="2"/>
          </w:tcPr>
          <w:p>
            <w:pPr>
              <w:ind w:left="5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26"/>
        </w:trPr>
        <w:tc>
          <w:tcPr>
            <w:tcW w:w="5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5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6"/>
        </w:trPr>
        <w:tc>
          <w:tcPr>
            <w:tcW w:w="5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60" w:type="dxa"/>
            <w:vAlign w:val="bottom"/>
            <w:gridSpan w:val="5"/>
          </w:tcPr>
          <w:p>
            <w:pPr>
              <w:ind w:left="200"/>
              <w:spacing w:after="0"/>
              <w:rPr>
                <w:sz w:val="20"/>
                <w:szCs w:val="20"/>
                <w:color w:val="auto"/>
              </w:rPr>
            </w:pPr>
            <w:r>
              <w:rPr>
                <w:rFonts w:ascii="Arial" w:cs="Arial" w:eastAsia="Arial" w:hAnsi="Arial"/>
                <w:sz w:val="14"/>
                <w:szCs w:val="14"/>
                <w:b w:val="1"/>
                <w:bCs w:val="1"/>
                <w:color w:val="auto"/>
              </w:rPr>
              <w:t>(unaudited, dollars in thousands)</w:t>
            </w:r>
          </w:p>
        </w:tc>
        <w:tc>
          <w:tcPr>
            <w:tcW w:w="1060" w:type="dxa"/>
            <w:vAlign w:val="bottom"/>
          </w:tcPr>
          <w:p>
            <w:pPr>
              <w:spacing w:after="0"/>
              <w:rPr>
                <w:sz w:val="21"/>
                <w:szCs w:val="21"/>
                <w:color w:val="auto"/>
              </w:rPr>
            </w:pPr>
          </w:p>
        </w:tc>
      </w:tr>
      <w:tr>
        <w:trPr>
          <w:trHeight w:val="25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6,550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3,520</w:t>
            </w: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Services cost of revenue</w:t>
            </w:r>
          </w:p>
        </w:tc>
        <w:tc>
          <w:tcPr>
            <w:tcW w:w="380" w:type="dxa"/>
            <w:vAlign w:val="bottom"/>
          </w:tcPr>
          <w:p>
            <w:pPr>
              <w:spacing w:after="0"/>
              <w:rPr>
                <w:sz w:val="21"/>
                <w:szCs w:val="21"/>
                <w:color w:val="auto"/>
              </w:rPr>
            </w:pPr>
          </w:p>
        </w:tc>
        <w:tc>
          <w:tcPr>
            <w:tcW w:w="1200" w:type="dxa"/>
            <w:vAlign w:val="bottom"/>
          </w:tcPr>
          <w:p>
            <w:pPr>
              <w:jc w:val="right"/>
              <w:ind w:right="176"/>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
        </w:trPr>
        <w:tc>
          <w:tcPr>
            <w:tcW w:w="5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r>
      <w:tr>
        <w:trPr>
          <w:trHeight w:val="244"/>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13,749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9,199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4,550</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6"/>
              <w:spacing w:after="0"/>
              <w:rPr>
                <w:sz w:val="20"/>
                <w:szCs w:val="20"/>
                <w:color w:val="auto"/>
              </w:rPr>
            </w:pPr>
            <w:r>
              <w:rPr>
                <w:rFonts w:ascii="Arial" w:cs="Arial" w:eastAsia="Arial" w:hAnsi="Arial"/>
                <w:sz w:val="18"/>
                <w:szCs w:val="18"/>
                <w:color w:val="auto"/>
              </w:rPr>
              <w:t>34,473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23,191</w:t>
            </w:r>
          </w:p>
        </w:tc>
        <w:tc>
          <w:tcPr>
            <w:tcW w:w="100" w:type="dxa"/>
            <w:vAlign w:val="bottom"/>
          </w:tcPr>
          <w:p>
            <w:pPr>
              <w:spacing w:after="0"/>
              <w:rPr>
                <w:sz w:val="22"/>
                <w:szCs w:val="22"/>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11,282</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CCEEFF"/>
            </w:tcBorders>
            <w:shd w:val="clear" w:color="auto" w:fill="CCEEFF"/>
          </w:tcPr>
          <w:p>
            <w:pPr>
              <w:spacing w:after="0"/>
              <w:rPr>
                <w:sz w:val="24"/>
                <w:szCs w:val="24"/>
                <w:color w:val="auto"/>
              </w:rPr>
            </w:pPr>
          </w:p>
        </w:tc>
        <w:tc>
          <w:tcPr>
            <w:tcW w:w="164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43"/>
        </w:trPr>
        <w:tc>
          <w:tcPr>
            <w:tcW w:w="500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1580" w:type="dxa"/>
            <w:vAlign w:val="bottom"/>
          </w:tcPr>
          <w:p>
            <w:pPr>
              <w:jc w:val="right"/>
              <w:spacing w:after="0"/>
              <w:rPr>
                <w:sz w:val="20"/>
                <w:szCs w:val="20"/>
                <w:color w:val="auto"/>
              </w:rPr>
            </w:pPr>
            <w:r>
              <w:rPr>
                <w:rFonts w:ascii="Arial" w:cs="Arial" w:eastAsia="Arial" w:hAnsi="Arial"/>
                <w:sz w:val="18"/>
                <w:szCs w:val="18"/>
                <w:color w:val="auto"/>
              </w:rPr>
              <w:t>77.4 %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486"/>
        <w:spacing w:after="0" w:line="220" w:lineRule="exact"/>
        <w:rPr>
          <w:sz w:val="20"/>
          <w:szCs w:val="20"/>
          <w:color w:val="auto"/>
        </w:rPr>
      </w:pPr>
      <w:r>
        <w:rPr>
          <w:rFonts w:ascii="Arial" w:cs="Arial" w:eastAsia="Arial" w:hAnsi="Arial"/>
          <w:sz w:val="18"/>
          <w:szCs w:val="18"/>
          <w:color w:val="auto"/>
        </w:rPr>
        <w:t>The increase in subscription cost of revenue was primarily due to a $2.2 million increase in third</w:t>
      </w:r>
      <w:r>
        <w:rPr>
          <w:rFonts w:ascii="MS PGothic" w:cs="MS PGothic" w:eastAsia="MS PGothic" w:hAnsi="MS PGothic"/>
          <w:sz w:val="18"/>
          <w:szCs w:val="18"/>
          <w:color w:val="auto"/>
        </w:rPr>
        <w:t>‑</w:t>
      </w:r>
      <w:r>
        <w:rPr>
          <w:rFonts w:ascii="Arial" w:cs="Arial" w:eastAsia="Arial" w:hAnsi="Arial"/>
          <w:sz w:val="18"/>
          <w:szCs w:val="18"/>
          <w:color w:val="auto"/>
        </w:rPr>
        <w:t>party cloud infrastructure costs, including costs associated with the growth of MongoDB Atlas, as well as a $0.9 million increase in personnel costs associated with increased headcount in our support organization. The increase in services cost of revenue was due to additional investments in headcount for our services organization to support global expansion of our business.</w:t>
      </w:r>
    </w:p>
    <w:p>
      <w:pPr>
        <w:spacing w:after="0" w:line="15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Overall gross margin remained flat. Our services gross margin for the three months ended April 30, 2018 was impacted by the additional investments in headcount in anticipation of future revenue growth. Our services gross margin will continue to be subject to fluctuations as a result of timing of sales of standalone consulting and training services and the timing of hiring, as well as the timing of revenue recognized for previously sold service agreements as a bundled element with subscriptions.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9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(unaudited, dollars in thousands)</w:t>
            </w: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33,889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22,145</w:t>
            </w:r>
          </w:p>
        </w:tc>
        <w:tc>
          <w:tcPr>
            <w:tcW w:w="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4"/>
              </w:rPr>
              <w:t>11,744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The increase in sales and marketing expense included higher personnel costs of $5.8 million and higher commission expense of $1.4 million, driven by a 36% increase in our sales and marketing headcount to 403 as of April 30, 2018 from 296 as of April 30, 2017. An additional $2.6 million of the increase in sales and marketing expense was attributable to increased travel and other expenses related to increased headcount and higher spend on marketing programs, including for MongoDB Atlas.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980" w:type="dxa"/>
            <w:vAlign w:val="bottom"/>
          </w:tcPr>
          <w:p>
            <w:pPr>
              <w:spacing w:after="0"/>
              <w:rPr>
                <w:sz w:val="16"/>
                <w:szCs w:val="16"/>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(unaudited, dollars in thousands)</w:t>
            </w: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18,645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13,077</w:t>
            </w:r>
          </w:p>
        </w:tc>
        <w:tc>
          <w:tcPr>
            <w:tcW w:w="9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5,568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increase in research and development expense was primarily driven by an increase in personnel costs and stock-based compensation as we increased our research and development headcount by 35%.</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980" w:type="dxa"/>
            <w:vAlign w:val="bottom"/>
          </w:tcPr>
          <w:p>
            <w:pPr>
              <w:spacing w:after="0"/>
              <w:rPr>
                <w:sz w:val="16"/>
                <w:szCs w:val="16"/>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(unaudited, dollars in thousands)</w:t>
            </w: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11,227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7,771</w:t>
            </w:r>
          </w:p>
        </w:tc>
        <w:tc>
          <w:tcPr>
            <w:tcW w:w="9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3,456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increase in general and administrative expense was primarily due to 37% increase in general and administrative personnel headcount, in part driven by the increased compliance costs of being a publicly-traded company, resulting in higher personnel costs of $2.1 million. We also incurred higher rent expense of $0.9 million to accommodate our growing workforce.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11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 dollars in thousands)</w:t>
            </w: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341</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250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 increase in other income, net was primarily due to an increase in interest income derived from our larger average cash equivalents and short-term investments balance during the three months ended April 30, 2018 as compared to the prior-year period. This increase was partially offset by net losses from foreign currency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11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 dollars in thousands)</w:t>
            </w: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229</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238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500" w:firstLine="486"/>
        <w:spacing w:after="0" w:line="438" w:lineRule="auto"/>
        <w:rPr>
          <w:sz w:val="20"/>
          <w:szCs w:val="20"/>
          <w:color w:val="auto"/>
        </w:rPr>
      </w:pPr>
      <w:r>
        <w:rPr>
          <w:rFonts w:ascii="Arial" w:cs="Arial" w:eastAsia="Arial" w:hAnsi="Arial"/>
          <w:sz w:val="18"/>
          <w:szCs w:val="18"/>
          <w:color w:val="auto"/>
        </w:rPr>
        <w:t xml:space="preserve">The increase in provision for income taxes was primarily due to an increase in foreign taxes as we continued our global expansion.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80" w:firstLine="486"/>
        <w:spacing w:after="0" w:line="224" w:lineRule="exact"/>
        <w:rPr>
          <w:sz w:val="20"/>
          <w:szCs w:val="20"/>
          <w:color w:val="auto"/>
        </w:rPr>
      </w:pPr>
      <w:r>
        <w:rPr>
          <w:rFonts w:ascii="Arial" w:cs="Arial" w:eastAsia="Arial" w:hAnsi="Arial"/>
          <w:sz w:val="17"/>
          <w:szCs w:val="17"/>
          <w:color w:val="auto"/>
        </w:rPr>
        <w:t>As of April 30, 2018, we had cash, cash equivalents, short</w:t>
      </w:r>
      <w:r>
        <w:rPr>
          <w:rFonts w:ascii="MS PGothic" w:cs="MS PGothic" w:eastAsia="MS PGothic" w:hAnsi="MS PGothic"/>
          <w:sz w:val="17"/>
          <w:szCs w:val="17"/>
          <w:color w:val="auto"/>
        </w:rPr>
        <w:t>‑</w:t>
      </w:r>
      <w:r>
        <w:rPr>
          <w:rFonts w:ascii="Arial" w:cs="Arial" w:eastAsia="Arial" w:hAnsi="Arial"/>
          <w:sz w:val="17"/>
          <w:szCs w:val="17"/>
          <w:color w:val="auto"/>
        </w:rPr>
        <w:t>term investments and restricted cash totaling $271.5 million. Our cash and cash equivalents primarily consist of bank deposits and money market funds. Our short</w:t>
      </w:r>
      <w:r>
        <w:rPr>
          <w:rFonts w:ascii="MS PGothic" w:cs="MS PGothic" w:eastAsia="MS PGothic" w:hAnsi="MS PGothic"/>
          <w:sz w:val="17"/>
          <w:szCs w:val="17"/>
          <w:color w:val="auto"/>
        </w:rPr>
        <w:t>‑</w:t>
      </w:r>
      <w:r>
        <w:rPr>
          <w:rFonts w:ascii="Arial" w:cs="Arial" w:eastAsia="Arial" w:hAnsi="Arial"/>
          <w:sz w:val="17"/>
          <w:szCs w:val="17"/>
          <w:color w:val="auto"/>
        </w:rPr>
        <w:t>term investments consist of U.S. government treasury securities.</w:t>
      </w:r>
    </w:p>
    <w:p>
      <w:pPr>
        <w:spacing w:after="0" w:line="148" w:lineRule="exact"/>
        <w:rPr>
          <w:sz w:val="20"/>
          <w:szCs w:val="20"/>
          <w:color w:val="auto"/>
        </w:rPr>
      </w:pPr>
    </w:p>
    <w:p>
      <w:pPr>
        <w:ind w:right="20" w:firstLine="486"/>
        <w:spacing w:after="0" w:line="219" w:lineRule="exact"/>
        <w:rPr>
          <w:sz w:val="20"/>
          <w:szCs w:val="20"/>
          <w:color w:val="auto"/>
        </w:rPr>
      </w:pPr>
      <w:r>
        <w:rPr>
          <w:rFonts w:ascii="Arial" w:cs="Arial" w:eastAsia="Arial" w:hAnsi="Arial"/>
          <w:sz w:val="18"/>
          <w:szCs w:val="18"/>
          <w:color w:val="auto"/>
        </w:rPr>
        <w:t>In October 2017, we closed our IPO of 9,200,000 shares of our Class A common stock at an offering price of $24.00 per share, including 1,200,000 shares pursuant to the underwriters’ option to purchase additional shares of our Class A common stock, resulting in net proceeds to us of $201.6 million, after deducting underwriting discounts and commissions of $15.5 million and offering expenses of $3.9 million. Previously, we financed our operations principally through private placements of our redeemable convertible preferred stock. We have received net proceeds of $345.3 million from the issuance of shares of our redeemable convertible preferred stock. We believe our existing cash and cash equivalents and short</w:t>
      </w:r>
      <w:r>
        <w:rPr>
          <w:rFonts w:ascii="MS PGothic" w:cs="MS PGothic" w:eastAsia="MS PGothic" w:hAnsi="MS PGothic"/>
          <w:sz w:val="18"/>
          <w:szCs w:val="18"/>
          <w:color w:val="auto"/>
        </w:rPr>
        <w:t>‑</w:t>
      </w:r>
      <w:r>
        <w:rPr>
          <w:rFonts w:ascii="Arial" w:cs="Arial" w:eastAsia="Arial" w:hAnsi="Arial"/>
          <w:sz w:val="18"/>
          <w:szCs w:val="18"/>
          <w:color w:val="auto"/>
        </w:rPr>
        <w:t>term investments will be sufficient to fund our operating and capital needs for at least the next 12 months.</w:t>
      </w:r>
    </w:p>
    <w:p>
      <w:pPr>
        <w:spacing w:after="0" w:line="14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generated significant operating losses and negative cash flows from operations as reflected in our accumulated deficit and consolidated statements of cash flows. As of April 30, 2018, we had an accumulated deficit of $472.9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4"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31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7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7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
        </w:trPr>
        <w:tc>
          <w:tcPr>
            <w:tcW w:w="7680" w:type="dxa"/>
            <w:vAlign w:val="bottom"/>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44"/>
        </w:trPr>
        <w:tc>
          <w:tcPr>
            <w:tcW w:w="7680" w:type="dxa"/>
            <w:vAlign w:val="bottom"/>
          </w:tcPr>
          <w:p>
            <w:pPr>
              <w:spacing w:after="0"/>
              <w:rPr>
                <w:sz w:val="21"/>
                <w:szCs w:val="21"/>
                <w:color w:val="auto"/>
              </w:rPr>
            </w:pPr>
          </w:p>
        </w:tc>
        <w:tc>
          <w:tcPr>
            <w:tcW w:w="31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(unaudited, dollars in thousands)</w:t>
            </w: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(8,049)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(11,721)</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57,633</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(18,102)</w:t>
            </w:r>
          </w:p>
        </w:tc>
      </w:tr>
      <w:tr>
        <w:trPr>
          <w:trHeight w:val="27"/>
        </w:trPr>
        <w:tc>
          <w:tcPr>
            <w:tcW w:w="7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4,646</w:t>
            </w:r>
          </w:p>
        </w:tc>
      </w:tr>
      <w:tr>
        <w:trPr>
          <w:trHeight w:val="27"/>
        </w:trPr>
        <w:tc>
          <w:tcPr>
            <w:tcW w:w="7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2C2C2C"/>
        </w:rPr>
        <w:t>Non</w:t>
      </w:r>
      <w:r>
        <w:rPr>
          <w:rFonts w:ascii="MS PGothic" w:cs="MS PGothic" w:eastAsia="MS PGothic" w:hAnsi="MS PGothic"/>
          <w:sz w:val="18"/>
          <w:szCs w:val="18"/>
          <w:i w:val="1"/>
          <w:iCs w:val="1"/>
          <w:color w:val="2C2C2C"/>
        </w:rPr>
        <w:t>‑</w:t>
      </w:r>
      <w:r>
        <w:rPr>
          <w:rFonts w:ascii="Arial" w:cs="Arial" w:eastAsia="Arial" w:hAnsi="Arial"/>
          <w:sz w:val="18"/>
          <w:szCs w:val="18"/>
          <w:i w:val="1"/>
          <w:iCs w:val="1"/>
          <w:color w:val="2C2C2C"/>
        </w:rPr>
        <w:t>GAAP Free Cash Flow</w:t>
      </w:r>
    </w:p>
    <w:p>
      <w:pPr>
        <w:spacing w:after="0" w:line="171" w:lineRule="exact"/>
        <w:rPr>
          <w:sz w:val="20"/>
          <w:szCs w:val="20"/>
          <w:color w:val="auto"/>
        </w:rPr>
      </w:pPr>
    </w:p>
    <w:p>
      <w:pPr>
        <w:ind w:right="60" w:firstLine="486"/>
        <w:spacing w:after="0" w:line="217" w:lineRule="exact"/>
        <w:rPr>
          <w:sz w:val="20"/>
          <w:szCs w:val="20"/>
          <w:color w:val="auto"/>
        </w:rPr>
      </w:pPr>
      <w:r>
        <w:rPr>
          <w:rFonts w:ascii="Arial" w:cs="Arial" w:eastAsia="Arial" w:hAnsi="Arial"/>
          <w:sz w:val="16"/>
          <w:szCs w:val="16"/>
          <w:color w:val="auto"/>
        </w:rPr>
        <w:t>To supplement our interim unaudited condensed consolidated financial statements, which are prepared and presented in accordance with generally accepted accounting principles in the United States (“GAAP”), we provide investors with the amount of free cash flow, which 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Free cash flow represents net cash used in operating activities less capital expenditures and capitalized software development costs, if any. During the three months ended April 30, 2018 and 2017,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w:t>
      </w:r>
      <w:r>
        <w:rPr>
          <w:rFonts w:ascii="MS PGothic" w:cs="MS PGothic" w:eastAsia="MS PGothic" w:hAnsi="MS PGothic"/>
          <w:sz w:val="16"/>
          <w:szCs w:val="16"/>
          <w:color w:val="auto"/>
        </w:rPr>
        <w:t>‑</w:t>
      </w:r>
      <w:r>
        <w:rPr>
          <w:rFonts w:ascii="Arial" w:cs="Arial" w:eastAsia="Arial" w:hAnsi="Arial"/>
          <w:sz w:val="16"/>
          <w:szCs w:val="16"/>
          <w:color w:val="auto"/>
        </w:rPr>
        <w:t>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3120" w:type="dxa"/>
            <w:vAlign w:val="bottom"/>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7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7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
        </w:trPr>
        <w:tc>
          <w:tcPr>
            <w:tcW w:w="768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r>
      <w:tr>
        <w:trPr>
          <w:trHeight w:val="244"/>
        </w:trPr>
        <w:tc>
          <w:tcPr>
            <w:tcW w:w="7680" w:type="dxa"/>
            <w:vAlign w:val="bottom"/>
          </w:tcPr>
          <w:p>
            <w:pPr>
              <w:spacing w:after="0"/>
              <w:rPr>
                <w:sz w:val="21"/>
                <w:szCs w:val="21"/>
                <w:color w:val="auto"/>
              </w:rPr>
            </w:pPr>
          </w:p>
        </w:tc>
        <w:tc>
          <w:tcPr>
            <w:tcW w:w="3120" w:type="dxa"/>
            <w:vAlign w:val="bottom"/>
            <w:gridSpan w:val="5"/>
          </w:tcPr>
          <w:p>
            <w:pPr>
              <w:jc w:val="right"/>
              <w:ind w:right="454"/>
              <w:spacing w:after="0"/>
              <w:rPr>
                <w:sz w:val="20"/>
                <w:szCs w:val="20"/>
                <w:color w:val="auto"/>
              </w:rPr>
            </w:pPr>
            <w:r>
              <w:rPr>
                <w:rFonts w:ascii="Arial" w:cs="Arial" w:eastAsia="Arial" w:hAnsi="Arial"/>
                <w:sz w:val="14"/>
                <w:szCs w:val="14"/>
                <w:b w:val="1"/>
                <w:bCs w:val="1"/>
                <w:color w:val="auto"/>
              </w:rPr>
              <w:t>(unaudited, dollars in thousands)</w:t>
            </w: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(8,049)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(11,721)</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7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9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Free cash flow</w:t>
            </w:r>
          </w:p>
        </w:tc>
        <w:tc>
          <w:tcPr>
            <w:tcW w:w="920" w:type="dxa"/>
            <w:vAlign w:val="bottom"/>
            <w:tcBorders>
              <w:top w:val="single" w:sz="8" w:color="auto"/>
            </w:tcBorders>
          </w:tcPr>
          <w:p>
            <w:pPr>
              <w:jc w:val="right"/>
              <w:ind w:right="721"/>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(8,416)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(12,433)</w:t>
            </w:r>
          </w:p>
        </w:tc>
      </w:tr>
      <w:tr>
        <w:trPr>
          <w:trHeight w:val="41"/>
        </w:trPr>
        <w:tc>
          <w:tcPr>
            <w:tcW w:w="7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7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71" w:lineRule="exact"/>
        <w:rPr>
          <w:sz w:val="20"/>
          <w:szCs w:val="20"/>
          <w:color w:val="auto"/>
        </w:rPr>
      </w:pPr>
    </w:p>
    <w:p>
      <w:pPr>
        <w:ind w:right="60" w:firstLine="486"/>
        <w:spacing w:after="0" w:line="219" w:lineRule="exact"/>
        <w:rPr>
          <w:sz w:val="20"/>
          <w:szCs w:val="20"/>
          <w:color w:val="auto"/>
        </w:rPr>
      </w:pPr>
      <w:r>
        <w:rPr>
          <w:rFonts w:ascii="Arial" w:cs="Arial" w:eastAsia="Arial" w:hAnsi="Arial"/>
          <w:sz w:val="18"/>
          <w:szCs w:val="18"/>
          <w:color w:val="auto"/>
        </w:rPr>
        <w:t>Cash used in operating activities during the three months ended April 30, 2018 was $8.0 million primarily driven by our net loss of $29.2 million and was partially offset by non</w:t>
      </w:r>
      <w:r>
        <w:rPr>
          <w:rFonts w:ascii="MS PGothic" w:cs="MS PGothic" w:eastAsia="MS PGothic" w:hAnsi="MS PGothic"/>
          <w:sz w:val="18"/>
          <w:szCs w:val="18"/>
          <w:color w:val="auto"/>
        </w:rPr>
        <w:t>‑</w:t>
      </w:r>
      <w:r>
        <w:rPr>
          <w:rFonts w:ascii="Arial" w:cs="Arial" w:eastAsia="Arial" w:hAnsi="Arial"/>
          <w:sz w:val="18"/>
          <w:szCs w:val="18"/>
          <w:color w:val="auto"/>
        </w:rPr>
        <w:t>cash charges of $7.5 million for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 $0.8 million for depreciation and amortization. In addition, our accounts receivable decreased $14.3 million due to cash collections and our deferred revenue increased $4.5 million resulting from the overall growth of our sales and our expanding customer base. The cash inflows from our accounts receivable and deferred revenue were partially offset by an increase of $3.2 million in prepaid expenses and other current assets and a decrease of $2.0 million in accrued liabilities, primarily from the payment of bonuses and commissions that had been accrued as of January 31, 2018.</w:t>
      </w:r>
    </w:p>
    <w:p>
      <w:pPr>
        <w:spacing w:after="0" w:line="149"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Cash used in operating activities during the three months ended April 30, 2017 was $11.7 million primarily driven by our net loss of $19.7 million and was partially offset by non</w:t>
      </w:r>
      <w:r>
        <w:rPr>
          <w:rFonts w:ascii="MS PGothic" w:cs="MS PGothic" w:eastAsia="MS PGothic" w:hAnsi="MS PGothic"/>
          <w:sz w:val="16"/>
          <w:szCs w:val="16"/>
          <w:color w:val="auto"/>
        </w:rPr>
        <w:t>‑</w:t>
      </w:r>
      <w:r>
        <w:rPr>
          <w:rFonts w:ascii="Arial" w:cs="Arial" w:eastAsia="Arial" w:hAnsi="Arial"/>
          <w:sz w:val="16"/>
          <w:szCs w:val="16"/>
          <w:color w:val="auto"/>
        </w:rPr>
        <w:t>cash charges of $4.5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$0.9 million for depreciation and amortization. In addition, our accounts receivable decreased $4.8 million due to cash collections and our deferred revenue increased $2.7 million resulting from the overall growth of our sales and our expanding customer base. Our accounts payable increased $1.2 million. The cash inflows from our accounts receivable, deferred revenue and accounts payable were partially offset by a decrease of $3.0 million in accrued liabilities, primarily from the payment of bonuses and commissions that had been accrued as of January 31, 2017, as well as an increase of $3.0 million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34" w:right="3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Cash provided by investing activities during the three months ended April 30, 2018 of $57.6 million resulted primarily from the maturities of marketable securities.</w:t>
      </w:r>
    </w:p>
    <w:p>
      <w:pPr>
        <w:spacing w:after="0" w:line="11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Cash used in investing activities during the three months ended April 30, 2017 of $18.1 million resulted primarily from purchases of marketable securities, net of maturities.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Cash provided by financing activities during the three months ended April 30, 2018 was $0.1 million primarily due to the proceeds from the exercise of stock options partially offset by the repurchase of early exercised stock options.</w:t>
      </w:r>
    </w:p>
    <w:p>
      <w:pPr>
        <w:spacing w:after="0" w:line="11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Cash provided by financing activities during the three months ended April 30, 2017 was $4.6 million primarily due to proceeds from the exercise of 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in the past and expect in the future to experience fluctuations in our revenue and sales across periods. Our recent growth and the ratable nature of our subscription revenue make these periodic fluctuations less apparent in our overall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75" w:lineRule="exact"/>
        <w:rPr>
          <w:sz w:val="20"/>
          <w:szCs w:val="20"/>
          <w:color w:val="auto"/>
        </w:rPr>
      </w:pPr>
    </w:p>
    <w:p>
      <w:pPr>
        <w:ind w:right="20" w:firstLine="486"/>
        <w:spacing w:after="0" w:line="223" w:lineRule="exact"/>
        <w:rPr>
          <w:sz w:val="20"/>
          <w:szCs w:val="20"/>
          <w:color w:val="auto"/>
        </w:rPr>
      </w:pPr>
      <w:r>
        <w:rPr>
          <w:rFonts w:ascii="Arial" w:cs="Arial" w:eastAsia="Arial" w:hAnsi="Arial"/>
          <w:sz w:val="18"/>
          <w:szCs w:val="18"/>
          <w:color w:val="auto"/>
        </w:rPr>
        <w:t>As of April 30, 2018, we did not have any relationships with any entities or financial partnerships, such as structured finance or special purpose entities that would have been established for the purpose of facilitating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or other purposes.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right="720" w:firstLine="486"/>
        <w:spacing w:after="0" w:line="286" w:lineRule="auto"/>
        <w:rPr>
          <w:sz w:val="20"/>
          <w:szCs w:val="20"/>
          <w:color w:val="auto"/>
        </w:rPr>
      </w:pPr>
      <w:r>
        <w:rPr>
          <w:rFonts w:ascii="Arial" w:cs="Arial" w:eastAsia="Arial" w:hAnsi="Arial"/>
          <w:sz w:val="17"/>
          <w:szCs w:val="17"/>
          <w:color w:val="auto"/>
        </w:rPr>
        <w:t xml:space="preserve">During the three months ended April 30, 2018, there have been no material changes outside the ordinary course of business to our contractual obligations and commitments from those disclosed in our 2018 Form 10-K. See Note 4,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our Notes to Unaudited Condensed Consolidated Financial Statements included in Part I, Item 1 of this Quarterly Report on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There have been no material changes in our critical accounting policies from those disclosed in Part II, Item 7, “Management’s Discussion and Analysis of Financial Condition and Results of Operations” of the 2018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our Notes to Unaudited Condensed Consolidated Financial Statements included in Part I, Item 1 of this Quarterly Report on Form 10-Q for a discussion of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an “emerging growth company,” Jumpstart Our Business Startups Act of 2012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public companies who are required to comply with the effective dates for new or revised accounting standards, which may make comparison of our financial statements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have been no material changes to our market risk during the three months ended April 30, 2018. For a discussion of our exposure to market risk, refer to our market risk disclosures set forth in Part II, Item 7A, “Quantitative and Qualitative Disclosures About Market Risk” of the 2018 Form 10-K.</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9"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April 30, 2018. Based on the evaluation of our disclosure controls and procedures as of April 30, 2018, our Chief Executive Officer and Chief Financial Officer concluded that, as of such date, our disclosure controls and procedures were effective at the reasonable assurance level.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34"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PART II—OTHER INFORMATION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You should carefully consider the risks described in Part I, Item 1A, “Risk Factors” in the 2018 Form 10-K. These risks and uncertainties are not the only ones we face. Additional risks and uncertainties that we are unaware of, or that we currently believe are not material, also may become important factors that affect us. If any such risks materialize, our business, financial condition and results of operations could be materially harmed and the trading price of our Class A common stock could decline. There have been no material changes to the risk factors described in the 2018 Form 10-K.</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75" w:lineRule="exact"/>
        <w:rPr>
          <w:sz w:val="20"/>
          <w:szCs w:val="20"/>
          <w:color w:val="auto"/>
        </w:rPr>
      </w:pPr>
    </w:p>
    <w:p>
      <w:pPr>
        <w:ind w:left="500" w:right="7360" w:hanging="492"/>
        <w:spacing w:after="0" w:line="438"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On October 18, 2017, our registration statement on Form S-1 (File No. 333-220557) for our initial public offering (“IPO”) was declared effective by the SEC. The net proceeds to us from our IPO, after deducting underwriting discounts and commission of $15.5 million and offering expenses of $3.9 million, were $201.6 million. There has been no material change in the planned use of proceeds from our IPO from those disclosed in the final prospectus for our IPO dated as of October 18, 2017 and filed with the SEC pursuant to Rule 424(b)(4) on October 19, 2017.</w:t>
      </w:r>
    </w:p>
    <w:p>
      <w:pPr>
        <w:spacing w:after="0" w:line="11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information with respect to repurchases of shares of our Class A common stock during the three months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CCEEFF"/>
            </w:tcBorders>
          </w:tcPr>
          <w:p>
            <w:pPr>
              <w:spacing w:after="0"/>
              <w:rPr>
                <w:sz w:val="24"/>
                <w:szCs w:val="24"/>
                <w:color w:val="auto"/>
              </w:rPr>
            </w:pPr>
          </w:p>
        </w:tc>
        <w:tc>
          <w:tcPr>
            <w:tcW w:w="3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Total number of shares purchased</w:t>
            </w:r>
            <w:r>
              <w:rPr>
                <w:rFonts w:ascii="Arial" w:cs="Arial" w:eastAsia="Arial" w:hAnsi="Arial"/>
                <w:sz w:val="25"/>
                <w:szCs w:val="25"/>
                <w:color w:val="auto"/>
                <w:w w:val="94"/>
                <w:vertAlign w:val="superscript"/>
              </w:rPr>
              <w:t>(1)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6"/>
              </w:rPr>
              <w:t>Average price paid per share</w:t>
            </w: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 to February 28, 2018</w:t>
            </w:r>
          </w:p>
        </w:tc>
        <w:tc>
          <w:tcPr>
            <w:tcW w:w="3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March 1 to March 31, 2018</w:t>
            </w:r>
          </w:p>
        </w:tc>
        <w:tc>
          <w:tcPr>
            <w:tcW w:w="3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90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April 1 to April 30, 2018</w:t>
            </w:r>
          </w:p>
        </w:tc>
        <w:tc>
          <w:tcPr>
            <w:tcW w:w="3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4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jc w:val="both"/>
        <w:ind w:left="280" w:right="360" w:hanging="245"/>
        <w:spacing w:after="0" w:line="297" w:lineRule="auto"/>
        <w:tabs>
          <w:tab w:leader="none" w:pos="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certain stock option grant agreements between us and our employees, in the event an employee’s service with us terminates, we have the right to repurchase shares of Class A common stock that were acquired by such employee pursuant to the exercise of stock options that have not yet vested as of such employee’s termination date. Pursuant to these agreements, we may repurchase all or any unvested shares at the lower of (i) the fair market value of such shares (as determined under our 2016 Amended and Restated Equity Incentive Plan) on the date of repurchase, or (ii) the price equal to the employee’s exercise price for such shares. The shares set forth above were repurchased pursuant to this right of repurchase.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4"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134" w:right="1440"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20" w:type="dxa"/>
            <w:vAlign w:val="bottom"/>
            <w:gridSpan w:val="3"/>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2"/>
                <w:szCs w:val="12"/>
                <w:color w:val="auto"/>
              </w:rPr>
            </w:pPr>
          </w:p>
        </w:tc>
        <w:tc>
          <w:tcPr>
            <w:tcW w:w="534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240" w:type="dxa"/>
            <w:vAlign w:val="bottom"/>
          </w:tcPr>
          <w:p>
            <w:pPr>
              <w:ind w:left="180"/>
              <w:spacing w:after="0" w:line="147" w:lineRule="exact"/>
              <w:rPr>
                <w:sz w:val="20"/>
                <w:szCs w:val="20"/>
                <w:color w:val="auto"/>
              </w:rPr>
            </w:pPr>
            <w:r>
              <w:rPr>
                <w:rFonts w:ascii="Arial" w:cs="Arial" w:eastAsia="Arial" w:hAnsi="Arial"/>
                <w:sz w:val="14"/>
                <w:szCs w:val="14"/>
                <w:b w:val="1"/>
                <w:bCs w:val="1"/>
                <w:color w:val="auto"/>
              </w:rPr>
              <w:t>File No.</w:t>
            </w:r>
          </w:p>
        </w:tc>
        <w:tc>
          <w:tcPr>
            <w:tcW w:w="760" w:type="dxa"/>
            <w:vAlign w:val="bottom"/>
          </w:tcPr>
          <w:p>
            <w:pPr>
              <w:jc w:val="right"/>
              <w:ind w:right="14"/>
              <w:spacing w:after="0" w:line="147" w:lineRule="exact"/>
              <w:rPr>
                <w:sz w:val="20"/>
                <w:szCs w:val="20"/>
                <w:color w:val="auto"/>
              </w:rPr>
            </w:pPr>
            <w:r>
              <w:rPr>
                <w:rFonts w:ascii="Arial" w:cs="Arial" w:eastAsia="Arial" w:hAnsi="Arial"/>
                <w:sz w:val="14"/>
                <w:szCs w:val="14"/>
                <w:b w:val="1"/>
                <w:bCs w:val="1"/>
                <w:color w:val="auto"/>
              </w:rPr>
              <w:t>Exhibit</w:t>
            </w:r>
          </w:p>
        </w:tc>
        <w:tc>
          <w:tcPr>
            <w:tcW w:w="132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5340" w:type="dxa"/>
            <w:vAlign w:val="bottom"/>
            <w:gridSpan w:val="16"/>
            <w:vMerge w:val="continue"/>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gridSpan w:val="16"/>
          </w:tcPr>
          <w:p>
            <w:pPr>
              <w:spacing w:after="0"/>
              <w:rPr>
                <w:rFonts w:ascii="Arial" w:cs="Arial" w:eastAsia="Arial" w:hAnsi="Arial"/>
                <w:sz w:val="18"/>
                <w:szCs w:val="18"/>
                <w:color w:val="0000FF"/>
              </w:rPr>
            </w:pPr>
            <w:hyperlink r:id="rId14">
              <w:r>
                <w:rPr>
                  <w:rFonts w:ascii="Arial" w:cs="Arial" w:eastAsia="Arial" w:hAnsi="Arial"/>
                  <w:sz w:val="18"/>
                  <w:szCs w:val="18"/>
                  <w:color w:val="0000FF"/>
                </w:rPr>
                <w:t>Amended and Restated Certificate of Incorporation of Registrant</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001-38240</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1320" w:type="dxa"/>
            <w:vAlign w:val="bottom"/>
          </w:tcPr>
          <w:p>
            <w:pPr>
              <w:ind w:left="120"/>
              <w:spacing w:after="0"/>
              <w:rPr>
                <w:sz w:val="20"/>
                <w:szCs w:val="20"/>
                <w:color w:val="auto"/>
              </w:rPr>
            </w:pPr>
            <w:r>
              <w:rPr>
                <w:rFonts w:ascii="Arial" w:cs="Arial" w:eastAsia="Arial" w:hAnsi="Arial"/>
                <w:sz w:val="18"/>
                <w:szCs w:val="18"/>
                <w:color w:val="auto"/>
              </w:rPr>
              <w:t>10/25/2017</w:t>
            </w:r>
          </w:p>
        </w:tc>
        <w:tc>
          <w:tcPr>
            <w:tcW w:w="0" w:type="dxa"/>
            <w:vAlign w:val="bottom"/>
          </w:tcPr>
          <w:p>
            <w:pPr>
              <w:spacing w:after="0"/>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tcBorders>
              <w:top w:val="single" w:sz="8" w:color="0000FF"/>
            </w:tcBorders>
            <w:gridSpan w:val="6"/>
          </w:tcPr>
          <w:p>
            <w:pPr>
              <w:spacing w:after="0"/>
              <w:rPr>
                <w:rFonts w:ascii="Arial" w:cs="Arial" w:eastAsia="Arial" w:hAnsi="Arial"/>
                <w:sz w:val="18"/>
                <w:szCs w:val="18"/>
                <w:color w:val="0000FF"/>
              </w:rPr>
            </w:pPr>
            <w:hyperlink r:id="rId15">
              <w:r>
                <w:rPr>
                  <w:rFonts w:ascii="Arial" w:cs="Arial" w:eastAsia="Arial" w:hAnsi="Arial"/>
                  <w:sz w:val="18"/>
                  <w:szCs w:val="18"/>
                  <w:color w:val="0000FF"/>
                </w:rPr>
                <w:t>Amended and Restated Bylaws of Registrant</w:t>
              </w:r>
            </w:hyperlink>
          </w:p>
        </w:tc>
        <w:tc>
          <w:tcPr>
            <w:tcW w:w="680" w:type="dxa"/>
            <w:vAlign w:val="bottom"/>
            <w:gridSpan w:val="10"/>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ind w:left="180"/>
              <w:spacing w:after="0"/>
              <w:rPr>
                <w:sz w:val="20"/>
                <w:szCs w:val="20"/>
                <w:color w:val="auto"/>
              </w:rPr>
            </w:pPr>
            <w:r>
              <w:rPr>
                <w:rFonts w:ascii="Arial" w:cs="Arial" w:eastAsia="Arial" w:hAnsi="Arial"/>
                <w:sz w:val="18"/>
                <w:szCs w:val="18"/>
                <w:color w:val="auto"/>
              </w:rPr>
              <w:t>333-220557</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3.4</w:t>
            </w:r>
          </w:p>
        </w:tc>
        <w:tc>
          <w:tcPr>
            <w:tcW w:w="1320" w:type="dxa"/>
            <w:vAlign w:val="bottom"/>
          </w:tcPr>
          <w:p>
            <w:pPr>
              <w:ind w:left="120"/>
              <w:spacing w:after="0"/>
              <w:rPr>
                <w:sz w:val="20"/>
                <w:szCs w:val="20"/>
                <w:color w:val="auto"/>
              </w:rPr>
            </w:pPr>
            <w:r>
              <w:rPr>
                <w:rFonts w:ascii="Arial" w:cs="Arial" w:eastAsia="Arial" w:hAnsi="Arial"/>
                <w:sz w:val="18"/>
                <w:szCs w:val="18"/>
                <w:color w:val="auto"/>
              </w:rPr>
              <w:t>9/21/2017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Borders>
              <w:bottom w:val="single" w:sz="8" w:color="0000FF"/>
            </w:tcBorders>
            <w:gridSpan w:val="4"/>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Class A common stock certificate of Registrant</w:t>
              </w:r>
            </w:hyperlink>
          </w:p>
        </w:tc>
        <w:tc>
          <w:tcPr>
            <w:tcW w:w="1300" w:type="dxa"/>
            <w:vAlign w:val="bottom"/>
            <w:gridSpan w:val="12"/>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ind w:left="180"/>
              <w:spacing w:after="0"/>
              <w:rPr>
                <w:sz w:val="20"/>
                <w:szCs w:val="20"/>
                <w:color w:val="auto"/>
              </w:rPr>
            </w:pPr>
            <w:r>
              <w:rPr>
                <w:rFonts w:ascii="Arial" w:cs="Arial" w:eastAsia="Arial" w:hAnsi="Arial"/>
                <w:sz w:val="18"/>
                <w:szCs w:val="18"/>
                <w:color w:val="auto"/>
              </w:rPr>
              <w:t>333-220557</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320" w:type="dxa"/>
            <w:vAlign w:val="bottom"/>
          </w:tcPr>
          <w:p>
            <w:pPr>
              <w:ind w:left="120"/>
              <w:spacing w:after="0"/>
              <w:rPr>
                <w:sz w:val="20"/>
                <w:szCs w:val="20"/>
                <w:color w:val="auto"/>
              </w:rPr>
            </w:pPr>
            <w:r>
              <w:rPr>
                <w:rFonts w:ascii="Arial" w:cs="Arial" w:eastAsia="Arial" w:hAnsi="Arial"/>
                <w:sz w:val="18"/>
                <w:szCs w:val="18"/>
                <w:color w:val="auto"/>
              </w:rPr>
              <w:t>10/6/2017</w:t>
            </w: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tcBorders>
              <w:bottom w:val="single" w:sz="8" w:color="0000FF"/>
            </w:tcBorders>
            <w:gridSpan w:val="8"/>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Fifth Amended and Restated Investors’ Rights Agreement by and</w:t>
              </w:r>
            </w:hyperlink>
          </w:p>
        </w:tc>
        <w:tc>
          <w:tcPr>
            <w:tcW w:w="620" w:type="dxa"/>
            <w:vAlign w:val="bottom"/>
            <w:gridSpan w:val="8"/>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S-1</w:t>
            </w:r>
          </w:p>
        </w:tc>
        <w:tc>
          <w:tcPr>
            <w:tcW w:w="1240" w:type="dxa"/>
            <w:vAlign w:val="bottom"/>
          </w:tcPr>
          <w:p>
            <w:pPr>
              <w:ind w:left="180"/>
              <w:spacing w:after="0"/>
              <w:rPr>
                <w:sz w:val="20"/>
                <w:szCs w:val="20"/>
                <w:color w:val="auto"/>
              </w:rPr>
            </w:pPr>
            <w:r>
              <w:rPr>
                <w:rFonts w:ascii="Arial" w:cs="Arial" w:eastAsia="Arial" w:hAnsi="Arial"/>
                <w:sz w:val="18"/>
                <w:szCs w:val="18"/>
                <w:color w:val="auto"/>
              </w:rPr>
              <w:t>333-220557</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1320" w:type="dxa"/>
            <w:vAlign w:val="bottom"/>
          </w:tcPr>
          <w:p>
            <w:pPr>
              <w:ind w:left="120"/>
              <w:spacing w:after="0"/>
              <w:rPr>
                <w:sz w:val="20"/>
                <w:szCs w:val="20"/>
                <w:color w:val="auto"/>
              </w:rPr>
            </w:pPr>
            <w:r>
              <w:rPr>
                <w:rFonts w:ascii="Arial" w:cs="Arial" w:eastAsia="Arial" w:hAnsi="Arial"/>
                <w:sz w:val="18"/>
                <w:szCs w:val="18"/>
                <w:color w:val="auto"/>
              </w:rPr>
              <w:t>9/21/2017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gridSpan w:val="16"/>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among the Registrant and certain of its stockholders, dated October 2,</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r:id="rId17">
              <w:r>
                <w:rPr>
                  <w:rFonts w:ascii="Arial" w:cs="Arial" w:eastAsia="Arial" w:hAnsi="Arial"/>
                  <w:sz w:val="18"/>
                  <w:szCs w:val="18"/>
                  <w:color w:val="0000FF"/>
                  <w:w w:val="84"/>
                </w:rPr>
                <w:t>2013</w:t>
              </w:r>
            </w:hyperlink>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Certification of Principal Executive Officer Pursuant to Rules 13a-14(a)</w:t>
              </w:r>
            </w:hyperlink>
          </w:p>
        </w:tc>
        <w:tc>
          <w:tcPr>
            <w:tcW w:w="1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gridSpan w:val="16"/>
          </w:tcPr>
          <w:p>
            <w:pPr>
              <w:spacing w:after="0" w:line="196" w:lineRule="exact"/>
              <w:rPr>
                <w:rFonts w:ascii="Arial" w:cs="Arial" w:eastAsia="Arial" w:hAnsi="Arial"/>
                <w:sz w:val="18"/>
                <w:szCs w:val="18"/>
                <w:color w:val="0000FF"/>
                <w:w w:val="94"/>
              </w:rPr>
            </w:pPr>
            <w:hyperlink w:anchor="page29">
              <w:r>
                <w:rPr>
                  <w:rFonts w:ascii="Arial" w:cs="Arial" w:eastAsia="Arial" w:hAnsi="Arial"/>
                  <w:sz w:val="18"/>
                  <w:szCs w:val="18"/>
                  <w:color w:val="0000FF"/>
                  <w:w w:val="94"/>
                </w:rPr>
                <w:t>and 15d-14(a) under the Securities Exchange Act of 1934, as Adopted</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Pursuant to Section 302 of the Sarbanes-Oxley Act of 2002.</w:t>
              </w:r>
            </w:hyperlink>
          </w:p>
        </w:tc>
        <w:tc>
          <w:tcPr>
            <w:tcW w:w="720" w:type="dxa"/>
            <w:vAlign w:val="bottom"/>
            <w:tcBorders>
              <w:top w:val="single" w:sz="8" w:color="0000FF"/>
            </w:tcBorders>
            <w:gridSpan w:val="7"/>
          </w:tcPr>
          <w:p>
            <w:pPr>
              <w:spacing w:after="0"/>
              <w:rPr>
                <w:sz w:val="17"/>
                <w:szCs w:val="17"/>
                <w:color w:val="auto"/>
              </w:rPr>
            </w:pPr>
          </w:p>
        </w:tc>
        <w:tc>
          <w:tcPr>
            <w:tcW w:w="3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Principal Financial Officer Pursuant to Rules 13a-14(a)</w:t>
              </w:r>
            </w:hyperlink>
          </w:p>
        </w:tc>
        <w:tc>
          <w:tcPr>
            <w:tcW w:w="2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gridSpan w:val="16"/>
          </w:tcPr>
          <w:p>
            <w:pPr>
              <w:spacing w:after="0" w:line="196" w:lineRule="exact"/>
              <w:rPr>
                <w:rFonts w:ascii="Arial" w:cs="Arial" w:eastAsia="Arial" w:hAnsi="Arial"/>
                <w:sz w:val="18"/>
                <w:szCs w:val="18"/>
                <w:color w:val="0000FF"/>
                <w:w w:val="94"/>
              </w:rPr>
            </w:pPr>
            <w:hyperlink w:anchor="page30">
              <w:r>
                <w:rPr>
                  <w:rFonts w:ascii="Arial" w:cs="Arial" w:eastAsia="Arial" w:hAnsi="Arial"/>
                  <w:sz w:val="18"/>
                  <w:szCs w:val="18"/>
                  <w:color w:val="0000FF"/>
                  <w:w w:val="94"/>
                </w:rPr>
                <w:t>and 15d-14(a) under the Securities Exchange Act of 1934, as Adopted</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30">
              <w:r>
                <w:rPr>
                  <w:rFonts w:ascii="Arial" w:cs="Arial" w:eastAsia="Arial" w:hAnsi="Arial"/>
                  <w:sz w:val="18"/>
                  <w:szCs w:val="18"/>
                  <w:color w:val="0000FF"/>
                  <w:w w:val="90"/>
                </w:rPr>
                <w:t>Pursuant to Section 302 of the Sarbanes-Oxley Act of 2002.</w:t>
              </w:r>
            </w:hyperlink>
          </w:p>
        </w:tc>
        <w:tc>
          <w:tcPr>
            <w:tcW w:w="720" w:type="dxa"/>
            <w:vAlign w:val="bottom"/>
            <w:tcBorders>
              <w:top w:val="single" w:sz="8" w:color="0000FF"/>
            </w:tcBorders>
            <w:gridSpan w:val="7"/>
          </w:tcPr>
          <w:p>
            <w:pPr>
              <w:spacing w:after="0"/>
              <w:rPr>
                <w:sz w:val="17"/>
                <w:szCs w:val="17"/>
                <w:color w:val="auto"/>
              </w:rPr>
            </w:pPr>
          </w:p>
        </w:tc>
        <w:tc>
          <w:tcPr>
            <w:tcW w:w="3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Certification of Principal Executive Officer Pursuant to 18 U.S.C.</w:t>
              </w:r>
            </w:hyperlink>
          </w:p>
        </w:tc>
        <w:tc>
          <w:tcPr>
            <w:tcW w:w="60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w:anchor="page31">
              <w:r>
                <w:rPr>
                  <w:rFonts w:ascii="Arial" w:cs="Arial" w:eastAsia="Arial" w:hAnsi="Arial"/>
                  <w:sz w:val="18"/>
                  <w:szCs w:val="18"/>
                  <w:color w:val="0000FF"/>
                  <w:w w:val="88"/>
                </w:rPr>
                <w:t>Section 1350, as Adopted Pursuant to Section 906 of the Sarbanes-</w:t>
              </w:r>
            </w:hyperlink>
          </w:p>
        </w:tc>
        <w:tc>
          <w:tcPr>
            <w:tcW w:w="5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gridSpan w:val="16"/>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Oxley Act of 2002.</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gridSpan w:val="1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Certification of Principal Financial Officer Pursuant to 18 U.S.C.</w:t>
              </w:r>
            </w:hyperlink>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w:anchor="page32">
              <w:r>
                <w:rPr>
                  <w:rFonts w:ascii="Arial" w:cs="Arial" w:eastAsia="Arial" w:hAnsi="Arial"/>
                  <w:sz w:val="18"/>
                  <w:szCs w:val="18"/>
                  <w:color w:val="0000FF"/>
                  <w:w w:val="88"/>
                </w:rPr>
                <w:t>Section 1350, as Adopted Pursuant to Section 906 of the Sarbanes-</w:t>
              </w:r>
            </w:hyperlink>
          </w:p>
        </w:tc>
        <w:tc>
          <w:tcPr>
            <w:tcW w:w="5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40" w:type="dxa"/>
            <w:vAlign w:val="bottom"/>
            <w:gridSpan w:val="16"/>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Oxley Act of 2002.</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96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303530</wp:posOffset>
            </wp:positionV>
            <wp:extent cx="574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72390</wp:posOffset>
            </wp:positionV>
            <wp:extent cx="574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005" w:lineRule="exact"/>
        <w:rPr>
          <w:sz w:val="20"/>
          <w:szCs w:val="20"/>
          <w:color w:val="auto"/>
        </w:rPr>
      </w:pPr>
    </w:p>
    <w:p>
      <w:pPr>
        <w:sectPr>
          <w:pgSz w:w="11900" w:h="16838" w:orient="portrait"/>
          <w:cols w:equalWidth="0" w:num="2">
            <w:col w:w="10400" w:space="280"/>
            <w:col w:w="640"/>
          </w:cols>
          <w:pgMar w:left="240" w:top="134" w:right="339" w:bottom="1440" w:gutter="0" w:footer="0" w:header="0"/>
        </w:sectPr>
      </w:pPr>
    </w:p>
    <w:p>
      <w:pPr>
        <w:spacing w:after="0" w:line="164" w:lineRule="exact"/>
        <w:rPr>
          <w:sz w:val="20"/>
          <w:szCs w:val="20"/>
          <w:color w:val="auto"/>
        </w:rPr>
      </w:pPr>
    </w:p>
    <w:p>
      <w:pPr>
        <w:jc w:val="both"/>
        <w:ind w:left="1180" w:hanging="704"/>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134"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SIGNATURES</w:t>
      </w:r>
    </w:p>
    <w:p>
      <w:pPr>
        <w:spacing w:after="0" w:line="38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Date: June 7, 2018</w:t>
            </w:r>
          </w:p>
        </w:tc>
        <w:tc>
          <w:tcPr>
            <w:tcW w:w="2700" w:type="dxa"/>
            <w:vAlign w:val="bottom"/>
            <w:gridSpan w:val="2"/>
          </w:tcPr>
          <w:p>
            <w:pPr>
              <w:ind w:left="1700"/>
              <w:spacing w:after="0"/>
              <w:rPr>
                <w:sz w:val="20"/>
                <w:szCs w:val="20"/>
                <w:color w:val="auto"/>
              </w:rPr>
            </w:pPr>
            <w:r>
              <w:rPr>
                <w:rFonts w:ascii="Arial" w:cs="Arial" w:eastAsia="Arial" w:hAnsi="Arial"/>
                <w:sz w:val="18"/>
                <w:szCs w:val="18"/>
                <w:color w:val="auto"/>
              </w:rPr>
              <w:t>By:</w:t>
            </w:r>
          </w:p>
        </w:tc>
        <w:tc>
          <w:tcPr>
            <w:tcW w:w="3300" w:type="dxa"/>
            <w:vAlign w:val="bottom"/>
          </w:tcPr>
          <w:p>
            <w:pPr>
              <w:ind w:left="60"/>
              <w:spacing w:after="0"/>
              <w:rPr>
                <w:sz w:val="20"/>
                <w:szCs w:val="20"/>
                <w:color w:val="auto"/>
              </w:rPr>
            </w:pPr>
            <w:r>
              <w:rPr>
                <w:rFonts w:ascii="Arial" w:cs="Arial" w:eastAsia="Arial" w:hAnsi="Arial"/>
                <w:sz w:val="18"/>
                <w:szCs w:val="18"/>
                <w:color w:val="auto"/>
              </w:rPr>
              <w:t>/s/ Dev Ittycheria</w:t>
            </w:r>
          </w:p>
        </w:tc>
      </w:tr>
      <w:tr>
        <w:trPr>
          <w:trHeight w:val="27"/>
        </w:trPr>
        <w:tc>
          <w:tcPr>
            <w:tcW w:w="3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w w:val="98"/>
              </w:rPr>
              <w:t>Name:</w:t>
            </w:r>
          </w:p>
        </w:tc>
        <w:tc>
          <w:tcPr>
            <w:tcW w:w="3300" w:type="dxa"/>
            <w:vAlign w:val="bottom"/>
          </w:tcPr>
          <w:p>
            <w:pPr>
              <w:ind w:left="60"/>
              <w:spacing w:after="0"/>
              <w:rPr>
                <w:sz w:val="20"/>
                <w:szCs w:val="20"/>
                <w:color w:val="auto"/>
              </w:rPr>
            </w:pPr>
            <w:r>
              <w:rPr>
                <w:rFonts w:ascii="Arial" w:cs="Arial" w:eastAsia="Arial" w:hAnsi="Arial"/>
                <w:sz w:val="18"/>
                <w:szCs w:val="18"/>
                <w:color w:val="auto"/>
              </w:rPr>
              <w:t>Dev Ittycheria</w:t>
            </w:r>
          </w:p>
        </w:tc>
      </w:tr>
      <w:tr>
        <w:trPr>
          <w:trHeight w:val="270"/>
        </w:trPr>
        <w:tc>
          <w:tcPr>
            <w:tcW w:w="3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330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30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3300" w:type="dxa"/>
            <w:vAlign w:val="bottom"/>
          </w:tcPr>
          <w:p>
            <w:pPr>
              <w:ind w:left="60"/>
              <w:spacing w:after="0"/>
              <w:rPr>
                <w:sz w:val="20"/>
                <w:szCs w:val="20"/>
                <w:color w:val="auto"/>
              </w:rPr>
            </w:pPr>
            <w:r>
              <w:rPr>
                <w:rFonts w:ascii="Arial" w:cs="Arial" w:eastAsia="Arial" w:hAnsi="Arial"/>
                <w:sz w:val="18"/>
                <w:szCs w:val="18"/>
                <w:color w:val="auto"/>
              </w:rPr>
              <w:t>/s/ Michael Gordon</w:t>
            </w:r>
          </w:p>
        </w:tc>
      </w:tr>
      <w:tr>
        <w:trPr>
          <w:trHeight w:val="27"/>
        </w:trPr>
        <w:tc>
          <w:tcPr>
            <w:tcW w:w="4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w w:val="98"/>
              </w:rPr>
              <w:t>Name:</w:t>
            </w:r>
          </w:p>
        </w:tc>
        <w:tc>
          <w:tcPr>
            <w:tcW w:w="3300" w:type="dxa"/>
            <w:vAlign w:val="bottom"/>
          </w:tcPr>
          <w:p>
            <w:pPr>
              <w:ind w:left="60"/>
              <w:spacing w:after="0"/>
              <w:rPr>
                <w:sz w:val="20"/>
                <w:szCs w:val="20"/>
                <w:color w:val="auto"/>
              </w:rPr>
            </w:pPr>
            <w:r>
              <w:rPr>
                <w:rFonts w:ascii="Arial" w:cs="Arial" w:eastAsia="Arial" w:hAnsi="Arial"/>
                <w:sz w:val="18"/>
                <w:szCs w:val="18"/>
                <w:color w:val="auto"/>
              </w:rPr>
              <w:t>Michael Gordon</w:t>
            </w:r>
          </w:p>
        </w:tc>
      </w:tr>
      <w:tr>
        <w:trPr>
          <w:trHeight w:val="270"/>
        </w:trPr>
        <w:tc>
          <w:tcPr>
            <w:tcW w:w="42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330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70"/>
        </w:trPr>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30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240" w:top="134" w:right="9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MongoDB, Inc. (the “registrant”) for the fiscal quarter ended April 30, 2018;</w:t>
      </w:r>
    </w:p>
    <w:p>
      <w:pPr>
        <w:spacing w:after="0" w:line="33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20"/>
        <w:spacing w:after="0"/>
        <w:tabs>
          <w:tab w:leader="none" w:pos="6020" w:val="left"/>
          <w:tab w:leader="none" w:pos="708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31750</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480"/>
        <w:spacing w:after="0"/>
        <w:tabs>
          <w:tab w:leader="none" w:pos="70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MongoDB, Inc. (the “registrant”) for the fiscal quarter ended April 30, 2018;</w:t>
      </w:r>
    </w:p>
    <w:p>
      <w:pPr>
        <w:spacing w:after="0" w:line="33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Quarterly Report on Form 10-Q of MongoDB, Inc. for the fiscal quarter ended April 30, 2018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Quarterly Report on Form 10-Q of MongoDB, Inc. for the fiscal quarter ended April 30, 2018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4" Type="http://schemas.openxmlformats.org/officeDocument/2006/relationships/hyperlink" Target="http://www.sec.gov/Archives/edgar/data/1441816/000110465917063753/a17-24439_1ex3d1.htm" TargetMode="External"/><Relationship Id="rId15" Type="http://schemas.openxmlformats.org/officeDocument/2006/relationships/hyperlink" Target="http://www.sec.gov/Archives/edgar/data/1441816/000104746917006014/a2233365zex-3_4.htm" TargetMode="External"/><Relationship Id="rId16" Type="http://schemas.openxmlformats.org/officeDocument/2006/relationships/hyperlink" Target="http://www.sec.gov/Archives/edgar/data/1441816/000104746917006246/a2233386zex-4_1.htm" TargetMode="External"/><Relationship Id="rId17" Type="http://schemas.openxmlformats.org/officeDocument/2006/relationships/hyperlink" Target="http://www.sec.gov/Archives/edgar/data/1441816/000104746917006014/a2233365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2019-12-28T21:28:34Z</dcterms:created>
  <dcterms:modified xsi:type="dcterms:W3CDTF">2019-12-28T21:28:34Z</dcterms:modified>
</cp:coreProperties>
</file>