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597535</wp:posOffset>
            </wp:positionH>
            <wp:positionV relativeFrom="page">
              <wp:posOffset>574040</wp:posOffset>
            </wp:positionV>
            <wp:extent cx="66833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3375" cy="6985"/>
                    </a:xfrm>
                    <a:prstGeom prst="rect">
                      <a:avLst/>
                    </a:prstGeom>
                    <a:noFill/>
                  </pic:spPr>
                </pic:pic>
              </a:graphicData>
            </a:graphic>
          </wp:anchor>
        </w:drawing>
        <w:drawing>
          <wp:anchor simplePos="0" relativeHeight="251657728" behindDoc="1" locked="0" layoutInCell="0" allowOverlap="1">
            <wp:simplePos x="0" y="0"/>
            <wp:positionH relativeFrom="page">
              <wp:posOffset>597535</wp:posOffset>
            </wp:positionH>
            <wp:positionV relativeFrom="page">
              <wp:posOffset>594360</wp:posOffset>
            </wp:positionV>
            <wp:extent cx="66833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3375" cy="6985"/>
                    </a:xfrm>
                    <a:prstGeom prst="rect">
                      <a:avLst/>
                    </a:prstGeom>
                    <a:noFill/>
                  </pic:spPr>
                </pic:pic>
              </a:graphicData>
            </a:graphic>
          </wp:anchor>
        </w:drawing>
        <w:t>UNITED STATES</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ind w:left="320" w:hanging="315"/>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3" w:lineRule="exact"/>
        <w:rPr>
          <w:rFonts w:ascii="MS PGothic" w:cs="MS PGothic" w:eastAsia="MS PGothic" w:hAnsi="MS PGothic"/>
          <w:sz w:val="17"/>
          <w:szCs w:val="17"/>
          <w:color w:val="auto"/>
        </w:rPr>
      </w:pPr>
    </w:p>
    <w:p>
      <w:pPr>
        <w:ind w:left="4180"/>
        <w:spacing w:after="0"/>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For the quarterly period ended October 31, 2025</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434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8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300" w:type="dxa"/>
            <w:vAlign w:val="bottom"/>
            <w:tcBorders>
              <w:bottom w:val="single" w:sz="8" w:color="auto"/>
            </w:tcBorders>
          </w:tcPr>
          <w:p>
            <w:pPr>
              <w:spacing w:after="0"/>
              <w:rPr>
                <w:sz w:val="13"/>
                <w:szCs w:val="13"/>
                <w:color w:val="auto"/>
              </w:rPr>
            </w:pPr>
          </w:p>
        </w:tc>
      </w:tr>
      <w:tr>
        <w:trPr>
          <w:trHeight w:val="266"/>
        </w:trPr>
        <w:tc>
          <w:tcPr>
            <w:tcW w:w="2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001-38240</w:t>
            </w:r>
          </w:p>
        </w:tc>
      </w:tr>
      <w:tr>
        <w:trPr>
          <w:trHeight w:val="172"/>
        </w:trPr>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___________________</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17" w:lineRule="exact"/>
        <w:rPr>
          <w:sz w:val="24"/>
          <w:szCs w:val="24"/>
          <w:color w:val="auto"/>
        </w:rPr>
      </w:pPr>
    </w:p>
    <w:tbl>
      <w:tblPr>
        <w:tblLayout w:type="fixed"/>
        <w:tblInd w:w="2860" w:type="dxa"/>
        <w:tblCellMar>
          <w:top w:w="0" w:type="dxa"/>
          <w:left w:w="0" w:type="dxa"/>
          <w:bottom w:w="0" w:type="dxa"/>
          <w:right w:w="0" w:type="dxa"/>
        </w:tblCellMar>
      </w:tblPr>
      <w:tr>
        <w:trPr>
          <w:trHeight w:val="178"/>
        </w:trPr>
        <w:tc>
          <w:tcPr>
            <w:tcW w:w="3040" w:type="dxa"/>
            <w:vAlign w:val="bottom"/>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26-1463205</w:t>
            </w:r>
          </w:p>
        </w:tc>
      </w:tr>
      <w:tr>
        <w:trPr>
          <w:trHeight w:val="115"/>
        </w:trPr>
        <w:tc>
          <w:tcPr>
            <w:tcW w:w="3040" w:type="dxa"/>
            <w:vAlign w:val="bottom"/>
          </w:tcPr>
          <w:p>
            <w:pPr>
              <w:jc w:val="center"/>
              <w:ind w:right="1076"/>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020" w:type="dxa"/>
            <w:vAlign w:val="bottom"/>
          </w:tcPr>
          <w:p>
            <w:pPr>
              <w:jc w:val="center"/>
              <w:ind w:left="1058"/>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040" w:type="dxa"/>
            <w:vAlign w:val="bottom"/>
          </w:tcPr>
          <w:p>
            <w:pPr>
              <w:jc w:val="center"/>
              <w:ind w:right="1036"/>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020" w:type="dxa"/>
            <w:vAlign w:val="bottom"/>
          </w:tcPr>
          <w:p>
            <w:pPr>
              <w:jc w:val="center"/>
              <w:ind w:left="107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1633 Broadway, 38th Floor</w:t>
            </w:r>
          </w:p>
        </w:tc>
        <w:tc>
          <w:tcPr>
            <w:tcW w:w="2020" w:type="dxa"/>
            <w:vAlign w:val="bottom"/>
          </w:tcPr>
          <w:p>
            <w:pPr>
              <w:spacing w:after="0"/>
              <w:rPr>
                <w:sz w:val="20"/>
                <w:szCs w:val="20"/>
                <w:color w:val="auto"/>
              </w:rPr>
            </w:pPr>
          </w:p>
        </w:tc>
      </w:tr>
      <w:tr>
        <w:trPr>
          <w:trHeight w:val="225"/>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20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49"/>
        </w:trPr>
        <w:tc>
          <w:tcPr>
            <w:tcW w:w="3040" w:type="dxa"/>
            <w:vAlign w:val="bottom"/>
          </w:tcPr>
          <w:p>
            <w:pPr>
              <w:jc w:val="center"/>
              <w:ind w:right="103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020" w:type="dxa"/>
            <w:vAlign w:val="bottom"/>
          </w:tcPr>
          <w:p>
            <w:pPr>
              <w:jc w:val="center"/>
              <w:ind w:left="1078"/>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646-727-4092</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4" w:lineRule="exact"/>
        <w:rPr>
          <w:sz w:val="24"/>
          <w:szCs w:val="24"/>
          <w:color w:val="auto"/>
        </w:rPr>
      </w:pPr>
    </w:p>
    <w:tbl>
      <w:tblPr>
        <w:tblLayout w:type="fixed"/>
        <w:tblInd w:w="2020" w:type="dxa"/>
        <w:tblCellMar>
          <w:top w:w="0" w:type="dxa"/>
          <w:left w:w="0" w:type="dxa"/>
          <w:bottom w:w="0" w:type="dxa"/>
          <w:right w:w="0" w:type="dxa"/>
        </w:tblCellMar>
      </w:tblPr>
      <w:tr>
        <w:trPr>
          <w:trHeight w:val="186"/>
        </w:trPr>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29"/>
        </w:trPr>
        <w:tc>
          <w:tcPr>
            <w:tcW w:w="2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Common Stock, par value $0.001 per</w:t>
            </w:r>
          </w:p>
        </w:tc>
        <w:tc>
          <w:tcPr>
            <w:tcW w:w="120" w:type="dxa"/>
            <w:vAlign w:val="bottom"/>
          </w:tcPr>
          <w:p>
            <w:pPr>
              <w:spacing w:after="0"/>
              <w:rPr>
                <w:sz w:val="11"/>
                <w:szCs w:val="11"/>
                <w:color w:val="auto"/>
              </w:rPr>
            </w:pPr>
          </w:p>
        </w:tc>
        <w:tc>
          <w:tcPr>
            <w:tcW w:w="2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MDB</w:t>
            </w:r>
          </w:p>
        </w:tc>
        <w:tc>
          <w:tcPr>
            <w:tcW w:w="120" w:type="dxa"/>
            <w:vAlign w:val="bottom"/>
          </w:tcPr>
          <w:p>
            <w:pPr>
              <w:spacing w:after="0"/>
              <w:rPr>
                <w:sz w:val="11"/>
                <w:szCs w:val="11"/>
                <w:color w:val="auto"/>
              </w:rPr>
            </w:pPr>
          </w:p>
        </w:tc>
        <w:tc>
          <w:tcPr>
            <w:tcW w:w="26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The Nasdaq Stock Market LLC</w:t>
            </w:r>
          </w:p>
        </w:tc>
      </w:tr>
      <w:tr>
        <w:trPr>
          <w:trHeight w:val="222"/>
        </w:trPr>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share</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00" w:lineRule="exact"/>
        <w:rPr>
          <w:sz w:val="24"/>
          <w:szCs w:val="24"/>
          <w:color w:val="auto"/>
        </w:rPr>
      </w:pPr>
    </w:p>
    <w:p>
      <w:pPr>
        <w:ind w:right="260" w:firstLine="350"/>
        <w:spacing w:after="0" w:line="20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firstLine="350"/>
        <w:spacing w:after="0" w:line="20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ind w:right="20" w:firstLine="35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00" w:top="1001" w:right="419" w:bottom="1440" w:gutter="0" w:footer="0" w:header="0"/>
        </w:sectPr>
      </w:pPr>
    </w:p>
    <w:p>
      <w:pPr>
        <w:spacing w:after="0" w:line="6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7" w:lineRule="exact"/>
        <w:rPr>
          <w:sz w:val="24"/>
          <w:szCs w:val="24"/>
          <w:color w:val="auto"/>
        </w:rPr>
      </w:pPr>
    </w:p>
    <w:p>
      <w:pPr>
        <w:sectPr>
          <w:pgSz w:w="11900" w:h="16838" w:orient="portrait"/>
          <w:cols w:equalWidth="0" w:num="4">
            <w:col w:w="2280" w:space="720"/>
            <w:col w:w="4020" w:space="720"/>
            <w:col w:w="1920" w:space="720"/>
            <w:col w:w="800"/>
          </w:cols>
          <w:pgMar w:left="300" w:top="1001" w:right="419" w:bottom="1440" w:gutter="0" w:footer="0" w:header="0"/>
          <w:type w:val="continuous"/>
        </w:sectPr>
      </w:pPr>
    </w:p>
    <w:p>
      <w:pPr>
        <w:ind w:right="340" w:firstLine="350"/>
        <w:spacing w:after="0" w:line="20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360" w:right="3780"/>
        <w:spacing w:after="0" w:line="20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As of November 28, 2025, there were 81,391,760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535305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69850</wp:posOffset>
            </wp:positionV>
            <wp:extent cx="66833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3375" cy="698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90170</wp:posOffset>
            </wp:positionV>
            <wp:extent cx="66833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3375" cy="6985"/>
                    </a:xfrm>
                    <a:prstGeom prst="rect">
                      <a:avLst/>
                    </a:prstGeom>
                    <a:noFill/>
                  </pic:spPr>
                </pic:pic>
              </a:graphicData>
            </a:graphic>
          </wp:anchor>
        </w:drawing>
      </w:r>
    </w:p>
    <w:p>
      <w:pPr>
        <w:sectPr>
          <w:pgSz w:w="11900" w:h="16838" w:orient="portrait"/>
          <w:cols w:equalWidth="0" w:num="1">
            <w:col w:w="11180"/>
          </w:cols>
          <w:pgMar w:left="300" w:top="1001" w:right="41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2.</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3.</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Item 4.</w:t>
      </w:r>
    </w:p>
    <w:p>
      <w:pPr>
        <w:spacing w:after="0" w:line="200" w:lineRule="exact"/>
        <w:rPr>
          <w:sz w:val="20"/>
          <w:szCs w:val="20"/>
          <w:color w:val="auto"/>
        </w:rPr>
      </w:pPr>
    </w:p>
    <w:p>
      <w:pPr>
        <w:spacing w:after="0" w:line="276" w:lineRule="exact"/>
        <w:rPr>
          <w:sz w:val="20"/>
          <w:szCs w:val="20"/>
          <w:color w:val="auto"/>
        </w:rPr>
      </w:pPr>
    </w:p>
    <w:p>
      <w:pPr>
        <w:ind w:firstLine="32"/>
        <w:spacing w:after="0" w:line="384" w:lineRule="auto"/>
        <w:rPr>
          <w:sz w:val="20"/>
          <w:szCs w:val="20"/>
          <w:color w:val="auto"/>
        </w:rPr>
      </w:pPr>
      <w:r>
        <w:rPr>
          <w:rFonts w:ascii="Times New Roman" w:cs="Times New Roman" w:eastAsia="Times New Roman" w:hAnsi="Times New Roman"/>
          <w:sz w:val="14"/>
          <w:szCs w:val="14"/>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38"/>
        </w:trPr>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560" w:type="dxa"/>
            <w:vAlign w:val="bottom"/>
            <w:gridSpan w:val="13"/>
          </w:tcPr>
          <w:p>
            <w:pPr>
              <w:jc w:val="center"/>
              <w:ind w:right="2320"/>
              <w:spacing w:after="0" w:line="138" w:lineRule="exact"/>
              <w:rPr>
                <w:sz w:val="20"/>
                <w:szCs w:val="20"/>
                <w:color w:val="auto"/>
              </w:rPr>
            </w:pPr>
            <w:r>
              <w:rPr>
                <w:rFonts w:ascii="Times New Roman" w:cs="Times New Roman" w:eastAsia="Times New Roman" w:hAnsi="Times New Roman"/>
                <w:sz w:val="14"/>
                <w:szCs w:val="14"/>
                <w:b w:val="1"/>
                <w:bCs w:val="1"/>
                <w:color w:val="0000FF"/>
                <w:w w:val="99"/>
              </w:rPr>
              <w:t>PART I. FINANCIAL INFORMATION</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5"/>
        </w:trPr>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9"/>
              </w:rPr>
              <w:t>Financial Statements</w:t>
            </w:r>
          </w:p>
        </w:tc>
        <w:tc>
          <w:tcPr>
            <w:tcW w:w="2060" w:type="dxa"/>
            <w:vAlign w:val="bottom"/>
            <w:gridSpan w:val="3"/>
          </w:tcPr>
          <w:p>
            <w:pPr>
              <w:spacing w:after="0"/>
              <w:rPr>
                <w:sz w:val="20"/>
                <w:szCs w:val="20"/>
                <w:color w:val="auto"/>
              </w:rPr>
            </w:pPr>
          </w:p>
        </w:tc>
        <w:tc>
          <w:tcPr>
            <w:tcW w:w="2400" w:type="dxa"/>
            <w:vAlign w:val="bottom"/>
            <w:tcBorders>
              <w:top w:val="single" w:sz="8" w:color="0000FF"/>
            </w:tcBorders>
            <w:gridSpan w:val="8"/>
          </w:tcPr>
          <w:p>
            <w:pPr>
              <w:spacing w:after="0"/>
              <w:rPr>
                <w:sz w:val="20"/>
                <w:szCs w:val="20"/>
                <w:color w:val="auto"/>
              </w:rPr>
            </w:pPr>
          </w:p>
        </w:tc>
        <w:tc>
          <w:tcPr>
            <w:tcW w:w="3740" w:type="dxa"/>
            <w:vAlign w:val="bottom"/>
            <w:gridSpan w:val="4"/>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w:t>
            </w:r>
          </w:p>
        </w:tc>
        <w:tc>
          <w:tcPr>
            <w:tcW w:w="20" w:type="dxa"/>
            <w:vAlign w:val="bottom"/>
          </w:tcPr>
          <w:p>
            <w:pPr>
              <w:spacing w:after="0"/>
              <w:rPr>
                <w:sz w:val="20"/>
                <w:szCs w:val="20"/>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20" w:type="dxa"/>
            <w:vAlign w:val="bottom"/>
          </w:tcPr>
          <w:p>
            <w:pPr>
              <w:spacing w:after="0"/>
              <w:rPr>
                <w:sz w:val="14"/>
                <w:szCs w:val="14"/>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Unaudited Condensed Consolidated Balance Sheets as of October 31, 2025 and January 31, 2025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w:t>
            </w:r>
          </w:p>
        </w:tc>
        <w:tc>
          <w:tcPr>
            <w:tcW w:w="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20" w:type="dxa"/>
            <w:vAlign w:val="bottom"/>
          </w:tcPr>
          <w:p>
            <w:pPr>
              <w:spacing w:after="0"/>
              <w:rPr>
                <w:sz w:val="15"/>
                <w:szCs w:val="15"/>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Operations for the three and nine months ended October 31, 2025 and 2024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w:t>
            </w: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77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Comprehensive Loss for the three and nine months ended October 31, 2025 and 2024</w:t>
            </w:r>
          </w:p>
        </w:tc>
        <w:tc>
          <w:tcPr>
            <w:tcW w:w="15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Stockholders’ Equity for the three and nine months ended October 31, 2025 and 2024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66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Cash Flows for the nine months ended October 31, 2025 and 2024</w:t>
            </w:r>
          </w:p>
        </w:tc>
        <w:tc>
          <w:tcPr>
            <w:tcW w:w="1080" w:type="dxa"/>
            <w:vAlign w:val="bottom"/>
            <w:gridSpan w:val="2"/>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66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2620" w:type="dxa"/>
            <w:vAlign w:val="bottom"/>
            <w:gridSpan w:val="3"/>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w:t>
            </w: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3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21</w:t>
            </w:r>
          </w:p>
        </w:tc>
        <w:tc>
          <w:tcPr>
            <w:tcW w:w="20" w:type="dxa"/>
            <w:vAlign w:val="bottom"/>
          </w:tcPr>
          <w:p>
            <w:pPr>
              <w:spacing w:after="0"/>
              <w:rPr>
                <w:sz w:val="20"/>
                <w:szCs w:val="20"/>
                <w:color w:val="auto"/>
              </w:rPr>
            </w:pPr>
          </w:p>
        </w:tc>
      </w:tr>
      <w:tr>
        <w:trPr>
          <w:trHeight w:val="235"/>
        </w:trPr>
        <w:tc>
          <w:tcPr>
            <w:tcW w:w="34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2"/>
          </w:tcPr>
          <w:p>
            <w:pPr>
              <w:spacing w:after="0"/>
              <w:rPr>
                <w:sz w:val="20"/>
                <w:szCs w:val="20"/>
                <w:color w:val="auto"/>
              </w:rPr>
            </w:pPr>
          </w:p>
        </w:tc>
        <w:tc>
          <w:tcPr>
            <w:tcW w:w="4320" w:type="dxa"/>
            <w:vAlign w:val="bottom"/>
            <w:gridSpan w:val="7"/>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Pr>
          <w:p>
            <w:pPr>
              <w:spacing w:after="0"/>
              <w:rPr>
                <w:sz w:val="20"/>
                <w:szCs w:val="20"/>
                <w:color w:val="auto"/>
              </w:rPr>
            </w:pPr>
          </w:p>
        </w:tc>
      </w:tr>
      <w:tr>
        <w:trPr>
          <w:trHeight w:val="235"/>
        </w:trPr>
        <w:tc>
          <w:tcPr>
            <w:tcW w:w="93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35</w:t>
            </w:r>
          </w:p>
        </w:tc>
        <w:tc>
          <w:tcPr>
            <w:tcW w:w="20" w:type="dxa"/>
            <w:vAlign w:val="bottom"/>
          </w:tcPr>
          <w:p>
            <w:pPr>
              <w:spacing w:after="0"/>
              <w:rPr>
                <w:sz w:val="20"/>
                <w:szCs w:val="20"/>
                <w:color w:val="auto"/>
              </w:rPr>
            </w:pPr>
          </w:p>
        </w:tc>
      </w:tr>
      <w:tr>
        <w:trPr>
          <w:trHeight w:val="362"/>
        </w:trPr>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384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8"/>
              </w:rPr>
              <w:t>Legal Proceedings</w:t>
            </w:r>
          </w:p>
        </w:tc>
        <w:tc>
          <w:tcPr>
            <w:tcW w:w="8340" w:type="dxa"/>
            <w:vAlign w:val="bottom"/>
            <w:gridSpan w:val="16"/>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20"/>
                <w:szCs w:val="20"/>
                <w:color w:val="auto"/>
              </w:rPr>
            </w:pPr>
          </w:p>
        </w:tc>
      </w:tr>
      <w:tr>
        <w:trPr>
          <w:trHeight w:val="235"/>
        </w:trPr>
        <w:tc>
          <w:tcPr>
            <w:tcW w:w="93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20"/>
                <w:szCs w:val="20"/>
                <w:color w:val="auto"/>
              </w:rPr>
            </w:pP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3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72</w:t>
            </w:r>
          </w:p>
        </w:tc>
        <w:tc>
          <w:tcPr>
            <w:tcW w:w="20" w:type="dxa"/>
            <w:vAlign w:val="bottom"/>
          </w:tcPr>
          <w:p>
            <w:pPr>
              <w:spacing w:after="0"/>
              <w:rPr>
                <w:sz w:val="20"/>
                <w:szCs w:val="20"/>
                <w:color w:val="auto"/>
              </w:rPr>
            </w:pPr>
          </w:p>
        </w:tc>
      </w:tr>
      <w:tr>
        <w:trPr>
          <w:trHeight w:val="235"/>
        </w:trPr>
        <w:tc>
          <w:tcPr>
            <w:tcW w:w="18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tcBorders>
              <w:top w:val="single" w:sz="8" w:color="0000FF"/>
            </w:tcBorders>
            <w:gridSpan w:val="3"/>
          </w:tcPr>
          <w:p>
            <w:pPr>
              <w:spacing w:after="0"/>
              <w:rPr>
                <w:sz w:val="20"/>
                <w:szCs w:val="20"/>
                <w:color w:val="auto"/>
              </w:rPr>
            </w:pPr>
          </w:p>
        </w:tc>
        <w:tc>
          <w:tcPr>
            <w:tcW w:w="5980" w:type="dxa"/>
            <w:vAlign w:val="bottom"/>
            <w:gridSpan w:val="10"/>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73</w:t>
            </w:r>
          </w:p>
        </w:tc>
        <w:tc>
          <w:tcPr>
            <w:tcW w:w="20" w:type="dxa"/>
            <w:vAlign w:val="bottom"/>
          </w:tcPr>
          <w:p>
            <w:pPr>
              <w:spacing w:after="0"/>
              <w:rPr>
                <w:sz w:val="20"/>
                <w:szCs w:val="20"/>
                <w:color w:val="auto"/>
              </w:rPr>
            </w:pPr>
          </w:p>
        </w:tc>
      </w:tr>
      <w:tr>
        <w:trPr>
          <w:trHeight w:val="235"/>
        </w:trPr>
        <w:tc>
          <w:tcPr>
            <w:tcW w:w="93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73</w:t>
            </w:r>
          </w:p>
        </w:tc>
        <w:tc>
          <w:tcPr>
            <w:tcW w:w="20" w:type="dxa"/>
            <w:vAlign w:val="bottom"/>
          </w:tcPr>
          <w:p>
            <w:pPr>
              <w:spacing w:after="0"/>
              <w:rPr>
                <w:sz w:val="20"/>
                <w:szCs w:val="20"/>
                <w:color w:val="auto"/>
              </w:rPr>
            </w:pPr>
          </w:p>
        </w:tc>
      </w:tr>
      <w:tr>
        <w:trPr>
          <w:trHeight w:val="235"/>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8000" w:type="dxa"/>
            <w:vAlign w:val="bottom"/>
            <w:gridSpan w:val="14"/>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73</w:t>
            </w:r>
          </w:p>
        </w:tc>
        <w:tc>
          <w:tcPr>
            <w:tcW w:w="20" w:type="dxa"/>
            <w:vAlign w:val="bottom"/>
          </w:tcPr>
          <w:p>
            <w:pPr>
              <w:spacing w:after="0"/>
              <w:rPr>
                <w:sz w:val="20"/>
                <w:szCs w:val="20"/>
                <w:color w:val="auto"/>
              </w:rPr>
            </w:pPr>
          </w:p>
        </w:tc>
      </w:tr>
      <w:tr>
        <w:trPr>
          <w:trHeight w:val="235"/>
        </w:trPr>
        <w:tc>
          <w:tcPr>
            <w:tcW w:w="10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8360" w:type="dxa"/>
            <w:vAlign w:val="bottom"/>
            <w:gridSpan w:val="17"/>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74</w:t>
            </w:r>
          </w:p>
        </w:tc>
        <w:tc>
          <w:tcPr>
            <w:tcW w:w="20" w:type="dxa"/>
            <w:vAlign w:val="bottom"/>
          </w:tcPr>
          <w:p>
            <w:pPr>
              <w:spacing w:after="0"/>
              <w:rPr>
                <w:sz w:val="20"/>
                <w:szCs w:val="20"/>
                <w:color w:val="auto"/>
              </w:rPr>
            </w:pPr>
          </w:p>
        </w:tc>
      </w:tr>
      <w:tr>
        <w:trPr>
          <w:trHeight w:val="160"/>
        </w:trPr>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75</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991235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-2828925</wp:posOffset>
            </wp:positionV>
            <wp:extent cx="6925945" cy="161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-2532380</wp:posOffset>
            </wp:positionV>
            <wp:extent cx="6925945"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5945" cy="1143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-2303780</wp:posOffset>
            </wp:positionV>
            <wp:extent cx="6925945"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5945" cy="1143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-2074545</wp:posOffset>
            </wp:positionV>
            <wp:extent cx="692594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5945" cy="1143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-1798320</wp:posOffset>
            </wp:positionV>
            <wp:extent cx="6925945" cy="16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-1475105</wp:posOffset>
            </wp:positionV>
            <wp:extent cx="6925945" cy="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5945" cy="12827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-1232535</wp:posOffset>
            </wp:positionV>
            <wp:extent cx="6925945" cy="16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-908685</wp:posOffset>
            </wp:positionV>
            <wp:extent cx="6925945"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-585470</wp:posOffset>
            </wp:positionV>
            <wp:extent cx="6925945" cy="161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5945" cy="16192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-262255</wp:posOffset>
            </wp:positionV>
            <wp:extent cx="6925945"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5945" cy="161925"/>
                    </a:xfrm>
                    <a:prstGeom prst="rect">
                      <a:avLst/>
                    </a:prstGeom>
                    <a:noFill/>
                  </pic:spPr>
                </pic:pic>
              </a:graphicData>
            </a:graphic>
          </wp:anchor>
        </w:drawing>
      </w:r>
    </w:p>
    <w:p>
      <w:pPr>
        <w:sectPr>
          <w:pgSz w:w="11900" w:h="16838" w:orient="portrait"/>
          <w:cols w:equalWidth="0" w:num="2">
            <w:col w:w="600" w:space="400"/>
            <w:col w:w="9900"/>
          </w:cols>
          <w:pgMar w:left="500" w:top="101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ectPr>
          <w:pgSz w:w="11900" w:h="16838" w:orient="portrait"/>
          <w:cols w:equalWidth="0" w:num="1">
            <w:col w:w="11280"/>
          </w:cols>
          <w:pgMar w:left="300" w:top="13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91"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46"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and per share data)</w:t>
      </w:r>
    </w:p>
    <w:p>
      <w:pPr>
        <w:spacing w:after="0" w:line="9"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100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3" w:lineRule="exact"/>
        <w:rPr>
          <w:sz w:val="20"/>
          <w:szCs w:val="20"/>
          <w:color w:val="auto"/>
        </w:rPr>
      </w:pPr>
    </w:p>
    <w:p>
      <w:pPr>
        <w:ind w:left="300"/>
        <w:spacing w:after="0"/>
        <w:tabs>
          <w:tab w:leader="none" w:pos="8280" w:val="left"/>
        </w:tabs>
        <w:rPr>
          <w:sz w:val="20"/>
          <w:szCs w:val="20"/>
          <w:color w:val="auto"/>
        </w:rPr>
      </w:pPr>
      <w:r>
        <w:rPr>
          <w:rFonts w:ascii="Times New Roman" w:cs="Times New Roman" w:eastAsia="Times New Roman" w:hAnsi="Times New Roman"/>
          <w:sz w:val="11"/>
          <w:szCs w:val="11"/>
          <w:color w:val="auto"/>
        </w:rPr>
        <w:t>Cash and cash equivalents</w:t>
      </w:r>
      <w:r>
        <w:rPr>
          <w:sz w:val="20"/>
          <w:szCs w:val="20"/>
          <w:color w:val="auto"/>
        </w:rPr>
        <w:tab/>
      </w:r>
      <w:r>
        <w:rPr>
          <w:rFonts w:ascii="Times New Roman" w:cs="Times New Roman" w:eastAsia="Times New Roman" w:hAnsi="Times New Roman"/>
          <w:sz w:val="11"/>
          <w:szCs w:val="11"/>
          <w:color w:val="auto"/>
        </w:rPr>
        <w:t>$</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Accounts receivable, net of allowance for doubtful accounts of $12,305 and $8,888 as of October 31, 2025 and January 31, 2025, respectively</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Prepaid expenses and other current assets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Property and equipment, net</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Goodwill</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Deferred tax assets</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44"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5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assets</w:t>
            </w:r>
          </w:p>
        </w:tc>
        <w:tc>
          <w:tcPr>
            <w:tcW w:w="3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5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3260" w:type="dxa"/>
            <w:vAlign w:val="bottom"/>
          </w:tcPr>
          <w:p>
            <w:pPr>
              <w:spacing w:after="0"/>
              <w:rPr>
                <w:sz w:val="15"/>
                <w:szCs w:val="15"/>
                <w:color w:val="auto"/>
              </w:rPr>
            </w:pPr>
          </w:p>
        </w:tc>
      </w:tr>
      <w:tr>
        <w:trPr>
          <w:trHeight w:val="159"/>
        </w:trPr>
        <w:tc>
          <w:tcPr>
            <w:tcW w:w="5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liabilities:</w:t>
            </w:r>
          </w:p>
        </w:tc>
        <w:tc>
          <w:tcPr>
            <w:tcW w:w="3260" w:type="dxa"/>
            <w:vAlign w:val="bottom"/>
          </w:tcPr>
          <w:p>
            <w:pPr>
              <w:spacing w:after="0"/>
              <w:rPr>
                <w:sz w:val="13"/>
                <w:szCs w:val="13"/>
                <w:color w:val="auto"/>
              </w:rPr>
            </w:pPr>
          </w:p>
        </w:tc>
      </w:tr>
      <w:tr>
        <w:trPr>
          <w:trHeight w:val="180"/>
        </w:trPr>
        <w:tc>
          <w:tcPr>
            <w:tcW w:w="50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Accounts payable</w:t>
            </w:r>
          </w:p>
        </w:tc>
        <w:tc>
          <w:tcPr>
            <w:tcW w:w="3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50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32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61530" cy="100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Other accrued liabilities</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Total current liabilities</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Operating lease liabilities</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Other liabilities</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Total liabilities</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201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201930"/>
                    </a:xfrm>
                    <a:prstGeom prst="rect">
                      <a:avLst/>
                    </a:prstGeom>
                    <a:noFill/>
                  </pic:spPr>
                </pic:pic>
              </a:graphicData>
            </a:graphic>
          </wp:anchor>
        </w:drawing>
      </w:r>
    </w:p>
    <w:p>
      <w:pPr>
        <w:spacing w:after="0" w:line="23" w:lineRule="exact"/>
        <w:rPr>
          <w:sz w:val="20"/>
          <w:szCs w:val="20"/>
          <w:color w:val="auto"/>
        </w:rPr>
      </w:pPr>
    </w:p>
    <w:p>
      <w:pPr>
        <w:ind w:left="300" w:right="240" w:hanging="63"/>
        <w:spacing w:after="0" w:line="280" w:lineRule="auto"/>
        <w:rPr>
          <w:sz w:val="20"/>
          <w:szCs w:val="20"/>
          <w:color w:val="auto"/>
        </w:rPr>
      </w:pPr>
      <w:r>
        <w:rPr>
          <w:rFonts w:ascii="Times New Roman" w:cs="Times New Roman" w:eastAsia="Times New Roman" w:hAnsi="Times New Roman"/>
          <w:sz w:val="11"/>
          <w:szCs w:val="11"/>
          <w:color w:val="auto"/>
        </w:rPr>
        <w:t>Common stock, par value of $0.001 per share; 1,000,000,000 shares authorized as of October 31, 2025 and January 31, 2025; 82,919,928 shares issued and 81,357,418 shares outstanding as of October 31, 2025; 80,558,847 shares issued and 80,467,811 shares outstanding as of January 31, 2025</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201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201930"/>
                    </a:xfrm>
                    <a:prstGeom prst="rect">
                      <a:avLst/>
                    </a:prstGeom>
                    <a:noFill/>
                  </pic:spPr>
                </pic:pic>
              </a:graphicData>
            </a:graphic>
          </wp:anchor>
        </w:drawing>
      </w:r>
    </w:p>
    <w:p>
      <w:pPr>
        <w:spacing w:after="0" w:line="34" w:lineRule="exact"/>
        <w:rPr>
          <w:sz w:val="20"/>
          <w:szCs w:val="20"/>
          <w:color w:val="auto"/>
        </w:rPr>
      </w:pPr>
    </w:p>
    <w:p>
      <w:pPr>
        <w:ind w:left="300" w:right="120" w:hanging="94"/>
        <w:spacing w:after="0" w:line="280" w:lineRule="auto"/>
        <w:rPr>
          <w:sz w:val="20"/>
          <w:szCs w:val="20"/>
          <w:color w:val="auto"/>
        </w:rPr>
      </w:pPr>
      <w:r>
        <w:rPr>
          <w:rFonts w:ascii="Times New Roman" w:cs="Times New Roman" w:eastAsia="Times New Roman" w:hAnsi="Times New Roman"/>
          <w:sz w:val="11"/>
          <w:szCs w:val="11"/>
          <w:color w:val="auto"/>
        </w:rPr>
        <w:t>Treasury stock, 1,562,510 shares (repurchased at an average of $221.86 per share) as of October 31, 2025 and 99,371 shares (repurchased at an average of $13.27 per share) as of January 31, 2025</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121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2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October 31, 2025</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January 31, 2025</w:t>
            </w:r>
          </w:p>
        </w:tc>
      </w:tr>
      <w:tr>
        <w:trPr>
          <w:trHeight w:val="469"/>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834,092</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490,133</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1,471,669</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1,846,444</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416,494</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393,099</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122,882</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112,632</w:t>
            </w:r>
          </w:p>
        </w:tc>
      </w:tr>
      <w:tr>
        <w:trPr>
          <w:trHeight w:val="20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87,177</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81,214</w:t>
            </w:r>
          </w:p>
        </w:tc>
      </w:tr>
      <w:tr>
        <w:trPr>
          <w:trHeight w:val="15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2,932,314</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2,923,522</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40,704</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46,377</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30,914</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34,607</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189,641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69,679</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38,308</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24,597</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23,012</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20,810</w:t>
            </w:r>
          </w:p>
        </w:tc>
      </w:tr>
      <w:tr>
        <w:trPr>
          <w:trHeight w:val="20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311,756</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310,701</w:t>
            </w:r>
          </w:p>
        </w:tc>
      </w:tr>
      <w:tr>
        <w:trPr>
          <w:trHeight w:val="16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3,566,649</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3,430,293</w:t>
            </w:r>
          </w:p>
        </w:tc>
      </w:tr>
      <w:tr>
        <w:trPr>
          <w:trHeight w:val="21"/>
        </w:trPr>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9"/>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14,811</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10,467</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131,760</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120,354</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9,145</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9,126</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101,444</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87,659</w:t>
            </w:r>
          </w:p>
        </w:tc>
      </w:tr>
      <w:tr>
        <w:trPr>
          <w:trHeight w:val="20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300,873</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334,381</w:t>
            </w:r>
          </w:p>
        </w:tc>
      </w:tr>
      <w:tr>
        <w:trPr>
          <w:trHeight w:val="15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558,033</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561,987</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560</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r>
      <w:tr>
        <w:trPr>
          <w:trHeight w:val="19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25,480</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27,374</w:t>
            </w:r>
          </w:p>
        </w:tc>
      </w:tr>
      <w:tr>
        <w:trPr>
          <w:trHeight w:val="19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66,173</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25,404</w:t>
            </w:r>
          </w:p>
        </w:tc>
      </w:tr>
      <w:tr>
        <w:trPr>
          <w:trHeight w:val="20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27,964</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33,042</w:t>
            </w:r>
          </w:p>
        </w:tc>
      </w:tr>
      <w:tr>
        <w:trPr>
          <w:trHeight w:val="171"/>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678,210</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648,069</w:t>
            </w:r>
          </w:p>
        </w:tc>
      </w:tr>
      <w:tr>
        <w:trPr>
          <w:trHeight w:val="607"/>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81</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5,152,122</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4,625,093</w:t>
            </w:r>
          </w:p>
        </w:tc>
      </w:tr>
      <w:tr>
        <w:trPr>
          <w:trHeight w:val="318"/>
        </w:trPr>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(346,654)</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(1,319)</w:t>
            </w:r>
          </w:p>
        </w:tc>
      </w:tr>
      <w:tr>
        <w:trPr>
          <w:trHeight w:val="180"/>
        </w:trPr>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10,275</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w:t>
            </w:r>
          </w:p>
        </w:tc>
      </w:tr>
      <w:tr>
        <w:trPr>
          <w:trHeight w:val="191"/>
        </w:trPr>
        <w:tc>
          <w:tcPr>
            <w:tcW w:w="12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(1,927,385)</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(1,840,704)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-1065530</wp:posOffset>
            </wp:positionV>
            <wp:extent cx="92329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23290" cy="698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-2432685</wp:posOffset>
            </wp:positionV>
            <wp:extent cx="9232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3290" cy="698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-3376295</wp:posOffset>
            </wp:positionV>
            <wp:extent cx="9232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3290"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360" w:space="240"/>
            <w:col w:w="2680"/>
          </w:cols>
          <w:pgMar w:left="300" w:top="133" w:right="31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5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2,888,439</w:t>
            </w:r>
          </w:p>
        </w:tc>
        <w:tc>
          <w:tcPr>
            <w:tcW w:w="8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2,782,224</w:t>
            </w:r>
          </w:p>
        </w:tc>
      </w:tr>
      <w:tr>
        <w:trPr>
          <w:trHeight w:val="185"/>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3,566,649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3,430,293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00" w:type="dxa"/>
            <w:vAlign w:val="bottom"/>
          </w:tcPr>
          <w:p>
            <w:pPr>
              <w:spacing w:after="0"/>
              <w:rPr>
                <w:sz w:val="12"/>
                <w:szCs w:val="12"/>
                <w:color w:val="auto"/>
              </w:rPr>
            </w:pPr>
          </w:p>
        </w:tc>
        <w:tc>
          <w:tcPr>
            <w:tcW w:w="2340" w:type="dxa"/>
            <w:vAlign w:val="bottom"/>
            <w:gridSpan w:val="4"/>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0" w:type="dxa"/>
            <w:vAlign w:val="bottom"/>
          </w:tcPr>
          <w:p>
            <w:pPr>
              <w:spacing w:after="0"/>
              <w:rPr>
                <w:sz w:val="1"/>
                <w:szCs w:val="1"/>
                <w:color w:val="auto"/>
              </w:rPr>
            </w:pPr>
          </w:p>
        </w:tc>
      </w:tr>
      <w:tr>
        <w:trPr>
          <w:trHeight w:val="30"/>
        </w:trPr>
        <w:tc>
          <w:tcPr>
            <w:tcW w:w="5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9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6"/>
        </w:trPr>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609,067</w:t>
            </w:r>
          </w:p>
        </w:tc>
        <w:tc>
          <w:tcPr>
            <w:tcW w:w="10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512,205</w:t>
            </w:r>
          </w:p>
        </w:tc>
        <w:tc>
          <w:tcPr>
            <w:tcW w:w="8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1,712,877</w:t>
            </w:r>
          </w:p>
        </w:tc>
        <w:tc>
          <w:tcPr>
            <w:tcW w:w="80" w:type="dxa"/>
            <w:vAlign w:val="bottom"/>
          </w:tcPr>
          <w:p>
            <w:pPr>
              <w:spacing w:after="0"/>
              <w:rPr>
                <w:sz w:val="18"/>
                <w:szCs w:val="18"/>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1,412,906</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45,139</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628,309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529,375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1,768,725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1,458,045</w:t>
            </w:r>
          </w:p>
        </w:tc>
        <w:tc>
          <w:tcPr>
            <w:tcW w:w="0" w:type="dxa"/>
            <w:vAlign w:val="bottom"/>
          </w:tcPr>
          <w:p>
            <w:pPr>
              <w:spacing w:after="0"/>
              <w:rPr>
                <w:sz w:val="1"/>
                <w:szCs w:val="1"/>
                <w:color w:val="auto"/>
              </w:rPr>
            </w:pPr>
          </w:p>
        </w:tc>
      </w:tr>
      <w:tr>
        <w:trPr>
          <w:trHeight w:val="161"/>
        </w:trPr>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416,455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318,728</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67,553</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135,331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508,646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386,281</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394,044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1,260,079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1,071,764</w:t>
            </w:r>
          </w:p>
        </w:tc>
        <w:tc>
          <w:tcPr>
            <w:tcW w:w="0" w:type="dxa"/>
            <w:vAlign w:val="bottom"/>
          </w:tcPr>
          <w:p>
            <w:pPr>
              <w:spacing w:after="0"/>
              <w:rPr>
                <w:sz w:val="1"/>
                <w:szCs w:val="1"/>
                <w:color w:val="auto"/>
              </w:rPr>
            </w:pPr>
          </w:p>
        </w:tc>
      </w:tr>
      <w:tr>
        <w:trPr>
          <w:trHeight w:val="180"/>
        </w:trPr>
        <w:tc>
          <w:tcPr>
            <w:tcW w:w="5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658,937</w:t>
            </w:r>
          </w:p>
        </w:tc>
        <w:tc>
          <w:tcPr>
            <w:tcW w:w="0" w:type="dxa"/>
            <w:vAlign w:val="bottom"/>
          </w:tcPr>
          <w:p>
            <w:pPr>
              <w:spacing w:after="0"/>
              <w:rPr>
                <w:sz w:val="1"/>
                <w:szCs w:val="1"/>
                <w:color w:val="auto"/>
              </w:rPr>
            </w:pPr>
          </w:p>
        </w:tc>
      </w:tr>
      <w:tr>
        <w:trPr>
          <w:trHeight w:val="212"/>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446,437</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163,892</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421,920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1,397,351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1,269,266</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(197,502)</w:t>
            </w:r>
          </w:p>
        </w:tc>
        <w:tc>
          <w:tcPr>
            <w:tcW w:w="0" w:type="dxa"/>
            <w:vAlign w:val="bottom"/>
          </w:tcPr>
          <w:p>
            <w:pPr>
              <w:spacing w:after="0"/>
              <w:rPr>
                <w:sz w:val="1"/>
                <w:szCs w:val="1"/>
                <w:color w:val="auto"/>
              </w:rPr>
            </w:pPr>
          </w:p>
        </w:tc>
      </w:tr>
      <w:tr>
        <w:trPr>
          <w:trHeight w:val="180"/>
        </w:trPr>
        <w:tc>
          <w:tcPr>
            <w:tcW w:w="5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income (expense):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71,240</w:t>
            </w:r>
          </w:p>
        </w:tc>
        <w:tc>
          <w:tcPr>
            <w:tcW w:w="0" w:type="dxa"/>
            <w:vAlign w:val="bottom"/>
          </w:tcPr>
          <w:p>
            <w:pPr>
              <w:spacing w:after="0"/>
              <w:rPr>
                <w:sz w:val="1"/>
                <w:szCs w:val="1"/>
                <w:color w:val="auto"/>
              </w:rPr>
            </w:pPr>
          </w:p>
        </w:tc>
      </w:tr>
      <w:tr>
        <w:trPr>
          <w:trHeight w:val="223"/>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0" w:type="dxa"/>
            <w:vAlign w:val="bottom"/>
          </w:tcPr>
          <w:p>
            <w:pPr>
              <w:spacing w:after="0"/>
              <w:rPr>
                <w:sz w:val="1"/>
                <w:szCs w:val="1"/>
                <w:color w:val="auto"/>
              </w:rPr>
            </w:pPr>
          </w:p>
        </w:tc>
      </w:tr>
      <w:tr>
        <w:trPr>
          <w:trHeight w:val="192"/>
        </w:trPr>
        <w:tc>
          <w:tcPr>
            <w:tcW w:w="5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(135,753)</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0" w:type="dxa"/>
            <w:vAlign w:val="bottom"/>
          </w:tcPr>
          <w:p>
            <w:pPr>
              <w:spacing w:after="0"/>
              <w:rPr>
                <w:sz w:val="1"/>
                <w:szCs w:val="1"/>
                <w:color w:val="auto"/>
              </w:rPr>
            </w:pPr>
          </w:p>
        </w:tc>
      </w:tr>
      <w:tr>
        <w:trPr>
          <w:trHeight w:val="203"/>
        </w:trPr>
        <w:tc>
          <w:tcPr>
            <w:tcW w:w="5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(86,681)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(144,898)</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Weighted-average shares used to compute net loss per share,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92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81,401,853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74,020,593</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81,245,331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73,472,900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4"/>
        </w:trPr>
        <w:tc>
          <w:tcPr>
            <w:tcW w:w="60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7"/>
        </w:trPr>
        <w:tc>
          <w:tcPr>
            <w:tcW w:w="6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(9,776)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(86,681)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(144,898)</w:t>
            </w:r>
          </w:p>
        </w:tc>
      </w:tr>
      <w:tr>
        <w:trPr>
          <w:trHeight w:val="180"/>
        </w:trPr>
        <w:tc>
          <w:tcPr>
            <w:tcW w:w="6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2"/>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income (loss) on available-for-sale securities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223"/>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203"/>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203"/>
        </w:trPr>
        <w:tc>
          <w:tcPr>
            <w:tcW w:w="6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7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(8,071)</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(75,482)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(146,837)</w:t>
            </w: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760" w:type="dxa"/>
            <w:vAlign w:val="bottom"/>
            <w:gridSpan w:val="3"/>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vMerge w:val="restart"/>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tcPr>
          <w:p>
            <w:pPr>
              <w:jc w:val="center"/>
              <w:ind w:right="180"/>
              <w:spacing w:after="0" w:line="76" w:lineRule="exact"/>
              <w:rPr>
                <w:sz w:val="20"/>
                <w:szCs w:val="20"/>
                <w:color w:val="auto"/>
              </w:rPr>
            </w:pPr>
            <w:r>
              <w:rPr>
                <w:rFonts w:ascii="Times New Roman" w:cs="Times New Roman" w:eastAsia="Times New Roman" w:hAnsi="Times New Roman"/>
                <w:sz w:val="7"/>
                <w:szCs w:val="7"/>
                <w:b w:val="1"/>
                <w:bCs w:val="1"/>
                <w:color w:val="auto"/>
              </w:rPr>
              <w:t>Additional Paid-In</w:t>
            </w:r>
          </w:p>
        </w:tc>
        <w:tc>
          <w:tcPr>
            <w:tcW w:w="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80" w:type="dxa"/>
            <w:vAlign w:val="bottom"/>
          </w:tcPr>
          <w:p>
            <w:pPr>
              <w:spacing w:after="0"/>
              <w:rPr>
                <w:sz w:val="6"/>
                <w:szCs w:val="6"/>
                <w:color w:val="auto"/>
              </w:rPr>
            </w:pPr>
          </w:p>
        </w:tc>
        <w:tc>
          <w:tcPr>
            <w:tcW w:w="1240" w:type="dxa"/>
            <w:vAlign w:val="bottom"/>
            <w:gridSpan w:val="2"/>
          </w:tcPr>
          <w:p>
            <w:pPr>
              <w:jc w:val="center"/>
              <w:ind w:right="200"/>
              <w:spacing w:after="0" w:line="76" w:lineRule="exact"/>
              <w:rPr>
                <w:sz w:val="20"/>
                <w:szCs w:val="20"/>
                <w:color w:val="auto"/>
              </w:rPr>
            </w:pPr>
            <w:r>
              <w:rPr>
                <w:rFonts w:ascii="Times New Roman" w:cs="Times New Roman" w:eastAsia="Times New Roman" w:hAnsi="Times New Roman"/>
                <w:sz w:val="7"/>
                <w:szCs w:val="7"/>
                <w:b w:val="1"/>
                <w:bCs w:val="1"/>
                <w:color w:val="auto"/>
              </w:rPr>
              <w:t>Comprehensive Income</w:t>
            </w:r>
          </w:p>
        </w:tc>
        <w:tc>
          <w:tcPr>
            <w:tcW w:w="8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00" w:type="dxa"/>
            <w:vAlign w:val="bottom"/>
          </w:tcPr>
          <w:p>
            <w:pPr>
              <w:spacing w:after="0"/>
              <w:rPr>
                <w:sz w:val="6"/>
                <w:szCs w:val="6"/>
                <w:color w:val="auto"/>
              </w:rPr>
            </w:pPr>
          </w:p>
        </w:tc>
        <w:tc>
          <w:tcPr>
            <w:tcW w:w="1040" w:type="dxa"/>
            <w:vAlign w:val="bottom"/>
            <w:gridSpan w:val="2"/>
          </w:tcPr>
          <w:p>
            <w:pPr>
              <w:jc w:val="center"/>
              <w:ind w:right="140"/>
              <w:spacing w:after="0" w:line="76" w:lineRule="exact"/>
              <w:rPr>
                <w:sz w:val="20"/>
                <w:szCs w:val="20"/>
                <w:color w:val="auto"/>
              </w:rPr>
            </w:pPr>
            <w:r>
              <w:rPr>
                <w:rFonts w:ascii="Times New Roman" w:cs="Times New Roman" w:eastAsia="Times New Roman" w:hAnsi="Times New Roman"/>
                <w:sz w:val="7"/>
                <w:szCs w:val="7"/>
                <w:b w:val="1"/>
                <w:bCs w:val="1"/>
                <w:color w:val="auto"/>
              </w:rPr>
              <w:t>Total Stockholders’</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Balances as of January 31, 2025</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80,467,811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4,625,093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(1,840,704)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2,782,224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77,519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381,937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performance stock units</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91,319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common stock in connection with a business combination</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subject to future vesting</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213,023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common stock in connection with a business combination</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484,169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141,401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141,402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132,431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132,431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6,858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6,858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7,081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7,081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Balances as of April 30, 2025</w:t>
            </w: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81,715,778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4,899,504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13,015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(1,878,330)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3,032,950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 w:type="dxa"/>
            <w:vAlign w:val="bottom"/>
          </w:tcPr>
          <w:p>
            <w:pPr>
              <w:spacing w:after="0"/>
              <w:rPr>
                <w:sz w:val="10"/>
                <w:szCs w:val="10"/>
                <w:color w:val="auto"/>
              </w:rPr>
            </w:pPr>
          </w:p>
        </w:tc>
        <w:tc>
          <w:tcPr>
            <w:tcW w:w="3480" w:type="dxa"/>
            <w:vAlign w:val="bottom"/>
            <w:tcBorders>
              <w:top w:val="single" w:sz="8" w:color="CCEEFF"/>
            </w:tcBorders>
            <w:vMerge w:val="continue"/>
          </w:tcPr>
          <w:p>
            <w:pPr>
              <w:spacing w:after="0"/>
              <w:rPr>
                <w:sz w:val="10"/>
                <w:szCs w:val="10"/>
                <w:color w:val="auto"/>
              </w:rPr>
            </w:pPr>
          </w:p>
        </w:tc>
        <w:tc>
          <w:tcPr>
            <w:tcW w:w="960" w:type="dxa"/>
            <w:vAlign w:val="bottom"/>
            <w:tcBorders>
              <w:top w:val="single" w:sz="8" w:color="auto"/>
            </w:tcBorders>
          </w:tcPr>
          <w:p>
            <w:pPr>
              <w:jc w:val="right"/>
              <w:ind w:right="4"/>
              <w:spacing w:after="0" w:line="120" w:lineRule="exact"/>
              <w:rPr>
                <w:sz w:val="20"/>
                <w:szCs w:val="20"/>
                <w:color w:val="auto"/>
              </w:rPr>
            </w:pPr>
            <w:r>
              <w:rPr>
                <w:rFonts w:ascii="Times New Roman" w:cs="Times New Roman" w:eastAsia="Times New Roman" w:hAnsi="Times New Roman"/>
                <w:sz w:val="11"/>
                <w:szCs w:val="11"/>
                <w:color w:val="auto"/>
              </w:rPr>
              <w:t>168,293</w:t>
            </w: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1,210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6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4"/>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4"/>
              <w:spacing w:after="0" w:line="120" w:lineRule="exact"/>
              <w:rPr>
                <w:sz w:val="20"/>
                <w:szCs w:val="20"/>
                <w:color w:val="auto"/>
              </w:rPr>
            </w:pPr>
            <w:r>
              <w:rPr>
                <w:rFonts w:ascii="Times New Roman" w:cs="Times New Roman" w:eastAsia="Times New Roman" w:hAnsi="Times New Roman"/>
                <w:sz w:val="11"/>
                <w:szCs w:val="11"/>
                <w:color w:val="auto"/>
              </w:rPr>
              <w:t>1,210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460,554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140,400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(929,674)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common stock under the Employee Stock Purchase Plan</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131,117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22,917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loss on available-for-sale securities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Balances as of July 31, 2025</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81,546,068</w:t>
            </w:r>
          </w:p>
        </w:tc>
        <w:tc>
          <w:tcPr>
            <w:tcW w:w="10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5,064,031</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(201,341)</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5,581</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(1,925,378)</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2,942,974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68,076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425,178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Shares withheld related to net share settlement of equity awards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(148,439)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133,630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133,630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(513,620)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(145,313)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(145,313)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RSA forfeitures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(19,845)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3,845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3,845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Balances as of October 31, 2025</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81,357,418</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5,152,122</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(346,654)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10,275</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(1,927,385)</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2,888,439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683"/>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500" w:type="dxa"/>
            <w:vAlign w:val="bottom"/>
          </w:tcPr>
          <w:p>
            <w:pPr>
              <w:spacing w:after="0"/>
              <w:rPr>
                <w:sz w:val="10"/>
                <w:szCs w:val="10"/>
                <w:color w:val="auto"/>
              </w:rPr>
            </w:pPr>
          </w:p>
        </w:tc>
        <w:tc>
          <w:tcPr>
            <w:tcW w:w="1820" w:type="dxa"/>
            <w:vAlign w:val="bottom"/>
            <w:gridSpan w:val="3"/>
          </w:tcPr>
          <w:p>
            <w:pPr>
              <w:jc w:val="right"/>
              <w:ind w:right="40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5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restart"/>
          </w:tcPr>
          <w:p>
            <w:pPr>
              <w:jc w:val="center"/>
              <w:ind w:right="160"/>
              <w:spacing w:after="0" w:line="96" w:lineRule="exact"/>
              <w:rPr>
                <w:sz w:val="20"/>
                <w:szCs w:val="20"/>
                <w:color w:val="auto"/>
              </w:rPr>
            </w:pPr>
            <w:r>
              <w:rPr>
                <w:rFonts w:ascii="Times New Roman" w:cs="Times New Roman" w:eastAsia="Times New Roman" w:hAnsi="Times New Roman"/>
                <w:sz w:val="10"/>
                <w:szCs w:val="10"/>
                <w:b w:val="1"/>
                <w:bCs w:val="1"/>
                <w:color w:val="auto"/>
                <w:w w:val="99"/>
              </w:rPr>
              <w:t>Additional Paid-In</w:t>
            </w: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vMerge w:val="restart"/>
          </w:tcPr>
          <w:p>
            <w:pPr>
              <w:jc w:val="right"/>
              <w:ind w:right="104"/>
              <w:spacing w:after="0" w:line="96" w:lineRule="exact"/>
              <w:rPr>
                <w:sz w:val="20"/>
                <w:szCs w:val="20"/>
                <w:color w:val="auto"/>
              </w:rPr>
            </w:pPr>
            <w:r>
              <w:rPr>
                <w:rFonts w:ascii="Times New Roman" w:cs="Times New Roman" w:eastAsia="Times New Roman" w:hAnsi="Times New Roman"/>
                <w:sz w:val="10"/>
                <w:szCs w:val="10"/>
                <w:b w:val="1"/>
                <w:bCs w:val="1"/>
                <w:color w:val="auto"/>
                <w:w w:val="99"/>
              </w:rPr>
              <w:t>Total Stockholders’</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vMerge w:val="restart"/>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35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9"/>
        </w:trPr>
        <w:tc>
          <w:tcPr>
            <w:tcW w:w="3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Balances as of January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72,741,321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2,777,322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w w:val="99"/>
              </w:rPr>
              <w:t>(1,319)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(1,711,632)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1,068,989</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132,617</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953</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399,213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performance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77,444</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120,763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120,763</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Unrealized loss on available-for-sale securities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(9,541)</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w:t>
            </w:r>
          </w:p>
        </w:tc>
        <w:tc>
          <w:tcPr>
            <w:tcW w:w="0" w:type="dxa"/>
            <w:vAlign w:val="bottom"/>
          </w:tcPr>
          <w:p>
            <w:pPr>
              <w:spacing w:after="0"/>
              <w:rPr>
                <w:sz w:val="1"/>
                <w:szCs w:val="1"/>
                <w:color w:val="auto"/>
              </w:rPr>
            </w:pPr>
          </w:p>
        </w:tc>
      </w:tr>
      <w:tr>
        <w:trPr>
          <w:trHeight w:val="13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Reclassification of derivative related to the Capped Call associated with</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the 2024 Notes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169,692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169,692</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(80,593)</w:t>
            </w:r>
          </w:p>
        </w:tc>
        <w:tc>
          <w:tcPr>
            <w:tcW w:w="0" w:type="dxa"/>
            <w:vAlign w:val="bottom"/>
          </w:tcPr>
          <w:p>
            <w:pPr>
              <w:spacing w:after="0"/>
              <w:rPr>
                <w:sz w:val="1"/>
                <w:szCs w:val="1"/>
                <w:color w:val="auto"/>
              </w:rPr>
            </w:pPr>
          </w:p>
        </w:tc>
      </w:tr>
      <w:tr>
        <w:trPr>
          <w:trHeight w:val="146"/>
        </w:trPr>
        <w:tc>
          <w:tcPr>
            <w:tcW w:w="3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Balances as of April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73,350,595</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3,068,730</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w w:val="99"/>
              </w:rPr>
              <w:t>(1,319)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(6,003)</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(1,792,225)</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1,269,256</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41,954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353</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374,560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122,423</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common stock under the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96,603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18,640</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6,989</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(54,529)</w:t>
            </w:r>
          </w:p>
        </w:tc>
        <w:tc>
          <w:tcPr>
            <w:tcW w:w="0" w:type="dxa"/>
            <w:vAlign w:val="bottom"/>
          </w:tcPr>
          <w:p>
            <w:pPr>
              <w:spacing w:after="0"/>
              <w:rPr>
                <w:sz w:val="1"/>
                <w:szCs w:val="1"/>
                <w:color w:val="auto"/>
              </w:rPr>
            </w:pPr>
          </w:p>
        </w:tc>
      </w:tr>
      <w:tr>
        <w:trPr>
          <w:trHeight w:val="151"/>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Balances as of July 31,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73,863,712</w:t>
            </w:r>
          </w:p>
        </w:tc>
        <w:tc>
          <w:tcPr>
            <w:tcW w:w="1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3,210,146</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w w:val="99"/>
              </w:rPr>
              <w:t>(1,319)</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(1,846,754)</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1,363,047</w:t>
            </w: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40,672</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385,695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125,712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125,712</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Conversion of convertible senior 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103,696</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20,973</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1,734</w:t>
            </w:r>
          </w:p>
        </w:tc>
        <w:tc>
          <w:tcPr>
            <w:tcW w:w="0" w:type="dxa"/>
            <w:vAlign w:val="bottom"/>
          </w:tcPr>
          <w:p>
            <w:pPr>
              <w:spacing w:after="0"/>
              <w:rPr>
                <w:sz w:val="1"/>
                <w:szCs w:val="1"/>
                <w:color w:val="auto"/>
              </w:rPr>
            </w:pPr>
          </w:p>
        </w:tc>
      </w:tr>
      <w:tr>
        <w:trPr>
          <w:trHeight w:val="171"/>
        </w:trPr>
        <w:tc>
          <w:tcPr>
            <w:tcW w:w="3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(9,776)</w:t>
            </w:r>
          </w:p>
        </w:tc>
        <w:tc>
          <w:tcPr>
            <w:tcW w:w="0" w:type="dxa"/>
            <w:vAlign w:val="bottom"/>
          </w:tcPr>
          <w:p>
            <w:pPr>
              <w:spacing w:after="0"/>
              <w:rPr>
                <w:sz w:val="1"/>
                <w:szCs w:val="1"/>
                <w:color w:val="auto"/>
              </w:rPr>
            </w:pPr>
          </w:p>
        </w:tc>
      </w:tr>
      <w:tr>
        <w:trPr>
          <w:trHeight w:val="146"/>
        </w:trPr>
        <w:tc>
          <w:tcPr>
            <w:tcW w:w="3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Balances as of October 31,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74,393,775</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2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3,357,146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w w:val="99"/>
              </w:rPr>
              <w:t>(1,319)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(1,856,530)</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1,501,976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4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44"/>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(86,681)</w:t>
            </w:r>
          </w:p>
        </w:tc>
        <w:tc>
          <w:tcPr>
            <w:tcW w:w="100" w:type="dxa"/>
            <w:vAlign w:val="bottom"/>
          </w:tcPr>
          <w:p>
            <w:pPr>
              <w:spacing w:after="0"/>
              <w:rPr>
                <w:sz w:val="14"/>
                <w:szCs w:val="14"/>
                <w:color w:val="auto"/>
              </w:rPr>
            </w:pPr>
          </w:p>
        </w:tc>
        <w:tc>
          <w:tcPr>
            <w:tcW w:w="820" w:type="dxa"/>
            <w:vAlign w:val="bottom"/>
          </w:tcPr>
          <w:p>
            <w:pPr>
              <w:jc w:val="center"/>
              <w:ind w:right="6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(144,898)</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loss to net cash provided by operating activities:</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9,580</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406,461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368,898</w:t>
            </w: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Amortization of debt discount and issuance costs</w:t>
            </w:r>
          </w:p>
        </w:tc>
        <w:tc>
          <w:tcPr>
            <w:tcW w:w="10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2,419</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Amortization of finance right-of-use assets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Amortization of operating right-of-use assets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8,300</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Deferred income taxes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Amortization of premium and accretion of discount on short-term investments, net</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(8,749)</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(19,117)</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Realized and unrealized loss (gain) on financial instruments, net</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Unrealized foreign exchange loss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1,992</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(25,188)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(11,258)</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Deferred commissions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10,952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(38,794)</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Other long-term assets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(13,999)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(17,704)</w:t>
            </w:r>
          </w:p>
        </w:tc>
        <w:tc>
          <w:tcPr>
            <w:tcW w:w="0" w:type="dxa"/>
            <w:vAlign w:val="bottom"/>
          </w:tcPr>
          <w:p>
            <w:pPr>
              <w:spacing w:after="0"/>
              <w:rPr>
                <w:sz w:val="1"/>
                <w:szCs w:val="1"/>
                <w:color w:val="auto"/>
              </w:rPr>
            </w:pPr>
          </w:p>
        </w:tc>
      </w:tr>
      <w:tr>
        <w:trPr>
          <w:trHeight w:val="17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payable</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3,555</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Accrued liabilities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22,494</w:t>
            </w:r>
          </w:p>
        </w:tc>
        <w:tc>
          <w:tcPr>
            <w:tcW w:w="0" w:type="dxa"/>
            <w:vAlign w:val="bottom"/>
          </w:tcPr>
          <w:p>
            <w:pPr>
              <w:spacing w:after="0"/>
              <w:rPr>
                <w:sz w:val="1"/>
                <w:szCs w:val="1"/>
                <w:color w:val="auto"/>
              </w:rPr>
            </w:pPr>
          </w:p>
        </w:tc>
      </w:tr>
      <w:tr>
        <w:trPr>
          <w:trHeight w:val="18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(9,145)</w:t>
            </w:r>
          </w:p>
        </w:tc>
        <w:tc>
          <w:tcPr>
            <w:tcW w:w="0" w:type="dxa"/>
            <w:vAlign w:val="bottom"/>
          </w:tcPr>
          <w:p>
            <w:pPr>
              <w:spacing w:after="0"/>
              <w:rPr>
                <w:sz w:val="1"/>
                <w:szCs w:val="1"/>
                <w:color w:val="auto"/>
              </w:rPr>
            </w:pPr>
          </w:p>
        </w:tc>
      </w:tr>
      <w:tr>
        <w:trPr>
          <w:trHeight w:val="201"/>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Deferred revenue</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9,459</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(71,352)</w:t>
            </w:r>
          </w:p>
        </w:tc>
        <w:tc>
          <w:tcPr>
            <w:tcW w:w="0" w:type="dxa"/>
            <w:vAlign w:val="bottom"/>
          </w:tcPr>
          <w:p>
            <w:pPr>
              <w:spacing w:after="0"/>
              <w:rPr>
                <w:sz w:val="1"/>
                <w:szCs w:val="1"/>
                <w:color w:val="auto"/>
              </w:rPr>
            </w:pPr>
          </w:p>
        </w:tc>
      </w:tr>
      <w:tr>
        <w:trPr>
          <w:trHeight w:val="182"/>
        </w:trPr>
        <w:tc>
          <w:tcPr>
            <w:tcW w:w="7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Other liabilities, non-current</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(3,741)</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325,544</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99,653</w:t>
            </w:r>
          </w:p>
        </w:tc>
        <w:tc>
          <w:tcPr>
            <w:tcW w:w="0" w:type="dxa"/>
            <w:vAlign w:val="bottom"/>
          </w:tcPr>
          <w:p>
            <w:pPr>
              <w:spacing w:after="0"/>
              <w:rPr>
                <w:sz w:val="1"/>
                <w:szCs w:val="1"/>
                <w:color w:val="auto"/>
              </w:rPr>
            </w:pPr>
          </w:p>
        </w:tc>
      </w:tr>
      <w:tr>
        <w:trPr>
          <w:trHeight w:val="13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Purchases of property, equipment and other assets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(3,571)</w:t>
            </w:r>
          </w:p>
        </w:tc>
        <w:tc>
          <w:tcPr>
            <w:tcW w:w="0" w:type="dxa"/>
            <w:vAlign w:val="bottom"/>
          </w:tcPr>
          <w:p>
            <w:pPr>
              <w:spacing w:after="0"/>
              <w:rPr>
                <w:sz w:val="1"/>
                <w:szCs w:val="1"/>
                <w:color w:val="auto"/>
              </w:rPr>
            </w:pPr>
          </w:p>
        </w:tc>
      </w:tr>
      <w:tr>
        <w:trPr>
          <w:trHeight w:val="171"/>
        </w:trPr>
        <w:tc>
          <w:tcPr>
            <w:tcW w:w="7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Business combination, net of cash acquired</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Investments in non-marketable securities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(8,322)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(5,750)</w:t>
            </w:r>
          </w:p>
        </w:tc>
        <w:tc>
          <w:tcPr>
            <w:tcW w:w="0" w:type="dxa"/>
            <w:vAlign w:val="bottom"/>
          </w:tcPr>
          <w:p>
            <w:pPr>
              <w:spacing w:after="0"/>
              <w:rPr>
                <w:sz w:val="1"/>
                <w:szCs w:val="1"/>
                <w:color w:val="auto"/>
              </w:rPr>
            </w:pPr>
          </w:p>
        </w:tc>
      </w:tr>
      <w:tr>
        <w:trPr>
          <w:trHeight w:val="171"/>
        </w:trPr>
        <w:tc>
          <w:tcPr>
            <w:tcW w:w="7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maturities of marketable securities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595,970</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570,000</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Proceeds from the sales of marketable securities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127,660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2"/>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(337,292)</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(971,803)</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372,158</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(411,124)</w:t>
            </w:r>
          </w:p>
        </w:tc>
        <w:tc>
          <w:tcPr>
            <w:tcW w:w="0" w:type="dxa"/>
            <w:vAlign w:val="bottom"/>
          </w:tcPr>
          <w:p>
            <w:pPr>
              <w:spacing w:after="0"/>
              <w:rPr>
                <w:sz w:val="1"/>
                <w:szCs w:val="1"/>
                <w:color w:val="auto"/>
              </w:rPr>
            </w:pPr>
          </w:p>
        </w:tc>
      </w:tr>
      <w:tr>
        <w:trPr>
          <w:trHeight w:val="13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(343,079)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7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settlement of capped calls</w:t>
            </w:r>
          </w:p>
        </w:tc>
        <w:tc>
          <w:tcPr>
            <w:tcW w:w="10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170,589</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Proceeds from the issuance of common stock under the Employee Stock Purchase Plan</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18,640</w:t>
            </w:r>
          </w:p>
        </w:tc>
        <w:tc>
          <w:tcPr>
            <w:tcW w:w="0" w:type="dxa"/>
            <w:vAlign w:val="bottom"/>
          </w:tcPr>
          <w:p>
            <w:pPr>
              <w:spacing w:after="0"/>
              <w:rPr>
                <w:sz w:val="1"/>
                <w:szCs w:val="1"/>
                <w:color w:val="auto"/>
              </w:rPr>
            </w:pPr>
          </w:p>
        </w:tc>
      </w:tr>
      <w:tr>
        <w:trPr>
          <w:trHeight w:val="171"/>
        </w:trPr>
        <w:tc>
          <w:tcPr>
            <w:tcW w:w="7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paid related to net share settlement of equity awards</w:t>
            </w: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2"/>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Principal payments of finance leases</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(5,800)</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(4,534)</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(362,136)</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186,316</w:t>
            </w:r>
          </w:p>
        </w:tc>
        <w:tc>
          <w:tcPr>
            <w:tcW w:w="0" w:type="dxa"/>
            <w:vAlign w:val="bottom"/>
          </w:tcPr>
          <w:p>
            <w:pPr>
              <w:spacing w:after="0"/>
              <w:rPr>
                <w:sz w:val="1"/>
                <w:szCs w:val="1"/>
                <w:color w:val="auto"/>
              </w:rPr>
            </w:pPr>
          </w:p>
        </w:tc>
      </w:tr>
      <w:tr>
        <w:trPr>
          <w:trHeight w:val="162"/>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8,851</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(2,825)</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increase in cash, cash equivalents and restricted cash</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344,417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(127,980)</w:t>
            </w:r>
          </w:p>
        </w:tc>
        <w:tc>
          <w:tcPr>
            <w:tcW w:w="0" w:type="dxa"/>
            <w:vAlign w:val="bottom"/>
          </w:tcPr>
          <w:p>
            <w:pPr>
              <w:spacing w:after="0"/>
              <w:rPr>
                <w:sz w:val="1"/>
                <w:szCs w:val="1"/>
                <w:color w:val="auto"/>
              </w:rPr>
            </w:pPr>
          </w:p>
        </w:tc>
      </w:tr>
      <w:tr>
        <w:trPr>
          <w:trHeight w:val="182"/>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492,753</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803,643</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102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837,170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right="6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675,663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Supplemental cash flow disclosure</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74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7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Cash paid during the period for:</w:t>
            </w:r>
          </w:p>
        </w:tc>
        <w:tc>
          <w:tcPr>
            <w:tcW w:w="10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Income taxes, net of refunds</w:t>
            </w:r>
          </w:p>
        </w:tc>
        <w:tc>
          <w:tcPr>
            <w:tcW w:w="102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10,644</w:t>
            </w:r>
          </w:p>
        </w:tc>
        <w:tc>
          <w:tcPr>
            <w:tcW w:w="100" w:type="dxa"/>
            <w:vAlign w:val="bottom"/>
          </w:tcPr>
          <w:p>
            <w:pPr>
              <w:spacing w:after="0"/>
              <w:rPr>
                <w:sz w:val="15"/>
                <w:szCs w:val="15"/>
                <w:color w:val="auto"/>
              </w:rPr>
            </w:pPr>
          </w:p>
        </w:tc>
        <w:tc>
          <w:tcPr>
            <w:tcW w:w="820" w:type="dxa"/>
            <w:vAlign w:val="bottom"/>
          </w:tcPr>
          <w:p>
            <w:pPr>
              <w:jc w:val="center"/>
              <w:ind w:right="6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11,703</w:t>
            </w:r>
          </w:p>
        </w:tc>
        <w:tc>
          <w:tcPr>
            <w:tcW w:w="0" w:type="dxa"/>
            <w:vAlign w:val="bottom"/>
          </w:tcPr>
          <w:p>
            <w:pPr>
              <w:spacing w:after="0"/>
              <w:rPr>
                <w:sz w:val="1"/>
                <w:szCs w:val="1"/>
                <w:color w:val="auto"/>
              </w:rPr>
            </w:pPr>
          </w:p>
        </w:tc>
      </w:tr>
      <w:tr>
        <w:trPr>
          <w:trHeight w:val="201"/>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Interest expense</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1,459</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0" w:type="dxa"/>
            <w:vAlign w:val="bottom"/>
          </w:tcPr>
          <w:p>
            <w:pPr>
              <w:spacing w:after="0"/>
              <w:rPr>
                <w:sz w:val="1"/>
                <w:szCs w:val="1"/>
                <w:color w:val="auto"/>
              </w:rPr>
            </w:pPr>
          </w:p>
        </w:tc>
      </w:tr>
      <w:tr>
        <w:trPr>
          <w:trHeight w:val="151"/>
        </w:trPr>
        <w:tc>
          <w:tcPr>
            <w:tcW w:w="74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Noncash investing and financing activities:</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Issuance of common stock in connection with a business combination</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141,402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liabilities</w:t>
            </w: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0" w:type="dxa"/>
            <w:vAlign w:val="bottom"/>
          </w:tcPr>
          <w:p>
            <w:pPr>
              <w:spacing w:after="0"/>
              <w:rPr>
                <w:sz w:val="1"/>
                <w:szCs w:val="1"/>
                <w:color w:val="auto"/>
              </w:rPr>
            </w:pPr>
          </w:p>
        </w:tc>
      </w:tr>
      <w:tr>
        <w:trPr>
          <w:trHeight w:val="201"/>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Unpaid taxes for net share settlement of equity awards included in accrued compensation and benefits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748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 within the condensed consolidated balance sheets, end of period, to the amounts shown in the</w:t>
            </w: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statements of cash flows above:</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834,092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6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673,054</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Restricted cash, non-current</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2,609</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102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837,170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right="6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675,663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Description of Business</w:t>
      </w:r>
    </w:p>
    <w:p>
      <w:pPr>
        <w:spacing w:after="0" w:line="138"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Basis of Presentation</w:t>
      </w:r>
    </w:p>
    <w:p>
      <w:pPr>
        <w:spacing w:after="0" w:line="138"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for the fair statement of the Company’s financial position, results of operations and cash flows for the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03"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2025 (the “2025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Use of Estimates</w:t>
      </w:r>
    </w:p>
    <w:p>
      <w:pPr>
        <w:spacing w:after="0" w:line="138"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03"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Significant Accounting Policies</w:t>
      </w:r>
    </w:p>
    <w:p>
      <w:pPr>
        <w:spacing w:after="0" w:line="138" w:lineRule="exact"/>
        <w:rPr>
          <w:sz w:val="20"/>
          <w:szCs w:val="20"/>
          <w:color w:val="auto"/>
        </w:rPr>
      </w:pPr>
    </w:p>
    <w:p>
      <w:pPr>
        <w:ind w:right="380" w:firstLine="509"/>
        <w:spacing w:after="0" w:line="477" w:lineRule="auto"/>
        <w:rPr>
          <w:sz w:val="20"/>
          <w:szCs w:val="20"/>
          <w:color w:val="auto"/>
        </w:rPr>
      </w:pPr>
      <w:r>
        <w:rPr>
          <w:rFonts w:ascii="Times New Roman" w:cs="Times New Roman" w:eastAsia="Times New Roman" w:hAnsi="Times New Roman"/>
          <w:sz w:val="14"/>
          <w:szCs w:val="14"/>
          <w:color w:val="auto"/>
        </w:rPr>
        <w:t xml:space="preserve">With the exception of the policies discussed below, there have been no other changes to the Company’s significant accounting policies as described in the Company’s 2025 Form 10-K. </w:t>
      </w:r>
      <w:r>
        <w:rPr>
          <w:rFonts w:ascii="Times New Roman" w:cs="Times New Roman" w:eastAsia="Times New Roman" w:hAnsi="Times New Roman"/>
          <w:sz w:val="14"/>
          <w:szCs w:val="14"/>
          <w:i w:val="1"/>
          <w:iCs w:val="1"/>
          <w:color w:val="auto"/>
        </w:rPr>
        <w:t>Business Combinations</w:t>
      </w:r>
    </w:p>
    <w:p>
      <w:pPr>
        <w:spacing w:after="0" w:line="200" w:lineRule="exact"/>
        <w:rPr>
          <w:sz w:val="20"/>
          <w:szCs w:val="20"/>
          <w:color w:val="auto"/>
        </w:rPr>
      </w:pP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the Company’s assessment of the information, and historical experience. The Company’s estimates of fair value are based upon assumptions believed to be reasonable, but which are inherently uncertain and unpredictable and, as a result, actual results may differ from estimates. During the measurement period, the Company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Stock</w:t>
      </w:r>
    </w:p>
    <w:p>
      <w:pPr>
        <w:spacing w:after="0" w:line="138"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Treasury stock is accounted for using the cost method and recorded as a reduction to stockholders’ equity on the condensed consolidated balance sheets. Incremental direct costs to purchase treasury stock are included in the cost of the shares acquired.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Pronouncements</w:t>
      </w:r>
    </w:p>
    <w:p>
      <w:pPr>
        <w:spacing w:after="0" w:line="136" w:lineRule="exact"/>
        <w:rPr>
          <w:sz w:val="20"/>
          <w:szCs w:val="20"/>
          <w:color w:val="auto"/>
        </w:rPr>
      </w:pPr>
    </w:p>
    <w:p>
      <w:pPr>
        <w:ind w:right="60"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In December 2023, the FASB issued ASU 2023-09,</w:t>
      </w:r>
      <w:r>
        <w:rPr>
          <w:rFonts w:ascii="Times New Roman" w:cs="Times New Roman" w:eastAsia="Times New Roman" w:hAnsi="Times New Roman"/>
          <w:sz w:val="14"/>
          <w:szCs w:val="14"/>
          <w:i w:val="1"/>
          <w:iCs w:val="1"/>
          <w:color w:val="auto"/>
        </w:rPr>
        <w:t xml:space="preserve"> Income Taxes </w:t>
      </w:r>
      <w:r>
        <w:rPr>
          <w:rFonts w:ascii="Times New Roman" w:cs="Times New Roman" w:eastAsia="Times New Roman" w:hAnsi="Times New Roman"/>
          <w:sz w:val="14"/>
          <w:szCs w:val="14"/>
          <w:color w:val="auto"/>
        </w:rPr>
        <w:t>(Topic 740): Improvements to Income Tax Disclosures, which requires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state and foreign taxes and to disaggregate the information by jurisdiction based on a quantitative threshold. The guidance is effective for the Company for the fiscal year ending January 31, 2026, and may be applied on a retrospective or prospective basis, with early adoption permitted. The Company is currently evaluating the impact of ASU 2023-09 on its consolidated financial statements.</w:t>
      </w:r>
    </w:p>
    <w:p>
      <w:pPr>
        <w:spacing w:after="0" w:line="99"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Disaggregation—Income Statement Expenses</w:t>
      </w:r>
      <w:r>
        <w:rPr>
          <w:rFonts w:ascii="Times New Roman" w:cs="Times New Roman" w:eastAsia="Times New Roman" w:hAnsi="Times New Roman"/>
          <w:sz w:val="14"/>
          <w:szCs w:val="14"/>
          <w:color w:val="auto"/>
        </w:rPr>
        <w:t>. In November 2024, the FASB issued ASU 2024-03,</w:t>
      </w:r>
      <w:r>
        <w:rPr>
          <w:rFonts w:ascii="Times New Roman" w:cs="Times New Roman" w:eastAsia="Times New Roman" w:hAnsi="Times New Roman"/>
          <w:sz w:val="14"/>
          <w:szCs w:val="14"/>
          <w:i w:val="1"/>
          <w:iCs w:val="1"/>
          <w:color w:val="auto"/>
        </w:rPr>
        <w:t xml:space="preserve"> Income Statement—Reporting Comprehensive Income—Expense Disaggregation Disclosures </w:t>
      </w:r>
      <w:r>
        <w:rPr>
          <w:rFonts w:ascii="Times New Roman" w:cs="Times New Roman" w:eastAsia="Times New Roman" w:hAnsi="Times New Roman"/>
          <w:sz w:val="14"/>
          <w:szCs w:val="14"/>
          <w:color w:val="auto"/>
        </w:rPr>
        <w:t>(Subtopic 220-40): Disaggregation of Income Statement Expenses, which requires disclosures about specific types of expenses included in the expense captions presented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 of Operations as well as disclosures about selling expenses. The guidance is effective for annual filings for the Company's fiscal year beginning February 1, 2027, and interim filings for the fiscal year beginning February 1, 2028, and can be applied either prospectively or retrospectively, with early adoption permitted. The Company is currently evaluating the impact of ASU 2024-03 on its consolidated financial statements.</w:t>
      </w:r>
    </w:p>
    <w:p>
      <w:pPr>
        <w:spacing w:after="0" w:line="161" w:lineRule="exact"/>
        <w:rPr>
          <w:sz w:val="20"/>
          <w:szCs w:val="20"/>
          <w:color w:val="auto"/>
        </w:rPr>
      </w:pPr>
    </w:p>
    <w:p>
      <w:pPr>
        <w:ind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Targeted Improvements to the Accounting for Internal-Use Software. </w:t>
      </w:r>
      <w:r>
        <w:rPr>
          <w:rFonts w:ascii="Times New Roman" w:cs="Times New Roman" w:eastAsia="Times New Roman" w:hAnsi="Times New Roman"/>
          <w:sz w:val="14"/>
          <w:szCs w:val="14"/>
          <w:color w:val="auto"/>
        </w:rPr>
        <w:t>In September 2025, the FASB issued an update to ASU 2025-06,</w:t>
      </w:r>
      <w:r>
        <w:rPr>
          <w:rFonts w:ascii="Times New Roman" w:cs="Times New Roman" w:eastAsia="Times New Roman" w:hAnsi="Times New Roman"/>
          <w:sz w:val="14"/>
          <w:szCs w:val="14"/>
          <w:i w:val="1"/>
          <w:iCs w:val="1"/>
          <w:color w:val="auto"/>
        </w:rPr>
        <w:t xml:space="preserve"> Intangibles—Goodwill and Other—Internal-Use Software </w:t>
      </w:r>
      <w:r>
        <w:rPr>
          <w:rFonts w:ascii="Times New Roman" w:cs="Times New Roman" w:eastAsia="Times New Roman" w:hAnsi="Times New Roman"/>
          <w:sz w:val="14"/>
          <w:szCs w:val="14"/>
          <w:color w:val="auto"/>
        </w:rPr>
        <w:t>(Subtopic 350-40): Targeted Improvements to the Accounting for Internal-Use Software, which removes all references to prescriptive and sequential software development stages and allows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software development costs to be capitalized once management commits to funding the project and it is probable that the project will be completed and used as intended. The new guidance introduces the concept of "significant development uncertainty," which if present, prevents capitalization. The guidance is effective for annual filings for the Company's fiscal year beginning February 1, 2028, and interim reporting periods within those annual reporting periods, and can be applied using a prospective, retrospective, or modified transition approach, with early adoption permitted. The Company is currently evaluating the impact of the updates to ASU 2025-06 on its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138" w:lineRule="exact"/>
        <w:rPr>
          <w:sz w:val="20"/>
          <w:szCs w:val="20"/>
          <w:color w:val="auto"/>
        </w:rPr>
      </w:pPr>
    </w:p>
    <w:p>
      <w:pPr>
        <w:ind w:right="32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assets that have been measured at fair value on a recurring basis as of October 31, 2025 and January 31, 2025 and indicate the fair value hierarchy of the valuation inputs utilized to determine such fair value (in thousands):</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Financial Assets:</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Money market funds</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30" w:lineRule="exact"/>
        <w:rPr>
          <w:sz w:val="20"/>
          <w:szCs w:val="20"/>
          <w:color w:val="auto"/>
        </w:rPr>
      </w:pPr>
    </w:p>
    <w:p>
      <w:pPr>
        <w:ind w:left="280" w:hanging="158"/>
        <w:spacing w:after="0" w:line="366" w:lineRule="auto"/>
        <w:rPr>
          <w:sz w:val="20"/>
          <w:szCs w:val="20"/>
          <w:color w:val="auto"/>
        </w:rPr>
      </w:pPr>
      <w:r>
        <w:rPr>
          <w:rFonts w:ascii="Times New Roman" w:cs="Times New Roman" w:eastAsia="Times New Roman" w:hAnsi="Times New Roman"/>
          <w:sz w:val="14"/>
          <w:szCs w:val="14"/>
          <w:color w:val="auto"/>
        </w:rPr>
        <w:t>U.S. government treasury securities Total financial assets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5"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3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Fair Value Measurement as of October 31, 2025</w:t>
      </w:r>
    </w:p>
    <w:p>
      <w:pPr>
        <w:spacing w:after="0" w:line="18" w:lineRule="exact"/>
        <w:rPr>
          <w:sz w:val="20"/>
          <w:szCs w:val="20"/>
          <w:color w:val="auto"/>
        </w:rPr>
      </w:pPr>
    </w:p>
    <w:tbl>
      <w:tblPr>
        <w:tblLayout w:type="fixed"/>
        <w:tblInd w:w="2800" w:type="dxa"/>
        <w:tblCellMar>
          <w:top w:w="0" w:type="dxa"/>
          <w:left w:w="0" w:type="dxa"/>
          <w:bottom w:w="0" w:type="dxa"/>
          <w:right w:w="0" w:type="dxa"/>
        </w:tblCellMar>
      </w:tblPr>
      <w:tr>
        <w:trPr>
          <w:trHeight w:val="171"/>
        </w:trPr>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556"/>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250,305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250,305</w:t>
            </w:r>
          </w:p>
        </w:tc>
      </w:tr>
      <w:tr>
        <w:trPr>
          <w:trHeight w:val="403"/>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1,471,669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1,471,669</w:t>
            </w:r>
          </w:p>
        </w:tc>
      </w:tr>
      <w:tr>
        <w:trPr>
          <w:trHeight w:val="203"/>
        </w:trPr>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1,721,974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1,721,974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28"/>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6"/>
              </w:rPr>
              <w:t>Fair Value Measurement as of January 31, 2025</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0"/>
        </w:trPr>
        <w:tc>
          <w:tcPr>
            <w:tcW w:w="320" w:type="dxa"/>
            <w:vAlign w:val="bottom"/>
          </w:tcPr>
          <w:p>
            <w:pPr>
              <w:spacing w:after="0"/>
              <w:rPr>
                <w:sz w:val="13"/>
                <w:szCs w:val="13"/>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3"/>
                <w:szCs w:val="13"/>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-1311910</wp:posOffset>
            </wp:positionV>
            <wp:extent cx="716153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-1082675</wp:posOffset>
            </wp:positionV>
            <wp:extent cx="7161530"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-833120</wp:posOffset>
            </wp:positionV>
            <wp:extent cx="7161530" cy="141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140" w:space="240"/>
            <w:col w:w="8900"/>
          </w:cols>
          <w:pgMar w:left="300" w:top="133" w:right="319" w:bottom="1440" w:gutter="0" w:footer="0" w:header="0"/>
        </w:sectPr>
      </w:pPr>
    </w:p>
    <w:tbl>
      <w:tblPr>
        <w:tblLayout w:type="fixed"/>
        <w:tblInd w:w="0" w:type="dxa"/>
        <w:tblCellMar>
          <w:top w:w="0" w:type="dxa"/>
          <w:left w:w="0" w:type="dxa"/>
          <w:bottom w:w="0" w:type="dxa"/>
          <w:right w:w="0" w:type="dxa"/>
        </w:tblCellMar>
      </w:tblPr>
      <w:tr>
        <w:trPr>
          <w:trHeight w:val="17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4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152,588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152,588</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treasury securities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1,846,444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1,846,444</w:t>
            </w:r>
          </w:p>
        </w:tc>
      </w:tr>
      <w:tr>
        <w:trPr>
          <w:trHeight w:val="203"/>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financial assets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1,999,032</w:t>
            </w:r>
          </w:p>
        </w:tc>
        <w:tc>
          <w:tcPr>
            <w:tcW w:w="100" w:type="dxa"/>
            <w:vAlign w:val="bottom"/>
          </w:tcPr>
          <w:p>
            <w:pPr>
              <w:spacing w:after="0"/>
              <w:rPr>
                <w:sz w:val="17"/>
                <w:szCs w:val="17"/>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1,999,032</w:t>
            </w:r>
          </w:p>
        </w:tc>
      </w:tr>
      <w:tr>
        <w:trPr>
          <w:trHeight w:val="20"/>
        </w:trPr>
        <w:tc>
          <w:tcPr>
            <w:tcW w:w="5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Company utilized the market approach and Level 1 valuation inputs to value its money market mutual funds and U.S. government treasury securities because published net asset values were readily available.</w:t>
      </w:r>
    </w:p>
    <w:p>
      <w:pPr>
        <w:spacing w:after="0" w:line="82"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amortized cost and fair value of the Company’s short-term investments by remaining contractual maturity as of October 31, 2025 and January 31, 2025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January 31, 2025</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2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907,233</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909,390</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968,748</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969,692</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one year and within three years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558,042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562,279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876,154</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876,752</w:t>
            </w:r>
          </w:p>
        </w:tc>
        <w:tc>
          <w:tcPr>
            <w:tcW w:w="0" w:type="dxa"/>
            <w:vAlign w:val="bottom"/>
          </w:tcPr>
          <w:p>
            <w:pPr>
              <w:spacing w:after="0"/>
              <w:rPr>
                <w:sz w:val="1"/>
                <w:szCs w:val="1"/>
                <w:color w:val="auto"/>
              </w:rPr>
            </w:pPr>
          </w:p>
        </w:tc>
      </w:tr>
      <w:tr>
        <w:trPr>
          <w:trHeight w:val="171"/>
        </w:trPr>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short-term investments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1,465,275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1,471,669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1,844,902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1,846,444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As of October 31, 2025 and January 31, 2025, net unrealized gains on the Company’s U.S. government treasury securities were approximately $6.4 million and $1.5 million, respectively. These net unrealized gains were caused by fluctuations in interest rates, which results in changes to the market value of these securities. Since the fluctuation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October 31, 2025. Gross realized gains and losses were not material for each of the three and nine months ended October 31, 2025 and 2024. There were no material short-term investments in a continuous loss position for greater than twelve months.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Non-marketable Securities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October 31, 2025 and January 31, 2025, the total amount of non-marketable equity securities included in other assets on the Company’s condensed consolidated balance sheets were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 million and $24.2 million, respectively. The Company invested an additional $8.5 million and $5.8 million of its cash in non-marketable equity securities during the nine months ended October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 2025 and 2024, respectively. The Company recognized immaterial net unrealized losses on certain of these non-marketable securities during the three and nine months ended October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immaterial net unrealized gains on certain of these non-marketable securities during the three and nine months ended October 31,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Business Combinations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Voyage AI Innovations, Inc.</w:t>
      </w:r>
    </w:p>
    <w:p>
      <w:pPr>
        <w:spacing w:after="0" w:line="138"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On February 17, 2025 (the “Acquisition Date”), the Company acquired all outstanding shares of Voyage AI Innovations, Inc. (“Voyage AI”), an AI-powered software company that specializes in embedding and reranking models. The Company acquired Voyage AI for its developed technology and talent.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Company accounted for the transaction as a business acquisition under the acquisition method of accounting.</w:t>
            </w:r>
          </w:p>
        </w:tc>
        <w:tc>
          <w:tcPr>
            <w:tcW w:w="4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86"/>
        </w:trPr>
        <w:tc>
          <w:tcPr>
            <w:tcW w:w="8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acquisition date fair value of the purchase consideration was $160.9 million, which comprised the following (in thousands):</w:t>
            </w: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76"/>
        </w:trPr>
        <w:tc>
          <w:tcPr>
            <w:tcW w:w="85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7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w:t>
            </w:r>
          </w:p>
        </w:tc>
      </w:tr>
      <w:tr>
        <w:trPr>
          <w:trHeight w:val="180"/>
        </w:trPr>
        <w:tc>
          <w:tcPr>
            <w:tcW w:w="85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Common stock</w:t>
            </w:r>
            <w:r>
              <w:rPr>
                <w:rFonts w:ascii="Times New Roman" w:cs="Times New Roman" w:eastAsia="Times New Roman" w:hAnsi="Times New Roman"/>
                <w:sz w:val="18"/>
                <w:szCs w:val="18"/>
                <w:color w:val="auto"/>
                <w:vertAlign w:val="superscript"/>
              </w:rPr>
              <w:t>(1)</w:t>
            </w:r>
          </w:p>
        </w:tc>
        <w:tc>
          <w:tcPr>
            <w:tcW w:w="4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141,402</w:t>
            </w:r>
          </w:p>
        </w:tc>
      </w:tr>
      <w:tr>
        <w:trPr>
          <w:trHeight w:val="196"/>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160,866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520" w:right="20" w:hanging="133"/>
        <w:spacing w:after="0" w:line="233" w:lineRule="auto"/>
        <w:tabs>
          <w:tab w:leader="none" w:pos="523"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Approximately 484,169 shares of the Company’s common stock were included in the purchase consideration and the fair values of these shares were determined based on the opening market price of $292.05 per share on February 18, 2025. Because the acquisition closed on a market holiday, the Company elected to use the opening market price on the first trading day subsequent to the acquisition date.</w:t>
      </w:r>
    </w:p>
    <w:p>
      <w:pPr>
        <w:spacing w:after="0" w:line="107" w:lineRule="exact"/>
        <w:rPr>
          <w:sz w:val="20"/>
          <w:szCs w:val="20"/>
          <w:color w:val="auto"/>
        </w:rPr>
      </w:pPr>
    </w:p>
    <w:p>
      <w:pPr>
        <w:ind w:right="28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this business combination, the Company also issued to certain of Voyage AI’s employees a total of 213,023 shares of restricted stock awards and 35,152 shares of restricted stock units in exchange for a portion of their Voyage AI stock. These shares are subject to vesting agreements contingent upon each of these employees’ continued employment with the Company or its affiliates, pursuant to which the shares will vest over the weighted-average requisite service period of 2.7 years. The $62.2 million fair value of these restricted stock awards and $10.3 million fair value of these restricted stock units are accounted for as post-combination stock-based compensation expense over the weighted-average requisite service period.</w:t>
      </w:r>
    </w:p>
    <w:p>
      <w:pPr>
        <w:spacing w:after="0" w:line="98"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preliminary allocation of purchase consideration to assets acquired and liabilities assumed based on their respective estimated fair values as of the date of acquisition: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20" w:type="dxa"/>
            <w:vAlign w:val="bottom"/>
          </w:tcPr>
          <w:p>
            <w:pPr>
              <w:spacing w:after="0"/>
              <w:rPr>
                <w:sz w:val="13"/>
                <w:szCs w:val="13"/>
                <w:color w:val="auto"/>
              </w:rPr>
            </w:pPr>
          </w:p>
        </w:tc>
        <w:tc>
          <w:tcPr>
            <w:tcW w:w="24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8"/>
        </w:trPr>
        <w:tc>
          <w:tcPr>
            <w:tcW w:w="61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2420" w:type="dxa"/>
            <w:vAlign w:val="bottom"/>
            <w:tcBorders>
              <w:bottom w:val="single" w:sz="8" w:color="CCEEFF"/>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17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120" w:type="dxa"/>
            <w:vAlign w:val="bottom"/>
            <w:shd w:val="clear" w:color="auto" w:fill="CCEEFF"/>
          </w:tcPr>
          <w:p>
            <w:pPr>
              <w:jc w:val="right"/>
              <w:ind w:right="1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17,365</w:t>
            </w:r>
          </w:p>
        </w:tc>
        <w:tc>
          <w:tcPr>
            <w:tcW w:w="2420" w:type="dxa"/>
            <w:vAlign w:val="bottom"/>
            <w:shd w:val="clear" w:color="auto" w:fill="CCEEFF"/>
          </w:tcPr>
          <w:p>
            <w:pPr>
              <w:spacing w:after="0"/>
              <w:rPr>
                <w:sz w:val="15"/>
                <w:szCs w:val="15"/>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2420" w:type="dxa"/>
            <w:vAlign w:val="bottom"/>
          </w:tcPr>
          <w:p>
            <w:pPr>
              <w:spacing w:after="0"/>
              <w:rPr>
                <w:sz w:val="19"/>
                <w:szCs w:val="19"/>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119,962</w:t>
            </w:r>
          </w:p>
        </w:tc>
        <w:tc>
          <w:tcPr>
            <w:tcW w:w="2420" w:type="dxa"/>
            <w:vAlign w:val="bottom"/>
            <w:shd w:val="clear" w:color="auto" w:fill="CCEEFF"/>
          </w:tcPr>
          <w:p>
            <w:pPr>
              <w:spacing w:after="0"/>
              <w:rPr>
                <w:sz w:val="15"/>
                <w:szCs w:val="15"/>
                <w:color w:val="auto"/>
              </w:rPr>
            </w:pPr>
          </w:p>
        </w:tc>
      </w:tr>
      <w:tr>
        <w:trPr>
          <w:trHeight w:val="18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 intangible asset</w:t>
            </w:r>
          </w:p>
        </w:tc>
        <w:tc>
          <w:tcPr>
            <w:tcW w:w="2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2420" w:type="dxa"/>
            <w:vAlign w:val="bottom"/>
            <w:shd w:val="clear" w:color="auto" w:fill="CCEEFF"/>
          </w:tcPr>
          <w:p>
            <w:pPr>
              <w:spacing w:after="0"/>
              <w:rPr>
                <w:sz w:val="15"/>
                <w:szCs w:val="15"/>
                <w:color w:val="auto"/>
              </w:rPr>
            </w:pPr>
          </w:p>
        </w:tc>
      </w:tr>
      <w:tr>
        <w:trPr>
          <w:trHeight w:val="180"/>
        </w:trPr>
        <w:tc>
          <w:tcPr>
            <w:tcW w:w="61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Deferred tax liabilities, net</w:t>
            </w:r>
            <w:r>
              <w:rPr>
                <w:rFonts w:ascii="Times New Roman" w:cs="Times New Roman" w:eastAsia="Times New Roman" w:hAnsi="Times New Roman"/>
                <w:sz w:val="18"/>
                <w:szCs w:val="18"/>
                <w:color w:val="auto"/>
                <w:vertAlign w:val="superscript"/>
              </w:rPr>
              <w:t>(1)</w:t>
            </w:r>
          </w:p>
        </w:tc>
        <w:tc>
          <w:tcPr>
            <w:tcW w:w="2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2420" w:type="dxa"/>
            <w:vAlign w:val="bottom"/>
            <w:tcBorders>
              <w:bottom w:val="single" w:sz="8" w:color="CCEEFF"/>
            </w:tcBorders>
          </w:tcPr>
          <w:p>
            <w:pPr>
              <w:spacing w:after="0"/>
              <w:rPr>
                <w:sz w:val="15"/>
                <w:szCs w:val="15"/>
                <w:color w:val="auto"/>
              </w:rPr>
            </w:pPr>
          </w:p>
        </w:tc>
      </w:tr>
      <w:tr>
        <w:trPr>
          <w:trHeight w:val="196"/>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purchase price</w:t>
            </w:r>
          </w:p>
        </w:tc>
        <w:tc>
          <w:tcPr>
            <w:tcW w:w="2120" w:type="dxa"/>
            <w:vAlign w:val="bottom"/>
            <w:tcBorders>
              <w:bottom w:val="single" w:sz="8" w:color="auto"/>
            </w:tcBorders>
            <w:shd w:val="clear" w:color="auto" w:fill="CCEEFF"/>
          </w:tcPr>
          <w:p>
            <w:pPr>
              <w:jc w:val="right"/>
              <w:ind w:right="1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160,866</w:t>
            </w:r>
          </w:p>
        </w:tc>
        <w:tc>
          <w:tcPr>
            <w:tcW w:w="2420" w:type="dxa"/>
            <w:vAlign w:val="bottom"/>
            <w:tcBorders>
              <w:bottom w:val="single" w:sz="8" w:color="CCEEFF"/>
            </w:tcBorders>
            <w:shd w:val="clear" w:color="auto" w:fill="CCEEFF"/>
          </w:tcPr>
          <w:p>
            <w:pPr>
              <w:spacing w:after="0"/>
              <w:rPr>
                <w:sz w:val="16"/>
                <w:szCs w:val="16"/>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r>
    </w:tbl>
    <w:p>
      <w:pPr>
        <w:spacing w:after="0" w:line="33" w:lineRule="exact"/>
        <w:rPr>
          <w:sz w:val="20"/>
          <w:szCs w:val="20"/>
          <w:color w:val="auto"/>
        </w:rPr>
      </w:pPr>
    </w:p>
    <w:p>
      <w:pPr>
        <w:ind w:left="520" w:hanging="133"/>
        <w:spacing w:after="0"/>
        <w:tabs>
          <w:tab w:leader="none" w:pos="52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Deferred tax liabilities, net primarily relate to the intangible asset acquired and the amount presented is net of deferred tax assets.</w:t>
      </w:r>
    </w:p>
    <w:p>
      <w:pPr>
        <w:spacing w:after="0" w:line="106"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The fair value of the developed technology was estimated using the reproduction cost method (Level 3), which utilized assumptions for the cost to replace, such as the workforce, timing and resources required, as well as a theoretical profit margin and opportunity cost. The Company determined the economic useful life to be two years based on the expected time period that the asset would contribute to the Company’s future cash flows without significant upgrades. The values assigned to the assets acquired and liabilities assumed are based on preliminary estimates of fair value available as of the date of this Quarterly Report on Form 10-Q. The Company continues to collect information with regards to the estimates and assumptions, including identification of potential liabilities, contingencies, and the allocation of the purchase price. Adjustments to the fair value of the net assets acquired, liabilities assumed and goodwill will be recorded within the measurement period, if necessary.</w:t>
      </w:r>
    </w:p>
    <w:p>
      <w:pPr>
        <w:spacing w:after="0" w:line="103"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Goodwill related to the acquisition, which represents the difference between the purchase price and fair values of identifiable net assets, is not tax deductible for U.S. income tax purposes. The Company believes the goodwill balance</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associated with this business combination is attributable to the assembled workforce as well as synergies expected from expanded market opportunities when integrating the acquired developed technology with the Company’s offerings.</w:t>
      </w:r>
    </w:p>
    <w:p>
      <w:pPr>
        <w:spacing w:after="0" w:line="82"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 Company incurred acquisition-related costs for the Voyage AI acquisition of $1.5 million during the nine months ended October 31, 2025. These acquisition-related costs were included in general and administrative expenses in the Company’s interim condensed consolidated statements of operations.</w:t>
      </w:r>
    </w:p>
    <w:p>
      <w:pPr>
        <w:spacing w:after="0" w:line="82"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From the date of acquisition through October 31, 2025, revenue attributable to Voyage AI, included in the Company’s interim condensed consolidated statements of operations for the three and nine months ended October 31, 2025, was not material.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Grainite, Inc.</w:t>
      </w:r>
    </w:p>
    <w:p>
      <w:pPr>
        <w:spacing w:after="0" w:line="138"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4"/>
          <w:szCs w:val="14"/>
          <w:color w:val="auto"/>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condensed consolidated statements of operations. The business combination did not have a material impact on the Company’s consolidated financial statements for the year ended January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 Net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the carrying amount of goodwill during the periods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October 31, 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3"/>
                <w:szCs w:val="13"/>
                <w:b w:val="1"/>
                <w:bCs w:val="1"/>
                <w:color w:val="auto"/>
              </w:rPr>
              <w:t>January 31, 2025</w:t>
            </w:r>
          </w:p>
        </w:tc>
        <w:tc>
          <w:tcPr>
            <w:tcW w:w="0" w:type="dxa"/>
            <w:vAlign w:val="bottom"/>
          </w:tcPr>
          <w:p>
            <w:pPr>
              <w:spacing w:after="0"/>
              <w:rPr>
                <w:sz w:val="1"/>
                <w:szCs w:val="1"/>
                <w:color w:val="auto"/>
              </w:rPr>
            </w:pPr>
          </w:p>
        </w:tc>
      </w:tr>
      <w:tr>
        <w:trPr>
          <w:trHeight w:val="17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69,679</w:t>
            </w:r>
          </w:p>
        </w:tc>
        <w:tc>
          <w:tcPr>
            <w:tcW w:w="0" w:type="dxa"/>
            <w:vAlign w:val="bottom"/>
          </w:tcPr>
          <w:p>
            <w:pPr>
              <w:spacing w:after="0"/>
              <w:rPr>
                <w:sz w:val="1"/>
                <w:szCs w:val="1"/>
                <w:color w:val="auto"/>
              </w:rPr>
            </w:pPr>
          </w:p>
        </w:tc>
      </w:tr>
      <w:tr>
        <w:trPr>
          <w:trHeight w:val="18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 in goodwill related to business combinations</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119,962</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189,641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8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The gross carrying amount and accumulated amortization of the Company’s intangible assets are as follows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October 31, 2025</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40" w:type="dxa"/>
            <w:vAlign w:val="bottom"/>
          </w:tcPr>
          <w:p>
            <w:pPr>
              <w:spacing w:after="0"/>
              <w:rPr>
                <w:sz w:val="13"/>
                <w:szCs w:val="13"/>
                <w:color w:val="auto"/>
              </w:rPr>
            </w:pPr>
          </w:p>
        </w:tc>
        <w:tc>
          <w:tcPr>
            <w:tcW w:w="134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0" w:type="dxa"/>
            <w:vAlign w:val="bottom"/>
          </w:tcPr>
          <w:p>
            <w:pPr>
              <w:spacing w:after="0"/>
              <w:rPr>
                <w:sz w:val="1"/>
                <w:szCs w:val="1"/>
                <w:color w:val="auto"/>
              </w:rPr>
            </w:pPr>
          </w:p>
        </w:tc>
      </w:tr>
      <w:tr>
        <w:trPr>
          <w:trHeight w:val="17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65,200</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15,867</w:t>
            </w: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 addresses</w:t>
            </w:r>
          </w:p>
        </w:tc>
        <w:tc>
          <w:tcPr>
            <w:tcW w:w="5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24,445</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22,441</w:t>
            </w:r>
          </w:p>
        </w:tc>
        <w:tc>
          <w:tcPr>
            <w:tcW w:w="0" w:type="dxa"/>
            <w:vAlign w:val="bottom"/>
          </w:tcPr>
          <w:p>
            <w:pPr>
              <w:spacing w:after="0"/>
              <w:rPr>
                <w:sz w:val="1"/>
                <w:szCs w:val="1"/>
                <w:color w:val="auto"/>
              </w:rPr>
            </w:pPr>
          </w:p>
        </w:tc>
      </w:tr>
      <w:tr>
        <w:trPr>
          <w:trHeight w:val="171"/>
        </w:trPr>
        <w:tc>
          <w:tcPr>
            <w:tcW w:w="5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104,845</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(66,537)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56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55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5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January 31, 2025</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160" w:type="dxa"/>
            <w:vAlign w:val="bottom"/>
          </w:tcPr>
          <w:p>
            <w:pPr>
              <w:spacing w:after="0"/>
              <w:rPr>
                <w:sz w:val="13"/>
                <w:szCs w:val="13"/>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40" w:type="dxa"/>
            <w:vAlign w:val="bottom"/>
          </w:tcPr>
          <w:p>
            <w:pPr>
              <w:spacing w:after="0"/>
              <w:rPr>
                <w:sz w:val="13"/>
                <w:szCs w:val="13"/>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Net Book Value</w:t>
            </w:r>
          </w:p>
        </w:tc>
      </w:tr>
      <w:tr>
        <w:trPr>
          <w:trHeight w:val="176"/>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 addresses</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23,804</w:t>
            </w:r>
          </w:p>
        </w:tc>
      </w:tr>
      <w:tr>
        <w:trPr>
          <w:trHeight w:val="171"/>
        </w:trPr>
        <w:tc>
          <w:tcPr>
            <w:tcW w:w="6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80,386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(55,789)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24,597</w:t>
            </w: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40" w:firstLine="509"/>
        <w:spacing w:after="0" w:line="290" w:lineRule="auto"/>
        <w:rPr>
          <w:sz w:val="20"/>
          <w:szCs w:val="20"/>
          <w:color w:val="auto"/>
        </w:rPr>
      </w:pPr>
      <w:r>
        <w:rPr>
          <w:rFonts w:ascii="Times New Roman" w:cs="Times New Roman" w:eastAsia="Times New Roman" w:hAnsi="Times New Roman"/>
          <w:sz w:val="14"/>
          <w:szCs w:val="14"/>
          <w:color w:val="auto"/>
        </w:rPr>
        <w:t xml:space="preserve">Intangible assets are primarily acquired through business combinations. See Note 4,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for further details. During the year ended January 31, 2025, the Company purchased $24.0 million of intangible assets for IP addresses and the costs are amortized on a straight-line basis over an estimated useful life of ten years.</w:t>
      </w:r>
    </w:p>
    <w:p>
      <w:pPr>
        <w:spacing w:after="0" w:line="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Intangible assets are amortized on a straight-line basis. Amortization expense of intangible assets was $3.8 million and $10.7 million for the three and nine months ended October 31, 2025, respectively and $0.2 million and $3.0 million for the three and nine months ended October 31, 2024, respectively. Amortization expense for developed technology is included as cost of subscription revenue and research and development expense in the Company’s interim condensed consolidated statements of operations. Amortization expense for customer relationships is included as sales and marketing expense in the Company’s interim condensed consolidated statements of operations. Amortization expense for IP addresses is included as cost of subscription revenue in the Company’s interim condensed consolidated statements of operations.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As of October 31, 2025, future amortization expense related to the intangible assets is as follows (in thousands):</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29"/>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
        </w:trPr>
        <w:tc>
          <w:tcPr>
            <w:tcW w:w="9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9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Remainder of 2026</w:t>
            </w: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r>
      <w:tr>
        <w:trPr>
          <w:trHeight w:val="180"/>
        </w:trPr>
        <w:tc>
          <w:tcPr>
            <w:tcW w:w="9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14,558</w:t>
            </w:r>
          </w:p>
        </w:tc>
      </w:tr>
      <w:tr>
        <w:trPr>
          <w:trHeight w:val="180"/>
        </w:trPr>
        <w:tc>
          <w:tcPr>
            <w:tcW w:w="9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r>
      <w:tr>
        <w:trPr>
          <w:trHeight w:val="180"/>
        </w:trPr>
        <w:tc>
          <w:tcPr>
            <w:tcW w:w="9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r>
      <w:tr>
        <w:trPr>
          <w:trHeight w:val="180"/>
        </w:trPr>
        <w:tc>
          <w:tcPr>
            <w:tcW w:w="9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2030</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r>
      <w:tr>
        <w:trPr>
          <w:trHeight w:val="180"/>
        </w:trPr>
        <w:tc>
          <w:tcPr>
            <w:tcW w:w="9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12,053</w:t>
            </w:r>
          </w:p>
        </w:tc>
      </w:tr>
      <w:tr>
        <w:trPr>
          <w:trHeight w:val="196"/>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Convertible Senior Notes</w:t>
      </w:r>
    </w:p>
    <w:p>
      <w:pPr>
        <w:spacing w:after="0" w:line="138"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were senior unsecured obligations of the Company and interest was payable semiannually in arrears on July 15 and January 15 of each year, beginning on July 15, 2020, at a rate of 0.25% per year. The 2026 Notes had an original maturity date of January 15, 2026, unless earlier converted, redeemed or repurchased. The total net proceeds from the offering, after deducting initial purchase discounts and estimated debt issuance costs, were approximately $1.1 billion.</w:t>
      </w:r>
    </w:p>
    <w:p>
      <w:pPr>
        <w:spacing w:after="0" w:line="101"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In October 2024, the optional redemption feature of the 2026 Notes was satisfied as the last reported sale price of the Company’s common stock was more than or equal to 130% of the conversion price for at least 20 trading days in the period of 30 consecutive trading days. On October 16, 2024, the Company issued a notice of redemption (the “Redemption Notice”) for all aggregate principal amount outstanding of its 2026 Notes. Pursuant to the Redemption Notice, on December 16, 2024 (the “Redemption Date”), the Company redeemed all 2026 Notes that had not been converted prior to such date at a redemption price in cash equal to 100% of the principal amount of such 2026 Notes, plus accrued and unpaid interest from July 15, 2024 to, but excluding, the Redemption Date (the “Redemption Price”). On the Redemption Date, the Redemption Price was due and payable upon each 2026 Notes redeemed and interest thereon ceased to accrue on and after the Redemption Date.</w:t>
      </w:r>
    </w:p>
    <w:p>
      <w:pPr>
        <w:spacing w:after="0" w:line="103"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2026 Notes called for redemption were converted by holders at any time before 5:00 p.m. (New York City time) on December 13, 2024 (the “Conversion Deadline”). The Conversion Rate for 2026 Notes converted after the date of the</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Redemption Notice and prior to the Conversion Deadline equaled to 4.9260 shares of the Company’s common stock, par value $0.001 per share, per $1,000 principal amount of the 2026 Notes, which included an increase of the conversion rate of 0.1911 additional shares of the Company’s common stock per $1,000 principal amount of the 2026 Notes as a result of the 2026 Notes being called for optional redemption.</w:t>
      </w:r>
    </w:p>
    <w:p>
      <w:pPr>
        <w:spacing w:after="0" w:line="93"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The Company satisfied its conversion obligations with respect to conversions occurring after the date of the Redemption Notice and prior to the Redemption Date by delivering shares of the Company’s common stock, plus cash in lieu of any resulting fractional shares. Pursuant to the Redemption Notice, on the Redemption Date, the Company redeemed the outstanding principal of the 2026 Notes that were not converted prior to such date at a redemption price in cash equal to 100% of the principal amount of the 2026 Notes, plus accrued and unpaid interest. Approximately $1.1 billion aggregate principal amount was converted to 5,662,979 shares of the Company’s common stock with $0.4 million settled in cash. The Company recorded the carrying amount of the converted debt into common stock and additional paid-in-capital with no material gain or loss recognized.</w:t>
      </w:r>
    </w:p>
    <w:p>
      <w:pPr>
        <w:spacing w:after="0" w:line="99" w:lineRule="exact"/>
        <w:rPr>
          <w:sz w:val="20"/>
          <w:szCs w:val="20"/>
          <w:color w:val="auto"/>
        </w:rPr>
      </w:pPr>
    </w:p>
    <w:p>
      <w:pPr>
        <w:ind w:right="200" w:firstLine="509"/>
        <w:spacing w:after="0" w:line="290" w:lineRule="auto"/>
        <w:rPr>
          <w:sz w:val="20"/>
          <w:szCs w:val="20"/>
          <w:color w:val="auto"/>
        </w:rPr>
      </w:pPr>
      <w:r>
        <w:rPr>
          <w:rFonts w:ascii="Times New Roman" w:cs="Times New Roman" w:eastAsia="Times New Roman" w:hAnsi="Times New Roman"/>
          <w:sz w:val="14"/>
          <w:szCs w:val="14"/>
          <w:color w:val="auto"/>
        </w:rPr>
        <w:t xml:space="preserve">Refer to Note 6, </w:t>
      </w:r>
      <w:r>
        <w:rPr>
          <w:rFonts w:ascii="Times New Roman" w:cs="Times New Roman" w:eastAsia="Times New Roman" w:hAnsi="Times New Roman"/>
          <w:sz w:val="14"/>
          <w:szCs w:val="14"/>
          <w:i w:val="1"/>
          <w:iCs w:val="1"/>
          <w:color w:val="auto"/>
        </w:rPr>
        <w:t>Convertible Senior Notes</w:t>
      </w:r>
      <w:r>
        <w:rPr>
          <w:rFonts w:ascii="Times New Roman" w:cs="Times New Roman" w:eastAsia="Times New Roman" w:hAnsi="Times New Roman"/>
          <w:sz w:val="14"/>
          <w:szCs w:val="14"/>
          <w:color w:val="auto"/>
        </w:rPr>
        <w:t>, in the Notes to Consolidated Financial Statements included in Part II, Item 8 of the Company’s 2025 Form 10-K for further information on the 2026 Notes.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Capped Calls</w:t>
      </w:r>
    </w:p>
    <w:p>
      <w:pPr>
        <w:spacing w:after="0" w:line="138"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In connection with the pricing of the issuance of the Company’s convertible notes due June 15, 2024 which were converted or extinguished in December 2021 (the “2024 Notes”) and the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spacing w:after="0" w:line="9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In April 2024, the Company elected cash settlement for the Capped Calls associated with the 2024 Notes. Upon the cash settlement election, the instrument, initially indexed to the Company’s own stock, no longer met the criteria for equity classification and was reclassified from stockholder’s equity to assets on the Company’s condensed consolidated balance sheet. The reclassification resulted in the recognition of a derivative asset, with an estimated fair value at cash settlement election date of $169.7 million, with a corresponding increase in additional paid in capital. In June 2024, the derivative asset was settled and the Company received $170.6 million in cash and recognized a realized gain of $0.9 million three and six months ended July 31, 2024, which was recorded in other income (expense), net, on the Company’s interim condensed consolidated statements of operations.</w:t>
      </w:r>
    </w:p>
    <w:p>
      <w:pPr>
        <w:spacing w:after="0" w:line="101"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these Capped Calls through October 31, 2025.</w:t>
      </w:r>
    </w:p>
    <w:p>
      <w:pPr>
        <w:spacing w:after="0" w:line="91" w:lineRule="exact"/>
        <w:rPr>
          <w:sz w:val="20"/>
          <w:szCs w:val="20"/>
          <w:color w:val="auto"/>
        </w:rPr>
      </w:pPr>
    </w:p>
    <w:p>
      <w:pPr>
        <w:ind w:right="320" w:firstLine="382"/>
        <w:spacing w:after="0" w:line="290" w:lineRule="auto"/>
        <w:rPr>
          <w:sz w:val="20"/>
          <w:szCs w:val="20"/>
          <w:color w:val="auto"/>
        </w:rPr>
      </w:pPr>
      <w:r>
        <w:rPr>
          <w:rFonts w:ascii="Times New Roman" w:cs="Times New Roman" w:eastAsia="Times New Roman" w:hAnsi="Times New Roman"/>
          <w:sz w:val="14"/>
          <w:szCs w:val="14"/>
          <w:color w:val="auto"/>
        </w:rPr>
        <w:t xml:space="preserve">Refer to Note 6, </w:t>
      </w:r>
      <w:r>
        <w:rPr>
          <w:rFonts w:ascii="Times New Roman" w:cs="Times New Roman" w:eastAsia="Times New Roman" w:hAnsi="Times New Roman"/>
          <w:sz w:val="14"/>
          <w:szCs w:val="14"/>
          <w:i w:val="1"/>
          <w:iCs w:val="1"/>
          <w:color w:val="auto"/>
        </w:rPr>
        <w:t>Convertible Senior Notes</w:t>
      </w:r>
      <w:r>
        <w:rPr>
          <w:rFonts w:ascii="Times New Roman" w:cs="Times New Roman" w:eastAsia="Times New Roman" w:hAnsi="Times New Roman"/>
          <w:sz w:val="14"/>
          <w:szCs w:val="14"/>
          <w:color w:val="auto"/>
        </w:rPr>
        <w:t>, in the Notes to Consolidated Financial Statements included in Part II, Item 8 of the Company’s 2025 Form 10-K for further information on the Capped Calls.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Leases</w:t>
      </w:r>
    </w:p>
    <w:p>
      <w:pPr>
        <w:spacing w:after="0" w:line="138"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Lease Costs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the Company’s lease costs included in its interim condensed consolidated statements of operations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4"/>
        </w:trPr>
        <w:tc>
          <w:tcPr>
            <w:tcW w:w="44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finance lease right-of-use assets</w:t>
            </w:r>
          </w:p>
        </w:tc>
        <w:tc>
          <w:tcPr>
            <w:tcW w:w="1100" w:type="dxa"/>
            <w:vAlign w:val="bottom"/>
          </w:tcPr>
          <w:p>
            <w:pPr>
              <w:jc w:val="right"/>
              <w:ind w:right="9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5"/>
                <w:szCs w:val="15"/>
                <w:color w:val="auto"/>
              </w:rPr>
            </w:pP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r>
      <w:tr>
        <w:trPr>
          <w:trHeight w:val="18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9,873</w:t>
            </w: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4,254</w:t>
            </w:r>
          </w:p>
        </w:tc>
      </w:tr>
      <w:tr>
        <w:trPr>
          <w:trHeight w:val="18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2,931</w:t>
            </w:r>
          </w:p>
        </w:tc>
      </w:tr>
      <w:tr>
        <w:trPr>
          <w:trHeight w:val="196"/>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110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Balance Sheet Components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balances of the Company’s finance and operating leases were recorded on the condensed consolidated balance sheets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October 31, 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January 31, 2025</w:t>
            </w:r>
          </w:p>
        </w:tc>
      </w:tr>
      <w:tr>
        <w:trPr>
          <w:trHeight w:val="1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8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80"/>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40" w:type="dxa"/>
            <w:vAlign w:val="bottom"/>
          </w:tcPr>
          <w:p>
            <w:pPr>
              <w:jc w:val="right"/>
              <w:ind w:right="16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16,559</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19,540</w:t>
            </w:r>
          </w:p>
        </w:tc>
      </w:tr>
      <w:tr>
        <w:trPr>
          <w:trHeight w:val="18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accrued liabilities, current</w:t>
            </w:r>
          </w:p>
        </w:tc>
        <w:tc>
          <w:tcPr>
            <w:tcW w:w="18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w:t>
            </w:r>
          </w:p>
        </w:tc>
      </w:tr>
      <w:tr>
        <w:trPr>
          <w:trHeight w:val="180"/>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8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30,697</w:t>
            </w:r>
          </w:p>
        </w:tc>
      </w:tr>
      <w:tr>
        <w:trPr>
          <w:trHeight w:val="1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80"/>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40" w:type="dxa"/>
            <w:vAlign w:val="bottom"/>
          </w:tcPr>
          <w:p>
            <w:pPr>
              <w:jc w:val="right"/>
              <w:ind w:right="16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30,914</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34,607</w:t>
            </w:r>
          </w:p>
        </w:tc>
      </w:tr>
      <w:tr>
        <w:trPr>
          <w:trHeight w:val="18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8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9,126</w:t>
            </w:r>
          </w:p>
        </w:tc>
      </w:tr>
      <w:tr>
        <w:trPr>
          <w:trHeight w:val="184"/>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8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Maturities of Lease Liabilities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Future minimum lease payments under non-cancelable finance and operating leases on an annual undiscounted cash flow basis as of October 31, 2025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Fiscal Period:</w:t>
            </w:r>
          </w:p>
        </w:tc>
        <w:tc>
          <w:tcPr>
            <w:tcW w:w="320" w:type="dxa"/>
            <w:vAlign w:val="bottom"/>
          </w:tcPr>
          <w:p>
            <w:pPr>
              <w:spacing w:after="0"/>
              <w:rPr>
                <w:sz w:val="12"/>
                <w:szCs w:val="12"/>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Finance Lease</w:t>
            </w:r>
          </w:p>
        </w:tc>
        <w:tc>
          <w:tcPr>
            <w:tcW w:w="260" w:type="dxa"/>
            <w:vAlign w:val="bottom"/>
          </w:tcPr>
          <w:p>
            <w:pPr>
              <w:spacing w:after="0"/>
              <w:rPr>
                <w:sz w:val="12"/>
                <w:szCs w:val="12"/>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30"/>
        </w:trPr>
        <w:tc>
          <w:tcPr>
            <w:tcW w:w="7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Remainder of 2026</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180"/>
        </w:trPr>
        <w:tc>
          <w:tcPr>
            <w:tcW w:w="7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11,986</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0" w:type="dxa"/>
            <w:vAlign w:val="bottom"/>
          </w:tcPr>
          <w:p>
            <w:pPr>
              <w:spacing w:after="0"/>
              <w:rPr>
                <w:sz w:val="1"/>
                <w:szCs w:val="1"/>
                <w:color w:val="auto"/>
              </w:rPr>
            </w:pPr>
          </w:p>
        </w:tc>
      </w:tr>
      <w:tr>
        <w:trPr>
          <w:trHeight w:val="180"/>
        </w:trPr>
        <w:tc>
          <w:tcPr>
            <w:tcW w:w="7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0" w:type="dxa"/>
            <w:vAlign w:val="bottom"/>
          </w:tcPr>
          <w:p>
            <w:pPr>
              <w:spacing w:after="0"/>
              <w:rPr>
                <w:sz w:val="1"/>
                <w:szCs w:val="1"/>
                <w:color w:val="auto"/>
              </w:rPr>
            </w:pPr>
          </w:p>
        </w:tc>
      </w:tr>
      <w:tr>
        <w:trPr>
          <w:trHeight w:val="223"/>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w:t>
            </w:r>
          </w:p>
        </w:tc>
        <w:tc>
          <w:tcPr>
            <w:tcW w:w="0" w:type="dxa"/>
            <w:vAlign w:val="bottom"/>
          </w:tcPr>
          <w:p>
            <w:pPr>
              <w:spacing w:after="0"/>
              <w:rPr>
                <w:sz w:val="1"/>
                <w:szCs w:val="1"/>
                <w:color w:val="auto"/>
              </w:rPr>
            </w:pPr>
          </w:p>
        </w:tc>
      </w:tr>
      <w:tr>
        <w:trPr>
          <w:trHeight w:val="204"/>
        </w:trPr>
        <w:tc>
          <w:tcPr>
            <w:tcW w:w="76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minimum payments</w:t>
            </w: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39,187</w:t>
            </w:r>
          </w:p>
        </w:tc>
        <w:tc>
          <w:tcPr>
            <w:tcW w:w="0" w:type="dxa"/>
            <w:vAlign w:val="bottom"/>
          </w:tcPr>
          <w:p>
            <w:pPr>
              <w:spacing w:after="0"/>
              <w:rPr>
                <w:sz w:val="1"/>
                <w:szCs w:val="1"/>
                <w:color w:val="auto"/>
              </w:rPr>
            </w:pPr>
          </w:p>
        </w:tc>
      </w:tr>
      <w:tr>
        <w:trPr>
          <w:trHeight w:val="191"/>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Less imputed interest</w:t>
            </w:r>
          </w:p>
        </w:tc>
        <w:tc>
          <w:tcPr>
            <w:tcW w:w="32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0" w:type="dxa"/>
            <w:vAlign w:val="bottom"/>
          </w:tcPr>
          <w:p>
            <w:pPr>
              <w:spacing w:after="0"/>
              <w:rPr>
                <w:sz w:val="1"/>
                <w:szCs w:val="1"/>
                <w:color w:val="auto"/>
              </w:rPr>
            </w:pPr>
          </w:p>
        </w:tc>
      </w:tr>
      <w:tr>
        <w:trPr>
          <w:trHeight w:val="53"/>
        </w:trPr>
        <w:tc>
          <w:tcPr>
            <w:tcW w:w="7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34,625</w:t>
            </w:r>
          </w:p>
        </w:tc>
        <w:tc>
          <w:tcPr>
            <w:tcW w:w="0" w:type="dxa"/>
            <w:vAlign w:val="bottom"/>
          </w:tcPr>
          <w:p>
            <w:pPr>
              <w:spacing w:after="0"/>
              <w:rPr>
                <w:sz w:val="1"/>
                <w:szCs w:val="1"/>
                <w:color w:val="auto"/>
              </w:rPr>
            </w:pPr>
          </w:p>
        </w:tc>
      </w:tr>
      <w:tr>
        <w:trPr>
          <w:trHeight w:val="191"/>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Less current obligations under leases</w:t>
            </w:r>
          </w:p>
        </w:tc>
        <w:tc>
          <w:tcPr>
            <w:tcW w:w="32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0" w:type="dxa"/>
            <w:vAlign w:val="bottom"/>
          </w:tcPr>
          <w:p>
            <w:pPr>
              <w:spacing w:after="0"/>
              <w:rPr>
                <w:sz w:val="1"/>
                <w:szCs w:val="1"/>
                <w:color w:val="auto"/>
              </w:rPr>
            </w:pPr>
          </w:p>
        </w:tc>
      </w:tr>
      <w:tr>
        <w:trPr>
          <w:trHeight w:val="53"/>
        </w:trPr>
        <w:tc>
          <w:tcPr>
            <w:tcW w:w="7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lease obligations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Non-cancelable Material Commitments</w:t>
      </w:r>
    </w:p>
    <w:p>
      <w:pPr>
        <w:spacing w:after="0" w:line="138" w:lineRule="exact"/>
        <w:rPr>
          <w:sz w:val="20"/>
          <w:szCs w:val="20"/>
          <w:color w:val="auto"/>
        </w:rPr>
      </w:pPr>
    </w:p>
    <w:p>
      <w:pPr>
        <w:ind w:right="680" w:firstLine="382"/>
        <w:spacing w:after="0" w:line="287" w:lineRule="auto"/>
        <w:rPr>
          <w:sz w:val="20"/>
          <w:szCs w:val="20"/>
          <w:color w:val="auto"/>
        </w:rPr>
      </w:pPr>
      <w:r>
        <w:rPr>
          <w:rFonts w:ascii="Times New Roman" w:cs="Times New Roman" w:eastAsia="Times New Roman" w:hAnsi="Times New Roman"/>
          <w:sz w:val="14"/>
          <w:szCs w:val="14"/>
          <w:color w:val="auto"/>
        </w:rPr>
        <w:t>During the three months ended October 31, 2025, the Company entered into a renewal agreement with a cloud infrastructure provider that includes a non-cancelable commitment of $300 million to be paid over a period from October 2025 through October 2028.</w:t>
      </w:r>
    </w:p>
    <w:p>
      <w:pPr>
        <w:spacing w:after="0" w:line="80" w:lineRule="exact"/>
        <w:rPr>
          <w:sz w:val="20"/>
          <w:szCs w:val="20"/>
          <w:color w:val="auto"/>
        </w:rPr>
      </w:pPr>
    </w:p>
    <w:p>
      <w:pPr>
        <w:ind w:right="40" w:firstLine="382"/>
        <w:spacing w:after="0" w:line="290" w:lineRule="auto"/>
        <w:rPr>
          <w:sz w:val="20"/>
          <w:szCs w:val="20"/>
          <w:color w:val="auto"/>
        </w:rPr>
      </w:pPr>
      <w:r>
        <w:rPr>
          <w:rFonts w:ascii="Times New Roman" w:cs="Times New Roman" w:eastAsia="Times New Roman" w:hAnsi="Times New Roman"/>
          <w:sz w:val="14"/>
          <w:szCs w:val="14"/>
          <w:color w:val="auto"/>
        </w:rPr>
        <w:t xml:space="preserve">During the nine months ended October 31, 2025, other than certain non-cancelable operating leases described in Note 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and the renewal agreement with a cloud infrastructure provider, there have been no material changes outside the ordinary course of business to the Company’s contractual obligations and commitments from those disclosed in the 2025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Legal Matters</w:t>
      </w:r>
    </w:p>
    <w:p>
      <w:pPr>
        <w:spacing w:after="0" w:line="13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former CEO Dev Ittycheria, and former COO and CFO Michael Gordon. On January 27, 2025, the lead plaintiff in the lawsuit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Plaintiffs filed an opposition brief on July 1, 2025, and defendants filed their reply brief on July 29, 2025. The Court has not yet ruled on Defendants’ motion. The Company is unable to estimate any reasonably possible loss, or range of loss, with respect to these matters at this time. The Company intends to vigorously defend itself in this matter.</w:t>
      </w:r>
    </w:p>
    <w:p>
      <w:pPr>
        <w:spacing w:after="0" w:line="10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 xml:space="preserve">On October 7, 2024, a purported shareholder derivative lawsuit was filed in the U.S. District Court for the Southern District of New York, Case. No. 1:24-cv-07594, against the Company, as a nominal defendant, and former CEO Dev Ittycheria, former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w:t>
      </w:r>
      <w:r>
        <w:rPr>
          <w:rFonts w:ascii="Times New Roman" w:cs="Times New Roman" w:eastAsia="Times New Roman" w:hAnsi="Times New Roman"/>
          <w:sz w:val="14"/>
          <w:szCs w:val="14"/>
          <w:i w:val="1"/>
          <w:iCs w:val="1"/>
          <w:color w:val="auto"/>
        </w:rPr>
        <w:t>Roy</w:t>
      </w:r>
      <w:r>
        <w:rPr>
          <w:rFonts w:ascii="Times New Roman" w:cs="Times New Roman" w:eastAsia="Times New Roman" w:hAnsi="Times New Roman"/>
          <w:sz w:val="14"/>
          <w:szCs w:val="14"/>
          <w:color w:val="auto"/>
        </w:rPr>
        <w:t xml:space="preserve"> action with the caption </w:t>
      </w:r>
      <w:r>
        <w:rPr>
          <w:rFonts w:ascii="Times New Roman" w:cs="Times New Roman" w:eastAsia="Times New Roman" w:hAnsi="Times New Roman"/>
          <w:sz w:val="14"/>
          <w:szCs w:val="14"/>
          <w:i w:val="1"/>
          <w:iCs w:val="1"/>
          <w:color w:val="auto"/>
        </w:rPr>
        <w:t>In re MongoDB, Inc. Shareholder Litigation</w:t>
      </w:r>
      <w:r>
        <w:rPr>
          <w:rFonts w:ascii="Times New Roman" w:cs="Times New Roman" w:eastAsia="Times New Roman" w:hAnsi="Times New Roman"/>
          <w:sz w:val="14"/>
          <w:szCs w:val="14"/>
          <w:color w:val="auto"/>
        </w:rPr>
        <w:t xml:space="preserve"> (the “S.D.N.Y. Derivative Litigation”). On September 12, 2025 another purported derivative action was filed in the Court of Chancery of the State of Delaware, Case No. 2025-1030, against the Company, as a nominal defendant, and former CEO Dev Ittycheria, former COO and CFO Michael Gordon, and several of the Company’s current and former directors. The case is captioned </w:t>
      </w:r>
      <w:r>
        <w:rPr>
          <w:rFonts w:ascii="Times New Roman" w:cs="Times New Roman" w:eastAsia="Times New Roman" w:hAnsi="Times New Roman"/>
          <w:sz w:val="14"/>
          <w:szCs w:val="14"/>
          <w:i w:val="1"/>
          <w:iCs w:val="1"/>
          <w:color w:val="auto"/>
        </w:rPr>
        <w:t>Sansone v. Ittycheria, et al.</w:t>
      </w:r>
      <w:r>
        <w:rPr>
          <w:rFonts w:ascii="Times New Roman" w:cs="Times New Roman" w:eastAsia="Times New Roman" w:hAnsi="Times New Roman"/>
          <w:sz w:val="14"/>
          <w:szCs w:val="14"/>
          <w:color w:val="auto"/>
        </w:rPr>
        <w:t xml:space="preserve"> The lawsuit, like the S.D.N.Y. Derivative Action, alleges that the individual defendants breached their fiduciary duties and committed other alleged misconduct in connection with the statements at issue in the Securities Action and by causing the Company to issue allegedly false and misleading statements to investors. The S.D.N.Y. Derivative Litigation and the Delaware Derivative Action are both at early stages and have both been stayed pending the outcome of the Court’s decision on the defendants’ motion to dismiss the Securities Action.</w:t>
      </w:r>
    </w:p>
    <w:p>
      <w:pPr>
        <w:spacing w:after="0" w:line="108"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Although claims and litigation are inherently unpredictable, as of October 31, 2025,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Indemnification</w:t>
      </w:r>
    </w:p>
    <w:p>
      <w:pPr>
        <w:spacing w:after="0" w:line="138"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01" w:lineRule="exact"/>
        <w:rPr>
          <w:sz w:val="20"/>
          <w:szCs w:val="20"/>
          <w:color w:val="auto"/>
        </w:rPr>
      </w:pPr>
    </w:p>
    <w:p>
      <w:pPr>
        <w:ind w:right="20" w:firstLine="382"/>
        <w:spacing w:after="0" w:line="263" w:lineRule="auto"/>
        <w:rPr>
          <w:sz w:val="20"/>
          <w:szCs w:val="20"/>
          <w:color w:val="auto"/>
        </w:rPr>
      </w:pPr>
      <w:r>
        <w:rPr>
          <w:rFonts w:ascii="Times New Roman" w:cs="Times New Roman" w:eastAsia="Times New Roman" w:hAnsi="Times New Roman"/>
          <w:sz w:val="14"/>
          <w:szCs w:val="14"/>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Disaggregation of Revenue</w:t>
      </w:r>
    </w:p>
    <w:p>
      <w:pPr>
        <w:spacing w:after="0" w:line="138"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Company’s revenues disaggregated by primary geographical markets, subscription product categories and services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r>
      <w:tr>
        <w:trPr>
          <w:trHeight w:val="161"/>
        </w:trPr>
        <w:tc>
          <w:tcPr>
            <w:tcW w:w="46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Primary geographical markets: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212"/>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000" w:type="dxa"/>
            <w:vAlign w:val="bottom"/>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380,004</w:t>
            </w:r>
          </w:p>
        </w:tc>
        <w:tc>
          <w:tcPr>
            <w:tcW w:w="120" w:type="dxa"/>
            <w:vAlign w:val="bottom"/>
          </w:tcPr>
          <w:p>
            <w:pPr>
              <w:spacing w:after="0"/>
              <w:rPr>
                <w:sz w:val="18"/>
                <w:szCs w:val="18"/>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325,076</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1,077,115</w:t>
            </w:r>
          </w:p>
        </w:tc>
        <w:tc>
          <w:tcPr>
            <w:tcW w:w="10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881,958</w:t>
            </w:r>
          </w:p>
        </w:tc>
      </w:tr>
      <w:tr>
        <w:trPr>
          <w:trHeight w:val="212"/>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EMEA</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175,348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400,864</w:t>
            </w:r>
          </w:p>
        </w:tc>
      </w:tr>
      <w:tr>
        <w:trPr>
          <w:trHeight w:val="223"/>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Asia Pacific</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72,957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175,223</w:t>
            </w:r>
          </w:p>
        </w:tc>
      </w:tr>
      <w:tr>
        <w:trPr>
          <w:trHeight w:val="228"/>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628,309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529,375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1,768,725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1,458,045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4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product categories and services:</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212"/>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MongoDB Atlas-related</w:t>
            </w:r>
          </w:p>
        </w:tc>
        <w:tc>
          <w:tcPr>
            <w:tcW w:w="1000" w:type="dxa"/>
            <w:vAlign w:val="bottom"/>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470,399</w:t>
            </w:r>
          </w:p>
        </w:tc>
        <w:tc>
          <w:tcPr>
            <w:tcW w:w="120" w:type="dxa"/>
            <w:vAlign w:val="bottom"/>
          </w:tcPr>
          <w:p>
            <w:pPr>
              <w:spacing w:after="0"/>
              <w:rPr>
                <w:sz w:val="18"/>
                <w:szCs w:val="18"/>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362,604</w:t>
            </w:r>
          </w:p>
        </w:tc>
        <w:tc>
          <w:tcPr>
            <w:tcW w:w="10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1,305,262</w:t>
            </w:r>
          </w:p>
        </w:tc>
        <w:tc>
          <w:tcPr>
            <w:tcW w:w="10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1,016,142</w:t>
            </w:r>
          </w:p>
        </w:tc>
      </w:tr>
      <w:tr>
        <w:trPr>
          <w:trHeight w:val="212"/>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subscription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138,668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396,764</w:t>
            </w:r>
          </w:p>
        </w:tc>
      </w:tr>
      <w:tr>
        <w:trPr>
          <w:trHeight w:val="223"/>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19,242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45,139</w:t>
            </w:r>
          </w:p>
        </w:tc>
      </w:tr>
      <w:tr>
        <w:trPr>
          <w:trHeight w:val="228"/>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628,309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529,375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1,768,725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1,458,045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Contract Liabilities</w:t>
      </w:r>
    </w:p>
    <w:p>
      <w:pPr>
        <w:spacing w:after="0" w:line="138" w:lineRule="exact"/>
        <w:rPr>
          <w:sz w:val="20"/>
          <w:szCs w:val="20"/>
          <w:color w:val="auto"/>
        </w:rPr>
      </w:pPr>
    </w:p>
    <w:p>
      <w:pPr>
        <w:jc w:val="both"/>
        <w:ind w:right="40" w:firstLine="382"/>
        <w:spacing w:after="0" w:line="264" w:lineRule="auto"/>
        <w:rPr>
          <w:sz w:val="20"/>
          <w:szCs w:val="20"/>
          <w:color w:val="auto"/>
        </w:rPr>
      </w:pPr>
      <w:r>
        <w:rPr>
          <w:rFonts w:ascii="Times New Roman" w:cs="Times New Roman" w:eastAsia="Times New Roman" w:hAnsi="Times New Roman"/>
          <w:sz w:val="14"/>
          <w:szCs w:val="14"/>
          <w:color w:val="auto"/>
        </w:rPr>
        <w:t>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as of October 31, 2025 and January 31, 2025 was $367.0 million and $359.8 million, respectively. Approximately 17% and 22% of the total revenue recognized for the nine months ended October 31, 2025 and 2024, respectively, was from deferred revenue at the beginning of each respective period.</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Remaining Performance Obligations</w:t>
      </w:r>
    </w:p>
    <w:p>
      <w:pPr>
        <w:spacing w:after="0" w:line="138"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4"/>
          <w:szCs w:val="14"/>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October 31, 2025, the aggregate transaction price allocated to remaining performance obligations was $994.3 million. Approximately 55% is expected to be recognized as revenue over the next 12 months, 42% in 13 to 36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Unbilled Receivables</w:t>
      </w:r>
    </w:p>
    <w:p>
      <w:pPr>
        <w:spacing w:after="0" w:line="138" w:lineRule="exact"/>
        <w:rPr>
          <w:sz w:val="20"/>
          <w:szCs w:val="20"/>
          <w:color w:val="auto"/>
        </w:rPr>
      </w:pPr>
    </w:p>
    <w:p>
      <w:pPr>
        <w:jc w:val="both"/>
        <w:ind w:right="140" w:firstLine="382"/>
        <w:spacing w:after="0" w:line="270" w:lineRule="auto"/>
        <w:rPr>
          <w:sz w:val="20"/>
          <w:szCs w:val="20"/>
          <w:color w:val="auto"/>
        </w:rPr>
      </w:pPr>
      <w:r>
        <w:rPr>
          <w:rFonts w:ascii="Times New Roman" w:cs="Times New Roman" w:eastAsia="Times New Roman" w:hAnsi="Times New Roman"/>
          <w:sz w:val="14"/>
          <w:szCs w:val="14"/>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October 31, 2025 and January 31, 2025, unbilled receivables were $17.3 million and $22.5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Allowance for Doubtful Accounts</w:t>
      </w:r>
    </w:p>
    <w:p>
      <w:pPr>
        <w:spacing w:after="0" w:line="138"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1"/>
                <w:szCs w:val="11"/>
                <w:b w:val="1"/>
                <w:bCs w:val="1"/>
                <w:color w:val="auto"/>
              </w:rPr>
              <w:t>Allowance for Doubtful Accounts</w:t>
            </w: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31, 2025</w:t>
            </w: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w:t>
            </w:r>
          </w:p>
        </w:tc>
      </w:tr>
      <w:tr>
        <w:trPr>
          <w:trHeight w:val="180"/>
        </w:trPr>
        <w:tc>
          <w:tcPr>
            <w:tcW w:w="7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w:t>
            </w:r>
          </w:p>
        </w:tc>
        <w:tc>
          <w:tcPr>
            <w:tcW w:w="620" w:type="dxa"/>
            <w:vAlign w:val="bottom"/>
          </w:tcPr>
          <w:p>
            <w:pPr>
              <w:spacing w:after="0"/>
              <w:rPr>
                <w:sz w:val="15"/>
                <w:szCs w:val="15"/>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11,302</w:t>
            </w:r>
          </w:p>
        </w:tc>
      </w:tr>
      <w:tr>
        <w:trPr>
          <w:trHeight w:val="18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Recoveries/write-offs</w:t>
            </w:r>
          </w:p>
        </w:tc>
        <w:tc>
          <w:tcPr>
            <w:tcW w:w="620" w:type="dxa"/>
            <w:vAlign w:val="bottom"/>
            <w:tcBorders>
              <w:bottom w:val="single" w:sz="8" w:color="auto"/>
            </w:tcBorders>
            <w:shd w:val="clear" w:color="auto" w:fill="CCEEFF"/>
          </w:tcPr>
          <w:p>
            <w:pPr>
              <w:spacing w:after="0"/>
              <w:rPr>
                <w:sz w:val="15"/>
                <w:szCs w:val="15"/>
                <w:color w:val="auto"/>
              </w:rPr>
            </w:pPr>
          </w:p>
        </w:tc>
        <w:tc>
          <w:tcPr>
            <w:tcW w:w="3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w:t>
            </w:r>
          </w:p>
        </w:tc>
      </w:tr>
      <w:tr>
        <w:trPr>
          <w:trHeight w:val="171"/>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October 31, 2025</w:t>
            </w: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12,305</w:t>
            </w:r>
          </w:p>
        </w:tc>
      </w:tr>
      <w:tr>
        <w:trPr>
          <w:trHeight w:val="20"/>
        </w:trPr>
        <w:tc>
          <w:tcPr>
            <w:tcW w:w="7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Costs Capitalized to Obtain Contracts with Customers</w:t>
      </w:r>
    </w:p>
    <w:p>
      <w:pPr>
        <w:spacing w:after="0" w:line="138"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Deferred commissions were $352.4 million and $363.4 million as of October 31, 2025 and January 31, 2025, respectively, of which $229.5 million and $250.7 million comprised the non-current portion and was included in other assets on the Company’s consolidated balance sheets as of October 31, 2025 and January 31, 2025, respectively. Amortization expense with respect to deferred commissions, which is included in sales and marketing expense in the Company’s interim condensed consolidated statements of operations, was $33.1 million and $101.2 million for the three and nine months ended October 31, 2025, respectively, and $28.6 million and $82.2 million for the three and nine months ended October 31, 2024, respectively. There was no impairment loss in relation to the costs capitalized for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C2C2C"/>
        </w:rPr>
        <w:t>Equity Incentive Plan</w:t>
      </w:r>
    </w:p>
    <w:p>
      <w:pPr>
        <w:spacing w:after="0" w:line="138"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restricted stock awards (“RSAs”)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Stock Options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stock option activity for the nine months ended October 31, 2025 (in thousands, except share and per share data and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5"/>
        </w:trPr>
        <w:tc>
          <w:tcPr>
            <w:tcW w:w="4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jc w:val="center"/>
              <w:ind w:left="283"/>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1420" w:type="dxa"/>
            <w:vAlign w:val="bottom"/>
            <w:vMerge w:val="restart"/>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1420" w:type="dxa"/>
            <w:vAlign w:val="bottom"/>
          </w:tcPr>
          <w:p>
            <w:pPr>
              <w:jc w:val="center"/>
              <w:ind w:left="323"/>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jc w:val="center"/>
              <w:ind w:left="283"/>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215"/>
              <w:spacing w:after="0" w:line="117"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w w:val="99"/>
              </w:rPr>
              <w:t>(In Years)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21"/>
        </w:trPr>
        <w:tc>
          <w:tcPr>
            <w:tcW w:w="44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Balance - January 31, 2025</w:t>
            </w: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420" w:type="dxa"/>
            <w:vAlign w:val="bottom"/>
            <w:vMerge w:val="continue"/>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567,425</w:t>
            </w:r>
          </w:p>
        </w:tc>
        <w:tc>
          <w:tcPr>
            <w:tcW w:w="1520" w:type="dxa"/>
            <w:vAlign w:val="bottom"/>
            <w:gridSpan w:val="2"/>
          </w:tcPr>
          <w:p>
            <w:pPr>
              <w:jc w:val="right"/>
              <w:ind w:right="128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150,319</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 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(313,888)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3"/>
          </w:tcPr>
          <w:p>
            <w:pPr>
              <w:jc w:val="right"/>
              <w:ind w:right="172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 October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253,537</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Vested and exercisable - January 31, 2025</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vMerge w:val="continue"/>
          </w:tcPr>
          <w:p>
            <w:pPr>
              <w:spacing w:after="0"/>
              <w:rPr>
                <w:sz w:val="12"/>
                <w:szCs w:val="12"/>
                <w:color w:val="auto"/>
              </w:rPr>
            </w:pPr>
          </w:p>
        </w:tc>
        <w:tc>
          <w:tcPr>
            <w:tcW w:w="14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567,425</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150,319</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 and exercisable - October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253,537</w:t>
            </w:r>
          </w:p>
        </w:tc>
        <w:tc>
          <w:tcPr>
            <w:tcW w:w="1520" w:type="dxa"/>
            <w:vAlign w:val="bottom"/>
            <w:tcBorders>
              <w:bottom w:val="single" w:sz="8" w:color="CCEEFF"/>
            </w:tcBorders>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Restricted Stock Units</w:t>
      </w:r>
    </w:p>
    <w:p>
      <w:pPr>
        <w:spacing w:after="0" w:line="138"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During the three months ended October 31, 2025, the Company began funding withholding taxes in certain jurisdictions due upon the vesting of employee RSUs and executive PSUs by net share settlement, rather than its previous approach of selling shares of the Company’s common stock. The amount of withholding taxes related to net share settlement of employee RSUs and executive PSUs are reflected as (i) a reduction to additional paid-in-capital, and (ii) cash outflows for financing activities when the payments are made. The shares withheld by the Company as a result of the net share settlement of RSUs and executive PSUs are not considered issued and outstanding, and do not impact the calculation of basic net income (loss) per share attributable to common stockholders. No executive PSUs vested during the three months ended October 31, 2025.</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RSU activity for the nine months ended October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1"/>
                <w:szCs w:val="11"/>
                <w:color w:val="auto"/>
              </w:rPr>
            </w:pPr>
          </w:p>
        </w:tc>
        <w:tc>
          <w:tcPr>
            <w:tcW w:w="108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c>
          <w:tcPr>
            <w:tcW w:w="0" w:type="dxa"/>
            <w:vAlign w:val="bottom"/>
          </w:tcPr>
          <w:p>
            <w:pPr>
              <w:spacing w:after="0"/>
              <w:rPr>
                <w:sz w:val="1"/>
                <w:szCs w:val="1"/>
                <w:color w:val="auto"/>
              </w:rPr>
            </w:pPr>
          </w:p>
        </w:tc>
      </w:tr>
      <w:tr>
        <w:trPr>
          <w:trHeight w:val="151"/>
        </w:trPr>
        <w:tc>
          <w:tcPr>
            <w:tcW w:w="76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Value per RSU</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 January 31, 2025</w:t>
            </w:r>
          </w:p>
        </w:tc>
        <w:tc>
          <w:tcPr>
            <w:tcW w:w="10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3,533,507</w:t>
            </w:r>
          </w:p>
        </w:tc>
        <w:tc>
          <w:tcPr>
            <w:tcW w:w="4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291.43</w:t>
            </w:r>
          </w:p>
        </w:tc>
        <w:tc>
          <w:tcPr>
            <w:tcW w:w="0" w:type="dxa"/>
            <w:vAlign w:val="bottom"/>
          </w:tcPr>
          <w:p>
            <w:pPr>
              <w:spacing w:after="0"/>
              <w:rPr>
                <w:sz w:val="1"/>
                <w:szCs w:val="1"/>
                <w:color w:val="auto"/>
              </w:rPr>
            </w:pPr>
          </w:p>
        </w:tc>
      </w:tr>
      <w:tr>
        <w:trPr>
          <w:trHeight w:val="212"/>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RSUs granted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3,005,681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215.79</w:t>
            </w:r>
          </w:p>
        </w:tc>
        <w:tc>
          <w:tcPr>
            <w:tcW w:w="0" w:type="dxa"/>
            <w:vAlign w:val="bottom"/>
          </w:tcPr>
          <w:p>
            <w:pPr>
              <w:spacing w:after="0"/>
              <w:rPr>
                <w:sz w:val="1"/>
                <w:szCs w:val="1"/>
                <w:color w:val="auto"/>
              </w:rPr>
            </w:pPr>
          </w:p>
        </w:tc>
      </w:tr>
      <w:tr>
        <w:trPr>
          <w:trHeight w:val="212"/>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RSUs vested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(1,267,669)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282.32</w:t>
            </w:r>
          </w:p>
        </w:tc>
        <w:tc>
          <w:tcPr>
            <w:tcW w:w="0" w:type="dxa"/>
            <w:vAlign w:val="bottom"/>
          </w:tcPr>
          <w:p>
            <w:pPr>
              <w:spacing w:after="0"/>
              <w:rPr>
                <w:sz w:val="1"/>
                <w:szCs w:val="1"/>
                <w:color w:val="auto"/>
              </w:rPr>
            </w:pPr>
          </w:p>
        </w:tc>
      </w:tr>
      <w:tr>
        <w:trPr>
          <w:trHeight w:val="212"/>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RSUs forfeited and canceled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254.07</w:t>
            </w:r>
          </w:p>
        </w:tc>
        <w:tc>
          <w:tcPr>
            <w:tcW w:w="0" w:type="dxa"/>
            <w:vAlign w:val="bottom"/>
          </w:tcPr>
          <w:p>
            <w:pPr>
              <w:spacing w:after="0"/>
              <w:rPr>
                <w:sz w:val="1"/>
                <w:szCs w:val="1"/>
                <w:color w:val="auto"/>
              </w:rPr>
            </w:pPr>
          </w:p>
        </w:tc>
      </w:tr>
      <w:tr>
        <w:trPr>
          <w:trHeight w:val="171"/>
        </w:trPr>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 October 31, 2025</w:t>
            </w:r>
          </w:p>
        </w:tc>
        <w:tc>
          <w:tcPr>
            <w:tcW w:w="10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4,505,437</w:t>
            </w:r>
          </w:p>
        </w:tc>
        <w:tc>
          <w:tcPr>
            <w:tcW w:w="4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Restricted Stock Awards</w:t>
      </w:r>
    </w:p>
    <w:p>
      <w:pPr>
        <w:spacing w:after="0" w:line="138"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 xml:space="preserve">The Company has granted restricted common stock outside of the Plans. Restricted common stock is not deemed to be outstanding for accounting purposes until it vests. Refer to Note 4,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for further details on the issuance of restricted stock awards in connection with the acquisition of Voyage AI.</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RSA activity for the nine months ended October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0"/>
                <w:szCs w:val="10"/>
                <w:color w:val="auto"/>
              </w:rPr>
            </w:pP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Value per RSA</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 January 31, 2025</w:t>
            </w:r>
          </w:p>
        </w:tc>
        <w:tc>
          <w:tcPr>
            <w:tcW w:w="1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RSAs granted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212"/>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RSAs vested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212"/>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RSAs forfeited and canceled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171"/>
        </w:trPr>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 October 31, 2025</w:t>
            </w:r>
          </w:p>
        </w:tc>
        <w:tc>
          <w:tcPr>
            <w:tcW w:w="1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131,770</w:t>
            </w:r>
          </w:p>
        </w:tc>
        <w:tc>
          <w:tcPr>
            <w:tcW w:w="4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292.05</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760"/>
              <w:spacing w:after="0"/>
              <w:rPr>
                <w:sz w:val="20"/>
                <w:szCs w:val="20"/>
                <w:color w:val="auto"/>
              </w:rPr>
            </w:pPr>
            <w:r>
              <w:rPr>
                <w:rFonts w:ascii="Times New Roman" w:cs="Times New Roman" w:eastAsia="Times New Roman" w:hAnsi="Times New Roman"/>
                <w:sz w:val="14"/>
                <w:szCs w:val="14"/>
                <w:color w:val="auto"/>
              </w:rPr>
              <w:t>18</w:t>
            </w: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76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Performance Share Awards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PSU activity for the nine months ended October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1"/>
                <w:szCs w:val="11"/>
                <w:color w:val="auto"/>
              </w:rPr>
            </w:pP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Weighted-Average Grant Date Fair</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Value per PSU</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 January 31, 2025</w:t>
            </w:r>
          </w:p>
        </w:tc>
        <w:tc>
          <w:tcPr>
            <w:tcW w:w="116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146,284</w:t>
            </w:r>
          </w:p>
        </w:tc>
        <w:tc>
          <w:tcPr>
            <w:tcW w:w="4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287.57</w:t>
            </w:r>
          </w:p>
        </w:tc>
        <w:tc>
          <w:tcPr>
            <w:tcW w:w="0" w:type="dxa"/>
            <w:vAlign w:val="bottom"/>
          </w:tcPr>
          <w:p>
            <w:pPr>
              <w:spacing w:after="0"/>
              <w:rPr>
                <w:sz w:val="1"/>
                <w:szCs w:val="1"/>
                <w:color w:val="auto"/>
              </w:rPr>
            </w:pPr>
          </w:p>
        </w:tc>
      </w:tr>
      <w:tr>
        <w:trPr>
          <w:trHeight w:val="212"/>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PSUs granted</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115,708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192.99</w:t>
            </w:r>
          </w:p>
        </w:tc>
        <w:tc>
          <w:tcPr>
            <w:tcW w:w="0" w:type="dxa"/>
            <w:vAlign w:val="bottom"/>
          </w:tcPr>
          <w:p>
            <w:pPr>
              <w:spacing w:after="0"/>
              <w:rPr>
                <w:sz w:val="1"/>
                <w:szCs w:val="1"/>
                <w:color w:val="auto"/>
              </w:rPr>
            </w:pPr>
          </w:p>
        </w:tc>
      </w:tr>
      <w:tr>
        <w:trPr>
          <w:trHeight w:val="212"/>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PSUs vested</w:t>
            </w:r>
          </w:p>
        </w:tc>
        <w:tc>
          <w:tcPr>
            <w:tcW w:w="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(91,319)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266.18</w:t>
            </w:r>
          </w:p>
        </w:tc>
        <w:tc>
          <w:tcPr>
            <w:tcW w:w="0" w:type="dxa"/>
            <w:vAlign w:val="bottom"/>
          </w:tcPr>
          <w:p>
            <w:pPr>
              <w:spacing w:after="0"/>
              <w:rPr>
                <w:sz w:val="1"/>
                <w:szCs w:val="1"/>
                <w:color w:val="auto"/>
              </w:rPr>
            </w:pPr>
          </w:p>
        </w:tc>
      </w:tr>
      <w:tr>
        <w:trPr>
          <w:trHeight w:val="212"/>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for performance achievement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17,955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0" w:type="dxa"/>
            <w:vAlign w:val="bottom"/>
          </w:tcPr>
          <w:p>
            <w:pPr>
              <w:spacing w:after="0"/>
              <w:rPr>
                <w:sz w:val="1"/>
                <w:szCs w:val="1"/>
                <w:color w:val="auto"/>
              </w:rPr>
            </w:pPr>
          </w:p>
        </w:tc>
      </w:tr>
      <w:tr>
        <w:trPr>
          <w:trHeight w:val="212"/>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PSUs forfeited and canceled</w:t>
            </w:r>
          </w:p>
        </w:tc>
        <w:tc>
          <w:tcPr>
            <w:tcW w:w="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(30,403)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274.62</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 October 31, 2025</w:t>
            </w: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158,225</w:t>
            </w:r>
          </w:p>
        </w:tc>
        <w:tc>
          <w:tcPr>
            <w:tcW w:w="400" w:type="dxa"/>
            <w:vAlign w:val="bottom"/>
            <w:tcBorders>
              <w:top w:val="single" w:sz="8" w:color="CCEEFF"/>
              <w:bottom w:val="single" w:sz="8" w:color="CCEEFF"/>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C2C2C"/>
        </w:rPr>
        <w:t>2017 Employee Stock Purchase Plan</w:t>
      </w:r>
    </w:p>
    <w:p>
      <w:pPr>
        <w:spacing w:after="0" w:line="138"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In June 2025, the Company issued 131,117 shares of its common stock under the 2017 ESPP. The Company’s current offering period began on June 16, 2025 and is expected to end December 15,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C2C2C"/>
        </w:rPr>
        <w:t>Stock-Based Compensation Expense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stock-based compensation expense recognized in the Company’s interim condensed consolidated statements of operations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540" w:type="dxa"/>
            <w:vAlign w:val="bottom"/>
            <w:tcBorders>
              <w:bottom w:val="single" w:sz="8" w:color="auto"/>
            </w:tcBorders>
          </w:tcPr>
          <w:p>
            <w:pPr>
              <w:spacing w:after="0"/>
              <w:rPr>
                <w:sz w:val="13"/>
                <w:szCs w:val="13"/>
                <w:color w:val="auto"/>
              </w:rPr>
            </w:pPr>
          </w:p>
        </w:tc>
      </w:tr>
      <w:tr>
        <w:trPr>
          <w:trHeight w:val="154"/>
        </w:trPr>
        <w:tc>
          <w:tcPr>
            <w:tcW w:w="54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r>
      <w:tr>
        <w:trPr>
          <w:trHeight w:val="197"/>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21,566</w:t>
            </w:r>
          </w:p>
        </w:tc>
      </w:tr>
      <w:tr>
        <w:trPr>
          <w:trHeight w:val="212"/>
        </w:trPr>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r>
      <w:tr>
        <w:trPr>
          <w:trHeight w:val="212"/>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112,332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121,193</w:t>
            </w:r>
          </w:p>
        </w:tc>
      </w:tr>
      <w:tr>
        <w:trPr>
          <w:trHeight w:val="212"/>
        </w:trPr>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208,773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168,211</w:t>
            </w:r>
          </w:p>
        </w:tc>
      </w:tr>
      <w:tr>
        <w:trPr>
          <w:trHeight w:val="223"/>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15,943</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47,777</w:t>
            </w:r>
          </w:p>
        </w:tc>
      </w:tr>
      <w:tr>
        <w:trPr>
          <w:trHeight w:val="203"/>
        </w:trPr>
        <w:tc>
          <w:tcPr>
            <w:tcW w:w="5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133,630</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125,712</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406,461</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368,898</w:t>
            </w:r>
          </w:p>
        </w:tc>
      </w:tr>
      <w:tr>
        <w:trPr>
          <w:trHeight w:val="20"/>
        </w:trPr>
        <w:tc>
          <w:tcPr>
            <w:tcW w:w="5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C2C2C"/>
        </w:rPr>
        <w:t>Share Repurchase Program</w:t>
      </w:r>
    </w:p>
    <w:p>
      <w:pPr>
        <w:spacing w:after="0" w:line="138" w:lineRule="exact"/>
        <w:rPr>
          <w:sz w:val="20"/>
          <w:szCs w:val="20"/>
          <w:color w:val="auto"/>
        </w:rPr>
      </w:pPr>
    </w:p>
    <w:p>
      <w:pPr>
        <w:ind w:right="220" w:firstLine="382"/>
        <w:spacing w:after="0" w:line="259" w:lineRule="auto"/>
        <w:rPr>
          <w:sz w:val="20"/>
          <w:szCs w:val="20"/>
          <w:color w:val="auto"/>
        </w:rPr>
      </w:pPr>
      <w:r>
        <w:rPr>
          <w:rFonts w:ascii="Times New Roman" w:cs="Times New Roman" w:eastAsia="Times New Roman" w:hAnsi="Times New Roman"/>
          <w:sz w:val="14"/>
          <w:szCs w:val="14"/>
          <w:color w:val="auto"/>
        </w:rPr>
        <w:t>In February 2025, the Company’s Board of Directors authorized a program to repurchase up to $200.0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 In June 2025, the Company’s Board of Directors authorized an additional $800.0 million in repurchases under the Share Repurchase Program, bringing the aggregate authorized repurchase amount to $1.0 billion.</w:t>
      </w:r>
    </w:p>
    <w:p>
      <w:pPr>
        <w:spacing w:after="0" w:line="167"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During the three and nine months ended October 31, 2025, the Company repurchased 513,620 and 1,443,294 shares of common stock for $145.3 million and $345.3 million, respectively, of which, $2.3 million is included in other accrued liabilities on the Company’s condensed consolidated balance sheet as of October 31, 2025. The average price per share for the three and nine months ended October 31, 2025 was $294.01 and $265.88, respectively. All repurchases were made in open market transactions and recorded in treasury stock. As of October 31, 2025, our total remaining authorization under our stock repurchase plan is $654.7 million.</w:t>
      </w:r>
    </w:p>
    <w:p>
      <w:pPr>
        <w:spacing w:after="0" w:line="200" w:lineRule="exact"/>
        <w:rPr>
          <w:sz w:val="20"/>
          <w:szCs w:val="20"/>
          <w:color w:val="auto"/>
        </w:rPr>
      </w:pPr>
    </w:p>
    <w:p>
      <w:pPr>
        <w:spacing w:after="0" w:line="23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Net Loss Per Share</w:t>
      </w:r>
    </w:p>
    <w:p>
      <w:pPr>
        <w:spacing w:after="0" w:line="138"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restricted stock awards. Basic and diluted net loss per share was the same for each period presented, as the inclusion of all potential common shares outstanding would have been anti-dilutive due to the net loss reported for each period presented.</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share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40" w:type="dxa"/>
            <w:vAlign w:val="bottom"/>
          </w:tcPr>
          <w:p>
            <w:pPr>
              <w:spacing w:after="0"/>
              <w:rPr>
                <w:sz w:val="13"/>
                <w:szCs w:val="13"/>
                <w:color w:val="auto"/>
              </w:rPr>
            </w:pPr>
          </w:p>
        </w:tc>
        <w:tc>
          <w:tcPr>
            <w:tcW w:w="2540" w:type="dxa"/>
            <w:vAlign w:val="bottom"/>
            <w:gridSpan w:val="4"/>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0" w:type="dxa"/>
            <w:vAlign w:val="bottom"/>
          </w:tcPr>
          <w:p>
            <w:pPr>
              <w:spacing w:after="0"/>
              <w:rPr>
                <w:sz w:val="1"/>
                <w:szCs w:val="1"/>
                <w:color w:val="auto"/>
              </w:rPr>
            </w:pPr>
          </w:p>
        </w:tc>
      </w:tr>
      <w:tr>
        <w:trPr>
          <w:trHeight w:val="154"/>
        </w:trPr>
        <w:tc>
          <w:tcPr>
            <w:tcW w:w="546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80" w:type="dxa"/>
            <w:vAlign w:val="bottom"/>
          </w:tcPr>
          <w:p>
            <w:pPr>
              <w:spacing w:after="0"/>
              <w:rPr>
                <w:sz w:val="16"/>
                <w:szCs w:val="16"/>
                <w:color w:val="auto"/>
              </w:rPr>
            </w:pPr>
          </w:p>
        </w:tc>
        <w:tc>
          <w:tcPr>
            <w:tcW w:w="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(86,681)</w:t>
            </w:r>
          </w:p>
        </w:tc>
        <w:tc>
          <w:tcPr>
            <w:tcW w:w="100" w:type="dxa"/>
            <w:vAlign w:val="bottom"/>
          </w:tcPr>
          <w:p>
            <w:pPr>
              <w:spacing w:after="0"/>
              <w:rPr>
                <w:sz w:val="16"/>
                <w:szCs w:val="16"/>
                <w:color w:val="auto"/>
              </w:rPr>
            </w:pPr>
          </w:p>
        </w:tc>
        <w:tc>
          <w:tcPr>
            <w:tcW w:w="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(144,898)</w:t>
            </w:r>
          </w:p>
        </w:tc>
        <w:tc>
          <w:tcPr>
            <w:tcW w:w="0" w:type="dxa"/>
            <w:vAlign w:val="bottom"/>
          </w:tcPr>
          <w:p>
            <w:pPr>
              <w:spacing w:after="0"/>
              <w:rPr>
                <w:sz w:val="1"/>
                <w:szCs w:val="1"/>
                <w:color w:val="auto"/>
              </w:rPr>
            </w:pPr>
          </w:p>
        </w:tc>
      </w:tr>
      <w:tr>
        <w:trPr>
          <w:trHeight w:val="53"/>
        </w:trPr>
        <w:tc>
          <w:tcPr>
            <w:tcW w:w="54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Weighted-average shares used to compute net loss per share, basic and diluted</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81,401,853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74,020,593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81,245,331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73,472,900</w:t>
            </w:r>
          </w:p>
        </w:tc>
        <w:tc>
          <w:tcPr>
            <w:tcW w:w="0" w:type="dxa"/>
            <w:vAlign w:val="bottom"/>
          </w:tcPr>
          <w:p>
            <w:pPr>
              <w:spacing w:after="0"/>
              <w:rPr>
                <w:sz w:val="1"/>
                <w:szCs w:val="1"/>
                <w:color w:val="auto"/>
              </w:rPr>
            </w:pPr>
          </w:p>
        </w:tc>
      </w:tr>
      <w:tr>
        <w:trPr>
          <w:trHeight w:val="212"/>
        </w:trPr>
        <w:tc>
          <w:tcPr>
            <w:tcW w:w="5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34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53"/>
        </w:trPr>
        <w:tc>
          <w:tcPr>
            <w:tcW w:w="5460" w:type="dxa"/>
            <w:vAlign w:val="bottom"/>
            <w:shd w:val="clear" w:color="auto" w:fill="CCEEFF"/>
          </w:tcPr>
          <w:p>
            <w:pPr>
              <w:spacing w:after="0"/>
              <w:rPr>
                <w:sz w:val="4"/>
                <w:szCs w:val="4"/>
                <w:color w:val="auto"/>
              </w:rPr>
            </w:pPr>
          </w:p>
        </w:tc>
        <w:tc>
          <w:tcPr>
            <w:tcW w:w="340" w:type="dxa"/>
            <w:vAlign w:val="bottom"/>
            <w:vMerge w:val="continue"/>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40" w:type="dxa"/>
            <w:vAlign w:val="bottom"/>
            <w:vMerge w:val="continue"/>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 xml:space="preserve">In connection with the issuance of the 2024 Notes and 2026 Notes, the Company entered into Capped Calls, which were not included for the purpose of calculating the number of diluted shares outstanding, as their effect would have been anti-dilutive. The Capped Calls were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refer to Note 6. </w:t>
      </w:r>
      <w:r>
        <w:rPr>
          <w:rFonts w:ascii="Times New Roman" w:cs="Times New Roman" w:eastAsia="Times New Roman" w:hAnsi="Times New Roman"/>
          <w:sz w:val="14"/>
          <w:szCs w:val="14"/>
          <w:i w:val="1"/>
          <w:iCs w:val="1"/>
          <w:color w:val="auto"/>
        </w:rPr>
        <w:t>Convertible Senior Notes</w:t>
      </w:r>
      <w:r>
        <w:rPr>
          <w:rFonts w:ascii="Times New Roman" w:cs="Times New Roman" w:eastAsia="Times New Roman" w:hAnsi="Times New Roman"/>
          <w:sz w:val="14"/>
          <w:szCs w:val="14"/>
          <w:color w:val="auto"/>
        </w:rPr>
        <w:t xml:space="preserve"> for more information.</w:t>
      </w:r>
    </w:p>
    <w:p>
      <w:pPr>
        <w:spacing w:after="0" w:line="98"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following shares of common stock were excluded from the computation of diluted net loss per share attributable to the Company for the periods presented because including them would have been anti-dilutive as the Company has reported net loss for each of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60" w:type="dxa"/>
            <w:vAlign w:val="bottom"/>
          </w:tcPr>
          <w:p>
            <w:pPr>
              <w:spacing w:after="0"/>
              <w:rPr>
                <w:sz w:val="13"/>
                <w:szCs w:val="13"/>
                <w:color w:val="auto"/>
              </w:rPr>
            </w:pPr>
          </w:p>
        </w:tc>
        <w:tc>
          <w:tcPr>
            <w:tcW w:w="3040" w:type="dxa"/>
            <w:vAlign w:val="bottom"/>
            <w:gridSpan w:val="4"/>
          </w:tcPr>
          <w:p>
            <w:pPr>
              <w:ind w:left="66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2880" w:type="dxa"/>
            <w:vAlign w:val="bottom"/>
            <w:gridSpan w:val="3"/>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4"/>
        </w:trPr>
        <w:tc>
          <w:tcPr>
            <w:tcW w:w="5360" w:type="dxa"/>
            <w:vAlign w:val="bottom"/>
            <w:tcBorders>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7"/>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 options pursuant to the 2016 Equity Incentive Plan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190,117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303,833</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190,117</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326,151</w:t>
            </w:r>
          </w:p>
        </w:tc>
      </w:tr>
      <w:tr>
        <w:trPr>
          <w:trHeight w:val="212"/>
        </w:trPr>
        <w:tc>
          <w:tcPr>
            <w:tcW w:w="5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options pursuant to the 2008 Stock Incentive Plan</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336,783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63,420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364,653</w:t>
            </w: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4,505,437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3,814,958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4,505,437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3,877,567</w:t>
            </w:r>
          </w:p>
        </w:tc>
      </w:tr>
      <w:tr>
        <w:trPr>
          <w:trHeight w:val="212"/>
        </w:trPr>
        <w:tc>
          <w:tcPr>
            <w:tcW w:w="5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Unvested restricted stock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131,770</w:t>
            </w: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131,770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Unvested executive PSUs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158,225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179,053</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158,225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184,532</w:t>
            </w:r>
          </w:p>
        </w:tc>
      </w:tr>
      <w:tr>
        <w:trPr>
          <w:trHeight w:val="212"/>
        </w:trPr>
        <w:tc>
          <w:tcPr>
            <w:tcW w:w="5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underlying the conversion option of the 2026 Notes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5,561,065</w:t>
            </w:r>
          </w:p>
        </w:tc>
        <w:tc>
          <w:tcPr>
            <w:tcW w:w="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5,483,690</w:t>
            </w:r>
          </w:p>
        </w:tc>
      </w:tr>
      <w:tr>
        <w:trPr>
          <w:trHeight w:val="196"/>
        </w:trPr>
        <w:tc>
          <w:tcPr>
            <w:tcW w:w="53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5,048,969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10,195,692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5,048,969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10,236,593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138"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The Company recorded a provision for income taxes of $3.4 million and 11.6 million for the three and nine months ended October 31, 2025, respectively, and $2.7 million and $9.1 million for the three and nine months ended October 31, 2024, respectively. The provisions recorded during each of the three and nine months ended October 31, 2025 and 2024 were driven by an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 (CONTINUED)</w:t>
      </w:r>
    </w:p>
    <w:p>
      <w:pPr>
        <w:spacing w:after="0" w:line="270"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and Ireland net deferred tax assets, as it is more likely than not that some or all of the deferred tax assets will not be realized.</w:t>
      </w:r>
    </w:p>
    <w:p>
      <w:pPr>
        <w:spacing w:after="0" w:line="96" w:lineRule="exact"/>
        <w:rPr>
          <w:sz w:val="20"/>
          <w:szCs w:val="20"/>
          <w:color w:val="auto"/>
        </w:rPr>
      </w:pPr>
    </w:p>
    <w:p>
      <w:pPr>
        <w:ind w:right="320" w:firstLine="382"/>
        <w:spacing w:after="0" w:line="290" w:lineRule="auto"/>
        <w:rPr>
          <w:sz w:val="20"/>
          <w:szCs w:val="20"/>
          <w:color w:val="auto"/>
        </w:rPr>
      </w:pPr>
      <w:r>
        <w:rPr>
          <w:rFonts w:ascii="Times New Roman" w:cs="Times New Roman" w:eastAsia="Times New Roman" w:hAnsi="Times New Roman"/>
          <w:sz w:val="14"/>
          <w:szCs w:val="14"/>
          <w:color w:val="auto"/>
        </w:rPr>
        <w:t xml:space="preserve">The Company assesses uncertain tax positions in accordance with ASC 740-10, </w:t>
      </w:r>
      <w:r>
        <w:rPr>
          <w:rFonts w:ascii="Times New Roman" w:cs="Times New Roman" w:eastAsia="Times New Roman" w:hAnsi="Times New Roman"/>
          <w:sz w:val="14"/>
          <w:szCs w:val="14"/>
          <w:i w:val="1"/>
          <w:iCs w:val="1"/>
          <w:color w:val="auto"/>
        </w:rPr>
        <w:t>Accounting for Uncertainties in Tax</w:t>
      </w:r>
      <w:r>
        <w:rPr>
          <w:rFonts w:ascii="Times New Roman" w:cs="Times New Roman" w:eastAsia="Times New Roman" w:hAnsi="Times New Roman"/>
          <w:sz w:val="14"/>
          <w:szCs w:val="14"/>
          <w:color w:val="auto"/>
        </w:rPr>
        <w:t>. As of January 31, 2025, the Company’s net unrecognized tax benefits totaled $104.5 million, $1.3 million of which would have an impact on the Company’s effective tax rate if recognized.</w:t>
      </w:r>
    </w:p>
    <w:p>
      <w:pPr>
        <w:spacing w:after="0" w:line="80"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including the immediate expensing of United States research and development expenditures. The legislation has multiple effective dates, with certain provisions effective in the current fiscal period and others in the fiscal year ended January 31, 2027. We have completed a current fiscal year assessment of the related tax impacts this quarter on our condensed consolidated financial statements. Given the ongoing tax losses and full valuation allowance against our domestic deferred tax assets, we do not expect any material impacts from the provisions effective in the fiscal year ended January 31, 2026 on our consolidated financial statements.</w:t>
      </w:r>
    </w:p>
    <w:p>
      <w:pPr>
        <w:spacing w:after="0" w:line="167"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Segment and Geographic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Information</w:t>
      </w:r>
    </w:p>
    <w:p>
      <w:pPr>
        <w:spacing w:after="0" w:line="138"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The Company’s chief operating decision maker (“CODM”), the Chief Executive Officer, manages the Company’s business activities as a single operating and reportable segment at the consolidated level. Accordingly, the CODM uses consolidated net loss to make operating decisions, allocate resources and assess performance. The CODM uses consolidated net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revenues, sales and marketing, research and development, and general and administrative) at the consolidated level to manage the Company’s operations. Other segment items included in consolidated net loss are interest income, interest expense, other income (expense), net and the provision for income taxes, which are reflected in the interim condensed consolidated statements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Geographic Information</w:t>
      </w:r>
    </w:p>
    <w:p>
      <w:pPr>
        <w:spacing w:after="0" w:line="138"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Customers located in the United States accounted for 53% and 54% of total revenue for the three and nine months ended October 31, 2025, respectively, and 55% and 54% of total revenue for the three and nine months ended October 31, 2024, respectively. No other country accounted for 10% or more of revenue for the periods presented.</w:t>
      </w:r>
    </w:p>
    <w:p>
      <w:pPr>
        <w:spacing w:after="0" w:line="82"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Long-lived assets located in the United States accounted for 85% of total long-lived assets as of October 31, 2025 and 86% as of October 31, 2024. No other countries accounted for 10% or more of long-lived assets as of October 31, 2025 and October 31, 2024.</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33"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ended January 31, 2025 (the “2025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82"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02" w:lineRule="exact"/>
        <w:rPr>
          <w:sz w:val="20"/>
          <w:szCs w:val="20"/>
          <w:color w:val="auto"/>
        </w:rPr>
      </w:pPr>
    </w:p>
    <w:p>
      <w:pPr>
        <w:jc w:val="both"/>
        <w:ind w:right="40" w:firstLine="382"/>
        <w:spacing w:after="0" w:line="271" w:lineRule="auto"/>
        <w:rPr>
          <w:sz w:val="20"/>
          <w:szCs w:val="20"/>
          <w:color w:val="auto"/>
        </w:rPr>
      </w:pPr>
      <w:r>
        <w:rPr>
          <w:rFonts w:ascii="Times New Roman" w:cs="Times New Roman" w:eastAsia="Times New Roman" w:hAnsi="Times New Roman"/>
          <w:sz w:val="14"/>
          <w:szCs w:val="14"/>
          <w:color w:val="auto"/>
        </w:rPr>
        <w:t xml:space="preserve">Our corporate website is located at </w:t>
      </w:r>
      <w:r>
        <w:rPr>
          <w:rFonts w:ascii="Times New Roman" w:cs="Times New Roman" w:eastAsia="Times New Roman" w:hAnsi="Times New Roman"/>
          <w:sz w:val="14"/>
          <w:szCs w:val="14"/>
          <w:i w:val="1"/>
          <w:iCs w:val="1"/>
          <w:color w:val="auto"/>
        </w:rPr>
        <w:t>www.mongodb.com</w:t>
      </w:r>
      <w:r>
        <w:rPr>
          <w:rFonts w:ascii="Times New Roman" w:cs="Times New Roman" w:eastAsia="Times New Roman" w:hAnsi="Times New Roman"/>
          <w:sz w:val="14"/>
          <w:szCs w:val="14"/>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5,639 as of October 31, 2025, from 5,436 as of October 31, 2024.</w:t>
      </w:r>
    </w:p>
    <w:p>
      <w:pPr>
        <w:spacing w:after="0" w:line="104"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We generate revenue primarily from sales of subscriptions, which accounted for 97% of our total revenue for both the three and nine months ended October 31, 2025, respectively, and 97% for both the three and nine months ended October 31, 2024.</w:t>
      </w:r>
    </w:p>
    <w:p>
      <w:pPr>
        <w:spacing w:after="0" w:line="82"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MongoDB Atlas is our hosted multi-cloud database-as-a-service (“DBaaS”) offering, which we run and manage in the cloud, and includes comprehensive infrastructure and management, as well as a host of additional features, such as MongoDB Atlas Search, Vector Search, time series, data lifecycle, application-driven analytics and stream processing. During the three and nine months ended October 31, 2025, MongoDB Atlas revenue represented 75% and 74%, respectively, as compared to 68% and 70% of our total revenue during the three and nine months ended October 31, 2024, respectively, reflecting the continued strength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spacing w:after="0" w:line="104"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MongoDB Enterprise Advanced is our proprietary commercial database server offering for enterprise customers that can run in the cloud, on-premises or in a hybrid environment. MongoDB Enterprise Advanced revenue represented 20% and 21% for the three and nine months ended October 31, 2025, respectively, and 25% and 24% of our subscription revenue for</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three and nine months ended October 31, 2024,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82"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650 million times since February 2009.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03"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 also generate revenue from services, which consist primarily of fees associated with consulting and training services. Revenue from services accounted for 3% of our total revenue for both the three and nine months ended October 31, 2025, and 3% for both the three and nine months ended October 31, 2024. We expect to continue to invest in our services organization as we believe it plays an important role in accelerating our customers’ realization of the benefits of our platform, which helps drive customer retention and expansion.</w:t>
      </w:r>
    </w:p>
    <w:p>
      <w:pPr>
        <w:spacing w:after="0" w:line="93" w:lineRule="exact"/>
        <w:rPr>
          <w:sz w:val="20"/>
          <w:szCs w:val="20"/>
          <w:color w:val="auto"/>
        </w:rPr>
      </w:pPr>
    </w:p>
    <w:p>
      <w:pPr>
        <w:ind w:right="540" w:firstLine="382"/>
        <w:spacing w:after="0" w:line="287" w:lineRule="auto"/>
        <w:rPr>
          <w:sz w:val="20"/>
          <w:szCs w:val="20"/>
          <w:color w:val="auto"/>
        </w:rPr>
      </w:pPr>
      <w:r>
        <w:rPr>
          <w:rFonts w:ascii="Times New Roman" w:cs="Times New Roman" w:eastAsia="Times New Roman" w:hAnsi="Times New Roman"/>
          <w:sz w:val="14"/>
          <w:szCs w:val="14"/>
          <w:color w:val="auto"/>
        </w:rPr>
        <w:t>We believe the market for our offerings is large and growing. According to IDC, the worldwide data software market, which it refers to as the Data Management Software market, was $93 billion in 2024 growing to approximately $169 billion in 2029. This represents a 13% five year compound annual growth rate.</w:t>
      </w:r>
    </w:p>
    <w:p>
      <w:pPr>
        <w:spacing w:after="0" w:line="82"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Macroeconomic and Other Factors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operational and financial performance is subject to risks including those caused by the adverse macroeconomic environment and the geopolitical landscape.</w:t>
      </w:r>
    </w:p>
    <w:p>
      <w:pPr>
        <w:spacing w:after="0" w:line="136"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Adverse macroeconomic conditions include slower or negative economic growth and higher inflation.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93"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II, Item 1A of this Quarterly Report on Form 10-Q. Other factors affecting our performance are discussed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Growing Our Customer Base and Expanding Our Global Reach</w:t>
      </w:r>
    </w:p>
    <w:p>
      <w:pPr>
        <w:spacing w:after="0" w:line="138"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We are intensely focused on continuing to grow our customer base. We have invested, and expect to continue to invest, in our sales and marketing efforts and developer community outreach, which are critical to driving customer acquisition. As of October 31, 2025, we had over 62,500 customers across a wide range of industries and in over 100 countries, compared to over 52,600 customers as of October 31, 2024. All affiliated entities are counted as a single customer and our definition of “customer” excludes users of our free offerings.</w:t>
      </w:r>
    </w:p>
    <w:p>
      <w:pPr>
        <w:spacing w:after="0" w:line="93" w:lineRule="exact"/>
        <w:rPr>
          <w:sz w:val="20"/>
          <w:szCs w:val="20"/>
          <w:color w:val="auto"/>
        </w:rPr>
      </w:pPr>
    </w:p>
    <w:p>
      <w:pPr>
        <w:jc w:val="both"/>
        <w:ind w:right="160" w:firstLine="509"/>
        <w:spacing w:after="0" w:line="270" w:lineRule="auto"/>
        <w:rPr>
          <w:sz w:val="20"/>
          <w:szCs w:val="20"/>
          <w:color w:val="auto"/>
        </w:rPr>
      </w:pPr>
      <w:r>
        <w:rPr>
          <w:rFonts w:ascii="Times New Roman" w:cs="Times New Roman" w:eastAsia="Times New Roman" w:hAnsi="Times New Roman"/>
          <w:sz w:val="14"/>
          <w:szCs w:val="14"/>
          <w:color w:val="auto"/>
        </w:rPr>
        <w:t>As of October 31, 2025, we had over 7,000 customers that were sold through our direct sales force and channel partners, as compared to over 7,400 such customers as of October 31, 2024. These customers, which we refer to as our Direct Sales Customers, accounted for 87% of our subscription revenue for both the three and nine months ended October 31, 2025 and 88% for both the three and nine months ended October 31, 2024, respectively. We plan to continue to invest in acquiring</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new customers and additional workloads from existing customers across all of our channels. We had over 60,800 MongoDB Atlas customers as of October 31, 2025 compared to over 51,100 as of October 31, 2024. The growth in MongoDB Atlas customers included new customers to MongoDB and existing MongoDB Enterprise Advanced customers adding incremental MongoDB Atlas workloads.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Retaining and Expanding Revenue from Existing Customers</w:t>
      </w:r>
    </w:p>
    <w:p>
      <w:pPr>
        <w:spacing w:after="0" w:line="138"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4"/>
          <w:szCs w:val="14"/>
          <w:color w:val="auto"/>
        </w:rPr>
        <w:t>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0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2,694 and 2,314 as of October 31, 2025 and 2024,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03"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We also examine the rate at which our customers increase their spend with us, which we call net ARR expansion rate. We calculate net ARR expansion rate by dividing the ARR and annualized MRR at the close of a given period (the “measurement period”), from customers who were also customers at the close of the same period in the prior year (the “base period”), by the ARR and annualized MRR from all customers at the close of the base period, including those who churned or reduced their subscriptions. As of October 31, 2025, our net ARR expansion rate was 120%. Our net ARR expansion rate may fluctuate in future periods due to a variety of factors, including the volume and type of workloads that we onboard, growth rate of historical workloads on our platform and changes in the macroeconomic environment.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Revenue</w:t>
      </w:r>
    </w:p>
    <w:p>
      <w:pPr>
        <w:spacing w:after="0" w:line="136" w:lineRule="exact"/>
        <w:rPr>
          <w:sz w:val="20"/>
          <w:szCs w:val="20"/>
          <w:color w:val="auto"/>
        </w:rPr>
      </w:pPr>
    </w:p>
    <w:p>
      <w:pPr>
        <w:ind w:right="20"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Subscription Revenue. </w:t>
      </w:r>
      <w:r>
        <w:rPr>
          <w:rFonts w:ascii="Times New Roman" w:cs="Times New Roman" w:eastAsia="Times New Roman" w:hAnsi="Times New Roman"/>
          <w:sz w:val="14"/>
          <w:szCs w:val="14"/>
          <w:color w:val="auto"/>
        </w:rPr>
        <w:t>Our subscription revenue is comprised of term licenses and database-as-a-service solutions. Revenue from our MongoDB Atlas database-as-a-service offering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Services Revenue. </w:t>
      </w:r>
      <w:r>
        <w:rPr>
          <w:rFonts w:ascii="Times New Roman" w:cs="Times New Roman" w:eastAsia="Times New Roman" w:hAnsi="Times New Roman"/>
          <w:sz w:val="14"/>
          <w:szCs w:val="14"/>
          <w:color w:val="auto"/>
        </w:rPr>
        <w:t>Services revenue is comprised of consulting and training services and is recognized over the period of delivery of the applicable services.</w:t>
      </w:r>
    </w:p>
    <w:p>
      <w:pPr>
        <w:spacing w:after="0" w:line="138"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Cost of Revenue</w:t>
      </w:r>
    </w:p>
    <w:p>
      <w:pPr>
        <w:spacing w:after="0" w:line="136" w:lineRule="exact"/>
        <w:rPr>
          <w:sz w:val="20"/>
          <w:szCs w:val="20"/>
          <w:color w:val="auto"/>
        </w:rPr>
      </w:pPr>
    </w:p>
    <w:p>
      <w:pPr>
        <w:ind w:right="50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Cost of Subscription Revenue. </w:t>
      </w:r>
      <w:r>
        <w:rPr>
          <w:rFonts w:ascii="Times New Roman" w:cs="Times New Roman" w:eastAsia="Times New Roman" w:hAnsi="Times New Roman"/>
          <w:sz w:val="14"/>
          <w:szCs w:val="14"/>
          <w:color w:val="auto"/>
        </w:rPr>
        <w:t>Cost of subscription revenue primarily includes third-party cloud infrastructure expenses for our database-as-a-service solutions. We expect our cost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66" w:lineRule="exact"/>
        <w:rPr>
          <w:sz w:val="20"/>
          <w:szCs w:val="20"/>
          <w:color w:val="auto"/>
        </w:rPr>
      </w:pPr>
    </w:p>
    <w:p>
      <w:pPr>
        <w:ind w:right="120" w:firstLine="382"/>
        <w:spacing w:after="0" w:line="185" w:lineRule="exact"/>
        <w:rPr>
          <w:sz w:val="20"/>
          <w:szCs w:val="20"/>
          <w:color w:val="auto"/>
        </w:rPr>
      </w:pPr>
      <w:r>
        <w:rPr>
          <w:rFonts w:ascii="Times New Roman" w:cs="Times New Roman" w:eastAsia="Times New Roman" w:hAnsi="Times New Roman"/>
          <w:sz w:val="14"/>
          <w:szCs w:val="14"/>
          <w:i w:val="1"/>
          <w:iCs w:val="1"/>
          <w:color w:val="auto"/>
        </w:rPr>
        <w:t xml:space="preserve">Cost of Services Revenue. </w:t>
      </w:r>
      <w:r>
        <w:rPr>
          <w:rFonts w:ascii="Times New Roman" w:cs="Times New Roman" w:eastAsia="Times New Roman" w:hAnsi="Times New Roman"/>
          <w:sz w:val="14"/>
          <w:szCs w:val="14"/>
          <w:color w:val="auto"/>
        </w:rPr>
        <w:t>Cost of services revenue primarily includes personnel costs, including salaries, bonuses and benefits,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for employees associated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professional service contracts, as well as, travel costs, allocated shared costs and depreciation and amortization. We expect our cost of services revenue to increase in absolute dollars as our services revenue increases.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Gross Profit and Gross Margin</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represents revenue less cost of revenue.</w:t>
      </w:r>
    </w:p>
    <w:p>
      <w:pPr>
        <w:spacing w:after="0" w:line="136" w:lineRule="exact"/>
        <w:rPr>
          <w:sz w:val="20"/>
          <w:szCs w:val="20"/>
          <w:color w:val="auto"/>
        </w:rPr>
      </w:pPr>
    </w:p>
    <w:p>
      <w:pPr>
        <w:jc w:val="both"/>
        <w:ind w:right="8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Gross Margin. </w:t>
      </w:r>
      <w:r>
        <w:rPr>
          <w:rFonts w:ascii="Times New Roman" w:cs="Times New Roman" w:eastAsia="Times New Roman" w:hAnsi="Times New Roman"/>
          <w:sz w:val="14"/>
          <w:szCs w:val="14"/>
          <w:color w:val="auto"/>
        </w:rPr>
        <w:t>Gross margin, or gross profit as a percentage of revenue, has been and will continue to be affected by a variety of factors, including the average sales price of our products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Operating Expenses</w:t>
      </w:r>
    </w:p>
    <w:p>
      <w:pPr>
        <w:spacing w:after="0" w:line="13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51" w:lineRule="exact"/>
        <w:rPr>
          <w:sz w:val="20"/>
          <w:szCs w:val="20"/>
          <w:color w:val="auto"/>
        </w:rPr>
      </w:pPr>
    </w:p>
    <w:p>
      <w:pPr>
        <w:ind w:right="280" w:firstLine="382"/>
        <w:spacing w:after="0" w:line="182" w:lineRule="exact"/>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 consists primarily of personnel costs, including salaries, sales commission and benefits, bonuses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also include costs related to marketing programs, travel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expenses and allocated overhead. Marketing programs consist of advertising, events, corporate communications, and brand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building and developer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82" w:lineRule="exact"/>
        <w:rPr>
          <w:sz w:val="20"/>
          <w:szCs w:val="20"/>
          <w:color w:val="auto"/>
        </w:rPr>
      </w:pPr>
    </w:p>
    <w:p>
      <w:pPr>
        <w:jc w:val="both"/>
        <w:ind w:right="60" w:firstLine="382"/>
        <w:spacing w:after="0" w:line="185" w:lineRule="exact"/>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 consists primarily of personnel costs, including salaries, bonuses and benefits,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It also includes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83" w:lineRule="exact"/>
        <w:rPr>
          <w:sz w:val="20"/>
          <w:szCs w:val="20"/>
          <w:color w:val="auto"/>
        </w:rPr>
      </w:pPr>
    </w:p>
    <w:p>
      <w:pPr>
        <w:ind w:right="100" w:firstLine="382"/>
        <w:spacing w:after="0" w:line="185" w:lineRule="exact"/>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 consists primarily of personnel costs, including salaries, bonuses and benefits, and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functions including finance, legal, human resources and external legal and accounting fees, as well as allocated overhead. We expect general and administrative expense to increase in absolute dollars over time as we continue to invest in the growth of our business.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(expense), net consists primarily of interest income, interest expense, gains and losses on financial instruments, net and gains and losses from foreign currency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Provision for Income Taxes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Provision for income taxes consists primarily of state income taxes in the United States and income taxes in certain foreign jurisdictions in which we conduct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82"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and Ireland net deferred tax assets, as it is more likely than not that some or all of the deferred tax assets will not be realized.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4"/>
        </w:trPr>
        <w:tc>
          <w:tcPr>
            <w:tcW w:w="380" w:type="dxa"/>
            <w:vAlign w:val="bottom"/>
            <w:tcBorders>
              <w:bottom w:val="single" w:sz="8" w:color="CCEEFF"/>
            </w:tcBorders>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5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5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Revenue:</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2"/>
        </w:trPr>
        <w:tc>
          <w:tcPr>
            <w:tcW w:w="51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609,067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1,712,877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1,412,906</w:t>
            </w:r>
          </w:p>
        </w:tc>
      </w:tr>
      <w:tr>
        <w:trPr>
          <w:trHeight w:val="223"/>
        </w:trPr>
        <w:tc>
          <w:tcPr>
            <w:tcW w:w="51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19,242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55,848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45,139</w:t>
            </w:r>
          </w:p>
        </w:tc>
      </w:tr>
      <w:tr>
        <w:trPr>
          <w:trHeight w:val="192"/>
        </w:trPr>
        <w:tc>
          <w:tcPr>
            <w:tcW w:w="51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628,309</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529,375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1,768,725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1,458,045</w:t>
            </w:r>
          </w:p>
        </w:tc>
      </w:tr>
      <w:tr>
        <w:trPr>
          <w:trHeight w:val="191"/>
        </w:trPr>
        <w:tc>
          <w:tcPr>
            <w:tcW w:w="5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Cost of revenue:</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2"/>
        </w:trPr>
        <w:tc>
          <w:tcPr>
            <w:tcW w:w="51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Subscription</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146,921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318,728</w:t>
            </w:r>
          </w:p>
        </w:tc>
      </w:tr>
      <w:tr>
        <w:trPr>
          <w:trHeight w:val="223"/>
        </w:trPr>
        <w:tc>
          <w:tcPr>
            <w:tcW w:w="51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4"/>
                <w:szCs w:val="14"/>
                <w:color w:val="auto"/>
              </w:rPr>
              <w:t>Services</w:t>
            </w:r>
            <w:r>
              <w:rPr>
                <w:rFonts w:ascii="Times New Roman" w:cs="Times New Roman" w:eastAsia="Times New Roman" w:hAnsi="Times New Roman"/>
                <w:sz w:val="18"/>
                <w:szCs w:val="18"/>
                <w:color w:val="auto"/>
                <w:vertAlign w:val="superscript"/>
              </w:rPr>
              <w:t>(1)</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92,191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67,553</w:t>
            </w:r>
          </w:p>
        </w:tc>
      </w:tr>
      <w:tr>
        <w:trPr>
          <w:trHeight w:val="203"/>
        </w:trPr>
        <w:tc>
          <w:tcPr>
            <w:tcW w:w="51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cost of revenue</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179,177</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508,646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386,281</w:t>
            </w:r>
          </w:p>
        </w:tc>
      </w:tr>
      <w:tr>
        <w:trPr>
          <w:trHeight w:val="192"/>
        </w:trPr>
        <w:tc>
          <w:tcPr>
            <w:tcW w:w="5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449,132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1,260,079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1,071,764</w:t>
            </w:r>
          </w:p>
        </w:tc>
      </w:tr>
      <w:tr>
        <w:trPr>
          <w:trHeight w:val="181"/>
        </w:trPr>
        <w:tc>
          <w:tcPr>
            <w:tcW w:w="5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51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230,864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695,852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658,937</w:t>
            </w:r>
          </w:p>
        </w:tc>
      </w:tr>
      <w:tr>
        <w:trPr>
          <w:trHeight w:val="212"/>
        </w:trPr>
        <w:tc>
          <w:tcPr>
            <w:tcW w:w="51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446,437</w:t>
            </w:r>
          </w:p>
        </w:tc>
      </w:tr>
      <w:tr>
        <w:trPr>
          <w:trHeight w:val="223"/>
        </w:trPr>
        <w:tc>
          <w:tcPr>
            <w:tcW w:w="51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60,082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163,892</w:t>
            </w:r>
          </w:p>
        </w:tc>
      </w:tr>
      <w:tr>
        <w:trPr>
          <w:trHeight w:val="192"/>
        </w:trPr>
        <w:tc>
          <w:tcPr>
            <w:tcW w:w="380" w:type="dxa"/>
            <w:vAlign w:val="bottom"/>
            <w:shd w:val="clear" w:color="auto" w:fill="CCEEFF"/>
          </w:tcPr>
          <w:p>
            <w:pPr>
              <w:spacing w:after="0"/>
              <w:rPr>
                <w:sz w:val="16"/>
                <w:szCs w:val="16"/>
                <w:color w:val="auto"/>
              </w:rPr>
            </w:pPr>
          </w:p>
        </w:tc>
        <w:tc>
          <w:tcPr>
            <w:tcW w:w="4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467,556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1,397,351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1,269,266</w:t>
            </w:r>
          </w:p>
        </w:tc>
      </w:tr>
      <w:tr>
        <w:trPr>
          <w:trHeight w:val="212"/>
        </w:trPr>
        <w:tc>
          <w:tcPr>
            <w:tcW w:w="5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Loss from operations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(197,502)</w:t>
            </w:r>
          </w:p>
        </w:tc>
      </w:tr>
      <w:tr>
        <w:trPr>
          <w:trHeight w:val="212"/>
        </w:trPr>
        <w:tc>
          <w:tcPr>
            <w:tcW w:w="5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income, net</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19,774</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61,749</w:t>
            </w:r>
          </w:p>
        </w:tc>
      </w:tr>
      <w:tr>
        <w:trPr>
          <w:trHeight w:val="192"/>
        </w:trPr>
        <w:tc>
          <w:tcPr>
            <w:tcW w:w="5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(135,753)</w:t>
            </w:r>
          </w:p>
        </w:tc>
      </w:tr>
      <w:tr>
        <w:trPr>
          <w:trHeight w:val="223"/>
        </w:trPr>
        <w:tc>
          <w:tcPr>
            <w:tcW w:w="5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r>
      <w:tr>
        <w:trPr>
          <w:trHeight w:val="203"/>
        </w:trPr>
        <w:tc>
          <w:tcPr>
            <w:tcW w:w="5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(86,681)</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(144,898)</w:t>
            </w:r>
          </w:p>
        </w:tc>
      </w:tr>
      <w:tr>
        <w:trPr>
          <w:trHeight w:val="20"/>
        </w:trPr>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0"/>
        </w:trPr>
        <w:tc>
          <w:tcPr>
            <w:tcW w:w="38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28" w:lineRule="exact"/>
        <w:rPr>
          <w:sz w:val="20"/>
          <w:szCs w:val="20"/>
          <w:color w:val="auto"/>
        </w:rPr>
      </w:pPr>
    </w:p>
    <w:p>
      <w:pPr>
        <w:ind w:left="260" w:hanging="255"/>
        <w:spacing w:after="0" w:line="207" w:lineRule="exact"/>
        <w:tabs>
          <w:tab w:leader="none" w:pos="2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 as follows (unaudited,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4"/>
        </w:trPr>
        <w:tc>
          <w:tcPr>
            <w:tcW w:w="5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5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Cost of revenue—subscription</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8,990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26,216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21,566</w:t>
            </w:r>
          </w:p>
        </w:tc>
      </w:tr>
      <w:tr>
        <w:trPr>
          <w:trHeight w:val="171"/>
        </w:trPr>
        <w:tc>
          <w:tcPr>
            <w:tcW w:w="51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Cost of revenue—services</w:t>
            </w:r>
          </w:p>
        </w:tc>
        <w:tc>
          <w:tcPr>
            <w:tcW w:w="94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4,572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10,151</w:t>
            </w:r>
          </w:p>
        </w:tc>
      </w:tr>
      <w:tr>
        <w:trPr>
          <w:trHeight w:val="190"/>
        </w:trPr>
        <w:tc>
          <w:tcPr>
            <w:tcW w:w="5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Sales and marketing</w:t>
            </w: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36,965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112,332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121,193</w:t>
            </w:r>
          </w:p>
        </w:tc>
      </w:tr>
      <w:tr>
        <w:trPr>
          <w:trHeight w:val="171"/>
        </w:trPr>
        <w:tc>
          <w:tcPr>
            <w:tcW w:w="51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94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67,255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208,773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168,211</w:t>
            </w:r>
          </w:p>
        </w:tc>
      </w:tr>
      <w:tr>
        <w:trPr>
          <w:trHeight w:val="201"/>
        </w:trPr>
        <w:tc>
          <w:tcPr>
            <w:tcW w:w="5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9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15,848</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15,943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46,401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47,777</w:t>
            </w:r>
          </w:p>
        </w:tc>
      </w:tr>
      <w:tr>
        <w:trPr>
          <w:trHeight w:val="160"/>
        </w:trPr>
        <w:tc>
          <w:tcPr>
            <w:tcW w:w="5180" w:type="dxa"/>
            <w:vAlign w:val="bottom"/>
          </w:tcPr>
          <w:p>
            <w:pPr>
              <w:ind w:left="220"/>
              <w:spacing w:after="0" w:line="127" w:lineRule="exact"/>
              <w:rPr>
                <w:sz w:val="20"/>
                <w:szCs w:val="20"/>
                <w:color w:val="auto"/>
              </w:rPr>
            </w:pPr>
            <w:r>
              <w:rPr>
                <w:rFonts w:ascii="Times New Roman" w:cs="Times New Roman" w:eastAsia="Times New Roman" w:hAnsi="Times New Roman"/>
                <w:sz w:val="11"/>
                <w:szCs w:val="11"/>
                <w:color w:val="auto"/>
              </w:rPr>
              <w:t>Total stock</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based compensation expense</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133,630</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125,712</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406,461</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368,898</w:t>
            </w: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Percentage of Revenue Data:</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Revenue:</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Subscription</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Services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revenue</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Cost of revenue:</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Subscription</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Services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cost of revenue</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Gross profit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Other income, net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loss</w:t>
      </w:r>
    </w:p>
    <w:p>
      <w:pPr>
        <w:spacing w:after="0" w:line="200" w:lineRule="exact"/>
        <w:rPr>
          <w:sz w:val="20"/>
          <w:szCs w:val="20"/>
          <w:color w:val="auto"/>
        </w:rPr>
      </w:pPr>
    </w:p>
    <w:p>
      <w:pPr>
        <w:spacing w:after="0" w:line="390" w:lineRule="exact"/>
        <w:rPr>
          <w:sz w:val="20"/>
          <w:szCs w:val="20"/>
          <w:color w:val="auto"/>
        </w:rPr>
      </w:pPr>
    </w:p>
    <w:p>
      <w:pPr>
        <w:ind w:right="120"/>
        <w:spacing w:after="0" w:line="480" w:lineRule="auto"/>
        <w:rPr>
          <w:sz w:val="20"/>
          <w:szCs w:val="20"/>
          <w:color w:val="auto"/>
        </w:rPr>
      </w:pPr>
      <w:r>
        <w:rPr>
          <w:rFonts w:ascii="Times New Roman" w:cs="Times New Roman" w:eastAsia="Times New Roman" w:hAnsi="Times New Roman"/>
          <w:sz w:val="14"/>
          <w:szCs w:val="14"/>
          <w:b w:val="1"/>
          <w:bCs w:val="1"/>
          <w:color w:val="auto"/>
        </w:rPr>
        <w:t>Comparison of the Three Months Ended October 31, 2025 and 2024 Revenue</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(unaudited, in thousands)</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Subscription</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Services</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revenue</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Headcount (at period end)</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Subscription</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Services</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headcount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20" w:type="dxa"/>
            <w:vAlign w:val="bottom"/>
            <w:gridSpan w:val="4"/>
          </w:tcPr>
          <w:p>
            <w:pPr>
              <w:ind w:left="740"/>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3120" w:type="dxa"/>
            <w:vAlign w:val="bottom"/>
            <w:gridSpan w:val="3"/>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r>
      <w:tr>
        <w:trPr>
          <w:trHeight w:val="154"/>
        </w:trPr>
        <w:tc>
          <w:tcPr>
            <w:tcW w:w="150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20" w:type="dxa"/>
            <w:vAlign w:val="bottom"/>
            <w:tcBorders>
              <w:top w:val="single" w:sz="8" w:color="auto"/>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-6350</wp:posOffset>
            </wp:positionV>
            <wp:extent cx="7161530" cy="114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222250</wp:posOffset>
            </wp:positionV>
            <wp:extent cx="7161530"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22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2"/>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393"/>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2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92"/>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393"/>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212"/>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2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3"/>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212"/>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2"/>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2"/>
        </w:trPr>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2"/>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-2175510</wp:posOffset>
            </wp:positionV>
            <wp:extent cx="7161530"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-1925955</wp:posOffset>
            </wp:positionV>
            <wp:extent cx="7161530"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-1649730</wp:posOffset>
            </wp:positionV>
            <wp:extent cx="7161530" cy="141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-1373505</wp:posOffset>
            </wp:positionV>
            <wp:extent cx="716153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-1124585</wp:posOffset>
            </wp:positionV>
            <wp:extent cx="7161530"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-848360</wp:posOffset>
            </wp:positionV>
            <wp:extent cx="7161530" cy="141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-572135</wp:posOffset>
            </wp:positionV>
            <wp:extent cx="716153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-302260</wp:posOffset>
            </wp:positionV>
            <wp:extent cx="7161530"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242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94"/>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88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609,067</w:t>
            </w:r>
          </w:p>
        </w:tc>
        <w:tc>
          <w:tcPr>
            <w:tcW w:w="80" w:type="dxa"/>
            <w:vAlign w:val="bottom"/>
          </w:tcPr>
          <w:p>
            <w:pPr>
              <w:spacing w:after="0"/>
              <w:rPr>
                <w:sz w:val="17"/>
                <w:szCs w:val="17"/>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512,205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96,862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223"/>
        </w:trPr>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19,242</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03"/>
        </w:trPr>
        <w:tc>
          <w:tcPr>
            <w:tcW w:w="88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628,309</w:t>
            </w:r>
          </w:p>
        </w:tc>
        <w:tc>
          <w:tcPr>
            <w:tcW w:w="80" w:type="dxa"/>
            <w:vAlign w:val="bottom"/>
          </w:tcPr>
          <w:p>
            <w:pPr>
              <w:spacing w:after="0"/>
              <w:rPr>
                <w:sz w:val="17"/>
                <w:szCs w:val="17"/>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529,375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3"/>
        </w:trPr>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-1009650</wp:posOffset>
            </wp:positionV>
            <wp:extent cx="7161530"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-733425</wp:posOffset>
            </wp:positionV>
            <wp:extent cx="7161530" cy="154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-443865</wp:posOffset>
            </wp:positionV>
            <wp:extent cx="716153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-167640</wp:posOffset>
            </wp:positionV>
            <wp:extent cx="7161530" cy="154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40"/>
          </w:cols>
          <w:pgMar w:left="300" w:top="133" w:right="319" w:bottom="1440" w:gutter="0" w:footer="0" w:header="0"/>
        </w:sectPr>
      </w:pPr>
    </w:p>
    <w:p>
      <w:pPr>
        <w:spacing w:after="0" w:line="104" w:lineRule="exact"/>
        <w:rPr>
          <w:sz w:val="20"/>
          <w:szCs w:val="20"/>
          <w:color w:val="auto"/>
        </w:rPr>
      </w:pPr>
    </w:p>
    <w:p>
      <w:pPr>
        <w:ind w:right="600" w:firstLine="382"/>
        <w:spacing w:after="0" w:line="287" w:lineRule="auto"/>
        <w:rPr>
          <w:sz w:val="20"/>
          <w:szCs w:val="20"/>
          <w:color w:val="auto"/>
        </w:rPr>
      </w:pPr>
      <w:r>
        <w:rPr>
          <w:rFonts w:ascii="Times New Roman" w:cs="Times New Roman" w:eastAsia="Times New Roman" w:hAnsi="Times New Roman"/>
          <w:sz w:val="14"/>
          <w:szCs w:val="14"/>
          <w:color w:val="auto"/>
        </w:rPr>
        <w:t>Total revenue growth reflects increased demand for our platform and related services. Subscription revenue increased by $96.9 million primarily due to an increase in consumption of MongoDB Atlas by our large existing customers as evidenced by our net ARR expansion rate of 120% as of October 31, 2025.</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 Gross Profit and Gross Margin Percentage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Borders>
              <w:bottom w:val="single" w:sz="8" w:color="auto"/>
            </w:tcBorders>
          </w:tcPr>
          <w:p>
            <w:pPr>
              <w:spacing w:after="0"/>
              <w:rPr>
                <w:sz w:val="14"/>
                <w:szCs w:val="14"/>
                <w:color w:val="auto"/>
              </w:rPr>
            </w:pPr>
          </w:p>
        </w:tc>
      </w:tr>
      <w:tr>
        <w:trPr>
          <w:trHeight w:val="16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2"/>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146,921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111,150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223"/>
        </w:trPr>
        <w:tc>
          <w:tcPr>
            <w:tcW w:w="4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Services cost of revenue</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32,256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24,181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92"/>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cost of revenue</w:t>
            </w: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179,177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135,331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223"/>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449,132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96"/>
              </w:rPr>
              <w:t>394,044</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Gross margin</w:t>
            </w:r>
          </w:p>
        </w:tc>
        <w:tc>
          <w:tcPr>
            <w:tcW w:w="36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71 %</w:t>
            </w:r>
          </w:p>
        </w:tc>
        <w:tc>
          <w:tcPr>
            <w:tcW w:w="4140" w:type="dxa"/>
            <w:vAlign w:val="bottom"/>
          </w:tcPr>
          <w:p>
            <w:pPr>
              <w:jc w:val="right"/>
              <w:ind w:right="3089"/>
              <w:spacing w:after="0"/>
              <w:rPr>
                <w:sz w:val="20"/>
                <w:szCs w:val="20"/>
                <w:color w:val="auto"/>
              </w:rPr>
            </w:pPr>
            <w:r>
              <w:rPr>
                <w:rFonts w:ascii="Times New Roman" w:cs="Times New Roman" w:eastAsia="Times New Roman" w:hAnsi="Times New Roman"/>
                <w:sz w:val="14"/>
                <w:szCs w:val="14"/>
                <w:color w:val="auto"/>
              </w:rPr>
              <w:t>74 %</w:t>
            </w:r>
          </w:p>
        </w:tc>
      </w:tr>
      <w:tr>
        <w:trPr>
          <w:trHeight w:val="212"/>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6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76 %</w:t>
            </w:r>
          </w:p>
        </w:tc>
        <w:tc>
          <w:tcPr>
            <w:tcW w:w="4140" w:type="dxa"/>
            <w:vAlign w:val="bottom"/>
          </w:tcPr>
          <w:p>
            <w:pPr>
              <w:jc w:val="right"/>
              <w:ind w:right="3089"/>
              <w:spacing w:after="0"/>
              <w:rPr>
                <w:sz w:val="20"/>
                <w:szCs w:val="20"/>
                <w:color w:val="auto"/>
              </w:rPr>
            </w:pPr>
            <w:r>
              <w:rPr>
                <w:rFonts w:ascii="Times New Roman" w:cs="Times New Roman" w:eastAsia="Times New Roman" w:hAnsi="Times New Roman"/>
                <w:sz w:val="14"/>
                <w:szCs w:val="14"/>
                <w:color w:val="auto"/>
              </w:rPr>
              <w:t>78 %</w:t>
            </w:r>
          </w:p>
        </w:tc>
      </w:tr>
      <w:tr>
        <w:trPr>
          <w:trHeight w:val="212"/>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36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(68)%</w:t>
            </w:r>
          </w:p>
        </w:tc>
        <w:tc>
          <w:tcPr>
            <w:tcW w:w="4140" w:type="dxa"/>
            <w:vAlign w:val="bottom"/>
            <w:shd w:val="clear" w:color="auto" w:fill="CCEEFF"/>
          </w:tcPr>
          <w:p>
            <w:pPr>
              <w:jc w:val="right"/>
              <w:ind w:right="3089"/>
              <w:spacing w:after="0"/>
              <w:rPr>
                <w:sz w:val="20"/>
                <w:szCs w:val="20"/>
                <w:color w:val="auto"/>
              </w:rPr>
            </w:pPr>
            <w:r>
              <w:rPr>
                <w:rFonts w:ascii="Times New Roman" w:cs="Times New Roman" w:eastAsia="Times New Roman" w:hAnsi="Times New Roman"/>
                <w:sz w:val="14"/>
                <w:szCs w:val="14"/>
                <w:color w:val="auto"/>
              </w:rPr>
              <w:t>(41)%</w:t>
            </w:r>
          </w:p>
        </w:tc>
      </w:tr>
    </w:tbl>
    <w:p>
      <w:pPr>
        <w:spacing w:after="0" w:line="81" w:lineRule="exact"/>
        <w:rPr>
          <w:sz w:val="20"/>
          <w:szCs w:val="20"/>
          <w:color w:val="auto"/>
        </w:rPr>
      </w:pPr>
    </w:p>
    <w:p>
      <w:pPr>
        <w:ind w:firstLine="382"/>
        <w:spacing w:after="0" w:line="182" w:lineRule="exact"/>
        <w:rPr>
          <w:sz w:val="20"/>
          <w:szCs w:val="20"/>
          <w:color w:val="auto"/>
        </w:rPr>
      </w:pPr>
      <w:r>
        <w:rPr>
          <w:rFonts w:ascii="Times New Roman" w:cs="Times New Roman" w:eastAsia="Times New Roman" w:hAnsi="Times New Roman"/>
          <w:sz w:val="14"/>
          <w:szCs w:val="14"/>
          <w:color w:val="auto"/>
        </w:rPr>
        <w:t>The increase in subscription cost of revenue was primarily due to a $26.5 million increase in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cloud infrastructure costs, including costs associated with the growth of MongoDB Atlas, an increase of $5.0 million in personnel costs and stock-based compensation, and an increase of $3.0 million in amortization costs primarily related to acquired intangible assets. The increase in services cost of revenue was primarily due to a $4.8 million increase in personnel costs and stock-based compensation and a $2.5 million increase in third-party consultant costs related to the delivery of consulting and training services.</w:t>
      </w:r>
    </w:p>
    <w:p>
      <w:pPr>
        <w:spacing w:after="0" w:line="113"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Our overall gross margin decreased to 71%. Our subscription gross margin declined to 76% due to an increase in subscription revenue from MongoDB Atlas as a percentage of our total subscription revenue. Services gross margin decreased due to the impact of higher third-party consultant and training costs, services personnel costs and stock-based compensation related to growth in headcount.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Sales and Marketing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3"/>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230,864</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217,954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Headcount (at period end)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13"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The increase in sales and marketing expense was primarily driven by a $7.7 million increase in spend on in-person events and digital marketing programs and a $6.7 million increase in commissions, partially offset by a $2.2 million decrease in overhead costs and travel-related expenses.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Research and Development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3"/>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176,610</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151,410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Headcount (at period end)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13"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increase in research and development expense was primarily driven by a $20.0 million increase in personnel costs and stock-based compensation and a $2.6 million increase in third-party infrastructure expenses to support ongoing product development and testing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General and Administrative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3"/>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60,082</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Headcount (at period end)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49" w:lineRule="exact"/>
        <w:rPr>
          <w:sz w:val="20"/>
          <w:szCs w:val="20"/>
          <w:color w:val="auto"/>
        </w:rPr>
      </w:pPr>
    </w:p>
    <w:p>
      <w:pPr>
        <w:ind w:right="560" w:firstLine="139"/>
        <w:spacing w:after="0" w:line="287" w:lineRule="auto"/>
        <w:rPr>
          <w:sz w:val="20"/>
          <w:szCs w:val="20"/>
          <w:color w:val="auto"/>
        </w:rPr>
      </w:pPr>
      <w:r>
        <w:rPr>
          <w:rFonts w:ascii="Times New Roman" w:cs="Times New Roman" w:eastAsia="Times New Roman" w:hAnsi="Times New Roman"/>
          <w:sz w:val="14"/>
          <w:szCs w:val="14"/>
          <w:color w:val="auto"/>
        </w:rPr>
        <w:t>The increase in general and administrative expense was due to higher costs to support the growth of our business. In particular, these higher costs were driven by a $3.8 million increase in personnel cost and stock-based compensation and a</w:t>
      </w:r>
    </w:p>
    <w:p>
      <w:pPr>
        <w:spacing w:after="0" w:line="200" w:lineRule="exact"/>
        <w:rPr>
          <w:sz w:val="20"/>
          <w:szCs w:val="20"/>
          <w:color w:val="auto"/>
        </w:rPr>
      </w:pPr>
    </w:p>
    <w:p>
      <w:pPr>
        <w:spacing w:after="0" w:line="22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 million increase in software, hosting, and IT-related expenses associated with ongoing initiatives to enhance systems and operational efficiency.</w:t>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5"/>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income, net</w:t>
            </w: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19,774</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net for the three months ended October 31, 2025 decreased primarily due to lower interest income from our short-term investments.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5"/>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increase in the provision for income taxes during the three months ended October 31, 2025 was primarily due to an increase in foreign taxes as we continue our global expansion.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Nine Months Ended October 31,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gridSpan w:val="2"/>
          </w:tcPr>
          <w:p>
            <w:pPr>
              <w:jc w:val="right"/>
              <w:ind w:right="52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Subscription</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1,712,877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1,412,906</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299,971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Services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55,848</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1,768,725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1,458,045</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Headcount (at period end)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Subscription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Services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headcount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Total revenue growth reflects increased demand for our platform and related services. Subscription revenue increased by $300.0 million primarily due to an increase in consumption of MongoDB Atlas by our large existing customers as evidenced by our net ARR expansion rate of 120% as of October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 Gross Profit and Gross Margin Percentage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84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spacing w:after="0"/>
              <w:rPr>
                <w:sz w:val="14"/>
                <w:szCs w:val="14"/>
                <w:color w:val="auto"/>
              </w:rPr>
            </w:pPr>
          </w:p>
        </w:tc>
      </w:tr>
      <w:tr>
        <w:trPr>
          <w:trHeight w:val="160"/>
        </w:trPr>
        <w:tc>
          <w:tcPr>
            <w:tcW w:w="4980" w:type="dxa"/>
            <w:vAlign w:val="bottom"/>
            <w:tcBorders>
              <w:bottom w:val="single" w:sz="8" w:color="CCEEFF"/>
            </w:tcBorders>
          </w:tcPr>
          <w:p>
            <w:pPr>
              <w:jc w:val="center"/>
              <w:ind w:right="3272"/>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2"/>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416,455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318,728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23"/>
        </w:trPr>
        <w:tc>
          <w:tcPr>
            <w:tcW w:w="4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Services cost of revenue</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92,191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67,553</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92"/>
        </w:trPr>
        <w:tc>
          <w:tcPr>
            <w:tcW w:w="4980" w:type="dxa"/>
            <w:vAlign w:val="bottom"/>
            <w:shd w:val="clear" w:color="auto" w:fill="CCEEFF"/>
          </w:tcPr>
          <w:p>
            <w:pPr>
              <w:jc w:val="center"/>
              <w:ind w:right="3292"/>
              <w:spacing w:after="0"/>
              <w:rPr>
                <w:sz w:val="20"/>
                <w:szCs w:val="20"/>
                <w:color w:val="auto"/>
              </w:rPr>
            </w:pPr>
            <w:r>
              <w:rPr>
                <w:rFonts w:ascii="Times New Roman" w:cs="Times New Roman" w:eastAsia="Times New Roman" w:hAnsi="Times New Roman"/>
                <w:sz w:val="14"/>
                <w:szCs w:val="14"/>
                <w:color w:val="auto"/>
                <w:w w:val="99"/>
              </w:rPr>
              <w:t>Total cost of revenue</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508,646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386,281</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122,365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223"/>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1,260,079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1,071,764</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188,315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Gross margin</w:t>
            </w:r>
          </w:p>
        </w:tc>
        <w:tc>
          <w:tcPr>
            <w:tcW w:w="36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71 %</w:t>
            </w:r>
          </w:p>
        </w:tc>
        <w:tc>
          <w:tcPr>
            <w:tcW w:w="4140" w:type="dxa"/>
            <w:vAlign w:val="bottom"/>
          </w:tcPr>
          <w:p>
            <w:pPr>
              <w:jc w:val="right"/>
              <w:ind w:right="3069"/>
              <w:spacing w:after="0"/>
              <w:rPr>
                <w:sz w:val="20"/>
                <w:szCs w:val="20"/>
                <w:color w:val="auto"/>
              </w:rPr>
            </w:pPr>
            <w:r>
              <w:rPr>
                <w:rFonts w:ascii="Times New Roman" w:cs="Times New Roman" w:eastAsia="Times New Roman" w:hAnsi="Times New Roman"/>
                <w:sz w:val="14"/>
                <w:szCs w:val="14"/>
                <w:color w:val="auto"/>
              </w:rPr>
              <w:t>74 %</w:t>
            </w:r>
          </w:p>
        </w:tc>
      </w:tr>
      <w:tr>
        <w:trPr>
          <w:trHeight w:val="212"/>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6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76 %</w:t>
            </w:r>
          </w:p>
        </w:tc>
        <w:tc>
          <w:tcPr>
            <w:tcW w:w="4140" w:type="dxa"/>
            <w:vAlign w:val="bottom"/>
          </w:tcPr>
          <w:p>
            <w:pPr>
              <w:jc w:val="right"/>
              <w:ind w:right="3069"/>
              <w:spacing w:after="0"/>
              <w:rPr>
                <w:sz w:val="20"/>
                <w:szCs w:val="20"/>
                <w:color w:val="auto"/>
              </w:rPr>
            </w:pPr>
            <w:r>
              <w:rPr>
                <w:rFonts w:ascii="Times New Roman" w:cs="Times New Roman" w:eastAsia="Times New Roman" w:hAnsi="Times New Roman"/>
                <w:sz w:val="14"/>
                <w:szCs w:val="14"/>
                <w:color w:val="auto"/>
              </w:rPr>
              <w:t>77 %</w:t>
            </w:r>
          </w:p>
        </w:tc>
      </w:tr>
      <w:tr>
        <w:trPr>
          <w:trHeight w:val="212"/>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36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(65)%</w:t>
            </w:r>
          </w:p>
        </w:tc>
        <w:tc>
          <w:tcPr>
            <w:tcW w:w="4140" w:type="dxa"/>
            <w:vAlign w:val="bottom"/>
            <w:shd w:val="clear" w:color="auto" w:fill="CCEEFF"/>
          </w:tcPr>
          <w:p>
            <w:pPr>
              <w:jc w:val="right"/>
              <w:ind w:right="3069"/>
              <w:spacing w:after="0"/>
              <w:rPr>
                <w:sz w:val="20"/>
                <w:szCs w:val="20"/>
                <w:color w:val="auto"/>
              </w:rPr>
            </w:pPr>
            <w:r>
              <w:rPr>
                <w:rFonts w:ascii="Times New Roman" w:cs="Times New Roman" w:eastAsia="Times New Roman" w:hAnsi="Times New Roman"/>
                <w:sz w:val="14"/>
                <w:szCs w:val="14"/>
                <w:color w:val="auto"/>
              </w:rPr>
              <w:t>(50)%</w:t>
            </w:r>
          </w:p>
        </w:tc>
      </w:tr>
    </w:tbl>
    <w:p>
      <w:pPr>
        <w:spacing w:after="0" w:line="145" w:lineRule="exact"/>
        <w:rPr>
          <w:sz w:val="20"/>
          <w:szCs w:val="20"/>
          <w:color w:val="auto"/>
        </w:rPr>
      </w:pPr>
    </w:p>
    <w:p>
      <w:pPr>
        <w:ind w:left="380"/>
        <w:spacing w:after="0" w:line="161" w:lineRule="exact"/>
        <w:rPr>
          <w:sz w:val="20"/>
          <w:szCs w:val="20"/>
          <w:color w:val="auto"/>
        </w:rPr>
      </w:pPr>
      <w:r>
        <w:rPr>
          <w:rFonts w:ascii="Times New Roman" w:cs="Times New Roman" w:eastAsia="Times New Roman" w:hAnsi="Times New Roman"/>
          <w:sz w:val="14"/>
          <w:szCs w:val="14"/>
          <w:color w:val="auto"/>
        </w:rPr>
        <w:t>The increase in subscription cost of revenue was primarily due to a $70.4 million increase in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cloud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6" w:lineRule="exact"/>
        <w:rPr>
          <w:sz w:val="20"/>
          <w:szCs w:val="20"/>
          <w:color w:val="auto"/>
        </w:rPr>
      </w:pPr>
    </w:p>
    <w:p>
      <w:pPr>
        <w:ind w:right="260"/>
        <w:spacing w:after="0" w:line="174" w:lineRule="exact"/>
        <w:rPr>
          <w:sz w:val="20"/>
          <w:szCs w:val="20"/>
          <w:color w:val="auto"/>
        </w:rPr>
      </w:pPr>
      <w:r>
        <w:rPr>
          <w:rFonts w:ascii="Times New Roman" w:cs="Times New Roman" w:eastAsia="Times New Roman" w:hAnsi="Times New Roman"/>
          <w:sz w:val="14"/>
          <w:szCs w:val="14"/>
          <w:color w:val="auto"/>
        </w:rPr>
        <w:t>infrastructure costs, including costs associated with the growth of MongoDB Atlas, and increase of $15.2 million personnel costs and stock-based compensation and $8.4 million increase in amortization costs primarily related to acquired intangible assets. The increase in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cloud infrastructure costs was partially offset by continued cost efficiencies realized as we scale MongoDB Atlas. The increase in services cost of revenue was primarily due to a $14.3 million increase in personnel costs and stock-based compensation and a $7.9 million increase in third-party consultant costs related to the delivery of consulting and training services.</w:t>
      </w:r>
    </w:p>
    <w:p>
      <w:pPr>
        <w:spacing w:after="0" w:line="114"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Our overall gross margin decreased to 71%. Our subscription gross margin declined to 76% due to an increase in subscription revenue from MongoDB Atlas as a percentage of our total subscription revenue. Services gross margin decreased due to the impact of higher third-party consultant and training costs, services personnel costs and stock-based compensation related to growth in headcount.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Sales and Marketing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3"/>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695,852</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658,937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Headcount (at period end)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87"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increase in sales and marketing expense was primarily driven by a $26.5 million increase in commissions, a $22.6 million increase in personnel costs, $4.8 million in restructuring costs and a $4.1 million increase in spend on in-person events and digital marketing programs. The increase in sales and marketing was partially offset by a $13.9 million decrease in travel-related expenses due to reduced internal travel and sales events and a $8.9 million decrease in stock-based compensation.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Research and Development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3"/>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527,178</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446,437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Headcount (at period end)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77"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The increase in research and development expense was primarily driven by a $71.7 million increase in personnel costs and stock-based compensation, a $5.5 million increase in third-party infrastructure expenses to support ongoing product development and testing activities, and a $3.2 million increase in allocated overhead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General and Administrative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3"/>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174,321</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163,892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Headcount (at period end)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87"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The increase in general and administrative expense was primarily driven by a $11.3 million increase in personnel costs and a $6.6 million increase in software and hosting expenses associated with ongoing initiatives to enhance systems and operational efficiency, which was partially offset by a $7.2 million release of reserves for value-added tax expense related to our operations in certain non-US jurisdictions.</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5"/>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income, net</w:t>
            </w: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62,178</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61,749</w:t>
            </w:r>
          </w:p>
        </w:tc>
        <w:tc>
          <w:tcPr>
            <w:tcW w:w="1060" w:type="dxa"/>
            <w:vAlign w:val="bottom"/>
            <w:tcBorders>
              <w:bottom w:val="single" w:sz="8" w:color="CCEEFF"/>
            </w:tcBorders>
            <w:gridSpan w:val="2"/>
            <w:shd w:val="clear" w:color="auto" w:fill="CCEEFF"/>
          </w:tcPr>
          <w:p>
            <w:pPr>
              <w:jc w:val="right"/>
              <w:ind w:right="8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net, for the nine months ended October 31, 2025 improved primarily due to higher interest income from our short-term investments.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60"/>
        </w:trPr>
        <w:tc>
          <w:tcPr>
            <w:tcW w:w="5100" w:type="dxa"/>
            <w:vAlign w:val="bottom"/>
            <w:tcBorders>
              <w:bottom w:val="single" w:sz="8" w:color="CCEEFF"/>
            </w:tcBorders>
          </w:tcPr>
          <w:p>
            <w:pPr>
              <w:jc w:val="center"/>
              <w:ind w:right="3396"/>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5"/>
        </w:trPr>
        <w:tc>
          <w:tcPr>
            <w:tcW w:w="5100" w:type="dxa"/>
            <w:vAlign w:val="bottom"/>
            <w:tcBorders>
              <w:bottom w:val="single" w:sz="8" w:color="CCEEFF"/>
            </w:tcBorders>
            <w:shd w:val="clear" w:color="auto" w:fill="CCEEFF"/>
          </w:tcPr>
          <w:p>
            <w:pPr>
              <w:jc w:val="center"/>
              <w:ind w:right="3396"/>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11,587</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1020" w:type="dxa"/>
            <w:vAlign w:val="bottom"/>
            <w:tcBorders>
              <w:bottom w:val="single" w:sz="8" w:color="CCEEFF"/>
            </w:tcBorders>
            <w:gridSpan w:val="2"/>
            <w:shd w:val="clear" w:color="auto" w:fill="CCEEFF"/>
          </w:tcPr>
          <w:p>
            <w:pPr>
              <w:jc w:val="right"/>
              <w:ind w:right="78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right="580" w:firstLine="382"/>
        <w:spacing w:after="0" w:line="442" w:lineRule="auto"/>
        <w:rPr>
          <w:sz w:val="20"/>
          <w:szCs w:val="20"/>
          <w:color w:val="auto"/>
        </w:rPr>
      </w:pPr>
      <w:r>
        <w:rPr>
          <w:rFonts w:ascii="Times New Roman" w:cs="Times New Roman" w:eastAsia="Times New Roman" w:hAnsi="Times New Roman"/>
          <w:sz w:val="14"/>
          <w:szCs w:val="14"/>
          <w:color w:val="auto"/>
        </w:rPr>
        <w:t xml:space="preserve">The increase in the provision for income taxes during the nine months ended October 31, 2025, was primarily due to an increase in foreign taxes as we continue our global expansion. </w:t>
      </w:r>
      <w:r>
        <w:rPr>
          <w:rFonts w:ascii="Times New Roman" w:cs="Times New Roman" w:eastAsia="Times New Roman" w:hAnsi="Times New Roman"/>
          <w:sz w:val="14"/>
          <w:szCs w:val="14"/>
          <w:b w:val="1"/>
          <w:bCs w:val="1"/>
          <w:color w:val="auto"/>
        </w:rPr>
        <w:t>Liquidity and Capital Resources</w:t>
      </w:r>
    </w:p>
    <w:p>
      <w:pPr>
        <w:spacing w:after="0" w:line="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As of October 31, 2025, our principal sources of liquidity were cash, cash equivalents, short-term investments and restricted cash totaling $2.3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93"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 xml:space="preserve">In June 2025, the Company’s Board of Directors authorized an additional $800.0 million in repurchases under the Share Repurchase Program, bringing the aggregate authorized repurchase amount to $1.0 billion. During the nine months ended October 31, 2025, the Company repurchased 1,443,294 shares of common stock for $345.3 million, of which, $2.3 million is included in other accrued liabilities on the Company’s condensed consolidated balance sheet as of October 31, 2025, at an average price per share of $265.88. Refer to Note 10,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in our Notes to Unaudited Condensed Consolidated Financial Statements included in Part I, Item 1, and “</w:t>
      </w:r>
      <w:r>
        <w:rPr>
          <w:rFonts w:ascii="Times New Roman" w:cs="Times New Roman" w:eastAsia="Times New Roman" w:hAnsi="Times New Roman"/>
          <w:sz w:val="14"/>
          <w:szCs w:val="14"/>
          <w:i w:val="1"/>
          <w:iCs w:val="1"/>
          <w:color w:val="auto"/>
        </w:rPr>
        <w:t>Purchases of Equity Securities by the Issuer”</w:t>
      </w:r>
      <w:r>
        <w:rPr>
          <w:rFonts w:ascii="Times New Roman" w:cs="Times New Roman" w:eastAsia="Times New Roman" w:hAnsi="Times New Roman"/>
          <w:sz w:val="14"/>
          <w:szCs w:val="14"/>
          <w:color w:val="auto"/>
        </w:rPr>
        <w:t xml:space="preserve"> included in Part II, Item 5 of this Quarterly Report on Form 10-Q for further details.</w:t>
      </w:r>
    </w:p>
    <w:p>
      <w:pPr>
        <w:spacing w:after="0" w:line="101" w:lineRule="exact"/>
        <w:rPr>
          <w:sz w:val="20"/>
          <w:szCs w:val="20"/>
          <w:color w:val="auto"/>
        </w:rPr>
      </w:pPr>
    </w:p>
    <w:p>
      <w:pPr>
        <w:jc w:val="both"/>
        <w:ind w:right="260" w:firstLine="382"/>
        <w:spacing w:after="0" w:line="270" w:lineRule="auto"/>
        <w:rPr>
          <w:sz w:val="20"/>
          <w:szCs w:val="20"/>
          <w:color w:val="auto"/>
        </w:rPr>
      </w:pPr>
      <w:r>
        <w:rPr>
          <w:rFonts w:ascii="Times New Roman" w:cs="Times New Roman" w:eastAsia="Times New Roman" w:hAnsi="Times New Roman"/>
          <w:sz w:val="14"/>
          <w:szCs w:val="14"/>
          <w:color w:val="auto"/>
        </w:rPr>
        <w:t>During the three months ended October 31, 2025, we began funding withholding taxes in certain jurisdictions due on the vesting of employee RSUs by net share settlement, rather than our previous approach of selling shares of our common stock to cover taxes upon vesting of such awards. The amount of withholding taxes paid related to net share settlement of employee RSUs was $38.5 million for the three months ended October 31, 2025.</w:t>
      </w:r>
    </w:p>
    <w:p>
      <w:pPr>
        <w:spacing w:after="0" w:line="93"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4"/>
          <w:szCs w:val="14"/>
          <w:color w:val="auto"/>
        </w:rPr>
        <w:t>We have generated significant operating losses as reflected in our accumulated deficit of $1.9 billion as of October 31, 2025. While we generated positive cash flows from operations in recent years, we have generated negative cash flows from operations in the past as reflected in our historical consolidated statements of cash flows. We expect to continue to incur 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37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(unaudited,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Nine Months Ended October 31,</w:t>
            </w:r>
          </w:p>
        </w:tc>
        <w:tc>
          <w:tcPr>
            <w:tcW w:w="58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r>
      <w:tr>
        <w:trPr>
          <w:trHeight w:val="197"/>
        </w:trPr>
        <w:tc>
          <w:tcPr>
            <w:tcW w:w="8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325,544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99,653</w:t>
            </w:r>
          </w:p>
        </w:tc>
      </w:tr>
      <w:tr>
        <w:trPr>
          <w:trHeight w:val="212"/>
        </w:trPr>
        <w:tc>
          <w:tcPr>
            <w:tcW w:w="8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372,158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(411,124)</w:t>
            </w:r>
          </w:p>
        </w:tc>
      </w:tr>
      <w:tr>
        <w:trPr>
          <w:trHeight w:val="212"/>
        </w:trPr>
        <w:tc>
          <w:tcPr>
            <w:tcW w:w="8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(362,136)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186,316</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Operating Activities</w:t>
      </w:r>
    </w:p>
    <w:p>
      <w:pPr>
        <w:spacing w:after="0" w:line="138" w:lineRule="exact"/>
        <w:rPr>
          <w:sz w:val="20"/>
          <w:szCs w:val="20"/>
          <w:color w:val="auto"/>
        </w:rPr>
      </w:pPr>
    </w:p>
    <w:p>
      <w:pPr>
        <w:ind w:firstLine="509"/>
        <w:spacing w:after="0" w:line="174" w:lineRule="exact"/>
        <w:rPr>
          <w:sz w:val="20"/>
          <w:szCs w:val="20"/>
          <w:color w:val="auto"/>
        </w:rPr>
      </w:pPr>
      <w:r>
        <w:rPr>
          <w:rFonts w:ascii="Times New Roman" w:cs="Times New Roman" w:eastAsia="Times New Roman" w:hAnsi="Times New Roman"/>
          <w:sz w:val="14"/>
          <w:szCs w:val="14"/>
          <w:color w:val="auto"/>
        </w:rPr>
        <w:t>Cash provided by operating activities during the nine months ended October 31, 2025 was $325.5 million, driven primarily by an increase in our cash collections reflecting the overall growth of our sales and expansion of our customer base. Our net loss of $86.7 million, includes $406.5 million of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$16.7 million of depreciation and amortization, $11.0 million of deferred commissions, $9.5 million of deferred revenue and $7.9 million of other net non-cash charges. Partially offsetting these benefits to our operating cash flow were an increase accounts receivable of $25.2 million and an increase in other long-term assets of $14.0 million.</w:t>
      </w:r>
    </w:p>
    <w:p>
      <w:pPr>
        <w:spacing w:after="0" w:line="114" w:lineRule="exact"/>
        <w:rPr>
          <w:sz w:val="20"/>
          <w:szCs w:val="20"/>
          <w:color w:val="auto"/>
        </w:rPr>
      </w:pPr>
    </w:p>
    <w:p>
      <w:pPr>
        <w:ind w:right="80" w:firstLine="509"/>
        <w:spacing w:after="0" w:line="173" w:lineRule="exact"/>
        <w:rPr>
          <w:sz w:val="20"/>
          <w:szCs w:val="20"/>
          <w:color w:val="auto"/>
        </w:rPr>
      </w:pPr>
      <w:r>
        <w:rPr>
          <w:rFonts w:ascii="Times New Roman" w:cs="Times New Roman" w:eastAsia="Times New Roman" w:hAnsi="Times New Roman"/>
          <w:sz w:val="14"/>
          <w:szCs w:val="14"/>
          <w:color w:val="auto"/>
        </w:rPr>
        <w:t>Cash provided by operating activities during the nine months ended October 31, 2024 was $99.7 million, driven primarily by an increase in our cash collections reflecting the overall growth of our sales and expansion of our customer base. Accordingly, our accounts receivable increased by $11.3 million. In addition, our net loss of $144.9 million, includes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charges of $368.9 million for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and $9.6 million for depreciation and amortization. Our accrued liabilities increased by $22.5 million reflecting our increase in expenses and timing of payments. Partially offsetting these benefits to our operating cash flow were a decrease in deferred revenue of $71.4 million, amortization of premium and accretion of discount on short-term investments, net of $19.1 million, an increase in deferred commissions of $38.8 million and other net non-cash charges of $15.9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Investing Activities</w:t>
      </w:r>
    </w:p>
    <w:p>
      <w:pPr>
        <w:spacing w:after="0" w:line="138" w:lineRule="exact"/>
        <w:rPr>
          <w:sz w:val="20"/>
          <w:szCs w:val="20"/>
          <w:color w:val="auto"/>
        </w:rPr>
      </w:pPr>
    </w:p>
    <w:p>
      <w:pPr>
        <w:jc w:val="both"/>
        <w:ind w:right="100" w:firstLine="382"/>
        <w:spacing w:after="0" w:line="270" w:lineRule="auto"/>
        <w:rPr>
          <w:sz w:val="20"/>
          <w:szCs w:val="20"/>
          <w:color w:val="auto"/>
        </w:rPr>
      </w:pPr>
      <w:r>
        <w:rPr>
          <w:rFonts w:ascii="Times New Roman" w:cs="Times New Roman" w:eastAsia="Times New Roman" w:hAnsi="Times New Roman"/>
          <w:sz w:val="14"/>
          <w:szCs w:val="14"/>
          <w:color w:val="auto"/>
        </w:rPr>
        <w:t>Cash provided by investing activities during the nine months ended October 31, 2025 was $372.2 million, due to proceeds from maturities and sales of marketable securities, net of purchases, of $386.3 million, partially offset by cash used for investments in non-marketable securities of $8.3 million, purchases of property and equipment of $3.8 million and payments related to a business combination, net of cash acquired of $2.0 million.</w:t>
      </w:r>
    </w:p>
    <w:p>
      <w:pPr>
        <w:spacing w:after="0" w:line="93"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during the nine months ended October 31, 2024 was $411.1 million, due to purchases of marketable securities, net of maturities, of $401.8 million, cash used for investments in non-marketable securities of $5.8 million and purchases of property and equipment of $3.6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Financing Activities</w:t>
      </w:r>
    </w:p>
    <w:p>
      <w:pPr>
        <w:spacing w:after="0" w:line="138"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Cash used in financing activities during the nine months ended October 31, 2025 was $362.1 million, due to repurchases of common stock of $343 million, $38.5 million due to taxes paid related to net share settlement of equity awards, and principal payments of finance leases of $5.8 million, offset by proceeds from the issuance of common stock under the Employee Stock Purchase Plan of $22.9 million and proceeds from the exercises of stock options of $2.3 million.</w:t>
      </w:r>
    </w:p>
    <w:p>
      <w:pPr>
        <w:spacing w:after="0" w:line="93"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Cash provided by financing activities during the nine months ended October 31, 2024 was $186.3 million, due to proceeds from the settlement of capped calls of $170.6 million, proceeds from the issuance of common stock under the Employee Stock Purchase Plan and exercises of stock options of $20.3 million, partly offset by principal payments of finance leases of $4.5 million.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38"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MongoDB Atlas revenue is recorded on a consumption basis and varies with usage, inclusive of</w:t>
      </w:r>
    </w:p>
    <w:p>
      <w:pPr>
        <w:spacing w:after="0" w:line="200" w:lineRule="exact"/>
        <w:rPr>
          <w:sz w:val="20"/>
          <w:szCs w:val="20"/>
          <w:color w:val="auto"/>
        </w:rPr>
      </w:pPr>
    </w:p>
    <w:p>
      <w:pPr>
        <w:spacing w:after="0" w:line="2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seasonal variability. As MongoDB Atlas revenue continues to increase as a percentage of total revenue, these fluctuations may have a greater impact on our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nine months ended October 31, 2025, the Company entered into a renewal agreement with a cloud infrastructure provider that includes a non-cancelable commitment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 million to be paid over a period from October 2025 through October 2028. There were no other material changes outside the ordinary course of business to our contractual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commitments from those disclosed in our 2025 Form 10-K. Refer to Note 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and Note 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in our Notes to Unaudited Condensed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included in Part I, Item 1 of this Quarterly Report on Form 10-Q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38"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93"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With the exception of Business Combinations, as described below, there have been no other changes in our critical accounting estimates from those disclosed in Part II, Item 7, “Management’s Discussion and Analysis of Financial Condition and Results of Operations” of the 2025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Business Combinations</w:t>
      </w:r>
    </w:p>
    <w:p>
      <w:pPr>
        <w:spacing w:after="0" w:line="13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the Company’s assessment of the information, and historical experience. The Company’s estimates of fair value are based upon assumptions believed to be reasonable, but which are inherently uncertain and unpredictable and, as a result, actual results may differ from estimates. During the measurement period, the Company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36" w:lineRule="exact"/>
        <w:rPr>
          <w:sz w:val="20"/>
          <w:szCs w:val="20"/>
          <w:color w:val="auto"/>
        </w:rPr>
      </w:pPr>
    </w:p>
    <w:p>
      <w:pPr>
        <w:ind w:right="220" w:firstLine="382"/>
        <w:spacing w:after="0" w:line="290" w:lineRule="auto"/>
        <w:rPr>
          <w:sz w:val="20"/>
          <w:szCs w:val="20"/>
          <w:color w:val="auto"/>
        </w:rPr>
      </w:pPr>
      <w:r>
        <w:rPr>
          <w:rFonts w:ascii="Times New Roman" w:cs="Times New Roman" w:eastAsia="Times New Roman" w:hAnsi="Times New Roman"/>
          <w:sz w:val="14"/>
          <w:szCs w:val="14"/>
          <w:color w:val="auto"/>
        </w:rPr>
        <w:t xml:space="preserve">Refer to Note </w:t>
      </w:r>
      <w:r>
        <w:rPr>
          <w:rFonts w:ascii="Times New Roman" w:cs="Times New Roman" w:eastAsia="Times New Roman" w:hAnsi="Times New Roman"/>
          <w:sz w:val="14"/>
          <w:szCs w:val="14"/>
          <w:i w:val="1"/>
          <w:iCs w:val="1"/>
          <w:color w:val="auto"/>
        </w:rPr>
        <w:t>2, Summary of Significant Accounting Policies</w:t>
      </w:r>
      <w:r>
        <w:rPr>
          <w:rFonts w:ascii="Times New Roman" w:cs="Times New Roman" w:eastAsia="Times New Roman" w:hAnsi="Times New Roman"/>
          <w:sz w:val="14"/>
          <w:szCs w:val="14"/>
          <w:color w:val="auto"/>
        </w:rPr>
        <w:t>, in our Notes to Unaudited Condensed Consolidated Financial Statements included in Part I, Item 1 of this Quarterly Report on Form 10-Q for further details.</w:t>
      </w:r>
    </w:p>
    <w:p>
      <w:pPr>
        <w:spacing w:after="0" w:line="200" w:lineRule="exact"/>
        <w:rPr>
          <w:sz w:val="20"/>
          <w:szCs w:val="20"/>
          <w:color w:val="auto"/>
        </w:rPr>
      </w:pPr>
    </w:p>
    <w:p>
      <w:pPr>
        <w:spacing w:after="0" w:line="2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33"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Interest Rate Risk</w:t>
      </w:r>
    </w:p>
    <w:p>
      <w:pPr>
        <w:spacing w:after="0" w:line="13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Our cash and cash equivalents primarily consist of bank deposits and money market funds, and our short-term investments consist of U.S. government treasury securities. As of October 31, 2025, we had cash, cash equivalents, restricted cash and short-term investments of $2.3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October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Foreign Currency Risk</w:t>
      </w:r>
    </w:p>
    <w:p>
      <w:pPr>
        <w:spacing w:after="0" w:line="138"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the three months ended October 31, 2025 and 2024.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C2C2C"/>
        </w:rPr>
        <w:t>Market Risk</w:t>
      </w:r>
    </w:p>
    <w:p>
      <w:pPr>
        <w:spacing w:after="0" w:line="138"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October 31, 2025 and January 31, 2025, the total amount of non-marketable securities included in other assets on our balance sheets was $31.9 million and $24.2 million, respectively.</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our Chief Financial Officer, evaluated the effectiveness of our disclosure controls and procedures as of October 31,</w:t>
      </w:r>
    </w:p>
    <w:p>
      <w:pPr>
        <w:spacing w:after="0" w:line="2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4"/>
          <w:szCs w:val="14"/>
          <w:color w:val="auto"/>
        </w:rPr>
        <w:t>2025. Based on the evaluation of our disclosure controls and procedures as of October 31, 2025, our Chief Executive Officer and Chief Financial Officer concluded that, as of such date, our disclosure controls and procedures were effective at the reasonable assurance level.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identified in connection with the evaluation required by Rule 13a-15(d) and Rule 15d-15(d) of the Exchange Act that occurred during the three months ended October 31, 2025 that has materially affected, or is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38"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5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31" w:lineRule="exact"/>
        <w:rPr>
          <w:sz w:val="20"/>
          <w:szCs w:val="20"/>
          <w:color w:val="auto"/>
        </w:rPr>
      </w:pPr>
    </w:p>
    <w:p>
      <w:pPr>
        <w:ind w:right="660" w:firstLine="382"/>
        <w:spacing w:after="0" w:line="290" w:lineRule="auto"/>
        <w:rPr>
          <w:sz w:val="20"/>
          <w:szCs w:val="20"/>
          <w:color w:val="auto"/>
        </w:rPr>
      </w:pPr>
      <w:r>
        <w:rPr>
          <w:rFonts w:ascii="Times New Roman" w:cs="Times New Roman" w:eastAsia="Times New Roman" w:hAnsi="Times New Roman"/>
          <w:sz w:val="14"/>
          <w:szCs w:val="14"/>
          <w:color w:val="auto"/>
        </w:rPr>
        <w:t xml:space="preserve">The information required to be set forth under this Item 1 is incorporated by reference to Note 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of the Notes to Condensed Consolidated Financial Statements included in this Form 10-Q.</w:t>
      </w:r>
    </w:p>
    <w:p>
      <w:pPr>
        <w:spacing w:after="0" w:line="80"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On July 9, 2024, a putative class action lawsuit, captioned Baxter v. MongoDB, Inc., et al., was filed in the United States District Court for the Southern District of New York against MongoDB, former CEO Dev Ittycheria, and former COO and CFO Michael Gordon. On January 27, 2025, the lead plaintiff in the lawsuit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Plaintiffs filed an opposition brief on July 1, 2025, and defendants filed their reply brief on July 29, 2025. The Court has not yet ruled on Defendants’ motion. The Company is unable to estimate any reasonably possible loss, or range of loss, with respect to these matters at this time. The Company intends to vigorously defend itself in this matter.</w:t>
      </w:r>
    </w:p>
    <w:p>
      <w:pPr>
        <w:spacing w:after="0" w:line="106"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4"/>
          <w:szCs w:val="14"/>
          <w:color w:val="auto"/>
        </w:rPr>
        <w:t xml:space="preserve">On October 7, 2024, a purported shareholder derivative lawsuit was filed in the U.S. District Court for the Southern District of New York , Case. No. 1:24-cv-07594, against the Company, as nominal defendant, and former CEO Dev Ittycheria, former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Roy action with the caption In re MongoDB, Inc. Shareholder Litigation (the “S.D.N.Y Derivative Litigation”). On September 12, 2025 another purported derivative action was filed in the Court of Chancery of the State of Delaware, Case No. 2025-1030, against the Company, as a nominal defendant, and former CEO Dev Ittycheria, former COO and CFO Michael Gordon, and several of the Company’s current and former directors. The case is captioned </w:t>
      </w:r>
      <w:r>
        <w:rPr>
          <w:rFonts w:ascii="Times New Roman" w:cs="Times New Roman" w:eastAsia="Times New Roman" w:hAnsi="Times New Roman"/>
          <w:sz w:val="14"/>
          <w:szCs w:val="14"/>
          <w:i w:val="1"/>
          <w:iCs w:val="1"/>
          <w:color w:val="auto"/>
        </w:rPr>
        <w:t>Sansone v. Ittycheria, et al.</w:t>
      </w:r>
      <w:r>
        <w:rPr>
          <w:rFonts w:ascii="Times New Roman" w:cs="Times New Roman" w:eastAsia="Times New Roman" w:hAnsi="Times New Roman"/>
          <w:sz w:val="14"/>
          <w:szCs w:val="14"/>
          <w:color w:val="auto"/>
        </w:rPr>
        <w:t xml:space="preserve"> The lawsuit, like the S.D.N.Y. Derivative Action, alleges that the individual defendants breached their fiduciary duties and committed other alleged misconduct in connection with the statements at issue in the Securities Action and by causing the Company to issue allegedly false and misleading statements to investors. The S.D.N.Y. Derivative Litigation and the Delaware Derivative Action are both at early stages and have both been stayed, pending the outcome of the Court's decision on the defendants' motion to dismiss the Securities Action.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From time to time, we may be subject to other legal proceedings and claims in the ordinary course of business.</w:t>
      </w:r>
    </w:p>
    <w:p>
      <w:pPr>
        <w:spacing w:after="0" w:line="136"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1" w:lineRule="exact"/>
        <w:rPr>
          <w:sz w:val="20"/>
          <w:szCs w:val="20"/>
          <w:color w:val="auto"/>
        </w:rPr>
      </w:pPr>
    </w:p>
    <w:p>
      <w:pPr>
        <w:ind w:right="2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200" w:lineRule="exact"/>
        <w:rPr>
          <w:sz w:val="20"/>
          <w:szCs w:val="20"/>
          <w:color w:val="auto"/>
        </w:rPr>
      </w:pPr>
    </w:p>
    <w:p>
      <w:pPr>
        <w:spacing w:after="0" w:line="36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38" w:lineRule="exact"/>
        <w:rPr>
          <w:sz w:val="20"/>
          <w:szCs w:val="20"/>
          <w:color w:val="auto"/>
        </w:rPr>
      </w:pPr>
    </w:p>
    <w:p>
      <w:pPr>
        <w:ind w:right="340" w:firstLine="318"/>
        <w:spacing w:after="0" w:line="287"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82" w:lineRule="exact"/>
        <w:rPr>
          <w:sz w:val="20"/>
          <w:szCs w:val="20"/>
          <w:color w:val="auto"/>
        </w:rPr>
      </w:pPr>
    </w:p>
    <w:p>
      <w:pPr>
        <w:ind w:left="520" w:right="26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or the global economy or reductions in information technology spending could limit our ability to grow our business and materially and adversely affect our results of operations.</w:t>
      </w:r>
    </w:p>
    <w:p>
      <w:pPr>
        <w:spacing w:after="0" w:line="39" w:lineRule="exact"/>
        <w:rPr>
          <w:rFonts w:ascii="Times New Roman" w:cs="Times New Roman" w:eastAsia="Times New Roman" w:hAnsi="Times New Roman"/>
          <w:sz w:val="14"/>
          <w:szCs w:val="14"/>
          <w:color w:val="auto"/>
        </w:rPr>
      </w:pPr>
    </w:p>
    <w:p>
      <w:pPr>
        <w:jc w:val="both"/>
        <w:ind w:left="520" w:right="6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meet our publicly announced guidance or other expectations about our business and future operating results, which would cause our stock price to decline.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at our current scale, which makes it difficult to predict our future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and as our costs increase, we may not be able to generate sufficient revenue to achieve or sustain profitability.</w:t>
      </w:r>
    </w:p>
    <w:p>
      <w:pPr>
        <w:spacing w:after="0" w:line="93"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face significant competition and expect that intense competition will continue.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effectively expand our sales and marketing organization, we may be unable to add new customers or increase sales to our existing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offer Community Server under the Server Side Public License (“SSPL”) may harm the adoption of Community Server.</w:t>
      </w:r>
    </w:p>
    <w:p>
      <w:pPr>
        <w:spacing w:after="0" w:line="93"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negatively impacted if the GNU Affero General Public License Version 3 (the “AGPL”), the SSPL and other open source licenses under which some of our software is licensed are not enforceable.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licensing model for Community Server could negatively affect our ability to monetize and protect our intellectual property rights.</w:t>
      </w:r>
    </w:p>
    <w:p>
      <w:pPr>
        <w:spacing w:after="0" w:line="93"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introduce new features or services successfully and to make enhancements to our software or services, our business and results of operations could be adversely affected.</w:t>
      </w:r>
    </w:p>
    <w:p>
      <w:pPr>
        <w:spacing w:after="0" w:line="93"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39" w:lineRule="exact"/>
        <w:rPr>
          <w:rFonts w:ascii="Times New Roman" w:cs="Times New Roman" w:eastAsia="Times New Roman" w:hAnsi="Times New Roman"/>
          <w:sz w:val="14"/>
          <w:szCs w:val="14"/>
          <w:color w:val="auto"/>
        </w:rPr>
      </w:pPr>
    </w:p>
    <w:p>
      <w:pPr>
        <w:ind w:left="520" w:right="2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50"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maintain and enhance our brand, especially among developers, our business and results of operations may be adversely affected.</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2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changes in trade policies, such as trade wars, tariffs or other trade restrictions or the threat of such actions, international trade relations, political 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 investments, including spending on information technology, disrupt the timing and cadence of key industry and marketing events and otherwise could materially and adversely affect the growth of our business and results of operations. Geopolitical risks, including those arising from trade tension and/or the imposition of trade tariffs, terrorist activity or acts of civil or international hostility, are increasing. In particular, there is currently significant uncertainty about trade policies, treaties, tariffs and taxes, which may lead to continuing volatility in U.S. and global financial and economic conditions and commodity markets, declining consumer confidence, significant inflation and diminished expectations for the economy, and which may ultimately lead to reduced usage or demand for our products. 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105" w:lineRule="exact"/>
        <w:rPr>
          <w:sz w:val="20"/>
          <w:szCs w:val="20"/>
          <w:color w:val="auto"/>
        </w:rPr>
      </w:pPr>
    </w:p>
    <w:p>
      <w:pPr>
        <w:ind w:right="120" w:firstLine="382"/>
        <w:spacing w:after="0" w:line="257" w:lineRule="auto"/>
        <w:rPr>
          <w:sz w:val="20"/>
          <w:szCs w:val="20"/>
          <w:color w:val="auto"/>
        </w:rPr>
      </w:pPr>
      <w:r>
        <w:rPr>
          <w:rFonts w:ascii="Times New Roman" w:cs="Times New Roman" w:eastAsia="Times New Roman" w:hAnsi="Times New Roman"/>
          <w:sz w:val="14"/>
          <w:szCs w:val="14"/>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has caused and may continue to cause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104"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98" w:lineRule="exact"/>
        <w:rPr>
          <w:sz w:val="20"/>
          <w:szCs w:val="20"/>
          <w:color w:val="auto"/>
        </w:rPr>
      </w:pPr>
    </w:p>
    <w:p>
      <w:pPr>
        <w:ind w:right="480" w:firstLine="382"/>
        <w:spacing w:after="0" w:line="287" w:lineRule="auto"/>
        <w:rPr>
          <w:sz w:val="20"/>
          <w:szCs w:val="20"/>
          <w:color w:val="auto"/>
        </w:rPr>
      </w:pPr>
      <w:r>
        <w:rPr>
          <w:rFonts w:ascii="Times New Roman" w:cs="Times New Roman" w:eastAsia="Times New Roman" w:hAnsi="Times New Roman"/>
          <w:sz w:val="14"/>
          <w:szCs w:val="14"/>
          <w:color w:val="auto"/>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101"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at our current scale, which makes it difficult to predict our future results of operations.</w:t>
      </w:r>
    </w:p>
    <w:p>
      <w:pPr>
        <w:spacing w:after="0" w:line="138"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As a result of our limited operating history at our current scale,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and as our costs increase, we may not be able to generate sufficient revenue to achieve or sustain profitability.</w:t>
      </w:r>
    </w:p>
    <w:p>
      <w:pPr>
        <w:spacing w:after="0" w:line="138"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We have incurred net losses in each period since our inception, including net losses of $129.1 million, $176.6 million and $345.4 million for the fiscal years ended January 31, 2025, 2024 and 2023, respectively. We had an accumulated deficit of $1.8 billion as of January 31, 2025.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0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80"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w:t>
      </w:r>
    </w:p>
    <w:p>
      <w:pPr>
        <w:spacing w:after="0" w:line="200" w:lineRule="exact"/>
        <w:rPr>
          <w:sz w:val="20"/>
          <w:szCs w:val="20"/>
          <w:color w:val="auto"/>
        </w:rPr>
      </w:pPr>
    </w:p>
    <w:p>
      <w:pPr>
        <w:spacing w:after="0" w:line="3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growth in our market. For instance, among other factors, the adverse macroeconomic conditions resulted in slower than historical growth of our existing Atlas applications for the nine months ended October 31, 2025.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93"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4"/>
          <w:szCs w:val="14"/>
          <w:color w:val="auto"/>
        </w:rPr>
        <w:t>Our subscription offerings are term-based and a majority of our subscription contracts are one year in duration.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08"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14"/>
          <w:szCs w:val="14"/>
          <w:i w:val="1"/>
          <w:iCs w:val="1"/>
          <w:color w:val="auto"/>
        </w:rPr>
        <w:t>Unfavorable conditions in our industry or the global economy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reductions in information technology spending could limit our ability to grow our business and materially and adversely affect our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currently face significant competition and expect that intense competition will continue.</w:t>
      </w:r>
    </w:p>
    <w:p>
      <w:pPr>
        <w:spacing w:after="0" w:line="138"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4"/>
          <w:szCs w:val="14"/>
          <w:color w:val="auto"/>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04"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spacing w:after="0" w:line="93"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Some of our actual and potential competitors, in particular the legacy relational database providers and large cloud providers, have advantages over us, such as longer operating histories, more established relationships with current or</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04"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effectively expand our sales and marketing organization, we may be unable to add new customers or increase sales to our existing customers.</w:t>
      </w:r>
    </w:p>
    <w:p>
      <w:pPr>
        <w:spacing w:after="0" w:line="138"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adoption strategies include offering Community Server and a free tier of MongoDB Atlas and we may not be able to realize the intended benefits of these strategies.</w:t>
      </w:r>
    </w:p>
    <w:p>
      <w:pPr>
        <w:spacing w:after="0" w:line="138"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decision to offer Community Server under the SSPL, may harm the adoption of Community Server.</w:t>
      </w:r>
    </w:p>
    <w:p>
      <w:pPr>
        <w:spacing w:after="0" w:line="138"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91"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80"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4"/>
          <w:szCs w:val="14"/>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negatively impacted if the AGPL, the SSPL and other open source licenses under which some of our software is licensed are not enforceable.</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licensing model for Community Server could negatively affect our ability to monetize and protect our intellectual property rights.</w:t>
      </w:r>
    </w:p>
    <w:p>
      <w:pPr>
        <w:spacing w:after="0" w:line="138"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4"/>
          <w:szCs w:val="14"/>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06" w:lineRule="exact"/>
        <w:rPr>
          <w:sz w:val="20"/>
          <w:szCs w:val="20"/>
          <w:color w:val="auto"/>
        </w:rPr>
      </w:pPr>
    </w:p>
    <w:p>
      <w:pPr>
        <w:ind w:right="320" w:firstLine="382"/>
        <w:spacing w:after="0" w:line="287" w:lineRule="auto"/>
        <w:rPr>
          <w:sz w:val="20"/>
          <w:szCs w:val="20"/>
          <w:color w:val="auto"/>
        </w:rPr>
      </w:pPr>
      <w:r>
        <w:rPr>
          <w:rFonts w:ascii="Times New Roman" w:cs="Times New Roman" w:eastAsia="Times New Roman" w:hAnsi="Times New Roman"/>
          <w:sz w:val="14"/>
          <w:szCs w:val="14"/>
          <w:color w:val="auto"/>
        </w:rPr>
        <w:t>In addition to Community Server, we contribute other source code to open source projects under open source licenses and release internal software projects under open source licenses and anticipate doing so in the future. Because the source</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software incorporates third-party open source software, which could negatively affect our ability to sell our products and subject us to possible litigation.</w:t>
      </w:r>
    </w:p>
    <w:p>
      <w:pPr>
        <w:spacing w:after="0" w:line="138"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03"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4"/>
          <w:szCs w:val="14"/>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03"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Any of these risks could be difficult to eliminate or manage and if not addressed, could have a negative effect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38"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4"/>
          <w:szCs w:val="14"/>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(“ML”),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w:t>
      </w:r>
    </w:p>
    <w:p>
      <w:pPr>
        <w:spacing w:after="0" w:line="200" w:lineRule="exact"/>
        <w:rPr>
          <w:sz w:val="20"/>
          <w:szCs w:val="20"/>
          <w:color w:val="auto"/>
        </w:rPr>
      </w:pPr>
    </w:p>
    <w:p>
      <w:pPr>
        <w:spacing w:after="0" w:line="3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98" w:lineRule="exact"/>
        <w:rPr>
          <w:sz w:val="20"/>
          <w:szCs w:val="20"/>
          <w:color w:val="auto"/>
        </w:rPr>
      </w:pPr>
    </w:p>
    <w:p>
      <w:pPr>
        <w:ind w:right="340" w:firstLine="382"/>
        <w:spacing w:after="0" w:line="270" w:lineRule="auto"/>
        <w:rPr>
          <w:sz w:val="20"/>
          <w:szCs w:val="20"/>
          <w:color w:val="auto"/>
        </w:rPr>
      </w:pPr>
      <w:r>
        <w:rPr>
          <w:rFonts w:ascii="Times New Roman" w:cs="Times New Roman" w:eastAsia="Times New Roman" w:hAnsi="Times New Roman"/>
          <w:sz w:val="14"/>
          <w:szCs w:val="14"/>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is highly dependent on our ability to penetrate the existing market for database products, as well as the growth and expansion of the market for database products.</w:t>
      </w:r>
    </w:p>
    <w:p>
      <w:pPr>
        <w:spacing w:after="0" w:line="13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quarterly results may fluctuate significantly and if we fail to meet the expectations of analysts or investors, our stock price could decline substantially.</w:t>
      </w:r>
    </w:p>
    <w:p>
      <w:pPr>
        <w:spacing w:after="0" w:line="138" w:lineRule="exact"/>
        <w:rPr>
          <w:sz w:val="20"/>
          <w:szCs w:val="20"/>
          <w:color w:val="auto"/>
        </w:rPr>
      </w:pPr>
    </w:p>
    <w:p>
      <w:pPr>
        <w:jc w:val="both"/>
        <w:ind w:right="280" w:firstLine="382"/>
        <w:spacing w:after="0" w:line="270" w:lineRule="auto"/>
        <w:rPr>
          <w:sz w:val="20"/>
          <w:szCs w:val="20"/>
          <w:color w:val="auto"/>
        </w:rPr>
      </w:pPr>
      <w:r>
        <w:rPr>
          <w:rFonts w:ascii="Times New Roman" w:cs="Times New Roman" w:eastAsia="Times New Roman" w:hAnsi="Times New Roman"/>
          <w:sz w:val="14"/>
          <w:szCs w:val="14"/>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93"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actual and anticipated growth rates of our revenue, customers and other key operating metrics;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product announcements, pricing changes and other actions by competitors;</w:t>
      </w:r>
    </w:p>
    <w:p>
      <w:pPr>
        <w:spacing w:after="0" w:line="93" w:lineRule="exact"/>
        <w:rPr>
          <w:rFonts w:ascii="Times New Roman" w:cs="Times New Roman" w:eastAsia="Times New Roman" w:hAnsi="Times New Roman"/>
          <w:sz w:val="14"/>
          <w:szCs w:val="14"/>
          <w:color w:val="auto"/>
        </w:rPr>
      </w:pPr>
    </w:p>
    <w:p>
      <w:pPr>
        <w:ind w:left="520" w:right="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revenue and associated costs attributable to sales where subscriptions are bundled with services versus sold on a standalone basis and sales by us and our partners;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and effectively expand our sales and marketing capabilities and teams;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customers and expand their usage of our software, particularly for our largest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enforce the AGPL or SSPL;</w:t>
      </w:r>
    </w:p>
    <w:p>
      <w:pPr>
        <w:spacing w:after="0" w:line="9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closing sales, including the timing of renewals, which may result in revenue being pushed into the next quarter, particularly because a large portion of our sales occur toward the end of each quarter;</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revenue recognition;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revenue attributable to larger transactions as opposed to smaller transactions;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customers’ budgets and in the timing of their budgeting cycles and purchasing decisions;</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customers’ consumption of our platform;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and potential customers opting for alternative products, including developing their own in-house solutions, or opting to use only the free version of our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including our operating expenses;</w:t>
      </w:r>
    </w:p>
    <w:p>
      <w:pPr>
        <w:spacing w:after="0" w:line="93" w:lineRule="exact"/>
        <w:rPr>
          <w:rFonts w:ascii="Times New Roman" w:cs="Times New Roman" w:eastAsia="Times New Roman" w:hAnsi="Times New Roman"/>
          <w:sz w:val="14"/>
          <w:szCs w:val="14"/>
          <w:color w:val="auto"/>
        </w:rPr>
      </w:pPr>
    </w:p>
    <w:p>
      <w:pPr>
        <w:ind w:left="520" w:right="28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security breaches or other security incidents, technical difficulties, or interruptions with respect to the delivery and use of our software;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maintain the level of service uptime and performance required by our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collectability of receivables from customers and resellers, which may be hindered or delayed if these customers or resellers experience financial distress;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and economic conditions, in domestic or international markets;</w:t>
      </w:r>
    </w:p>
    <w:p>
      <w:pPr>
        <w:spacing w:after="0" w:line="9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tax and other tax determinations by authorities in the jurisdictions in which we conduct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amount, and cost of our investments to expand the capacity of our public cloud providers;</w:t>
      </w:r>
    </w:p>
    <w:p>
      <w:pPr>
        <w:spacing w:after="0" w:line="93"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legal expenses, including settlements, judgments, fines, legal fees, and other charges associated with litigation, governmental investigations or inquiries, regulatory investigations or inquiries, or other legal proceedings;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associated with hiring, training, and integrating new employees and retaining and motivating existing employees;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and timing of acquisitions and their integration;</w:t>
      </w:r>
    </w:p>
    <w:p>
      <w:pPr>
        <w:spacing w:after="0" w:line="93" w:lineRule="exact"/>
        <w:rPr>
          <w:rFonts w:ascii="Times New Roman" w:cs="Times New Roman" w:eastAsia="Times New Roman" w:hAnsi="Times New Roman"/>
          <w:sz w:val="14"/>
          <w:szCs w:val="14"/>
          <w:color w:val="auto"/>
        </w:rPr>
      </w:pPr>
    </w:p>
    <w:p>
      <w:pPr>
        <w:ind w:left="520" w:right="48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or legal environments, including the interpretation or enforcement of regulatory or legal requirements, that may cause us to incur, among other things, expenses associated with compliance;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new accounting pronouncements;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stock-based compensation expense.</w:t>
      </w:r>
    </w:p>
    <w:p>
      <w:pPr>
        <w:spacing w:after="0" w:line="94"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nine months ended October 31, 2025.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w:t>
      </w:r>
    </w:p>
    <w:p>
      <w:pPr>
        <w:spacing w:after="0" w:line="200" w:lineRule="exact"/>
        <w:rPr>
          <w:sz w:val="20"/>
          <w:szCs w:val="20"/>
          <w:color w:val="auto"/>
        </w:rPr>
      </w:pPr>
    </w:p>
    <w:p>
      <w:pPr>
        <w:spacing w:after="0" w:line="37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substantially and we could face costly lawsuits, including securities class action suits. See the section titled “Legal Proceedings” included in Part II, Item 1 of this Quarterly Report on Form 10-Q.</w:t>
      </w:r>
    </w:p>
    <w:p>
      <w:pPr>
        <w:spacing w:after="0" w:line="13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80"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We have experienced rapid growth in our business, operations and employee headcount. For fiscal years 2025, 2024 and 2023, our total revenue was $2,006.4 million, $1,683.0 million, and $1,284.0 million, respectively, representing a 19% and 31% growth rate, respectively. We have also significantly increased the size of our customer base from over 3,200 customers as of January 31, 2017 to over 54,500 customers as of January 31, 2025, and we grew from 713 employees as of January 31, 2017 to 5,558 employees as of January 31, 2025. Our success will depend in part on our ability to continue to grow and to manage this growth, domestically and internationally, effectively.</w:t>
      </w:r>
    </w:p>
    <w:p>
      <w:pPr>
        <w:spacing w:after="0" w:line="98"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0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93"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4"/>
          <w:szCs w:val="14"/>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spacing w:after="0" w:line="106"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4"/>
          <w:szCs w:val="14"/>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w:t>
      </w:r>
    </w:p>
    <w:p>
      <w:pPr>
        <w:spacing w:after="0" w:line="200" w:lineRule="exact"/>
        <w:rPr>
          <w:sz w:val="20"/>
          <w:szCs w:val="20"/>
          <w:color w:val="auto"/>
        </w:rPr>
      </w:pPr>
    </w:p>
    <w:p>
      <w:pPr>
        <w:spacing w:after="0" w:line="36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technology systems (including our products) or the third-party information technology systems that support us and our services.</w:t>
      </w:r>
    </w:p>
    <w:p>
      <w:pPr>
        <w:spacing w:after="0" w:line="13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94" w:lineRule="exact"/>
        <w:rPr>
          <w:sz w:val="20"/>
          <w:szCs w:val="20"/>
          <w:color w:val="auto"/>
        </w:rPr>
      </w:pPr>
    </w:p>
    <w:p>
      <w:pPr>
        <w:ind w:firstLine="382"/>
        <w:spacing w:after="0" w:line="239" w:lineRule="auto"/>
        <w:rPr>
          <w:sz w:val="20"/>
          <w:szCs w:val="20"/>
          <w:color w:val="auto"/>
        </w:rPr>
      </w:pPr>
      <w:r>
        <w:rPr>
          <w:rFonts w:ascii="Times New Roman" w:cs="Times New Roman" w:eastAsia="Times New Roman" w:hAnsi="Times New Roman"/>
          <w:sz w:val="14"/>
          <w:szCs w:val="14"/>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spacing w:after="0" w:line="117"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spacing w:after="0" w:line="93"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spacing w:after="0" w:line="103" w:lineRule="exact"/>
        <w:rPr>
          <w:sz w:val="20"/>
          <w:szCs w:val="20"/>
          <w:color w:val="auto"/>
        </w:rPr>
      </w:pPr>
    </w:p>
    <w:p>
      <w:pPr>
        <w:ind w:right="200" w:firstLine="382"/>
        <w:spacing w:after="0" w:line="264" w:lineRule="auto"/>
        <w:rPr>
          <w:sz w:val="20"/>
          <w:szCs w:val="20"/>
          <w:color w:val="auto"/>
        </w:rPr>
      </w:pPr>
      <w:r>
        <w:rPr>
          <w:rFonts w:ascii="Times New Roman" w:cs="Times New Roman" w:eastAsia="Times New Roman" w:hAnsi="Times New Roman"/>
          <w:sz w:val="14"/>
          <w:szCs w:val="14"/>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98"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spacing w:after="0" w:line="82"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If we (or a third party upon whom we rely) experience or are perceived to have experienced a security breach or other security incident, or fail to make adequate or timely disclosures to the public, regulators, law enforcement agencies or</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affected individuals, as applicable, following any such event, we previously have, and may in the future,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03"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82"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cycle may be long and is unpredictable and our sales efforts require considerable time and expense.</w:t>
      </w:r>
    </w:p>
    <w:p>
      <w:pPr>
        <w:spacing w:after="0" w:line="138"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4"/>
          <w:szCs w:val="14"/>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0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force, in particular new sales people as we increase the size of our sales force;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discretionary nature of purchasing and budget cycles and decisions;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obstacles placed by a customer’s procurement process;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convert users of our free offerings to paying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and other factors impacting customer budgets;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evaluation of competing products during the purchasing process;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customer demands.</w:t>
      </w:r>
    </w:p>
    <w:p>
      <w:pPr>
        <w:spacing w:after="0" w:line="94"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forced to reduce prices for our subscription offerings and as a result our revenue and results of operations will be harmed.</w:t>
      </w:r>
    </w:p>
    <w:p>
      <w:pPr>
        <w:spacing w:after="0" w:line="138"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99"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80"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93"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4"/>
          <w:szCs w:val="14"/>
          <w:color w:val="auto"/>
        </w:rPr>
        <w:t>Even if we do attract new customers, the cost of new customer acquisition, product implementation and ongoing customer support may prove so high as to prevent us from achieving or sustaining profitability. For example, in fiscal years 2025, 2024 and 2023, total sales and marketing expense represented 43% , 47%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offer high quality support, our business and reputation could suffer.</w:t>
      </w:r>
    </w:p>
    <w:p>
      <w:pPr>
        <w:spacing w:after="0" w:line="138" w:lineRule="exact"/>
        <w:rPr>
          <w:sz w:val="20"/>
          <w:szCs w:val="20"/>
          <w:color w:val="auto"/>
        </w:rPr>
      </w:pPr>
    </w:p>
    <w:p>
      <w:pPr>
        <w:ind w:right="280" w:firstLine="382"/>
        <w:spacing w:after="0" w:line="264" w:lineRule="auto"/>
        <w:rPr>
          <w:sz w:val="20"/>
          <w:szCs w:val="20"/>
          <w:color w:val="auto"/>
        </w:rPr>
      </w:pPr>
      <w:r>
        <w:rPr>
          <w:rFonts w:ascii="Times New Roman" w:cs="Times New Roman" w:eastAsia="Times New Roman" w:hAnsi="Times New Roman"/>
          <w:sz w:val="14"/>
          <w:szCs w:val="14"/>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or perceived errors, failures or bugs in our software could adversely affect our business, results of operations, financial condition and growth prospects.</w:t>
      </w:r>
    </w:p>
    <w:p>
      <w:pPr>
        <w:spacing w:after="0" w:line="138"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200" w:lineRule="exact"/>
        <w:rPr>
          <w:sz w:val="20"/>
          <w:szCs w:val="20"/>
          <w:color w:val="auto"/>
        </w:rPr>
      </w:pPr>
    </w:p>
    <w:p>
      <w:pPr>
        <w:spacing w:after="0" w:line="37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93"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03"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spacing w:after="0" w:line="104"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101"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Furthermore, from time to time, U.S. presidential administrations have issued, and may in the future issue, Executive Orders related to cybersecurity practices that may affect our business. For example,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03"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w:t>
      </w:r>
    </w:p>
    <w:p>
      <w:pPr>
        <w:spacing w:after="0" w:line="200" w:lineRule="exact"/>
        <w:rPr>
          <w:sz w:val="20"/>
          <w:szCs w:val="20"/>
          <w:color w:val="auto"/>
        </w:rPr>
      </w:pPr>
    </w:p>
    <w:p>
      <w:pPr>
        <w:spacing w:after="0" w:line="3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GDPR, but because of the ambiguities in the GDPR and the evolving interpretation of the GDPR by data protection authorities, we cannot assure you that such steps are complete or effective.</w:t>
      </w:r>
    </w:p>
    <w:p>
      <w:pPr>
        <w:spacing w:after="0" w:line="136"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adopted reforms to its data privacy and cybersecurity legal framework in its Data Use and Access Act 2025, which became law on June 19, 2025 (phasing in between June 2025 and June 2026) and which will introduce significant changes from the GDPR, all of which creates a risk of divergent parallel regimes and related uncertainty, along with the potential for increased compliance costs and risks for affected businesses.</w:t>
      </w:r>
    </w:p>
    <w:p>
      <w:pPr>
        <w:spacing w:after="0" w:line="103"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EU Member States have flexibility in identifying the types of entities considered “essential.” The deadline for EU Member States to transpose NIS2 into national law was October 17, 2024. However, only a small number of Member States have met that deadline, creating ongoing uncertainty around how NIS2 will impact our business.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w:t>
      </w:r>
    </w:p>
    <w:p>
      <w:pPr>
        <w:spacing w:after="0" w:line="104"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spacing w:after="0" w:line="98"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December 2025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w:t>
      </w:r>
    </w:p>
    <w:p>
      <w:pPr>
        <w:spacing w:after="0" w:line="104"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Both the U.K. and Swiss Data Privacy</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03"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01"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82"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4"/>
          <w:szCs w:val="14"/>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04"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04" w:lineRule="exact"/>
        <w:rPr>
          <w:sz w:val="20"/>
          <w:szCs w:val="20"/>
          <w:color w:val="auto"/>
        </w:rPr>
      </w:pPr>
    </w:p>
    <w:p>
      <w:pPr>
        <w:jc w:val="both"/>
        <w:ind w:right="160" w:firstLine="382"/>
        <w:spacing w:after="0" w:line="270" w:lineRule="auto"/>
        <w:rPr>
          <w:sz w:val="20"/>
          <w:szCs w:val="20"/>
          <w:color w:val="auto"/>
        </w:rPr>
      </w:pPr>
      <w:r>
        <w:rPr>
          <w:rFonts w:ascii="Times New Roman" w:cs="Times New Roman" w:eastAsia="Times New Roman" w:hAnsi="Times New Roman"/>
          <w:sz w:val="14"/>
          <w:szCs w:val="14"/>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9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80"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Our market opportunity estimates and growth forecasts are subject to significant uncertainty and are based on third-party assumptions and estimates that may not prove to be accurate. The market in which we compete may not meet these size</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8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80"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4"/>
          <w:szCs w:val="14"/>
          <w:color w:val="auto"/>
        </w:rPr>
        <w:t>Our success and ability to compete depend in part upon our intellectual property rights. As of January 31, 2025, we had 84 issued patents and 47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07" w:lineRule="exact"/>
        <w:rPr>
          <w:sz w:val="20"/>
          <w:szCs w:val="20"/>
          <w:color w:val="auto"/>
        </w:rPr>
      </w:pPr>
    </w:p>
    <w:p>
      <w:pPr>
        <w:ind w:right="100" w:firstLine="382"/>
        <w:spacing w:after="0" w:line="259" w:lineRule="auto"/>
        <w:rPr>
          <w:sz w:val="20"/>
          <w:szCs w:val="20"/>
          <w:color w:val="auto"/>
        </w:rPr>
      </w:pPr>
      <w:r>
        <w:rPr>
          <w:rFonts w:ascii="Times New Roman" w:cs="Times New Roman" w:eastAsia="Times New Roman" w:hAnsi="Times New Roman"/>
          <w:sz w:val="14"/>
          <w:szCs w:val="14"/>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101"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80"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spacing w:after="0" w:line="98"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maintain successful relationships with our partners, our business, results of operations and financial condition could be harmed.</w:t>
      </w:r>
    </w:p>
    <w:p>
      <w:pPr>
        <w:spacing w:after="0" w:line="138"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0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80"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Interruptions or performance problems associated with our technology and infrastructure may adversely affect our business, results of operations and financial condition.</w:t>
      </w:r>
    </w:p>
    <w:p>
      <w:pPr>
        <w:spacing w:after="0" w:line="138" w:lineRule="exact"/>
        <w:rPr>
          <w:sz w:val="20"/>
          <w:szCs w:val="20"/>
          <w:color w:val="auto"/>
        </w:rPr>
      </w:pPr>
    </w:p>
    <w:p>
      <w:pPr>
        <w:ind w:right="560" w:firstLine="382"/>
        <w:spacing w:after="0" w:line="287" w:lineRule="auto"/>
        <w:rPr>
          <w:sz w:val="20"/>
          <w:szCs w:val="20"/>
          <w:color w:val="auto"/>
        </w:rPr>
      </w:pPr>
      <w:r>
        <w:rPr>
          <w:rFonts w:ascii="Times New Roman" w:cs="Times New Roman" w:eastAsia="Times New Roman" w:hAnsi="Times New Roman"/>
          <w:sz w:val="14"/>
          <w:szCs w:val="14"/>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w:t>
      </w: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38"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03"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meet our service level commitments, our business, results of operations and financial condition could be adversely affected.</w:t>
      </w:r>
    </w:p>
    <w:p>
      <w:pPr>
        <w:spacing w:after="0" w:line="138"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9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0"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software engineers and AI-researchers or AI-skilled personnel.</w:t>
      </w:r>
    </w:p>
    <w:p>
      <w:pPr>
        <w:spacing w:after="0" w:line="82"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200" w:lineRule="exact"/>
        <w:rPr>
          <w:sz w:val="20"/>
          <w:szCs w:val="20"/>
          <w:color w:val="auto"/>
        </w:rPr>
      </w:pPr>
    </w:p>
    <w:p>
      <w:pPr>
        <w:spacing w:after="0" w:line="3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4"/>
          <w:szCs w:val="14"/>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software engineers and AI-researchers or AI-skilled personnel,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brand, especially among developers, our business and results of operations may be adversely affected.</w:t>
      </w:r>
    </w:p>
    <w:p>
      <w:pPr>
        <w:spacing w:after="0" w:line="1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99"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80"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82"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93"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8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80"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Indemnity provisions in various agreements could expose us to substantial liability for data breaches, intellectual property infringement and other losses.</w:t>
      </w:r>
    </w:p>
    <w:p>
      <w:pPr>
        <w:spacing w:after="0" w:line="138"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our long-term growth strategy involves sales to customers outside the United States, our business is susceptible to risks associated with international operations.</w:t>
      </w:r>
    </w:p>
    <w:p>
      <w:pPr>
        <w:spacing w:after="0" w:line="138"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A significant portion of our revenue is derived internationally and we are susceptible to risks related to our international operations. In the fiscal years ended January 31, 2025, 2024 and 2023, total revenue generated from customers outside the United States was 46%, 46% and 45%,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03"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 specific country’s or region’s political or economic conditions;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adapt and localize our products for specific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collecting accounts receivable and longer payment cycles;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laws, regulatory requirements, taxes or trade laws;</w:t>
      </w:r>
    </w:p>
    <w:p>
      <w:pPr>
        <w:spacing w:after="0" w:line="93"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shelter-in-place, occupancy limitations or similar orders, private travel limitation, or business disruption in regions affecting our operations, stemming from actual, imminent or perceived outbreak of contagious disease;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stringent regulations relating to data privacy and security and the unauthorized use of, or access to, commercial and personal data, particularly in EMEA;</w:t>
      </w:r>
    </w:p>
    <w:p>
      <w:pPr>
        <w:spacing w:after="0" w:line="93"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labor regulations, especially in EMEA, where labor laws are generally more advantageous to employees as compared to the United States, including deemed hourly wage and overtime regulations in these locations;</w:t>
      </w:r>
    </w:p>
    <w:p>
      <w:pPr>
        <w:spacing w:after="0" w:line="39"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inherent in efficiently managing an increased number of employees over large geographic distances, including the need to implement appropriate systems, policies, benefits and compliance programs;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 business in new markets with diverse cultures, languages, customs, legal systems, alternative dispute systems and regulatory systems;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associated with international operations, including travel, real estate, infrastructure and legal compliance costs;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 fluctuations and the resulting effect on our revenue and expenses and the cost and risk of entering into hedging transactions if we chose to do so in the future;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other economic factors, including inflation, pricing and currency devaluation;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ability to reinvest earnings from operations in one country to fund the capital needs of our operations in other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business practices favoring local competitors or general preferences for local vendors;</w:t>
      </w:r>
    </w:p>
    <w:p>
      <w:pPr>
        <w:spacing w:after="0" w:line="93"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or insufficient intellectual property protection or difficulties enforcing our intellectual property;</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3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liabilities under anti-corruption and anti-money laundering laws, including the U.S. Foreign Corrupt Practices Act, U.K. Bribery Act and similar laws and regulations in other jurisdictions; and</w:t>
      </w: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tax burdens and foreign exchange controls that could make it difficult to repatriate earnings and cash.</w:t>
      </w:r>
    </w:p>
    <w:p>
      <w:pPr>
        <w:spacing w:after="0" w:line="94" w:lineRule="exact"/>
        <w:rPr>
          <w:sz w:val="20"/>
          <w:szCs w:val="20"/>
          <w:color w:val="auto"/>
        </w:rPr>
      </w:pPr>
    </w:p>
    <w:p>
      <w:pPr>
        <w:ind w:right="560" w:firstLine="382"/>
        <w:spacing w:after="0" w:line="287" w:lineRule="auto"/>
        <w:rPr>
          <w:sz w:val="20"/>
          <w:szCs w:val="20"/>
          <w:color w:val="auto"/>
        </w:rPr>
      </w:pPr>
      <w:r>
        <w:rPr>
          <w:rFonts w:ascii="Times New Roman" w:cs="Times New Roman" w:eastAsia="Times New Roman" w:hAnsi="Times New Roman"/>
          <w:sz w:val="14"/>
          <w:szCs w:val="14"/>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8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80" w:lineRule="exact"/>
        <w:rPr>
          <w:sz w:val="20"/>
          <w:szCs w:val="20"/>
          <w:color w:val="auto"/>
        </w:rPr>
      </w:pPr>
    </w:p>
    <w:p>
      <w:pPr>
        <w:ind w:right="160" w:firstLine="382"/>
        <w:spacing w:after="0" w:line="259" w:lineRule="auto"/>
        <w:rPr>
          <w:sz w:val="20"/>
          <w:szCs w:val="20"/>
          <w:color w:val="auto"/>
        </w:rPr>
      </w:pPr>
      <w:r>
        <w:rPr>
          <w:rFonts w:ascii="Times New Roman" w:cs="Times New Roman" w:eastAsia="Times New Roman" w:hAnsi="Times New Roman"/>
          <w:sz w:val="14"/>
          <w:szCs w:val="14"/>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may lead to continuing volatility in U.S. and global financial and economic conditions and commodity markets, declining consumer confidence, significant inflation and diminished expectations for the economy, and may ultimately result in lower demand for our offerings, which could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currency exchange rates fluctuate substantially in the future, our financial results, which are reported in U.S. dollars, could be adversely affected.</w:t>
      </w:r>
    </w:p>
    <w:p>
      <w:pPr>
        <w:spacing w:after="0" w:line="138"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02"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80"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4"/>
          <w:szCs w:val="14"/>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01"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80"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0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spacing w:after="0" w:line="69" w:lineRule="exact"/>
        <w:rPr>
          <w:sz w:val="20"/>
          <w:szCs w:val="20"/>
          <w:color w:val="auto"/>
        </w:rPr>
      </w:pPr>
    </w:p>
    <w:p>
      <w:pPr>
        <w:jc w:val="both"/>
        <w:ind w:right="100" w:firstLine="382"/>
        <w:spacing w:after="0" w:line="254" w:lineRule="auto"/>
        <w:rPr>
          <w:sz w:val="20"/>
          <w:szCs w:val="20"/>
          <w:color w:val="auto"/>
        </w:rPr>
      </w:pPr>
      <w:r>
        <w:rPr>
          <w:rFonts w:ascii="Times New Roman" w:cs="Times New Roman" w:eastAsia="Times New Roman" w:hAnsi="Times New Roman"/>
          <w:sz w:val="14"/>
          <w:szCs w:val="14"/>
          <w:color w:val="auto"/>
        </w:rPr>
        <w:t>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capabilities or otherwise offer growth opportunities. The identification of suitable acquisition candidates can be difficult, time-consuming and costly and we may not be able to successfully complete identified acquisitions.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risks we face in connection with any acquisitions or strategic investments include:</w:t>
      </w:r>
    </w:p>
    <w:p>
      <w:pPr>
        <w:spacing w:after="0" w:line="136" w:lineRule="exact"/>
        <w:rPr>
          <w:sz w:val="20"/>
          <w:szCs w:val="20"/>
          <w:color w:val="auto"/>
        </w:rPr>
      </w:pPr>
    </w:p>
    <w:p>
      <w:pPr>
        <w:ind w:left="520" w:hanging="260"/>
        <w:spacing w:after="0" w:line="27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50"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realize anticipated synergies;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or strategic investment may disrupt our ongoing business, divert resources, increase our expenses and distract our management;</w:t>
      </w:r>
    </w:p>
    <w:p>
      <w:pPr>
        <w:spacing w:after="0" w:line="93"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challenges integrating the employees of the acquired company into our company culture;</w:t>
      </w:r>
    </w:p>
    <w:p>
      <w:pPr>
        <w:spacing w:after="0" w:line="93" w:lineRule="exact"/>
        <w:rPr>
          <w:rFonts w:ascii="Times New Roman" w:cs="Times New Roman" w:eastAsia="Times New Roman" w:hAnsi="Times New Roman"/>
          <w:sz w:val="14"/>
          <w:szCs w:val="14"/>
          <w:color w:val="auto"/>
        </w:rPr>
      </w:pPr>
    </w:p>
    <w:p>
      <w:pPr>
        <w:ind w:left="520" w:right="28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successfully sell any acquired products or increase adoption or usage of acquired products, or increase spend by acquired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cash to pay for acquisitions or strategic investment would limit other potential uses for our cash;</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incur debt to fund any acquisitions, such debt may subject us to material restrictions on our ability to conduct our business, including financial maintenance covenants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issue a significant amount of equity securities in connection with future acquisitions, existing stockholders may be diluted and earnings per share may decrease; and</w:t>
      </w:r>
    </w:p>
    <w:p>
      <w:pPr>
        <w:spacing w:after="0" w:line="93"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legal liability arising from prior or ongoing acts or omissions by the acquired businesses which are not discovered by due diligence during the acquisition process or that prove to have a greater than anticipated adverse</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jc w:val="both"/>
        <w:ind w:left="520" w:right="520"/>
        <w:spacing w:after="0" w:line="270" w:lineRule="auto"/>
        <w:rPr>
          <w:sz w:val="20"/>
          <w:szCs w:val="20"/>
          <w:color w:val="auto"/>
        </w:rPr>
      </w:pPr>
      <w:r>
        <w:rPr>
          <w:rFonts w:ascii="Times New Roman" w:cs="Times New Roman" w:eastAsia="Times New Roman" w:hAnsi="Times New Roman"/>
          <w:sz w:val="14"/>
          <w:szCs w:val="14"/>
          <w:color w:val="auto"/>
        </w:rPr>
        <w:t>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occurrence of any of these risks could have an adverse effect on our business, results of operations and financial condition.</w:t>
      </w:r>
    </w:p>
    <w:p>
      <w:pPr>
        <w:spacing w:after="0" w:line="134"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80"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93" w:lineRule="exact"/>
        <w:rPr>
          <w:sz w:val="20"/>
          <w:szCs w:val="20"/>
          <w:color w:val="auto"/>
        </w:rPr>
      </w:pPr>
    </w:p>
    <w:p>
      <w:pPr>
        <w:ind w:firstLine="382"/>
        <w:spacing w:after="0" w:line="263" w:lineRule="auto"/>
        <w:rPr>
          <w:sz w:val="20"/>
          <w:szCs w:val="20"/>
          <w:color w:val="auto"/>
        </w:rPr>
      </w:pPr>
      <w:r>
        <w:rPr>
          <w:rFonts w:ascii="Times New Roman" w:cs="Times New Roman" w:eastAsia="Times New Roman" w:hAnsi="Times New Roman"/>
          <w:sz w:val="14"/>
          <w:szCs w:val="14"/>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anti-corruption and anti-money laundering laws could subject us to penalties and other adverse consequences.</w:t>
      </w:r>
    </w:p>
    <w:p>
      <w:pPr>
        <w:spacing w:after="0" w:line="138"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adversely affected by changes in accounting principles generally accepted in the United States.</w:t>
      </w:r>
    </w:p>
    <w:p>
      <w:pPr>
        <w:spacing w:after="0" w:line="138"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adversely affected.</w:t>
      </w:r>
    </w:p>
    <w:p>
      <w:pPr>
        <w:spacing w:after="0" w:line="138"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4"/>
          <w:szCs w:val="14"/>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02"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0"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93"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03"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04"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w:t>
      </w:r>
    </w:p>
    <w:p>
      <w:pPr>
        <w:spacing w:after="0" w:line="200" w:lineRule="exact"/>
        <w:rPr>
          <w:sz w:val="20"/>
          <w:szCs w:val="20"/>
          <w:color w:val="auto"/>
        </w:rPr>
      </w:pPr>
    </w:p>
    <w:p>
      <w:pPr>
        <w:spacing w:after="0" w:line="3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96"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80"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02"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80"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0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80"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98"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w:t>
      </w:r>
    </w:p>
    <w:p>
      <w:pPr>
        <w:spacing w:after="0" w:line="200" w:lineRule="exact"/>
        <w:rPr>
          <w:sz w:val="20"/>
          <w:szCs w:val="20"/>
          <w:color w:val="auto"/>
        </w:rPr>
      </w:pPr>
    </w:p>
    <w:p>
      <w:pPr>
        <w:spacing w:after="0" w:line="37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spacing w:after="0" w:line="82"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including the immediate expensing of United States research and development expenditures. The legislation has multiple effective dates, with certain provisions effective in the current fiscal period and others in the fiscal year ended January 31, 2027. We have completed a preliminary assessment of the related tax impact on our condensed consolidated financial statements. Given the ongoing tax losses and full valuation allowance against our domestic deferred tax assets, we do not expect any material impacts from the provisions effective in the fiscal year ended January 31, 2026 on our consolidated financial statements.</w:t>
      </w:r>
    </w:p>
    <w:p>
      <w:pPr>
        <w:spacing w:after="0" w:line="167"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to offset future taxable income may be subject to certain limitations.</w:t>
      </w:r>
    </w:p>
    <w:p>
      <w:pPr>
        <w:spacing w:after="0" w:line="13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As of January 31, 2025,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03"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8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80"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38" w:lineRule="exact"/>
        <w:rPr>
          <w:sz w:val="20"/>
          <w:szCs w:val="20"/>
          <w:color w:val="auto"/>
        </w:rPr>
      </w:pPr>
    </w:p>
    <w:p>
      <w:pPr>
        <w:ind w:right="320" w:firstLine="382"/>
        <w:spacing w:after="0" w:line="287" w:lineRule="auto"/>
        <w:rPr>
          <w:sz w:val="20"/>
          <w:szCs w:val="20"/>
          <w:color w:val="auto"/>
        </w:rPr>
      </w:pPr>
      <w:r>
        <w:rPr>
          <w:rFonts w:ascii="Times New Roman" w:cs="Times New Roman" w:eastAsia="Times New Roman" w:hAnsi="Times New Roman"/>
          <w:sz w:val="14"/>
          <w:szCs w:val="14"/>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82"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93"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93"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02"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80"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4"/>
          <w:szCs w:val="14"/>
          <w:color w:val="auto"/>
        </w:rPr>
        <w:t>As of October 31, 2025,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08" w:lineRule="exact"/>
        <w:rPr>
          <w:sz w:val="20"/>
          <w:szCs w:val="20"/>
          <w:color w:val="auto"/>
        </w:rPr>
      </w:pPr>
    </w:p>
    <w:p>
      <w:pPr>
        <w:jc w:val="both"/>
        <w:ind w:right="120" w:firstLine="382"/>
        <w:spacing w:after="0" w:line="287" w:lineRule="auto"/>
        <w:rPr>
          <w:sz w:val="20"/>
          <w:szCs w:val="20"/>
          <w:color w:val="auto"/>
        </w:rPr>
      </w:pPr>
      <w:r>
        <w:rPr>
          <w:rFonts w:ascii="Times New Roman" w:cs="Times New Roman" w:eastAsia="Times New Roman" w:hAnsi="Times New Roman"/>
          <w:sz w:val="14"/>
          <w:szCs w:val="14"/>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spacing w:after="0" w:line="103"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w:t>
      </w:r>
    </w:p>
    <w:p>
      <w:pPr>
        <w:spacing w:after="0" w:line="104"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4"/>
          <w:szCs w:val="14"/>
          <w:color w:val="auto"/>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spacing w:after="0" w:line="102"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Social, ethical, security and regulatory issues relating to the use of new and evolving technologies, such as AI and ML, in our offerings or partnerships may result in reputational harm and liability.</w:t>
      </w:r>
    </w:p>
    <w:p>
      <w:pPr>
        <w:spacing w:after="0" w:line="80"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Social, ethical, security and regulatory issues relating to the use of new and evolving technologies such as AI and ML, including generative AI and AI models, in our offerings, internal operations or partnerships, may result in reputational harm and liability, and may cause us to incur additional research and development costs to resolve such issues. As with many innovations, AI and ML presents risks and challenges that could affect its adoption, and therefore our business. Our offerings based on AI and ML may expose us to additional claims, demands and proceedings by private parties and regulatory authorities and subject us to legal liability as well as brand and reputational harm.</w:t>
      </w:r>
    </w:p>
    <w:p>
      <w:pPr>
        <w:spacing w:after="0" w:line="98" w:lineRule="exact"/>
        <w:rPr>
          <w:sz w:val="20"/>
          <w:szCs w:val="20"/>
          <w:color w:val="auto"/>
        </w:rPr>
      </w:pPr>
    </w:p>
    <w:p>
      <w:pPr>
        <w:jc w:val="both"/>
        <w:ind w:right="240" w:firstLine="509"/>
        <w:spacing w:after="0" w:line="270" w:lineRule="auto"/>
        <w:rPr>
          <w:sz w:val="20"/>
          <w:szCs w:val="20"/>
          <w:color w:val="auto"/>
        </w:rPr>
      </w:pPr>
      <w:r>
        <w:rPr>
          <w:rFonts w:ascii="Times New Roman" w:cs="Times New Roman" w:eastAsia="Times New Roman" w:hAnsi="Times New Roman"/>
          <w:sz w:val="14"/>
          <w:szCs w:val="14"/>
          <w:color w:val="auto"/>
        </w:rPr>
        <w:t>If we enable or offer solutions that draw controversy due to their perceived or actual impact on society or if the content, analyses or recommendations that AI and ML-powered solutions assist in producing in our products and services are, or are perceived to be, deficient, insufficient, inaccurate, biased, unethical or otherwise flawed, we may experience brand or reputational harm, competitive harm or legal liability. Potential government regulation related to AI and ML use and ethics</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may also increase the burden and cost of research and development in this area, and failure to properly remediate AI and ML usage or ethics issues may cause public confidence in AI and ML to be undermined. The rapid evolution of AI and ML will require the application of resources to develop, test and maintain any potential offerings or partnerships to help ensure that AI and ML are implemented ethically in order to minimize unintended, harmful impact.</w:t>
      </w:r>
    </w:p>
    <w:p>
      <w:pPr>
        <w:spacing w:after="0" w:line="93"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In addition, the use of AI and ML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and ML also make it cheaper for attackers to create malware, phishing, code reviews, or other tools at a high volume. AI and ML may change the way our industry identifies and responds to cybersecurity threats, and businesses that are slow to adopt or fail to adopt such new technologies may face a competitive disadvantage. The use of AI also has resulted in, and may in the future result in, security breaches or other security incidents that implicate the personal data of users of AI-powered applications. If we experience security breaches or incidents in connection with our use of AI and ML, it could adversely affect our reputation and expose us to legal liability or regulatory risk.</w:t>
      </w:r>
    </w:p>
    <w:p>
      <w:pPr>
        <w:spacing w:after="0" w:line="103"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As the regulatory framework for AI, ML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ML or related technologies, our financial condition and our results of operations, including as a result of the cost to comply with such laws or regulations.</w:t>
      </w:r>
    </w:p>
    <w:p>
      <w:pPr>
        <w:spacing w:after="0" w:line="98"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 or ML-generated works and the potential for security flaws in output code.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 and ML-powered software, will depend on our implementation, maintenance, monitoring and enforcement of appropriate technical and administrative safeguards, policies and procedures governing the use of AI and ML in our business.</w:t>
      </w:r>
    </w:p>
    <w:p>
      <w:pPr>
        <w:spacing w:after="0" w:line="10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Moreover,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Our business, financial condition and results of operations may be adversely affected if content, recommendations, solutions or features or their development or deployment (including the collection, use, or other processing of data used to train or create such AI and ML solutions or features) are found to have or alleged to have infringed upon or misappropriated third-party intellectual property rights or violate applicable laws, regulations, or other actual or asserted legal obligations to which we are or may become subject.</w:t>
      </w:r>
    </w:p>
    <w:p>
      <w:pPr>
        <w:spacing w:after="0" w:line="10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4"/>
          <w:szCs w:val="14"/>
          <w:color w:val="auto"/>
        </w:rPr>
        <w:t>Further, potential government regulation related to AI and ML use and ethics may also increase the burden and cost of research and development in this area, and failure to properly remediate AI and ML usage or ethics issues may cause public confidence in AI and ML to be undermined, which could slow adoption of AI and ML in our products and services. For example, the European Union’s Artificial Intelligence Act (the “EU AI Act”) entered into force on August 1, 2024, with the first set of provisions thereunder becoming effective on February 2, 2025.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general purpose, which we currently have, or considered high risk. In addition, a patchwork of state-level AI-related</w:t>
      </w: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legislation continues to emerge in the United States. We may not be able to anticipate how to respond to these rapidly evolving frameworks, and we may need to expend resources to adjust our operations or offerings in certain jurisdictions if the legal frameworks are inconsistent across jurisdictions. Furthermore, because AI and ML technology itself is highly complex and rapidly developing, it is not possible to predict all of the legal, operational or technological risks that may arise relating to the use of AI and ML. These and other developments may require us to make significant changes to our use of AI and ML, including by limiting or restricting our use of AI and ML, which may require us to make significant changes to our policies and practices. The cost to comply with such laws or regulations could be significant and would increase our operating expenses, which could adversely affect our business, financial condition and results of operations.</w:t>
      </w:r>
    </w:p>
    <w:p>
      <w:pPr>
        <w:spacing w:after="0" w:line="10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As the utilization of AI and ML becomes more prevalent, we anticipate that it will continue to present new or unanticipated ethical, reputational, technical, operational, legal, competitive and regulatory issues, among others. We expect that our incorporation of AI and ML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and ML could adversely affect our business, financial condition and results of operations.</w:t>
      </w:r>
    </w:p>
    <w:p>
      <w:pPr>
        <w:spacing w:after="0" w:line="16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broader adoption, use and commercialization of AI and ML technologies, and the continued rapid pace of developments in the AI and ML field, are inherently uncertain. The use of AI and ML technologies in our product offerings and internal operations may not produce the desired benefits, and may result in increased reputational harm, or other adverse consequences.</w:t>
      </w:r>
    </w:p>
    <w:p>
      <w:pPr>
        <w:spacing w:after="0" w:line="133" w:lineRule="exact"/>
        <w:rPr>
          <w:sz w:val="20"/>
          <w:szCs w:val="20"/>
          <w:color w:val="auto"/>
        </w:rPr>
      </w:pPr>
    </w:p>
    <w:p>
      <w:pPr>
        <w:ind w:right="120" w:firstLine="382"/>
        <w:spacing w:after="0" w:line="239" w:lineRule="auto"/>
        <w:rPr>
          <w:sz w:val="20"/>
          <w:szCs w:val="20"/>
          <w:color w:val="auto"/>
        </w:rPr>
      </w:pPr>
      <w:r>
        <w:rPr>
          <w:rFonts w:ascii="Times New Roman" w:cs="Times New Roman" w:eastAsia="Times New Roman" w:hAnsi="Times New Roman"/>
          <w:sz w:val="14"/>
          <w:szCs w:val="14"/>
          <w:color w:val="auto"/>
        </w:rPr>
        <w:t>We are increasingly utilizing and building AI and ML capabilities into our business, as well as incorporating AI and ML into our internal operations. We expect AI and ML solutions and features to help drive future growth in our business, but there can be no assurance that we will realize the desired or anticipated benefits from AI and ML. If we are unable to keep up with the changing AI landscape or in developing services to meet our customers’ evolving AI needs, or if the AI landscape does not develop to the extent we or our customers expect, our business, operating results, financial condition and future prospects may be adversely impacted</w:t>
      </w:r>
    </w:p>
    <w:p>
      <w:pPr>
        <w:spacing w:after="0" w:line="1" w:lineRule="exact"/>
        <w:rPr>
          <w:sz w:val="20"/>
          <w:szCs w:val="20"/>
          <w:color w:val="auto"/>
        </w:rPr>
      </w:pPr>
    </w:p>
    <w:p>
      <w:pPr>
        <w:ind w:right="280" w:firstLine="382"/>
        <w:spacing w:after="0"/>
        <w:rPr>
          <w:sz w:val="20"/>
          <w:szCs w:val="20"/>
          <w:color w:val="auto"/>
        </w:rPr>
      </w:pPr>
      <w:r>
        <w:rPr>
          <w:rFonts w:ascii="Times New Roman" w:cs="Times New Roman" w:eastAsia="Times New Roman" w:hAnsi="Times New Roman"/>
          <w:sz w:val="14"/>
          <w:szCs w:val="14"/>
          <w:color w:val="auto"/>
        </w:rPr>
        <w:t>We may fail to properly implement or market our AI and ML solutions and features. Our competitors or other third parties may incorporate AI and ML into their products, offerings, and solutions more quickly or more successfully than us, which could impair our ability to compete effectively and adversely affect our results of operations. Our ability to effectively implement and market our AI and ML solutions and features will depend, in part, on our ability to attract and retain employees with AI and ML expertise, and we expect significant competition for professionals with the skills and technical knowledge that we will require.</w:t>
      </w:r>
    </w:p>
    <w:p>
      <w:pPr>
        <w:spacing w:after="0" w:line="168" w:lineRule="exact"/>
        <w:rPr>
          <w:sz w:val="20"/>
          <w:szCs w:val="20"/>
          <w:color w:val="auto"/>
        </w:rPr>
      </w:pPr>
    </w:p>
    <w:p>
      <w:pPr>
        <w:ind w:firstLine="382"/>
        <w:spacing w:after="0" w:line="242" w:lineRule="auto"/>
        <w:rPr>
          <w:sz w:val="20"/>
          <w:szCs w:val="20"/>
          <w:color w:val="auto"/>
        </w:rPr>
      </w:pPr>
      <w:r>
        <w:rPr>
          <w:rFonts w:ascii="Times New Roman" w:cs="Times New Roman" w:eastAsia="Times New Roman" w:hAnsi="Times New Roman"/>
          <w:sz w:val="14"/>
          <w:szCs w:val="14"/>
          <w:color w:val="auto"/>
        </w:rPr>
        <w:t>In addition, we may incur significant costs and experience significant delays in developing new solutions and services or supporting or enhancing our product offerings to adapt to the changing AI and ML landscape, and we may not achieve a return on investment or capitalize on the opportunities presented by demand for AI and ML solutions. Moreover, while adoption of AI and ML is likely to continue and may accelerate, the long-term trajectory of this technological trend is uncertain. Further, market acceptance, understanding and valuation of solutions and services that incorporate AI and ML technologies is uncertain, and the perceived value of AI and ML technologies used and provided by our customers could be inaccurate. If AI and ML is not broadly adopted by enterprises to the extent we expect, or if new use cases do not arise, then our opportunity may be smaller than we expect. Such risks and challenges could undermine public confidence in AI and ML, which could slow or even halt their adoption and negatively affect our business. See “—Social, ethical, security and regulatory issues relating to the use of new and evolving technologies, such as AI and ML, in our offerings or partnerships may result in reputational harm and liability.”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has been and is likely to continue to be volatile, which could cause the value of our common stock to decline.</w:t>
      </w:r>
    </w:p>
    <w:p>
      <w:pPr>
        <w:spacing w:after="0" w:line="138"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82"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results of operations meet the expectations of securities analysts or investors;</w:t>
      </w: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products or technologies, commercial relationships, acquisitions or other events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how customers perceive the benefits of our product and future product offerings and releases;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departures of key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trading volume of our shares or the size of our public float;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common stock;</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actual or future expectations of investors or securities analysts;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data breach or other security incident involving our software;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or changes in government trade policy in the United States, foreign countries or both;</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catastrophic events in our domestic and foreign markets;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“flash crashes,” “freeze flashes” or other glitches that disrupt trading on the securities exchange on which we are listed.</w:t>
      </w:r>
    </w:p>
    <w:p>
      <w:pPr>
        <w:spacing w:after="0" w:line="94"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meet our publicly announced guidance or other expectations about our business and future operating results, which would cause our stock price to decline.</w:t>
      </w:r>
    </w:p>
    <w:p>
      <w:pPr>
        <w:spacing w:after="0" w:line="127" w:lineRule="exact"/>
        <w:rPr>
          <w:sz w:val="20"/>
          <w:szCs w:val="20"/>
          <w:color w:val="auto"/>
        </w:rPr>
      </w:pPr>
    </w:p>
    <w:p>
      <w:pPr>
        <w:ind w:firstLine="382"/>
        <w:spacing w:after="0" w:line="238" w:lineRule="auto"/>
        <w:rPr>
          <w:sz w:val="20"/>
          <w:szCs w:val="20"/>
          <w:color w:val="auto"/>
        </w:rPr>
      </w:pPr>
      <w:r>
        <w:rPr>
          <w:rFonts w:ascii="Times New Roman" w:cs="Times New Roman" w:eastAsia="Times New Roman" w:hAnsi="Times New Roman"/>
          <w:sz w:val="14"/>
          <w:szCs w:val="14"/>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21"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the variations may be material. In light of the foregoing, investors are urged not to rely upon our guidance in making an investment decision regarding our common stock.</w:t>
      </w:r>
    </w:p>
    <w:p>
      <w:pPr>
        <w:spacing w:after="0" w:line="136"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equity incentive plans or otherwise will dilute all other stockholders.</w:t>
      </w:r>
    </w:p>
    <w:p>
      <w:pPr>
        <w:spacing w:after="0" w:line="138"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for the foreseeable future.</w:t>
      </w:r>
    </w:p>
    <w:p>
      <w:pPr>
        <w:spacing w:after="0" w:line="138"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8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80"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93" w:lineRule="exact"/>
        <w:rPr>
          <w:sz w:val="20"/>
          <w:szCs w:val="20"/>
          <w:color w:val="auto"/>
        </w:rPr>
      </w:pPr>
    </w:p>
    <w:p>
      <w:pPr>
        <w:jc w:val="both"/>
        <w:ind w:right="60" w:firstLine="382"/>
        <w:spacing w:after="0" w:line="264" w:lineRule="auto"/>
        <w:rPr>
          <w:sz w:val="20"/>
          <w:szCs w:val="20"/>
          <w:color w:val="auto"/>
        </w:rPr>
      </w:pPr>
      <w:r>
        <w:rPr>
          <w:rFonts w:ascii="Times New Roman" w:cs="Times New Roman" w:eastAsia="Times New Roman" w:hAnsi="Times New Roman"/>
          <w:sz w:val="14"/>
          <w:szCs w:val="14"/>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96"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3"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82"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200" w:lineRule="exact"/>
        <w:rPr>
          <w:sz w:val="20"/>
          <w:szCs w:val="20"/>
          <w:color w:val="auto"/>
        </w:rPr>
      </w:pPr>
    </w:p>
    <w:p>
      <w:pPr>
        <w:spacing w:after="0" w:line="3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breach of fiduciary duty;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Delaware General Corporation Law, our amended and restated certificate of incorporation, or our amended and restated bylaws;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94"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4"/>
          <w:szCs w:val="14"/>
          <w:color w:val="212529"/>
        </w:rPr>
        <w:t>While the Delaware courts have determined that such choice of forum provisions are facially valid, a stockholder may nevertheless seek to bring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 and our corporate charter and bylaws contain anti-takeover provisions that could delay or discourage takeover attempts that stockholders may consider favorable.</w:t>
      </w:r>
    </w:p>
    <w:p>
      <w:pPr>
        <w:spacing w:after="0" w:line="138"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93"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93"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9"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93" w:lineRule="exact"/>
        <w:rPr>
          <w:rFonts w:ascii="Times New Roman" w:cs="Times New Roman" w:eastAsia="Times New Roman" w:hAnsi="Times New Roman"/>
          <w:sz w:val="14"/>
          <w:szCs w:val="14"/>
          <w:color w:val="auto"/>
        </w:rPr>
      </w:pPr>
    </w:p>
    <w:p>
      <w:pPr>
        <w:ind w:left="520" w:right="58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39" w:lineRule="exact"/>
        <w:rPr>
          <w:rFonts w:ascii="Times New Roman" w:cs="Times New Roman" w:eastAsia="Times New Roman" w:hAnsi="Times New Roman"/>
          <w:sz w:val="14"/>
          <w:szCs w:val="14"/>
          <w:color w:val="auto"/>
        </w:rPr>
      </w:pPr>
    </w:p>
    <w:p>
      <w:pPr>
        <w:jc w:val="both"/>
        <w:ind w:left="520" w:right="26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50"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39"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acquirer from conducting a solicitation of proxies to elect the acquirer’s own slate of directors or otherwise attempting to obtain control of us.</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common stock in the public markets, or the perception that they might occur, could cause the market price of our common stock to decline.</w:t>
      </w:r>
    </w:p>
    <w:p>
      <w:pPr>
        <w:spacing w:after="0" w:line="138"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82"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repurchase shares of our common stock or that we will repurchase shares at favorable prices.</w:t>
      </w:r>
    </w:p>
    <w:p>
      <w:pPr>
        <w:spacing w:after="0" w:line="202"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We have a share repurchase program (the “Share Repurchase Program”) pursuant to which we are authorized to repurchase up to $1,000,000,000 of our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93"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98"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93" w:lineRule="exact"/>
        <w:rPr>
          <w:sz w:val="20"/>
          <w:szCs w:val="20"/>
          <w:color w:val="auto"/>
        </w:rPr>
      </w:pPr>
    </w:p>
    <w:p>
      <w:pPr>
        <w:ind w:right="620" w:firstLine="382"/>
        <w:spacing w:after="0" w:line="287" w:lineRule="auto"/>
        <w:rPr>
          <w:sz w:val="20"/>
          <w:szCs w:val="20"/>
          <w:color w:val="auto"/>
        </w:rPr>
      </w:pPr>
      <w:r>
        <w:rPr>
          <w:rFonts w:ascii="Times New Roman" w:cs="Times New Roman" w:eastAsia="Times New Roman" w:hAnsi="Times New Roman"/>
          <w:sz w:val="14"/>
          <w:szCs w:val="14"/>
          <w:color w:val="auto"/>
        </w:rPr>
        <w:t>Repurchasing our common stock will reduce the amount of cash we have available to fund working capital, repayment of debt, capital expenditures, strategic acquisitions or business opportunities, and other general corporate purposes, and we may fail to realize the anticipated long-term stockholder value of our share repurchase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3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the past, we incurred significant amounts of debt and may in the future incur additional indebtedness. We may not have sufficient cash flow from our business to make payments on such debt when due.</w:t>
      </w:r>
    </w:p>
    <w:p>
      <w:pPr>
        <w:spacing w:after="0" w:line="80" w:lineRule="exact"/>
        <w:rPr>
          <w:sz w:val="20"/>
          <w:szCs w:val="20"/>
          <w:color w:val="auto"/>
        </w:rPr>
      </w:pPr>
    </w:p>
    <w:p>
      <w:pPr>
        <w:jc w:val="both"/>
        <w:ind w:right="80" w:firstLine="382"/>
        <w:spacing w:after="0" w:line="264" w:lineRule="auto"/>
        <w:rPr>
          <w:sz w:val="20"/>
          <w:szCs w:val="20"/>
          <w:color w:val="auto"/>
        </w:rPr>
      </w:pPr>
      <w:r>
        <w:rPr>
          <w:rFonts w:ascii="Times New Roman" w:cs="Times New Roman" w:eastAsia="Times New Roman" w:hAnsi="Times New Roman"/>
          <w:sz w:val="14"/>
          <w:szCs w:val="14"/>
          <w:color w:val="auto"/>
        </w:rPr>
        <w:t>We and our subsidiaries may incur substantial additional debt in the future, subject to the restrictions contained in our future debt agreements, some of which may be secured debt.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w:t>
      </w: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3" w:name="page74"/>
    <w:bookmarkEnd w:id="73"/>
    <w:p>
      <w:pPr>
        <w:ind w:left="27"/>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27" w:right="40"/>
        <w:spacing w:after="0" w:line="258" w:lineRule="auto"/>
        <w:rPr>
          <w:sz w:val="20"/>
          <w:szCs w:val="20"/>
          <w:color w:val="auto"/>
        </w:rPr>
      </w:pPr>
      <w:r>
        <w:rPr>
          <w:rFonts w:ascii="Times New Roman" w:cs="Times New Roman" w:eastAsia="Times New Roman" w:hAnsi="Times New Roman"/>
          <w:sz w:val="14"/>
          <w:szCs w:val="14"/>
          <w:color w:val="auto"/>
        </w:rPr>
        <w:t>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spacing w:after="0" w:line="102"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4"/>
          <w:szCs w:val="14"/>
          <w:b w:val="1"/>
          <w:bCs w:val="1"/>
          <w:i w:val="1"/>
          <w:iCs w:val="1"/>
          <w:color w:val="auto"/>
        </w:rPr>
        <w:t>The capped call transactions may affect the value of our common stock.</w:t>
      </w:r>
    </w:p>
    <w:p>
      <w:pPr>
        <w:spacing w:after="0" w:line="138" w:lineRule="exact"/>
        <w:rPr>
          <w:sz w:val="20"/>
          <w:szCs w:val="20"/>
          <w:color w:val="auto"/>
        </w:rPr>
      </w:pPr>
    </w:p>
    <w:p>
      <w:pPr>
        <w:jc w:val="both"/>
        <w:ind w:left="27" w:right="40" w:firstLine="382"/>
        <w:spacing w:after="0" w:line="264" w:lineRule="auto"/>
        <w:rPr>
          <w:sz w:val="20"/>
          <w:szCs w:val="20"/>
          <w:color w:val="auto"/>
        </w:rPr>
      </w:pPr>
      <w:r>
        <w:rPr>
          <w:rFonts w:ascii="Times New Roman" w:cs="Times New Roman" w:eastAsia="Times New Roman" w:hAnsi="Times New Roman"/>
          <w:sz w:val="14"/>
          <w:szCs w:val="14"/>
          <w:color w:val="auto"/>
        </w:rPr>
        <w:t>In connection with the pricing of the 2026 Notes, all of which were redeemed in December 2024, we entered into privately negotiated capped call transactions with certain counterparties. The capped call transactions cover, subject to customary adjustments, the number of shares of our common stock initially underlying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w:t>
      </w:r>
    </w:p>
    <w:p>
      <w:pPr>
        <w:spacing w:after="0" w:line="98" w:lineRule="exact"/>
        <w:rPr>
          <w:sz w:val="20"/>
          <w:szCs w:val="20"/>
          <w:color w:val="auto"/>
        </w:rPr>
      </w:pPr>
    </w:p>
    <w:p>
      <w:pPr>
        <w:ind w:left="27" w:right="40" w:firstLine="382"/>
        <w:spacing w:after="0" w:line="261" w:lineRule="auto"/>
        <w:rPr>
          <w:sz w:val="20"/>
          <w:szCs w:val="20"/>
          <w:color w:val="auto"/>
        </w:rPr>
      </w:pPr>
      <w:r>
        <w:rPr>
          <w:rFonts w:ascii="Times New Roman" w:cs="Times New Roman" w:eastAsia="Times New Roman" w:hAnsi="Times New Roman"/>
          <w:sz w:val="14"/>
          <w:szCs w:val="14"/>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expiration of the capped call transactions (and are likely to do so on each exercise date of the capped call transactions, which are scheduled to occur during a 40 day trading day period prior to expiration of the capped call transactions).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101" w:lineRule="exact"/>
        <w:rPr>
          <w:sz w:val="20"/>
          <w:szCs w:val="20"/>
          <w:color w:val="auto"/>
        </w:rPr>
      </w:pPr>
    </w:p>
    <w:p>
      <w:pPr>
        <w:ind w:left="67"/>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41" w:lineRule="exact"/>
        <w:rPr>
          <w:sz w:val="20"/>
          <w:szCs w:val="20"/>
          <w:color w:val="auto"/>
        </w:rPr>
      </w:pPr>
    </w:p>
    <w:p>
      <w:pPr>
        <w:ind w:left="407" w:right="8100" w:hanging="375"/>
        <w:spacing w:after="0" w:line="442" w:lineRule="auto"/>
        <w:tabs>
          <w:tab w:leader="none" w:pos="402"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Recent Sales of Unregistered Equity Securities </w:t>
      </w:r>
      <w:r>
        <w:rPr>
          <w:rFonts w:ascii="Times New Roman" w:cs="Times New Roman" w:eastAsia="Times New Roman" w:hAnsi="Times New Roman"/>
          <w:sz w:val="14"/>
          <w:szCs w:val="14"/>
          <w:color w:val="auto"/>
        </w:rPr>
        <w:t>None.</w:t>
      </w:r>
    </w:p>
    <w:p>
      <w:pPr>
        <w:spacing w:after="0" w:line="1" w:lineRule="exact"/>
        <w:rPr>
          <w:rFonts w:ascii="Times New Roman" w:cs="Times New Roman" w:eastAsia="Times New Roman" w:hAnsi="Times New Roman"/>
          <w:sz w:val="14"/>
          <w:szCs w:val="14"/>
          <w:b w:val="1"/>
          <w:bCs w:val="1"/>
          <w:color w:val="auto"/>
        </w:rPr>
      </w:pPr>
    </w:p>
    <w:p>
      <w:pPr>
        <w:ind w:left="407" w:right="9960" w:hanging="375"/>
        <w:spacing w:after="0" w:line="442" w:lineRule="auto"/>
        <w:tabs>
          <w:tab w:leader="none" w:pos="399"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Use of Proceeds </w:t>
      </w:r>
      <w:r>
        <w:rPr>
          <w:rFonts w:ascii="Times New Roman" w:cs="Times New Roman" w:eastAsia="Times New Roman" w:hAnsi="Times New Roman"/>
          <w:sz w:val="14"/>
          <w:szCs w:val="14"/>
          <w:color w:val="auto"/>
        </w:rPr>
        <w:t>None.</w:t>
      </w:r>
    </w:p>
    <w:p>
      <w:pPr>
        <w:spacing w:after="0" w:line="1" w:lineRule="exact"/>
        <w:rPr>
          <w:rFonts w:ascii="Times New Roman" w:cs="Times New Roman" w:eastAsia="Times New Roman" w:hAnsi="Times New Roman"/>
          <w:sz w:val="14"/>
          <w:szCs w:val="14"/>
          <w:b w:val="1"/>
          <w:bCs w:val="1"/>
          <w:color w:val="auto"/>
        </w:rPr>
      </w:pPr>
    </w:p>
    <w:p>
      <w:pPr>
        <w:ind w:left="387" w:hanging="387"/>
        <w:spacing w:after="0"/>
        <w:tabs>
          <w:tab w:leader="none" w:pos="387"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Issuer Purchases of Equity Securities</w:t>
      </w:r>
    </w:p>
    <w:p>
      <w:pPr>
        <w:spacing w:after="0" w:line="156" w:lineRule="exact"/>
        <w:rPr>
          <w:sz w:val="20"/>
          <w:szCs w:val="20"/>
          <w:color w:val="auto"/>
        </w:rPr>
      </w:pPr>
    </w:p>
    <w:tbl>
      <w:tblPr>
        <w:tblLayout w:type="fixed"/>
        <w:tblInd w:w="27"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Dollar Value of Shares that</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Pr>
          <w:p>
            <w:pPr>
              <w:jc w:val="center"/>
              <w:ind w:right="96"/>
              <w:spacing w:after="0" w:line="115" w:lineRule="exact"/>
              <w:rPr>
                <w:sz w:val="20"/>
                <w:szCs w:val="20"/>
                <w:color w:val="auto"/>
              </w:rPr>
            </w:pPr>
            <w:r>
              <w:rPr>
                <w:rFonts w:ascii="Times New Roman" w:cs="Times New Roman" w:eastAsia="Times New Roman" w:hAnsi="Times New Roman"/>
                <w:sz w:val="11"/>
                <w:szCs w:val="11"/>
                <w:b w:val="1"/>
                <w:bCs w:val="1"/>
                <w:color w:val="auto"/>
              </w:rPr>
              <w:t>May Yet Be Purchased Under the</w:t>
            </w:r>
          </w:p>
        </w:tc>
        <w:tc>
          <w:tcPr>
            <w:tcW w:w="0" w:type="dxa"/>
            <w:vAlign w:val="bottom"/>
          </w:tcPr>
          <w:p>
            <w:pPr>
              <w:spacing w:after="0"/>
              <w:rPr>
                <w:sz w:val="1"/>
                <w:szCs w:val="1"/>
                <w:color w:val="auto"/>
              </w:rPr>
            </w:pPr>
          </w:p>
        </w:tc>
      </w:tr>
      <w:tr>
        <w:trPr>
          <w:trHeight w:val="170"/>
        </w:trPr>
        <w:tc>
          <w:tcPr>
            <w:tcW w:w="3400" w:type="dxa"/>
            <w:vAlign w:val="bottom"/>
            <w:vMerge w:val="restart"/>
          </w:tcPr>
          <w:p>
            <w:pPr>
              <w:ind w:left="154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0" w:type="dxa"/>
            <w:vAlign w:val="bottom"/>
            <w:vMerge w:val="restart"/>
          </w:tcPr>
          <w:p>
            <w:pPr>
              <w:spacing w:after="0"/>
              <w:rPr>
                <w:sz w:val="14"/>
                <w:szCs w:val="14"/>
                <w:color w:val="auto"/>
              </w:rPr>
            </w:pPr>
          </w:p>
        </w:tc>
        <w:tc>
          <w:tcPr>
            <w:tcW w:w="1940" w:type="dxa"/>
            <w:vAlign w:val="bottom"/>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 xml:space="preserve">Total Number of Shares Purchased </w:t>
            </w:r>
            <w:r>
              <w:rPr>
                <w:rFonts w:ascii="Times New Roman" w:cs="Times New Roman" w:eastAsia="Times New Roman" w:hAnsi="Times New Roman"/>
                <w:sz w:val="14"/>
                <w:szCs w:val="14"/>
                <w:b w:val="1"/>
                <w:bCs w:val="1"/>
                <w:color w:val="auto"/>
                <w:vertAlign w:val="superscript"/>
              </w:rPr>
              <w:t>(1)</w:t>
            </w:r>
          </w:p>
        </w:tc>
        <w:tc>
          <w:tcPr>
            <w:tcW w:w="100" w:type="dxa"/>
            <w:vAlign w:val="bottom"/>
            <w:vMerge w:val="restart"/>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 Number of Shares Purchased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9"/>
              </w:rPr>
              <w:t>Program</w:t>
            </w:r>
          </w:p>
        </w:tc>
        <w:tc>
          <w:tcPr>
            <w:tcW w:w="0" w:type="dxa"/>
            <w:vAlign w:val="bottom"/>
          </w:tcPr>
          <w:p>
            <w:pPr>
              <w:spacing w:after="0"/>
              <w:rPr>
                <w:sz w:val="1"/>
                <w:szCs w:val="1"/>
                <w:color w:val="auto"/>
              </w:rPr>
            </w:pPr>
          </w:p>
        </w:tc>
      </w:tr>
      <w:tr>
        <w:trPr>
          <w:trHeight w:val="127"/>
        </w:trPr>
        <w:tc>
          <w:tcPr>
            <w:tcW w:w="34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9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7"/>
                <w:szCs w:val="7"/>
                <w:b w:val="1"/>
                <w:bCs w:val="1"/>
                <w:color w:val="auto"/>
              </w:rPr>
              <w:t>(2)</w:t>
            </w:r>
          </w:p>
        </w:tc>
        <w:tc>
          <w:tcPr>
            <w:tcW w:w="80" w:type="dxa"/>
            <w:vAlign w:val="bottom"/>
            <w:tcBorders>
              <w:bottom w:val="single" w:sz="8" w:color="CCEEFF"/>
            </w:tcBorders>
          </w:tcPr>
          <w:p>
            <w:pPr>
              <w:spacing w:after="0"/>
              <w:rPr>
                <w:sz w:val="11"/>
                <w:szCs w:val="1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Part of Publicly Announced Program</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August 1 - August 31, 2025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206,075</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754,671</w:t>
            </w:r>
          </w:p>
        </w:tc>
        <w:tc>
          <w:tcPr>
            <w:tcW w:w="0" w:type="dxa"/>
            <w:vAlign w:val="bottom"/>
          </w:tcPr>
          <w:p>
            <w:pPr>
              <w:spacing w:after="0"/>
              <w:rPr>
                <w:sz w:val="1"/>
                <w:szCs w:val="1"/>
                <w:color w:val="auto"/>
              </w:rPr>
            </w:pPr>
          </w:p>
        </w:tc>
      </w:tr>
      <w:tr>
        <w:trPr>
          <w:trHeight w:val="212"/>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1 - September 30, 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322.54</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707,142</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October 1 - October 31,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328.06</w:t>
            </w:r>
          </w:p>
        </w:tc>
        <w:tc>
          <w:tcPr>
            <w:tcW w:w="8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160,102</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654,665</w:t>
            </w:r>
          </w:p>
        </w:tc>
        <w:tc>
          <w:tcPr>
            <w:tcW w:w="0" w:type="dxa"/>
            <w:vAlign w:val="bottom"/>
          </w:tcPr>
          <w:p>
            <w:pPr>
              <w:spacing w:after="0"/>
              <w:rPr>
                <w:sz w:val="1"/>
                <w:szCs w:val="1"/>
                <w:color w:val="auto"/>
              </w:rPr>
            </w:pPr>
          </w:p>
        </w:tc>
      </w:tr>
      <w:tr>
        <w:trPr>
          <w:trHeight w:val="171"/>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513,620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294.01</w:t>
            </w:r>
          </w:p>
        </w:tc>
        <w:tc>
          <w:tcPr>
            <w:tcW w:w="80" w:type="dxa"/>
            <w:vAlign w:val="bottom"/>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513,620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47" w:right="20" w:hanging="133"/>
        <w:spacing w:after="0" w:line="237" w:lineRule="auto"/>
        <w:tabs>
          <w:tab w:leader="none" w:pos="55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On June 3, 2025, the Company’s Board of Directors authorized an additional $800.0 million in repurchases under the Company’s existing share repurchase program, bringing the aggregate authorized repurchase amount to $1.0 billion. Repurchases of the Company's common stock may be made from time to time, either through open market transactions or in privately negotiated transactions. The timing of the repurchases will depend on certain factors, including but not limited to, market conditions and prices and management’s discretion. The repurchases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Company is not obligated to purchase any dollar amount or particular number of shares.</w:t>
      </w:r>
    </w:p>
    <w:p>
      <w:pPr>
        <w:spacing w:after="0" w:line="200" w:lineRule="exact"/>
        <w:rPr>
          <w:sz w:val="20"/>
          <w:szCs w:val="20"/>
          <w:color w:val="auto"/>
        </w:rPr>
      </w:pPr>
    </w:p>
    <w:p>
      <w:pPr>
        <w:spacing w:after="0" w:line="37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7"/>
          </w:cols>
          <w:pgMar w:left="273" w:top="13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09" w:lineRule="exact"/>
        <w:rPr>
          <w:sz w:val="20"/>
          <w:szCs w:val="20"/>
          <w:color w:val="auto"/>
        </w:rPr>
      </w:pPr>
    </w:p>
    <w:p>
      <w:pPr>
        <w:ind w:left="520" w:hanging="133"/>
        <w:spacing w:after="0"/>
        <w:tabs>
          <w:tab w:leader="none" w:pos="52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Average price paid includes costs associated with the repurchases, excluding the 1% excise tax as a result of the Inflation Reduction Act (“IRA”).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Rule 10b5-1 and Non-Rule 10b5-1 Trading Arrangements</w:t>
      </w:r>
    </w:p>
    <w:p>
      <w:pPr>
        <w:spacing w:after="0" w:line="127" w:lineRule="exact"/>
        <w:rPr>
          <w:sz w:val="20"/>
          <w:szCs w:val="20"/>
          <w:color w:val="auto"/>
        </w:rPr>
      </w:pPr>
    </w:p>
    <w:p>
      <w:pPr>
        <w:ind w:right="320" w:firstLine="318"/>
        <w:spacing w:after="0" w:line="271" w:lineRule="auto"/>
        <w:rPr>
          <w:sz w:val="20"/>
          <w:szCs w:val="20"/>
          <w:color w:val="auto"/>
        </w:rPr>
      </w:pPr>
      <w:r>
        <w:rPr>
          <w:rFonts w:ascii="Times New Roman" w:cs="Times New Roman" w:eastAsia="Times New Roman" w:hAnsi="Times New Roman"/>
          <w:sz w:val="14"/>
          <w:szCs w:val="14"/>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three months ended October 31, 2025, one of our executive officers and one of our board of directors engaged in the following Rule 10b5-1 trading arrangements:</w:t>
      </w:r>
    </w:p>
    <w:p>
      <w:pPr>
        <w:spacing w:after="0" w:line="125"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4"/>
          <w:szCs w:val="14"/>
          <w:color w:val="auto"/>
        </w:rPr>
        <w:t>On August 27, 2025, Cedric Pech, our President of Field Operations, terminated a previously disclosed trading plan intended to satisfy the conditions under Rule 10b5-1(c) of the Exchange Act, and which had been entered into on June 18, 2025. The terminated plan provided for the potential sale of up to 100% of the (net) shares of common stock resulting from the vesting of an aggregate of 48,196 RSUs and PSUs in amounts and prices determined in accordance with a formula set forth in the plan (net shares are net of tax withholding) over a period scheduled to end on the earlier of (i) the date that all the shares under the plan were sold and (ii) June 18, 2026, subject to early termination for certain specified events set forth in the plan. No further transactions will occur under the terminated plan.</w:t>
      </w:r>
    </w:p>
    <w:p>
      <w:pPr>
        <w:spacing w:after="0" w:line="101" w:lineRule="exact"/>
        <w:rPr>
          <w:sz w:val="20"/>
          <w:szCs w:val="20"/>
          <w:color w:val="auto"/>
        </w:rPr>
      </w:pPr>
    </w:p>
    <w:p>
      <w:pPr>
        <w:jc w:val="both"/>
        <w:ind w:right="40" w:firstLine="318"/>
        <w:spacing w:after="0" w:line="254" w:lineRule="auto"/>
        <w:rPr>
          <w:sz w:val="20"/>
          <w:szCs w:val="20"/>
          <w:color w:val="auto"/>
        </w:rPr>
      </w:pPr>
      <w:r>
        <w:rPr>
          <w:rFonts w:ascii="Times New Roman" w:cs="Times New Roman" w:eastAsia="Times New Roman" w:hAnsi="Times New Roman"/>
          <w:sz w:val="14"/>
          <w:szCs w:val="14"/>
          <w:color w:val="auto"/>
        </w:rPr>
        <w:t>On September 16, 2025, Hope Cochran, a member of our board of directors, adopted a trading plan intended to satisfy the conditions under Rule 10b5-1(c) of the Exchange Act. Ms. Cochran’s plan is for the sale of up to 4,698 shares of common stock underlying stock options and 4,000 shares of common stock, in amounts and prices determined in accordance with a formula set forth in the plan and terminates on the earlier of (i) the date that all the shares under the plan are sold and (ii) September 30, 2026, subject to early termination for certain specified events set forth in the plan.</w:t>
      </w:r>
    </w:p>
    <w:p>
      <w:pPr>
        <w:spacing w:after="0" w:line="104" w:lineRule="exact"/>
        <w:rPr>
          <w:sz w:val="20"/>
          <w:szCs w:val="20"/>
          <w:color w:val="auto"/>
        </w:rPr>
      </w:pPr>
    </w:p>
    <w:p>
      <w:pPr>
        <w:ind w:right="600" w:firstLine="382"/>
        <w:spacing w:after="0" w:line="287" w:lineRule="auto"/>
        <w:rPr>
          <w:sz w:val="20"/>
          <w:szCs w:val="20"/>
          <w:color w:val="auto"/>
        </w:rPr>
      </w:pPr>
      <w:r>
        <w:rPr>
          <w:rFonts w:ascii="Times New Roman" w:cs="Times New Roman" w:eastAsia="Times New Roman" w:hAnsi="Times New Roman"/>
          <w:sz w:val="14"/>
          <w:szCs w:val="14"/>
          <w:color w:val="auto"/>
        </w:rPr>
        <w:t>During the three months ended October 31, 2025, other than noted above, none of our executive officers or directors terminated or modified a 10b5-1 equity trading plan, or adopted, terminated, or modified any “non-Rule 10b5-1 equity trading arrangement.</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Chief Accounting Officer Transition</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December 1, 2025, Thomas Bull, the Company’s Chief Accounting Officer, announced his resignation from the Company, effective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 Herewith</w:t>
            </w:r>
          </w:p>
        </w:tc>
        <w:tc>
          <w:tcPr>
            <w:tcW w:w="0" w:type="dxa"/>
            <w:vAlign w:val="bottom"/>
          </w:tcPr>
          <w:p>
            <w:pPr>
              <w:spacing w:after="0"/>
              <w:rPr>
                <w:sz w:val="1"/>
                <w:szCs w:val="1"/>
                <w:color w:val="auto"/>
              </w:rPr>
            </w:pPr>
          </w:p>
        </w:tc>
      </w:tr>
      <w:tr>
        <w:trPr>
          <w:trHeight w:val="83"/>
        </w:trPr>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80" w:type="dxa"/>
            <w:vAlign w:val="bottom"/>
          </w:tcPr>
          <w:p>
            <w:pPr>
              <w:ind w:left="300"/>
              <w:spacing w:after="0" w:line="99"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20" w:type="dxa"/>
            <w:vAlign w:val="bottom"/>
            <w:gridSpan w:val="18"/>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540" w:type="dxa"/>
            <w:vAlign w:val="bottom"/>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Form</w:t>
            </w:r>
          </w:p>
        </w:tc>
        <w:tc>
          <w:tcPr>
            <w:tcW w:w="1180" w:type="dxa"/>
            <w:vAlign w:val="bottom"/>
          </w:tcPr>
          <w:p>
            <w:pPr>
              <w:ind w:left="260"/>
              <w:spacing w:after="0" w:line="99" w:lineRule="exact"/>
              <w:rPr>
                <w:sz w:val="20"/>
                <w:szCs w:val="20"/>
                <w:color w:val="auto"/>
              </w:rPr>
            </w:pPr>
            <w:r>
              <w:rPr>
                <w:rFonts w:ascii="Times New Roman" w:cs="Times New Roman" w:eastAsia="Times New Roman" w:hAnsi="Times New Roman"/>
                <w:sz w:val="11"/>
                <w:szCs w:val="11"/>
                <w:b w:val="1"/>
                <w:bCs w:val="1"/>
                <w:color w:val="auto"/>
              </w:rPr>
              <w:t>File No.</w:t>
            </w:r>
          </w:p>
        </w:tc>
        <w:tc>
          <w:tcPr>
            <w:tcW w:w="980" w:type="dxa"/>
            <w:vAlign w:val="bottom"/>
          </w:tcPr>
          <w:p>
            <w:pPr>
              <w:ind w:left="300"/>
              <w:spacing w:after="0" w:line="99"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300" w:type="dxa"/>
            <w:vAlign w:val="bottom"/>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Filing Date</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gridSpan w:val="18"/>
            <w:vMerge w:val="continue"/>
          </w:tcPr>
          <w:p>
            <w:pPr>
              <w:spacing w:after="0"/>
              <w:rPr>
                <w:sz w:val="6"/>
                <w:szCs w:val="6"/>
                <w:color w:val="auto"/>
              </w:rPr>
            </w:pPr>
          </w:p>
        </w:tc>
        <w:tc>
          <w:tcPr>
            <w:tcW w:w="5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98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gridSpan w:val="18"/>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Amended and Restated Certificate of Incorporation of Registrant</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10/25/2017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Certificate of Retirement</w:t>
              </w:r>
            </w:hyperlink>
          </w:p>
        </w:tc>
        <w:tc>
          <w:tcPr>
            <w:tcW w:w="1560" w:type="dxa"/>
            <w:vAlign w:val="bottom"/>
            <w:gridSpan w:val="12"/>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6/16/2020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8"/>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Certificate of Amendment of the Amended and Restated Certificate of Incorporation of</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3.1.2</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8/27/2025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the Registrant</w:t>
              </w:r>
            </w:hyperlink>
          </w:p>
        </w:tc>
        <w:tc>
          <w:tcPr>
            <w:tcW w:w="4140" w:type="dxa"/>
            <w:vAlign w:val="bottom"/>
            <w:tcBorders>
              <w:top w:val="single" w:sz="8" w:color="0000FF"/>
            </w:tcBorders>
            <w:gridSpan w:val="13"/>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Bylaws of Registrant</w:t>
              </w:r>
            </w:hyperlink>
          </w:p>
        </w:tc>
        <w:tc>
          <w:tcPr>
            <w:tcW w:w="2680" w:type="dxa"/>
            <w:vAlign w:val="bottom"/>
            <w:gridSpan w:val="13"/>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001-38240</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11/20/2024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Advisory Services Agreement dated October 29, 2025, by and between the Company and</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40" w:type="dxa"/>
            <w:vAlign w:val="bottom"/>
            <w:tcBorders>
              <w:top w:val="single" w:sz="8" w:color="0000FF"/>
            </w:tcBorders>
            <w:gridSpan w:val="15"/>
          </w:tcPr>
          <w:p>
            <w:pPr>
              <w:spacing w:after="0" w:line="118" w:lineRule="exact"/>
              <w:rPr>
                <w:sz w:val="20"/>
                <w:szCs w:val="20"/>
                <w:color w:val="auto"/>
              </w:rPr>
            </w:pPr>
            <w:r>
              <w:rPr>
                <w:rFonts w:ascii="Times New Roman" w:cs="Times New Roman" w:eastAsia="Times New Roman" w:hAnsi="Times New Roman"/>
                <w:sz w:val="13"/>
                <w:szCs w:val="13"/>
                <w:color w:val="0000FF"/>
              </w:rPr>
              <w:t>Dev Ittycheria</w:t>
            </w: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Offer Letter dated October 29, 2025, by and between the Company and Chirantan J. Desai</w:t>
            </w:r>
          </w:p>
        </w:tc>
        <w:tc>
          <w:tcPr>
            <w:tcW w:w="1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00" w:type="dxa"/>
            <w:vAlign w:val="bottom"/>
            <w:tcBorders>
              <w:top w:val="single" w:sz="8" w:color="0000FF"/>
            </w:tcBorders>
            <w:gridSpan w:val="13"/>
          </w:tcPr>
          <w:p>
            <w:pPr>
              <w:spacing w:after="0" w:line="118"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320" w:type="dxa"/>
            <w:vAlign w:val="bottom"/>
            <w:gridSpan w:val="5"/>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gridSpan w:val="6"/>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Borders>
              <w:top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360" w:type="dxa"/>
            <w:vAlign w:val="bottom"/>
            <w:gridSpan w:val="7"/>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40" w:type="dxa"/>
            <w:vAlign w:val="bottom"/>
            <w:gridSpan w:val="6"/>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00" w:type="dxa"/>
            <w:vAlign w:val="bottom"/>
            <w:tcBorders>
              <w:top w:val="single" w:sz="8" w:color="0000FF"/>
              <w:bottom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80" w:type="dxa"/>
            <w:vAlign w:val="bottom"/>
            <w:tcBorders>
              <w:top w:val="single" w:sz="8" w:color="0000FF"/>
            </w:tcBorders>
            <w:gridSpan w:val="2"/>
          </w:tcPr>
          <w:p>
            <w:pPr>
              <w:spacing w:after="0"/>
              <w:rPr>
                <w:sz w:val="10"/>
                <w:szCs w:val="10"/>
                <w:color w:val="auto"/>
              </w:rPr>
            </w:pPr>
          </w:p>
        </w:tc>
        <w:tc>
          <w:tcPr>
            <w:tcW w:w="540" w:type="dxa"/>
            <w:vAlign w:val="bottom"/>
            <w:gridSpan w:val="8"/>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tcBorders>
              <w:top w:val="single" w:sz="8" w:color="0000FF"/>
              <w:bottom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60" w:type="dxa"/>
            <w:vAlign w:val="bottom"/>
            <w:tcBorders>
              <w:top w:val="single" w:sz="8" w:color="0000FF"/>
            </w:tcBorders>
            <w:gridSpan w:val="2"/>
          </w:tcPr>
          <w:p>
            <w:pPr>
              <w:spacing w:after="0"/>
              <w:rPr>
                <w:sz w:val="10"/>
                <w:szCs w:val="10"/>
                <w:color w:val="auto"/>
              </w:rPr>
            </w:pPr>
          </w:p>
        </w:tc>
        <w:tc>
          <w:tcPr>
            <w:tcW w:w="580" w:type="dxa"/>
            <w:vAlign w:val="bottom"/>
            <w:gridSpan w:val="9"/>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21"/>
                <w:szCs w:val="21"/>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9"/>
                <w:szCs w:val="19"/>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9"/>
                <w:szCs w:val="19"/>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9"/>
                <w:szCs w:val="19"/>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9"/>
                <w:szCs w:val="19"/>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9"/>
                <w:szCs w:val="19"/>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00" w:right="7180" w:hanging="1081"/>
        <w:spacing w:after="0" w:line="239" w:lineRule="auto"/>
        <w:tabs>
          <w:tab w:leader="none" w:pos="1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04" w:lineRule="exact"/>
        <w:rPr>
          <w:sz w:val="20"/>
          <w:szCs w:val="20"/>
          <w:color w:val="auto"/>
        </w:rPr>
      </w:pPr>
    </w:p>
    <w:p>
      <w:pPr>
        <w:ind w:left="1100" w:hanging="642"/>
        <w:spacing w:after="0"/>
        <w:tabs>
          <w:tab w:leader="none" w:pos="11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3" w:lineRule="exact"/>
        <w:rPr>
          <w:sz w:val="20"/>
          <w:szCs w:val="20"/>
          <w:color w:val="auto"/>
        </w:rPr>
      </w:pPr>
    </w:p>
    <w:p>
      <w:pPr>
        <w:ind w:left="1100" w:right="40" w:hanging="642"/>
        <w:spacing w:after="0" w:line="237" w:lineRule="auto"/>
        <w:tabs>
          <w:tab w:leader="none" w:pos="11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1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24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49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MONGODB, INC.</w:t>
            </w:r>
          </w:p>
        </w:tc>
      </w:tr>
      <w:tr>
        <w:trPr>
          <w:trHeight w:val="71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Date: December 2, 2025</w:t>
            </w:r>
          </w:p>
        </w:tc>
        <w:tc>
          <w:tcPr>
            <w:tcW w:w="17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By:</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 Chirantan J. Desai</w:t>
            </w:r>
          </w:p>
        </w:tc>
      </w:tr>
      <w:tr>
        <w:trPr>
          <w:trHeight w:val="203"/>
        </w:trPr>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Chirantan J. Desai</w:t>
            </w:r>
          </w:p>
        </w:tc>
      </w:tr>
      <w:tr>
        <w:trPr>
          <w:trHeight w:val="212"/>
        </w:trPr>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2"/>
        </w:trPr>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r>
      <w:tr>
        <w:trPr>
          <w:trHeight w:val="807"/>
        </w:trPr>
        <w:tc>
          <w:tcPr>
            <w:tcW w:w="2220" w:type="dxa"/>
            <w:vAlign w:val="bottom"/>
          </w:tcPr>
          <w:p>
            <w:pPr>
              <w:spacing w:after="0"/>
              <w:rPr>
                <w:sz w:val="24"/>
                <w:szCs w:val="24"/>
                <w:color w:val="auto"/>
              </w:rPr>
            </w:pPr>
          </w:p>
        </w:tc>
        <w:tc>
          <w:tcPr>
            <w:tcW w:w="17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By:</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 Michael J. Berry</w:t>
            </w:r>
          </w:p>
        </w:tc>
      </w:tr>
      <w:tr>
        <w:trPr>
          <w:trHeight w:val="203"/>
        </w:trPr>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Michael J. Berry</w:t>
            </w:r>
          </w:p>
        </w:tc>
      </w:tr>
      <w:tr>
        <w:trPr>
          <w:trHeight w:val="212"/>
        </w:trPr>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12"/>
        </w:trPr>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680"/>
          </w:cols>
          <w:pgMar w:left="300" w:top="133" w:right="919" w:bottom="1440"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3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Certification by the Chief Executive Officer pursuant to</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Chirantan J. Desai, certify that:</w:t>
      </w:r>
    </w:p>
    <w:p>
      <w:pPr>
        <w:spacing w:after="0" w:line="200"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MongoDB, Inc. (the “registrant”);</w:t>
      </w:r>
    </w:p>
    <w:p>
      <w:pPr>
        <w:spacing w:after="0" w:line="284"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040"/>
        <w:spacing w:after="0"/>
        <w:tabs>
          <w:tab w:leader="none" w:pos="5780" w:val="left"/>
          <w:tab w:leader="none" w:pos="6740" w:val="left"/>
        </w:tabs>
        <w:rPr>
          <w:sz w:val="20"/>
          <w:szCs w:val="20"/>
          <w:color w:val="auto"/>
        </w:rPr>
      </w:pPr>
      <w:r>
        <w:rPr>
          <w:rFonts w:ascii="Times New Roman" w:cs="Times New Roman" w:eastAsia="Times New Roman" w:hAnsi="Times New Roman"/>
          <w:sz w:val="14"/>
          <w:szCs w:val="14"/>
          <w:color w:val="auto"/>
        </w:rPr>
        <w:t>Date: December 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Chirantan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14605</wp:posOffset>
            </wp:positionV>
            <wp:extent cx="195389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1953895" cy="6985"/>
                    </a:xfrm>
                    <a:prstGeom prst="rect">
                      <a:avLst/>
                    </a:prstGeom>
                    <a:noFill/>
                  </pic:spPr>
                </pic:pic>
              </a:graphicData>
            </a:graphic>
          </wp:anchor>
        </w:drawing>
      </w:r>
    </w:p>
    <w:p>
      <w:pPr>
        <w:spacing w:after="0" w:line="2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Chirantan J. Desai</w:t>
      </w:r>
    </w:p>
    <w:p>
      <w:pPr>
        <w:spacing w:after="0" w:line="51"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President and Chief Executive Officer</w:t>
      </w:r>
    </w:p>
    <w:p>
      <w:pPr>
        <w:spacing w:after="0" w:line="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23"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Certification by the Chief Financial Officer pursuant to</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Berry, certify that:</w:t>
      </w:r>
    </w:p>
    <w:p>
      <w:pPr>
        <w:spacing w:after="0" w:line="200"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MongoDB, Inc. (the “registrant”);</w:t>
      </w:r>
    </w:p>
    <w:p>
      <w:pPr>
        <w:spacing w:after="0" w:line="284"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040"/>
        <w:spacing w:after="0"/>
        <w:tabs>
          <w:tab w:leader="none" w:pos="5140" w:val="left"/>
          <w:tab w:leader="none" w:pos="6080" w:val="left"/>
        </w:tabs>
        <w:rPr>
          <w:sz w:val="20"/>
          <w:szCs w:val="20"/>
          <w:color w:val="auto"/>
        </w:rPr>
      </w:pPr>
      <w:r>
        <w:rPr>
          <w:rFonts w:ascii="Times New Roman" w:cs="Times New Roman" w:eastAsia="Times New Roman" w:hAnsi="Times New Roman"/>
          <w:sz w:val="14"/>
          <w:szCs w:val="14"/>
          <w:color w:val="auto"/>
        </w:rPr>
        <w:t>Date: December 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Michael J.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236474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29"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Michael J. Berry</w:t>
      </w:r>
    </w:p>
    <w:p>
      <w:pPr>
        <w:spacing w:after="0" w:line="51"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23" w:right="3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I, Chirantan J. Desai, certify, pursuant to 18 U.S.C. Section 1350, as adopted pursuant to Section 906 of the Sarbanes-Oxley Act of 2002, that the Quarterly Report on Form 10-Q of MongoDB, Inc. for the period ended October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86" w:lineRule="exact"/>
        <w:rPr>
          <w:sz w:val="20"/>
          <w:szCs w:val="20"/>
          <w:color w:val="auto"/>
        </w:rPr>
      </w:pPr>
    </w:p>
    <w:p>
      <w:pPr>
        <w:ind w:left="2060"/>
        <w:spacing w:after="0"/>
        <w:tabs>
          <w:tab w:leader="none" w:pos="5760" w:val="left"/>
          <w:tab w:leader="none" w:pos="6720" w:val="left"/>
        </w:tabs>
        <w:rPr>
          <w:sz w:val="20"/>
          <w:szCs w:val="20"/>
          <w:color w:val="auto"/>
        </w:rPr>
      </w:pPr>
      <w:r>
        <w:rPr>
          <w:rFonts w:ascii="Times New Roman" w:cs="Times New Roman" w:eastAsia="Times New Roman" w:hAnsi="Times New Roman"/>
          <w:sz w:val="14"/>
          <w:szCs w:val="14"/>
          <w:color w:val="auto"/>
        </w:rPr>
        <w:t>Date: December 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Chirantan J.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538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1953895" cy="6985"/>
                    </a:xfrm>
                    <a:prstGeom prst="rect">
                      <a:avLst/>
                    </a:prstGeom>
                    <a:noFill/>
                  </pic:spPr>
                </pic:pic>
              </a:graphicData>
            </a:graphic>
          </wp:anchor>
        </w:drawing>
      </w:r>
    </w:p>
    <w:p>
      <w:pPr>
        <w:spacing w:after="0" w:line="29" w:lineRule="exact"/>
        <w:rPr>
          <w:sz w:val="20"/>
          <w:szCs w:val="20"/>
          <w:color w:val="auto"/>
        </w:rPr>
      </w:pPr>
    </w:p>
    <w:p>
      <w:pPr>
        <w:ind w:left="618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Chirantan J. Desai</w:t>
      </w:r>
    </w:p>
    <w:p>
      <w:pPr>
        <w:spacing w:after="0" w:line="51" w:lineRule="exact"/>
        <w:rPr>
          <w:sz w:val="20"/>
          <w:szCs w:val="20"/>
          <w:color w:val="auto"/>
        </w:rPr>
      </w:pPr>
    </w:p>
    <w:p>
      <w:pPr>
        <w:ind w:left="618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President and Chief Executive Officer</w:t>
      </w:r>
    </w:p>
    <w:p>
      <w:pPr>
        <w:spacing w:after="0" w:line="5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80"/>
          </w:cols>
          <w:pgMar w:left="300" w:top="123"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 Michael J. Berry, certify, pursuant to 18 U.S.C. Section 1350, as adopted pursuant to Section 906 of the Sarbanes-Oxley Act of 2002, that the Quarterly Report on Form 10-Q of MongoDB, Inc. for the period ended October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86" w:lineRule="exact"/>
        <w:rPr>
          <w:sz w:val="20"/>
          <w:szCs w:val="20"/>
          <w:color w:val="auto"/>
        </w:rPr>
      </w:pPr>
    </w:p>
    <w:p>
      <w:pPr>
        <w:ind w:left="2040"/>
        <w:spacing w:after="0"/>
        <w:tabs>
          <w:tab w:leader="none" w:pos="5140" w:val="left"/>
          <w:tab w:leader="none" w:pos="6080" w:val="left"/>
        </w:tabs>
        <w:rPr>
          <w:sz w:val="20"/>
          <w:szCs w:val="20"/>
          <w:color w:val="auto"/>
        </w:rPr>
      </w:pPr>
      <w:r>
        <w:rPr>
          <w:rFonts w:ascii="Times New Roman" w:cs="Times New Roman" w:eastAsia="Times New Roman" w:hAnsi="Times New Roman"/>
          <w:sz w:val="14"/>
          <w:szCs w:val="14"/>
          <w:color w:val="auto"/>
        </w:rPr>
        <w:t>Date: December 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Michael J.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236474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29"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color w:val="auto"/>
        </w:rPr>
        <w:t>Michael J. Berry</w:t>
      </w:r>
    </w:p>
    <w:p>
      <w:pPr>
        <w:spacing w:after="0" w:line="51" w:lineRule="exact"/>
        <w:rPr>
          <w:sz w:val="20"/>
          <w:szCs w:val="20"/>
          <w:color w:val="auto"/>
        </w:rPr>
      </w:pPr>
    </w:p>
    <w:p>
      <w:pPr>
        <w:ind w:left="556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lvl w:ilvl="1">
      <w:lvlJc w:val="left"/>
      <w:lvlText w:val="(%2)"/>
      <w:numFmt w:val="lowerLetter"/>
      <w:start w:val="1"/>
    </w:lvl>
  </w:abstractNum>
  <w:abstractNum w:abstractNumId="18">
    <w:nsid w:val="2443A858"/>
    <w:multiLevelType w:val="hybridMultilevel"/>
    <w:lvl w:ilvl="0">
      <w:lvlJc w:val="left"/>
      <w:lvlText w:val="(%1)"/>
      <w:numFmt w:val="lowerLetter"/>
      <w:start w:val="3"/>
    </w:lvl>
    <w:lvl w:ilvl="1">
      <w:lvlJc w:val="left"/>
      <w:lvlText w:val="%2"/>
      <w:numFmt w:val="lowerLetter"/>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2"/>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40" Type="http://schemas.openxmlformats.org/officeDocument/2006/relationships/hyperlink" Target="https://www.sec.gov/Archives/edgar/data/1441816/000110465917063753/a17-24439_1ex3d1.htm" TargetMode="External"/><Relationship Id="rId141" Type="http://schemas.openxmlformats.org/officeDocument/2006/relationships/hyperlink" Target="https://www.sec.gov/Archives/edgar/data/1441816/000144181620000114/mdb-certificateofretir.htm" TargetMode="External"/><Relationship Id="rId142" Type="http://schemas.openxmlformats.org/officeDocument/2006/relationships/hyperlink" Target="https://www.sec.gov/Archives/edgar/data/1441816/000144181625000181/mdb-73125xxex312certificat.htm" TargetMode="External"/><Relationship Id="rId143" Type="http://schemas.openxmlformats.org/officeDocument/2006/relationships/hyperlink" Target="https://www.sec.gov/Archives/edgar/data/1441816/000144181624000247/amendedandrestatedbylaws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2025-12-02T15:26:07Z</dcterms:created>
  <dcterms:modified xsi:type="dcterms:W3CDTF">2025-12-02T15:26:07Z</dcterms:modified>
</cp:coreProperties>
</file>