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 IN STATEMENTS FILED PURSUANT TO RULES 13d-1 (b), (c) AND</w:t>
      </w:r>
    </w:p>
    <w:p>
      <w:pPr>
        <w:spacing w:after="0" w:line="23" w:lineRule="exact"/>
        <w:rPr>
          <w:sz w:val="24"/>
          <w:szCs w:val="24"/>
          <w:color w:val="auto"/>
        </w:rPr>
      </w:pPr>
    </w:p>
    <w:p>
      <w:pPr>
        <w:ind w:left="4540" w:right="2920" w:hanging="1512"/>
        <w:spacing w:after="0" w:line="487" w:lineRule="auto"/>
        <w:tabs>
          <w:tab w:leader="none" w:pos="3283"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AMENDMENTS THERETO FILED PURSUANT TO 13d-2 (b) (Corrective Amendment No. 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Class A Common Stock</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60937P106</w:t>
      </w:r>
    </w:p>
    <w:p>
      <w:pPr>
        <w:spacing w:after="0" w:line="23"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11 Pages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Exhibit Index Contained on Page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2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7435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43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58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Union Square Ventures 2008, L.P. (“USV 2008”)</w:t>
      </w:r>
    </w:p>
    <w:p>
      <w:pPr>
        <w:spacing w:after="0" w:line="131" w:lineRule="exact"/>
        <w:rPr>
          <w:sz w:val="20"/>
          <w:szCs w:val="20"/>
          <w:color w:val="auto"/>
        </w:rPr>
      </w:pPr>
    </w:p>
    <w:p>
      <w:pPr>
        <w:ind w:left="660" w:hanging="58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1" w:lineRule="exact"/>
        <w:rPr>
          <w:sz w:val="20"/>
          <w:szCs w:val="20"/>
          <w:color w:val="auto"/>
        </w:rPr>
      </w:pPr>
    </w:p>
    <w:p>
      <w:pPr>
        <w:ind w:left="660" w:hanging="58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60" w:right="7100" w:hanging="58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5</w:t>
            </w:r>
          </w:p>
        </w:tc>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3,952,405 shares, except that (i) Union Square GP 2008, L.L.C. (“USV 2008 GP”), the general partner of USV 2008,</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may be deemed to have sole power to vote these shares, and (ii) each of Brad Burnham (“Burnham”), Albert Wenger</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3"/>
              </w:rPr>
              <w:t>(“Wenger”) and Frederick R. Wilson (“Wilson”) is a manager of USV 2008 GP and may be deemed to have shared</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power to vote these shares.</w:t>
            </w:r>
          </w:p>
        </w:tc>
      </w:tr>
      <w:tr>
        <w:trPr>
          <w:trHeight w:val="230"/>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540" w:type="dxa"/>
            <w:vAlign w:val="bottom"/>
          </w:tcPr>
          <w:p>
            <w:pPr>
              <w:spacing w:after="0"/>
              <w:rPr>
                <w:sz w:val="20"/>
                <w:szCs w:val="20"/>
                <w:color w:val="auto"/>
              </w:rPr>
            </w:pPr>
          </w:p>
        </w:tc>
      </w:tr>
      <w:tr>
        <w:trPr>
          <w:trHeight w:val="54"/>
        </w:trPr>
        <w:tc>
          <w:tcPr>
            <w:tcW w:w="232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6</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5.</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7</w:t>
            </w:r>
          </w:p>
        </w:tc>
        <w:tc>
          <w:tcPr>
            <w:tcW w:w="854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41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0"/>
              </w:rPr>
              <w:t>3,952,405 shares, except that (i) USV 2008 GP, the general partner of USV 2008, may be deemed to have sole power</w:t>
            </w:r>
          </w:p>
        </w:tc>
      </w:tr>
      <w:tr>
        <w:trPr>
          <w:trHeight w:val="216"/>
        </w:trPr>
        <w:tc>
          <w:tcPr>
            <w:tcW w:w="2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to dispose of these shares, and (ii) each of Burnham, Wenger and Wilson is a manager of USV 2008 GP and may be</w:t>
            </w:r>
          </w:p>
        </w:tc>
      </w:tr>
      <w:tr>
        <w:trPr>
          <w:trHeight w:val="230"/>
        </w:trPr>
        <w:tc>
          <w:tcPr>
            <w:tcW w:w="23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deemed to have shared power to dispose of these shares.</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64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7.</w:t>
            </w:r>
          </w:p>
        </w:tc>
      </w:tr>
      <w:tr>
        <w:trPr>
          <w:trHeight w:val="270"/>
        </w:trPr>
        <w:tc>
          <w:tcPr>
            <w:tcW w:w="232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bl>
    <w:p>
      <w:pPr>
        <w:spacing w:after="0" w:line="40" w:lineRule="exact"/>
        <w:rPr>
          <w:sz w:val="20"/>
          <w:szCs w:val="20"/>
          <w:color w:val="auto"/>
        </w:rPr>
      </w:pPr>
    </w:p>
    <w:p>
      <w:pPr>
        <w:ind w:left="660" w:hanging="58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5"/>
          <w:szCs w:val="15"/>
          <w:color w:val="auto"/>
        </w:rPr>
        <w:t>3,952,405 shares.</w:t>
      </w:r>
    </w:p>
    <w:p>
      <w:pPr>
        <w:spacing w:after="0" w:line="151" w:lineRule="exact"/>
        <w:rPr>
          <w:sz w:val="20"/>
          <w:szCs w:val="20"/>
          <w:color w:val="auto"/>
        </w:rPr>
      </w:pPr>
    </w:p>
    <w:p>
      <w:pPr>
        <w:ind w:left="660" w:right="6220" w:hanging="584"/>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 w:lineRule="exact"/>
        <w:rPr>
          <w:sz w:val="20"/>
          <w:szCs w:val="20"/>
          <w:color w:val="auto"/>
        </w:rPr>
      </w:pPr>
    </w:p>
    <w:p>
      <w:pPr>
        <w:ind w:left="10660"/>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29.8%</w:t>
      </w:r>
      <w:r>
        <w:rPr>
          <w:rFonts w:ascii="Arial" w:cs="Arial" w:eastAsia="Arial" w:hAnsi="Arial"/>
          <w:sz w:val="26"/>
          <w:szCs w:val="26"/>
          <w:color w:val="auto"/>
          <w:vertAlign w:val="superscript"/>
        </w:rPr>
        <w:t>1</w:t>
      </w:r>
    </w:p>
    <w:p>
      <w:pPr>
        <w:spacing w:after="0" w:line="163" w:lineRule="exact"/>
        <w:rPr>
          <w:sz w:val="20"/>
          <w:szCs w:val="20"/>
          <w:color w:val="auto"/>
        </w:rPr>
      </w:pPr>
    </w:p>
    <w:p>
      <w:pPr>
        <w:ind w:left="660" w:right="60"/>
        <w:spacing w:after="0" w:line="231"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Based on the quotient obtained by dividing (a) the number of shares of Class A common stock beneficially owned by the Reporting Person as set forth in Row 9 by (b) the sum of 9,326,098 shares of Class A common stock outstanding as of December 11, 2017, as reported by the issuer in its Quarterly Report on Form 10-Q for the quarterly period ended October 31, 2017 filed with the Securities and Exchange Commission on December 15, 2017, and 3,952,405 shares of Class A common stock beneficially owned by the Reporting Person, which were issued upon conversion of shares of Class B common stock subsequent to December 11, 2017.</w:t>
      </w:r>
    </w:p>
    <w:p>
      <w:pPr>
        <w:spacing w:after="0" w:line="32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06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3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7435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43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58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Union Square GP 2008, L.L.C.</w:t>
      </w:r>
    </w:p>
    <w:p>
      <w:pPr>
        <w:spacing w:after="0" w:line="131" w:lineRule="exact"/>
        <w:rPr>
          <w:sz w:val="20"/>
          <w:szCs w:val="20"/>
          <w:color w:val="auto"/>
        </w:rPr>
      </w:pPr>
    </w:p>
    <w:p>
      <w:pPr>
        <w:ind w:left="660" w:hanging="58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1" w:lineRule="exact"/>
        <w:rPr>
          <w:sz w:val="20"/>
          <w:szCs w:val="20"/>
          <w:color w:val="auto"/>
        </w:rPr>
      </w:pPr>
    </w:p>
    <w:p>
      <w:pPr>
        <w:ind w:left="660" w:hanging="58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60" w:right="7100" w:hanging="58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5</w:t>
            </w:r>
          </w:p>
        </w:tc>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3,952,405 shares, which are directly owned by USV 2008. USV 2008 GP is the general partner of USV 2008 and</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may be deemed to have sole power to vote these shares, and each of Burnham, Wenger and Wilson is a manager of</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USV 2008 GP and may be deemed to have shared power to vote these shares.</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540" w:type="dxa"/>
            <w:vAlign w:val="bottom"/>
          </w:tcPr>
          <w:p>
            <w:pPr>
              <w:spacing w:after="0"/>
              <w:rPr>
                <w:sz w:val="20"/>
                <w:szCs w:val="20"/>
                <w:color w:val="auto"/>
              </w:rPr>
            </w:pPr>
          </w:p>
        </w:tc>
      </w:tr>
      <w:tr>
        <w:trPr>
          <w:trHeight w:val="54"/>
        </w:trPr>
        <w:tc>
          <w:tcPr>
            <w:tcW w:w="232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6</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5.</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7</w:t>
            </w:r>
          </w:p>
        </w:tc>
        <w:tc>
          <w:tcPr>
            <w:tcW w:w="854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41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3,952,405 shares, which are directly owned by USV 2008. USV 2008 GP is the general partner of USV 2008 and</w:t>
            </w:r>
          </w:p>
        </w:tc>
      </w:tr>
      <w:tr>
        <w:trPr>
          <w:trHeight w:val="216"/>
        </w:trPr>
        <w:tc>
          <w:tcPr>
            <w:tcW w:w="2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6"/>
              </w:rPr>
              <w:t>may be deemed to have sole power to dispose of these shares, and each of Burnham, Wenger and Wilson is a</w:t>
            </w:r>
          </w:p>
        </w:tc>
      </w:tr>
      <w:tr>
        <w:trPr>
          <w:trHeight w:val="230"/>
        </w:trPr>
        <w:tc>
          <w:tcPr>
            <w:tcW w:w="23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manager of USV 2008 GP and may be deemed to have shared power to dispose of these shares.</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64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7.</w:t>
            </w:r>
          </w:p>
        </w:tc>
      </w:tr>
      <w:tr>
        <w:trPr>
          <w:trHeight w:val="270"/>
        </w:trPr>
        <w:tc>
          <w:tcPr>
            <w:tcW w:w="232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bl>
    <w:p>
      <w:pPr>
        <w:spacing w:after="0" w:line="40" w:lineRule="exact"/>
        <w:rPr>
          <w:sz w:val="20"/>
          <w:szCs w:val="20"/>
          <w:color w:val="auto"/>
        </w:rPr>
      </w:pPr>
    </w:p>
    <w:p>
      <w:pPr>
        <w:ind w:left="660" w:hanging="58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5"/>
          <w:szCs w:val="15"/>
          <w:color w:val="auto"/>
        </w:rPr>
        <w:t>3,952,405 shares.</w:t>
      </w:r>
    </w:p>
    <w:p>
      <w:pPr>
        <w:spacing w:after="0" w:line="151" w:lineRule="exact"/>
        <w:rPr>
          <w:sz w:val="20"/>
          <w:szCs w:val="20"/>
          <w:color w:val="auto"/>
        </w:rPr>
      </w:pPr>
    </w:p>
    <w:p>
      <w:pPr>
        <w:ind w:left="660" w:right="6220" w:hanging="584"/>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 w:lineRule="exact"/>
        <w:rPr>
          <w:sz w:val="20"/>
          <w:szCs w:val="20"/>
          <w:color w:val="auto"/>
        </w:rPr>
      </w:pPr>
    </w:p>
    <w:p>
      <w:pPr>
        <w:ind w:left="10660"/>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29.8%</w:t>
      </w:r>
      <w:r>
        <w:rPr>
          <w:rFonts w:ascii="Arial" w:cs="Arial" w:eastAsia="Arial" w:hAnsi="Arial"/>
          <w:sz w:val="26"/>
          <w:szCs w:val="26"/>
          <w:color w:val="auto"/>
          <w:vertAlign w:val="superscript"/>
        </w:rPr>
        <w:t>1</w:t>
      </w:r>
    </w:p>
    <w:p>
      <w:pPr>
        <w:spacing w:after="0" w:line="163" w:lineRule="exact"/>
        <w:rPr>
          <w:sz w:val="20"/>
          <w:szCs w:val="20"/>
          <w:color w:val="auto"/>
        </w:rPr>
      </w:pPr>
    </w:p>
    <w:p>
      <w:pPr>
        <w:ind w:left="660" w:right="60"/>
        <w:spacing w:after="0" w:line="231"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Based on the quotient obtained by dividing (a) the number of shares of Class A common stock beneficially owned by the Reporting Person as set forth in Row 9 by (b) the sum of 9,326,098 shares of Class A common stock outstanding as of December 11, 2017, as reported by the issuer in its Quarterly Report on Form 10-Q for the quarterly period ended October 31, 2017 filed with the Securities and Exchange Commission on December 15, 2017, and 3,952,405 shares of Class A common stock beneficially owned by the Reporting Person, which were issued upon conversion of shares of Class B common stock subsequent to December 11, 2017.</w:t>
      </w:r>
    </w:p>
    <w:p>
      <w:pPr>
        <w:spacing w:after="0" w:line="32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060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4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7298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58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Brad Burnham</w:t>
      </w:r>
    </w:p>
    <w:p>
      <w:pPr>
        <w:spacing w:after="0" w:line="131" w:lineRule="exact"/>
        <w:rPr>
          <w:sz w:val="20"/>
          <w:szCs w:val="20"/>
          <w:color w:val="auto"/>
        </w:rPr>
      </w:pPr>
    </w:p>
    <w:p>
      <w:pPr>
        <w:ind w:left="660" w:hanging="58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1" w:lineRule="exact"/>
        <w:rPr>
          <w:sz w:val="20"/>
          <w:szCs w:val="20"/>
          <w:color w:val="auto"/>
        </w:rPr>
      </w:pPr>
    </w:p>
    <w:p>
      <w:pPr>
        <w:ind w:left="660" w:hanging="58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60" w:right="7100" w:hanging="584"/>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5</w:t>
            </w:r>
          </w:p>
        </w:tc>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3,952,405 shares, which are directly owned by USV 2008. USV 2008 GP is the general partner of USV 2008 and</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may be deemed to have sole power to vote these shares, and each of Burnham, Wenger and Wilson is a manager of</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USV 2008 GP and may be deemed to have shared power to vote these shares.</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540" w:type="dxa"/>
            <w:vAlign w:val="bottom"/>
          </w:tcPr>
          <w:p>
            <w:pPr>
              <w:spacing w:after="0"/>
              <w:rPr>
                <w:sz w:val="20"/>
                <w:szCs w:val="20"/>
                <w:color w:val="auto"/>
              </w:rPr>
            </w:pPr>
          </w:p>
        </w:tc>
      </w:tr>
      <w:tr>
        <w:trPr>
          <w:trHeight w:val="54"/>
        </w:trPr>
        <w:tc>
          <w:tcPr>
            <w:tcW w:w="232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6</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5.</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7</w:t>
            </w:r>
          </w:p>
        </w:tc>
        <w:tc>
          <w:tcPr>
            <w:tcW w:w="854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41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3,952,405 shares, which are directly owned by USV 2008. USV 2008 GP is the general partner of USV 2008 and</w:t>
            </w:r>
          </w:p>
        </w:tc>
      </w:tr>
      <w:tr>
        <w:trPr>
          <w:trHeight w:val="216"/>
        </w:trPr>
        <w:tc>
          <w:tcPr>
            <w:tcW w:w="2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6"/>
              </w:rPr>
              <w:t>may be deemed to have sole power to dispose of these shares, and each of Burnham, Wenger and Wilson is a</w:t>
            </w:r>
          </w:p>
        </w:tc>
      </w:tr>
      <w:tr>
        <w:trPr>
          <w:trHeight w:val="230"/>
        </w:trPr>
        <w:tc>
          <w:tcPr>
            <w:tcW w:w="23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manager of USV 2008 GP and may be deemed to have shared power to dispose of these shares.</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7.</w:t>
            </w:r>
          </w:p>
        </w:tc>
      </w:tr>
      <w:tr>
        <w:trPr>
          <w:trHeight w:val="270"/>
        </w:trPr>
        <w:tc>
          <w:tcPr>
            <w:tcW w:w="232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bl>
    <w:p>
      <w:pPr>
        <w:spacing w:after="0" w:line="40" w:lineRule="exact"/>
        <w:rPr>
          <w:sz w:val="20"/>
          <w:szCs w:val="20"/>
          <w:color w:val="auto"/>
        </w:rPr>
      </w:pPr>
    </w:p>
    <w:p>
      <w:pPr>
        <w:ind w:left="660" w:hanging="58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5"/>
          <w:szCs w:val="15"/>
          <w:color w:val="auto"/>
        </w:rPr>
        <w:t>3,952,405 shares.</w:t>
      </w:r>
    </w:p>
    <w:p>
      <w:pPr>
        <w:spacing w:after="0" w:line="151" w:lineRule="exact"/>
        <w:rPr>
          <w:sz w:val="20"/>
          <w:szCs w:val="20"/>
          <w:color w:val="auto"/>
        </w:rPr>
      </w:pPr>
    </w:p>
    <w:p>
      <w:pPr>
        <w:ind w:left="660" w:right="6220" w:hanging="584"/>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 w:lineRule="exact"/>
        <w:rPr>
          <w:sz w:val="20"/>
          <w:szCs w:val="20"/>
          <w:color w:val="auto"/>
        </w:rPr>
      </w:pPr>
    </w:p>
    <w:p>
      <w:pPr>
        <w:ind w:left="10660"/>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29.8%</w:t>
      </w:r>
      <w:r>
        <w:rPr>
          <w:rFonts w:ascii="Arial" w:cs="Arial" w:eastAsia="Arial" w:hAnsi="Arial"/>
          <w:sz w:val="26"/>
          <w:szCs w:val="26"/>
          <w:color w:val="auto"/>
          <w:vertAlign w:val="superscript"/>
        </w:rPr>
        <w:t>1</w:t>
      </w:r>
    </w:p>
    <w:p>
      <w:pPr>
        <w:spacing w:after="0" w:line="163" w:lineRule="exact"/>
        <w:rPr>
          <w:sz w:val="20"/>
          <w:szCs w:val="20"/>
          <w:color w:val="auto"/>
        </w:rPr>
      </w:pPr>
    </w:p>
    <w:p>
      <w:pPr>
        <w:ind w:left="660" w:right="60"/>
        <w:spacing w:after="0" w:line="231"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Based on the quotient obtained by dividing (a) the number of shares of Class A common stock beneficially owned by the Reporting Person as set forth in Row 9 by (b) the sum of 9,326,098 shares of Class A common stock outstanding as of December 11, 2017, as reported by the issuer in its Quarterly Report on Form 10-Q for the quarterly period ended October 31, 2017 filed with the Securities and Exchange Commission on December 15, 2017, and 3,952,405 shares of Class A common stock beneficially owned by the Reporting Person, which were issued upon conversion of shares of Class B common stock subsequent to December 11, 2017.</w:t>
      </w:r>
    </w:p>
    <w:p>
      <w:pPr>
        <w:spacing w:after="0" w:line="32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5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7760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76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58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Albert Wenger</w:t>
      </w:r>
    </w:p>
    <w:p>
      <w:pPr>
        <w:spacing w:after="0" w:line="131" w:lineRule="exact"/>
        <w:rPr>
          <w:sz w:val="20"/>
          <w:szCs w:val="20"/>
          <w:color w:val="auto"/>
        </w:rPr>
      </w:pPr>
    </w:p>
    <w:p>
      <w:pPr>
        <w:ind w:left="660" w:hanging="58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1" w:lineRule="exact"/>
        <w:rPr>
          <w:sz w:val="20"/>
          <w:szCs w:val="20"/>
          <w:color w:val="auto"/>
        </w:rPr>
      </w:pPr>
    </w:p>
    <w:p>
      <w:pPr>
        <w:ind w:left="660" w:hanging="58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60" w:right="7100" w:hanging="58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5</w:t>
            </w:r>
          </w:p>
        </w:tc>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8540" w:type="dxa"/>
            <w:vAlign w:val="bottom"/>
            <w:vMerge w:val="restart"/>
          </w:tcPr>
          <w:p>
            <w:pPr>
              <w:ind w:left="40"/>
              <w:spacing w:after="0"/>
              <w:rPr>
                <w:sz w:val="20"/>
                <w:szCs w:val="20"/>
                <w:color w:val="auto"/>
              </w:rPr>
            </w:pPr>
            <w:r>
              <w:rPr>
                <w:rFonts w:ascii="Arial" w:cs="Arial" w:eastAsia="Arial" w:hAnsi="Arial"/>
                <w:sz w:val="18"/>
                <w:szCs w:val="18"/>
                <w:color w:val="auto"/>
                <w:w w:val="93"/>
              </w:rPr>
              <w:t>3,962,905 shares, 10,500 of which are directly owned by Turner Close Trust,</w:t>
            </w:r>
            <w:r>
              <w:rPr>
                <w:rFonts w:ascii="Arial" w:cs="Arial" w:eastAsia="Arial" w:hAnsi="Arial"/>
                <w:sz w:val="30"/>
                <w:szCs w:val="30"/>
                <w:color w:val="auto"/>
                <w:w w:val="93"/>
                <w:vertAlign w:val="superscript"/>
              </w:rPr>
              <w:t>1</w:t>
            </w:r>
            <w:r>
              <w:rPr>
                <w:rFonts w:ascii="Arial" w:cs="Arial" w:eastAsia="Arial" w:hAnsi="Arial"/>
                <w:sz w:val="18"/>
                <w:szCs w:val="18"/>
                <w:color w:val="auto"/>
                <w:w w:val="93"/>
              </w:rPr>
              <w:t xml:space="preserve"> and 3,952,405 of which are directly</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2"/>
              </w:rPr>
              <w:t>owned by USV 2008. USV 2008 GP is the general partner of USV 2008 and may be deemed to have sole power to</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vote these shares, and each of Burnham, Wenger and Wilson is a manager of USV 2008 GP and may be deemed to</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have shared power to vote these shares.</w:t>
            </w:r>
          </w:p>
        </w:tc>
        <w:tc>
          <w:tcPr>
            <w:tcW w:w="0" w:type="dxa"/>
            <w:vAlign w:val="bottom"/>
          </w:tcPr>
          <w:p>
            <w:pPr>
              <w:spacing w:after="0"/>
              <w:rPr>
                <w:sz w:val="1"/>
                <w:szCs w:val="1"/>
                <w:color w:val="auto"/>
              </w:rPr>
            </w:pPr>
          </w:p>
        </w:tc>
      </w:tr>
      <w:tr>
        <w:trPr>
          <w:trHeight w:val="230"/>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6</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7</w:t>
            </w:r>
          </w:p>
        </w:tc>
        <w:tc>
          <w:tcPr>
            <w:tcW w:w="85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3,962,905 shares, 10,500 of which are directly owned by Turner Close Trust, and 3,952,405 of which are directly</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2"/>
              </w:rPr>
              <w:t>owned by USV 2008. USV 2008 GP is the general partner of USV 2008 and may be deemed to have sole power to</w:t>
            </w: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5"/>
              </w:rPr>
              <w:t>dispose of these shares, and each of Burnham, Wenger and Wilson is a manager of USV 2008 GP and may be</w:t>
            </w:r>
          </w:p>
        </w:tc>
        <w:tc>
          <w:tcPr>
            <w:tcW w:w="0" w:type="dxa"/>
            <w:vAlign w:val="bottom"/>
          </w:tcPr>
          <w:p>
            <w:pPr>
              <w:spacing w:after="0"/>
              <w:rPr>
                <w:sz w:val="1"/>
                <w:szCs w:val="1"/>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deemed to have shared power to dispose of these shares.</w:t>
            </w:r>
          </w:p>
        </w:tc>
        <w:tc>
          <w:tcPr>
            <w:tcW w:w="0" w:type="dxa"/>
            <w:vAlign w:val="bottom"/>
          </w:tcPr>
          <w:p>
            <w:pPr>
              <w:spacing w:after="0"/>
              <w:rPr>
                <w:sz w:val="1"/>
                <w:szCs w:val="1"/>
                <w:color w:val="auto"/>
              </w:rPr>
            </w:pP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70"/>
        </w:trPr>
        <w:tc>
          <w:tcPr>
            <w:tcW w:w="232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58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5"/>
          <w:szCs w:val="15"/>
          <w:color w:val="auto"/>
        </w:rPr>
        <w:t>3,962,905 shares.</w:t>
      </w:r>
    </w:p>
    <w:p>
      <w:pPr>
        <w:spacing w:after="0" w:line="151" w:lineRule="exact"/>
        <w:rPr>
          <w:sz w:val="20"/>
          <w:szCs w:val="20"/>
          <w:color w:val="auto"/>
        </w:rPr>
      </w:pPr>
    </w:p>
    <w:p>
      <w:pPr>
        <w:ind w:left="660" w:right="6220" w:hanging="584"/>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 w:lineRule="exact"/>
        <w:rPr>
          <w:sz w:val="20"/>
          <w:szCs w:val="20"/>
          <w:color w:val="auto"/>
        </w:rPr>
      </w:pPr>
    </w:p>
    <w:p>
      <w:pPr>
        <w:ind w:left="10660"/>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29.8%</w:t>
      </w:r>
      <w:r>
        <w:rPr>
          <w:rFonts w:ascii="Arial" w:cs="Arial" w:eastAsia="Arial" w:hAnsi="Arial"/>
          <w:sz w:val="26"/>
          <w:szCs w:val="26"/>
          <w:color w:val="auto"/>
          <w:vertAlign w:val="superscript"/>
        </w:rPr>
        <w:t>2</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10,500 shares are held through Turner Close Trust, of which Wenger is the trustee.</w:t>
      </w:r>
    </w:p>
    <w:p>
      <w:pPr>
        <w:spacing w:after="0" w:line="128" w:lineRule="exact"/>
        <w:rPr>
          <w:sz w:val="20"/>
          <w:szCs w:val="20"/>
          <w:color w:val="auto"/>
        </w:rPr>
      </w:pPr>
    </w:p>
    <w:p>
      <w:pPr>
        <w:ind w:left="660" w:right="60"/>
        <w:spacing w:after="0" w:line="231"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Based on the quotient obtained by dividing (a) the number of shares of Class A common stock beneficially owned by the Reporting Person as set forth in Row 9 by (b) the sum of 9,326,098 shares of Class A common stock outstanding as of December 11, 2017, as reported by the issuer in its Quarterly Report on Form 10-Q for the quarterly period ended October 31, 2017 filed with the Securities and Exchange Commission on December 15, 2017, and 3,952,405 shares of Class A common stock beneficially owned by the Reporting Person, which were issued upon conversion of shares of Class B common stock subsequent to December 11, 2017.</w:t>
      </w:r>
    </w:p>
    <w:p>
      <w:pPr>
        <w:spacing w:after="0" w:line="32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6 of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7298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58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Frederick R. Wilson</w:t>
      </w:r>
    </w:p>
    <w:p>
      <w:pPr>
        <w:spacing w:after="0" w:line="131" w:lineRule="exact"/>
        <w:rPr>
          <w:sz w:val="20"/>
          <w:szCs w:val="20"/>
          <w:color w:val="auto"/>
        </w:rPr>
      </w:pPr>
    </w:p>
    <w:p>
      <w:pPr>
        <w:ind w:left="660" w:hanging="58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9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1" w:lineRule="exact"/>
        <w:rPr>
          <w:sz w:val="20"/>
          <w:szCs w:val="20"/>
          <w:color w:val="auto"/>
        </w:rPr>
      </w:pPr>
    </w:p>
    <w:p>
      <w:pPr>
        <w:ind w:left="660" w:hanging="58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60" w:right="7100" w:hanging="584"/>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5</w:t>
            </w:r>
          </w:p>
        </w:tc>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3,952,405 shares, which are directly owned by USV 2008. USV 2008 GP is the general partner of USV 2008 and</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1"/>
              </w:rPr>
              <w:t>may be deemed to have sole power to vote these shares, and each of Burnham, Wenger and Wilson is a manager of</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USV 2008 GP and may be deemed to have shared power to vote these shares</w:t>
            </w:r>
          </w:p>
        </w:tc>
      </w:tr>
      <w:tr>
        <w:trPr>
          <w:trHeight w:val="216"/>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854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540" w:type="dxa"/>
            <w:vAlign w:val="bottom"/>
          </w:tcPr>
          <w:p>
            <w:pPr>
              <w:spacing w:after="0"/>
              <w:rPr>
                <w:sz w:val="20"/>
                <w:szCs w:val="20"/>
                <w:color w:val="auto"/>
              </w:rPr>
            </w:pPr>
          </w:p>
        </w:tc>
      </w:tr>
      <w:tr>
        <w:trPr>
          <w:trHeight w:val="54"/>
        </w:trPr>
        <w:tc>
          <w:tcPr>
            <w:tcW w:w="232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6</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5.</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7</w:t>
            </w:r>
          </w:p>
        </w:tc>
        <w:tc>
          <w:tcPr>
            <w:tcW w:w="854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418"/>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4"/>
              </w:rPr>
              <w:t>3,952,405 shares, which are directly owned by USV 2008. USV 2008 GP is the general partner of USV 2008 and</w:t>
            </w:r>
          </w:p>
        </w:tc>
      </w:tr>
      <w:tr>
        <w:trPr>
          <w:trHeight w:val="216"/>
        </w:trPr>
        <w:tc>
          <w:tcPr>
            <w:tcW w:w="23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w w:val="96"/>
              </w:rPr>
              <w:t>may be deemed to have sole power to dispose of these shares, and each of Burnham, Wenger and Wilson is a</w:t>
            </w:r>
          </w:p>
        </w:tc>
      </w:tr>
      <w:tr>
        <w:trPr>
          <w:trHeight w:val="230"/>
        </w:trPr>
        <w:tc>
          <w:tcPr>
            <w:tcW w:w="23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manager of USV 2008 GP and may be deemed to have shared power to dispose of these shares.</w:t>
            </w:r>
          </w:p>
        </w:tc>
      </w:tr>
      <w:tr>
        <w:trPr>
          <w:trHeight w:val="270"/>
        </w:trPr>
        <w:tc>
          <w:tcPr>
            <w:tcW w:w="2320" w:type="dxa"/>
            <w:vAlign w:val="bottom"/>
            <w:tcBorders>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r>
        <w:trPr>
          <w:trHeight w:val="264"/>
        </w:trPr>
        <w:tc>
          <w:tcPr>
            <w:tcW w:w="23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9"/>
              </w:rPr>
              <w:t>8</w:t>
            </w:r>
          </w:p>
        </w:tc>
        <w:tc>
          <w:tcPr>
            <w:tcW w:w="8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432"/>
        </w:trPr>
        <w:tc>
          <w:tcPr>
            <w:tcW w:w="23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See response to row 7.</w:t>
            </w:r>
          </w:p>
        </w:tc>
      </w:tr>
      <w:tr>
        <w:trPr>
          <w:trHeight w:val="270"/>
        </w:trPr>
        <w:tc>
          <w:tcPr>
            <w:tcW w:w="232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8540" w:type="dxa"/>
            <w:vAlign w:val="bottom"/>
            <w:tcBorders>
              <w:bottom w:val="single" w:sz="8" w:color="auto"/>
            </w:tcBorders>
          </w:tcPr>
          <w:p>
            <w:pPr>
              <w:spacing w:after="0"/>
              <w:rPr>
                <w:sz w:val="23"/>
                <w:szCs w:val="23"/>
                <w:color w:val="auto"/>
              </w:rPr>
            </w:pPr>
          </w:p>
        </w:tc>
      </w:tr>
    </w:tbl>
    <w:p>
      <w:pPr>
        <w:spacing w:after="0" w:line="40" w:lineRule="exact"/>
        <w:rPr>
          <w:sz w:val="20"/>
          <w:szCs w:val="20"/>
          <w:color w:val="auto"/>
        </w:rPr>
      </w:pPr>
    </w:p>
    <w:p>
      <w:pPr>
        <w:ind w:left="660" w:hanging="58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5"/>
          <w:szCs w:val="15"/>
          <w:color w:val="auto"/>
        </w:rPr>
        <w:t>3,952,405 shares.</w:t>
      </w:r>
    </w:p>
    <w:p>
      <w:pPr>
        <w:spacing w:after="0" w:line="151" w:lineRule="exact"/>
        <w:rPr>
          <w:sz w:val="20"/>
          <w:szCs w:val="20"/>
          <w:color w:val="auto"/>
        </w:rPr>
      </w:pPr>
    </w:p>
    <w:p>
      <w:pPr>
        <w:ind w:left="660" w:right="6220" w:hanging="584"/>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 w:lineRule="exact"/>
        <w:rPr>
          <w:sz w:val="20"/>
          <w:szCs w:val="20"/>
          <w:color w:val="auto"/>
        </w:rPr>
      </w:pPr>
    </w:p>
    <w:p>
      <w:pPr>
        <w:ind w:left="10660"/>
        <w:spacing w:after="0" w:line="181" w:lineRule="exact"/>
        <w:rPr>
          <w:sz w:val="20"/>
          <w:szCs w:val="20"/>
          <w:color w:val="auto"/>
        </w:rPr>
      </w:pPr>
      <w:r>
        <w:rPr>
          <w:rFonts w:ascii="MS PGothic" w:cs="MS PGothic" w:eastAsia="MS PGothic" w:hAnsi="MS PGothic"/>
          <w:sz w:val="18"/>
          <w:szCs w:val="18"/>
          <w:color w:val="auto"/>
        </w:rPr>
        <w:t>☐</w:t>
      </w:r>
    </w:p>
    <w:p>
      <w:pPr>
        <w:spacing w:after="0" w:line="148"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29.8%</w:t>
      </w:r>
      <w:r>
        <w:rPr>
          <w:rFonts w:ascii="Arial" w:cs="Arial" w:eastAsia="Arial" w:hAnsi="Arial"/>
          <w:sz w:val="26"/>
          <w:szCs w:val="26"/>
          <w:color w:val="auto"/>
          <w:vertAlign w:val="superscript"/>
        </w:rPr>
        <w:t>1</w:t>
      </w:r>
    </w:p>
    <w:p>
      <w:pPr>
        <w:spacing w:after="0" w:line="163" w:lineRule="exact"/>
        <w:rPr>
          <w:sz w:val="20"/>
          <w:szCs w:val="20"/>
          <w:color w:val="auto"/>
        </w:rPr>
      </w:pPr>
    </w:p>
    <w:p>
      <w:pPr>
        <w:ind w:left="660" w:right="60"/>
        <w:spacing w:after="0" w:line="231"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Based on the quotient obtained by dividing (a) the number of shares of Class A common stock beneficially owned by the Reporting Person as set forth in Row 9 by (b) the sum of 9,326,098 shares of Class A common stock outstanding as of December 11, 2017, as reported by the issuer in its Quarterly Report on Form 10-Q for the quarterly period ended October 31, 2017 filed with the Securities and Exchange Commission on December 15, 2017, and 3,952,405 shares of Class A common stock beneficially owned by the Reporting Person, which were issued upon conversion of shares of Class B common stock subsequent to December 11, 2017.</w:t>
      </w:r>
    </w:p>
    <w:p>
      <w:pPr>
        <w:spacing w:after="0" w:line="32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7 of 11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MongoDB,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u w:val="single" w:color="auto"/>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229 W. 43rd Street, 5th Floor, New York, NY 10036</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7"/>
          <w:szCs w:val="17"/>
          <w:u w:val="single" w:color="auto"/>
          <w:color w:val="auto"/>
        </w:rPr>
        <w:t>NAME OF PERSONS FILING</w:t>
      </w:r>
    </w:p>
    <w:p>
      <w:pPr>
        <w:spacing w:after="0" w:line="225" w:lineRule="exact"/>
        <w:rPr>
          <w:sz w:val="20"/>
          <w:szCs w:val="20"/>
          <w:color w:val="auto"/>
        </w:rPr>
      </w:pPr>
    </w:p>
    <w:p>
      <w:pPr>
        <w:ind w:left="1300" w:right="740"/>
        <w:spacing w:after="0" w:line="277" w:lineRule="auto"/>
        <w:rPr>
          <w:sz w:val="20"/>
          <w:szCs w:val="20"/>
          <w:color w:val="auto"/>
        </w:rPr>
      </w:pPr>
      <w:r>
        <w:rPr>
          <w:rFonts w:ascii="Arial" w:cs="Arial" w:eastAsia="Arial" w:hAnsi="Arial"/>
          <w:sz w:val="18"/>
          <w:szCs w:val="18"/>
          <w:color w:val="auto"/>
        </w:rPr>
        <w:t>USV 2008, USV 2008 GP, Burnham, Wenger and Wilson. The foregoing entities and individuals are collectively referred to as the “Reporting Persons.”</w:t>
      </w:r>
    </w:p>
    <w:p>
      <w:pPr>
        <w:spacing w:after="0" w:line="170" w:lineRule="exact"/>
        <w:rPr>
          <w:sz w:val="20"/>
          <w:szCs w:val="20"/>
          <w:color w:val="auto"/>
        </w:rPr>
      </w:pPr>
    </w:p>
    <w:p>
      <w:pPr>
        <w:ind w:left="1300" w:right="180"/>
        <w:spacing w:after="0" w:line="286" w:lineRule="auto"/>
        <w:rPr>
          <w:sz w:val="20"/>
          <w:szCs w:val="20"/>
          <w:color w:val="auto"/>
        </w:rPr>
      </w:pPr>
      <w:r>
        <w:rPr>
          <w:rFonts w:ascii="Arial" w:cs="Arial" w:eastAsia="Arial" w:hAnsi="Arial"/>
          <w:sz w:val="17"/>
          <w:szCs w:val="17"/>
          <w:color w:val="auto"/>
        </w:rPr>
        <w:t>USV 2008 GP, the general partner of USV 2008, may be deemed to have sole power to vote and sole power to dispose of the shares of the issuer directly owned by USV 2008. Burnham, Wenger and Wilson are managers of USV 2008 GP and may be deemed to have shared power to vote and shared power to dispose of the shares of the issuer directly owned by USV 2008.</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BUSINESS OFFICE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 for each of the Reporting Persons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Union Square Ventures</w:t>
      </w:r>
    </w:p>
    <w:p>
      <w:pPr>
        <w:ind w:left="1300"/>
        <w:spacing w:after="0" w:line="195" w:lineRule="auto"/>
        <w:rPr>
          <w:sz w:val="20"/>
          <w:szCs w:val="20"/>
          <w:color w:val="auto"/>
        </w:rPr>
      </w:pPr>
      <w:r>
        <w:rPr>
          <w:rFonts w:ascii="Arial" w:cs="Arial" w:eastAsia="Arial" w:hAnsi="Arial"/>
          <w:sz w:val="18"/>
          <w:szCs w:val="18"/>
          <w:color w:val="auto"/>
        </w:rPr>
        <w:t>915 Broadway,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10010</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u w:val="single" w:color="auto"/>
          <w:color w:val="auto"/>
        </w:rPr>
        <w:t>CITIZENSHIP</w:t>
      </w:r>
    </w:p>
    <w:p>
      <w:pPr>
        <w:spacing w:after="0" w:line="225" w:lineRule="exact"/>
        <w:rPr>
          <w:sz w:val="20"/>
          <w:szCs w:val="20"/>
          <w:color w:val="auto"/>
        </w:rPr>
      </w:pPr>
    </w:p>
    <w:p>
      <w:pPr>
        <w:ind w:left="1300" w:right="380"/>
        <w:spacing w:after="0" w:line="277" w:lineRule="auto"/>
        <w:rPr>
          <w:sz w:val="20"/>
          <w:szCs w:val="20"/>
          <w:color w:val="auto"/>
        </w:rPr>
      </w:pPr>
      <w:r>
        <w:rPr>
          <w:rFonts w:ascii="Arial" w:cs="Arial" w:eastAsia="Arial" w:hAnsi="Arial"/>
          <w:sz w:val="18"/>
          <w:szCs w:val="18"/>
          <w:color w:val="auto"/>
        </w:rPr>
        <w:t>USV 2008 is a Delaware limited partnership. USV 2008 GP is a Delaware limited liability company. Burnham, Wenger and Wilson are United States citizens.</w:t>
      </w:r>
    </w:p>
    <w:p>
      <w:pPr>
        <w:spacing w:after="0" w:line="1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ITEM 2(D) AND (E).</w:t>
      </w:r>
      <w:r>
        <w:rPr>
          <w:sz w:val="20"/>
          <w:szCs w:val="20"/>
          <w:color w:val="auto"/>
        </w:rPr>
        <w:tab/>
      </w:r>
      <w:r>
        <w:rPr>
          <w:rFonts w:ascii="Arial" w:cs="Arial" w:eastAsia="Arial" w:hAnsi="Arial"/>
          <w:sz w:val="17"/>
          <w:szCs w:val="17"/>
          <w:u w:val="single" w:color="auto"/>
          <w:color w:val="auto"/>
        </w:rPr>
        <w:t>TITLE OF CLASS OF SECURITIES AND 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CUSIP # 60937P106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118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OWNERSHIP</w:t>
            </w: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 identified in Item 1.</w:t>
            </w:r>
          </w:p>
        </w:tc>
      </w:tr>
      <w:tr>
        <w:trPr>
          <w:trHeight w:val="432"/>
        </w:trPr>
        <w:tc>
          <w:tcPr>
            <w:tcW w:w="1300" w:type="dxa"/>
            <w:vAlign w:val="bottom"/>
          </w:tcPr>
          <w:p>
            <w:pPr>
              <w:spacing w:after="0"/>
              <w:rPr>
                <w:sz w:val="24"/>
                <w:szCs w:val="24"/>
                <w:color w:val="auto"/>
              </w:rPr>
            </w:pPr>
          </w:p>
        </w:tc>
        <w:tc>
          <w:tcPr>
            <w:tcW w:w="1300" w:type="dxa"/>
            <w:vAlign w:val="bottom"/>
            <w:gridSpan w:val="3"/>
          </w:tcPr>
          <w:p>
            <w:pPr>
              <w:ind w:left="660"/>
              <w:spacing w:after="0"/>
              <w:rPr>
                <w:sz w:val="20"/>
                <w:szCs w:val="20"/>
                <w:color w:val="auto"/>
              </w:rPr>
            </w:pPr>
            <w:r>
              <w:rPr>
                <w:rFonts w:ascii="Arial" w:cs="Arial" w:eastAsia="Arial" w:hAnsi="Arial"/>
                <w:sz w:val="18"/>
                <w:szCs w:val="18"/>
                <w:color w:val="auto"/>
              </w:rPr>
              <w:t>(a)</w:t>
            </w:r>
          </w:p>
        </w:tc>
        <w:tc>
          <w:tcPr>
            <w:tcW w:w="8820" w:type="dxa"/>
            <w:vAlign w:val="bottom"/>
            <w:gridSpan w:val="2"/>
          </w:tcPr>
          <w:p>
            <w:pPr>
              <w:spacing w:after="0"/>
              <w:rPr>
                <w:sz w:val="20"/>
                <w:szCs w:val="20"/>
                <w:color w:val="auto"/>
              </w:rPr>
            </w:pPr>
            <w:r>
              <w:rPr>
                <w:rFonts w:ascii="Arial" w:cs="Arial" w:eastAsia="Arial" w:hAnsi="Arial"/>
                <w:sz w:val="18"/>
                <w:szCs w:val="18"/>
                <w:color w:val="auto"/>
              </w:rPr>
              <w:t>Amount beneficially owned:</w:t>
            </w:r>
          </w:p>
        </w:tc>
      </w:tr>
      <w:tr>
        <w:trPr>
          <w:trHeight w:val="432"/>
        </w:trPr>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See Row 9 of cover page for each Reporting Person.</w:t>
            </w:r>
          </w:p>
        </w:tc>
      </w:tr>
      <w:tr>
        <w:trPr>
          <w:trHeight w:val="392"/>
        </w:trPr>
        <w:tc>
          <w:tcPr>
            <w:tcW w:w="1300" w:type="dxa"/>
            <w:vAlign w:val="bottom"/>
          </w:tcPr>
          <w:p>
            <w:pPr>
              <w:spacing w:after="0"/>
              <w:rPr>
                <w:sz w:val="24"/>
                <w:szCs w:val="24"/>
                <w:color w:val="auto"/>
              </w:rPr>
            </w:pPr>
          </w:p>
        </w:tc>
        <w:tc>
          <w:tcPr>
            <w:tcW w:w="1300" w:type="dxa"/>
            <w:vAlign w:val="bottom"/>
            <w:gridSpan w:val="3"/>
          </w:tcPr>
          <w:p>
            <w:pPr>
              <w:ind w:left="660"/>
              <w:spacing w:after="0"/>
              <w:rPr>
                <w:sz w:val="20"/>
                <w:szCs w:val="20"/>
                <w:color w:val="auto"/>
              </w:rPr>
            </w:pPr>
            <w:r>
              <w:rPr>
                <w:rFonts w:ascii="Arial" w:cs="Arial" w:eastAsia="Arial" w:hAnsi="Arial"/>
                <w:sz w:val="18"/>
                <w:szCs w:val="18"/>
                <w:color w:val="auto"/>
              </w:rPr>
              <w:t>(b)</w:t>
            </w:r>
          </w:p>
        </w:tc>
        <w:tc>
          <w:tcPr>
            <w:tcW w:w="8820" w:type="dxa"/>
            <w:vAlign w:val="bottom"/>
            <w:gridSpan w:val="2"/>
          </w:tcPr>
          <w:p>
            <w:pPr>
              <w:spacing w:after="0"/>
              <w:rPr>
                <w:sz w:val="20"/>
                <w:szCs w:val="20"/>
                <w:color w:val="auto"/>
              </w:rPr>
            </w:pPr>
            <w:r>
              <w:rPr>
                <w:rFonts w:ascii="Arial" w:cs="Arial" w:eastAsia="Arial" w:hAnsi="Arial"/>
                <w:sz w:val="18"/>
                <w:szCs w:val="18"/>
                <w:color w:val="auto"/>
              </w:rPr>
              <w:t>Percent of Class:</w:t>
            </w:r>
          </w:p>
        </w:tc>
      </w:tr>
      <w:tr>
        <w:trPr>
          <w:trHeight w:val="20"/>
        </w:trPr>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See Row 11 of cover page for each Reporting Person.</w:t>
            </w:r>
          </w:p>
        </w:tc>
      </w:tr>
      <w:tr>
        <w:trPr>
          <w:trHeight w:val="675"/>
        </w:trPr>
        <w:tc>
          <w:tcPr>
            <w:tcW w:w="1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8"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8 of 11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0" w:hanging="647"/>
        <w:spacing w:after="0"/>
        <w:tabs>
          <w:tab w:leader="none" w:pos="26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 xml:space="preserve">Sole power to dispose or to direct the disposition of: </w:t>
      </w:r>
      <w:r>
        <w:rPr>
          <w:rFonts w:ascii="Arial" w:cs="Arial" w:eastAsia="Arial" w:hAnsi="Arial"/>
          <w:sz w:val="16"/>
          <w:szCs w:val="16"/>
          <w:color w:val="auto"/>
        </w:rPr>
        <w:t>See Row 7 of cover page for each Reporting Person.</w:t>
      </w:r>
    </w:p>
    <w:p>
      <w:pPr>
        <w:spacing w:after="0" w:line="1" w:lineRule="exact"/>
        <w:rPr>
          <w:rFonts w:ascii="Arial" w:cs="Arial" w:eastAsia="Arial" w:hAnsi="Arial"/>
          <w:sz w:val="16"/>
          <w:szCs w:val="16"/>
          <w:color w:val="auto"/>
        </w:rPr>
      </w:pPr>
    </w:p>
    <w:p>
      <w:pPr>
        <w:ind w:left="3900" w:right="3580" w:hanging="651"/>
        <w:spacing w:after="0" w:line="563" w:lineRule="auto"/>
        <w:tabs>
          <w:tab w:leader="none" w:pos="390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ind w:left="1300" w:right="5680" w:hanging="1296"/>
        <w:spacing w:after="0" w:line="501" w:lineRule="auto"/>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u w:val="single" w:color="auto"/>
          <w:color w:val="auto"/>
        </w:rPr>
        <w:t xml:space="preserve">OWNERSHIP OF FIVE PERCENT OR LESS OF A CLASS </w:t>
      </w:r>
      <w:r>
        <w:rPr>
          <w:rFonts w:ascii="Arial" w:cs="Arial" w:eastAsia="Arial" w:hAnsi="Arial"/>
          <w:sz w:val="18"/>
          <w:szCs w:val="18"/>
          <w:color w:val="auto"/>
        </w:rPr>
        <w:t>Not applicable.</w:t>
      </w: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color w:val="auto"/>
                <w:w w:val="95"/>
              </w:rPr>
              <w:t>Page 9 of 11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April 19, 2018</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Union Square Ventures 2008, L.P.</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Burnham</w:t>
            </w:r>
          </w:p>
        </w:tc>
        <w:tc>
          <w:tcPr>
            <w:tcW w:w="0" w:type="dxa"/>
            <w:vAlign w:val="bottom"/>
          </w:tcPr>
          <w:p>
            <w:pPr>
              <w:spacing w:after="0"/>
              <w:rPr>
                <w:sz w:val="1"/>
                <w:szCs w:val="1"/>
                <w:color w:val="auto"/>
              </w:rPr>
            </w:pPr>
          </w:p>
        </w:tc>
      </w:tr>
      <w:tr>
        <w:trPr>
          <w:trHeight w:val="195"/>
        </w:trPr>
        <w:tc>
          <w:tcPr>
            <w:tcW w:w="6280" w:type="dxa"/>
            <w:vAlign w:val="bottom"/>
          </w:tcPr>
          <w:p>
            <w:pPr>
              <w:spacing w:after="0" w:line="195" w:lineRule="exact"/>
              <w:rPr>
                <w:sz w:val="20"/>
                <w:szCs w:val="20"/>
                <w:color w:val="auto"/>
              </w:rPr>
            </w:pPr>
            <w:r>
              <w:rPr>
                <w:rFonts w:ascii="Arial" w:cs="Arial" w:eastAsia="Arial" w:hAnsi="Arial"/>
                <w:sz w:val="18"/>
                <w:szCs w:val="18"/>
                <w:color w:val="auto"/>
              </w:rPr>
              <w:t>By Union Square GP 2008, L.L.C.</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Its General Partner</w:t>
            </w:r>
          </w:p>
        </w:tc>
        <w:tc>
          <w:tcPr>
            <w:tcW w:w="5140" w:type="dxa"/>
            <w:vAlign w:val="bottom"/>
            <w:vMerge w:val="restart"/>
          </w:tcPr>
          <w:p>
            <w:pPr>
              <w:spacing w:after="0"/>
              <w:rPr>
                <w:sz w:val="20"/>
                <w:szCs w:val="20"/>
                <w:color w:val="auto"/>
              </w:rPr>
            </w:pPr>
            <w:r>
              <w:rPr>
                <w:rFonts w:ascii="Arial" w:cs="Arial" w:eastAsia="Arial" w:hAnsi="Arial"/>
                <w:sz w:val="18"/>
                <w:szCs w:val="18"/>
                <w:color w:val="auto"/>
              </w:rPr>
              <w:t>Brad Burnham</w:t>
            </w:r>
          </w:p>
        </w:tc>
        <w:tc>
          <w:tcPr>
            <w:tcW w:w="0" w:type="dxa"/>
            <w:vAlign w:val="bottom"/>
          </w:tcPr>
          <w:p>
            <w:pPr>
              <w:spacing w:after="0"/>
              <w:rPr>
                <w:sz w:val="1"/>
                <w:szCs w:val="1"/>
                <w:color w:val="auto"/>
              </w:rPr>
            </w:pPr>
          </w:p>
        </w:tc>
      </w:tr>
      <w:tr>
        <w:trPr>
          <w:trHeight w:val="202"/>
        </w:trPr>
        <w:tc>
          <w:tcPr>
            <w:tcW w:w="628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Union Square GP 2008, L.L.C.</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Burnham</w:t>
            </w:r>
          </w:p>
        </w:tc>
        <w:tc>
          <w:tcPr>
            <w:tcW w:w="0" w:type="dxa"/>
            <w:vAlign w:val="bottom"/>
          </w:tcPr>
          <w:p>
            <w:pPr>
              <w:spacing w:after="0"/>
              <w:rPr>
                <w:sz w:val="1"/>
                <w:szCs w:val="1"/>
                <w:color w:val="auto"/>
              </w:rPr>
            </w:pPr>
          </w:p>
        </w:tc>
      </w:tr>
      <w:tr>
        <w:trPr>
          <w:trHeight w:val="224"/>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404"/>
        </w:trPr>
        <w:tc>
          <w:tcPr>
            <w:tcW w:w="62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Brad Burnham</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Brad Burnham</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Burnham</w:t>
            </w:r>
          </w:p>
        </w:tc>
        <w:tc>
          <w:tcPr>
            <w:tcW w:w="0" w:type="dxa"/>
            <w:vAlign w:val="bottom"/>
          </w:tcPr>
          <w:p>
            <w:pPr>
              <w:spacing w:after="0"/>
              <w:rPr>
                <w:sz w:val="1"/>
                <w:szCs w:val="1"/>
                <w:color w:val="auto"/>
              </w:rPr>
            </w:pPr>
          </w:p>
        </w:tc>
      </w:tr>
      <w:tr>
        <w:trPr>
          <w:trHeight w:val="224"/>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Brad Burnham</w:t>
            </w:r>
          </w:p>
        </w:tc>
        <w:tc>
          <w:tcPr>
            <w:tcW w:w="0" w:type="dxa"/>
            <w:vAlign w:val="bottom"/>
          </w:tcPr>
          <w:p>
            <w:pPr>
              <w:spacing w:after="0"/>
              <w:rPr>
                <w:sz w:val="1"/>
                <w:szCs w:val="1"/>
                <w:color w:val="auto"/>
              </w:rPr>
            </w:pPr>
          </w:p>
        </w:tc>
      </w:tr>
      <w:tr>
        <w:trPr>
          <w:trHeight w:val="418"/>
        </w:trPr>
        <w:tc>
          <w:tcPr>
            <w:tcW w:w="6280" w:type="dxa"/>
            <w:vAlign w:val="bottom"/>
          </w:tcPr>
          <w:p>
            <w:pPr>
              <w:spacing w:after="0"/>
              <w:rPr>
                <w:sz w:val="20"/>
                <w:szCs w:val="20"/>
                <w:color w:val="auto"/>
              </w:rPr>
            </w:pPr>
            <w:r>
              <w:rPr>
                <w:rFonts w:ascii="Arial" w:cs="Arial" w:eastAsia="Arial" w:hAnsi="Arial"/>
                <w:sz w:val="18"/>
                <w:szCs w:val="18"/>
                <w:color w:val="auto"/>
              </w:rPr>
              <w:t>Albert Wenger</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Wenger</w:t>
            </w:r>
          </w:p>
        </w:tc>
        <w:tc>
          <w:tcPr>
            <w:tcW w:w="0" w:type="dxa"/>
            <w:vAlign w:val="bottom"/>
          </w:tcPr>
          <w:p>
            <w:pPr>
              <w:spacing w:after="0"/>
              <w:rPr>
                <w:sz w:val="1"/>
                <w:szCs w:val="1"/>
                <w:color w:val="auto"/>
              </w:rPr>
            </w:pPr>
          </w:p>
        </w:tc>
      </w:tr>
      <w:tr>
        <w:trPr>
          <w:trHeight w:val="224"/>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Albert Wenger</w:t>
            </w:r>
          </w:p>
        </w:tc>
        <w:tc>
          <w:tcPr>
            <w:tcW w:w="0" w:type="dxa"/>
            <w:vAlign w:val="bottom"/>
          </w:tcPr>
          <w:p>
            <w:pPr>
              <w:spacing w:after="0"/>
              <w:rPr>
                <w:sz w:val="1"/>
                <w:szCs w:val="1"/>
                <w:color w:val="auto"/>
              </w:rPr>
            </w:pPr>
          </w:p>
        </w:tc>
      </w:tr>
      <w:tr>
        <w:trPr>
          <w:trHeight w:val="418"/>
        </w:trPr>
        <w:tc>
          <w:tcPr>
            <w:tcW w:w="6280" w:type="dxa"/>
            <w:vAlign w:val="bottom"/>
          </w:tcPr>
          <w:p>
            <w:pPr>
              <w:spacing w:after="0"/>
              <w:rPr>
                <w:sz w:val="20"/>
                <w:szCs w:val="20"/>
                <w:color w:val="auto"/>
              </w:rPr>
            </w:pPr>
            <w:r>
              <w:rPr>
                <w:rFonts w:ascii="Arial" w:cs="Arial" w:eastAsia="Arial" w:hAnsi="Arial"/>
                <w:sz w:val="18"/>
                <w:szCs w:val="18"/>
                <w:color w:val="auto"/>
              </w:rPr>
              <w:t>Frederick R. Wilson</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R. Wilson</w:t>
            </w:r>
          </w:p>
        </w:tc>
        <w:tc>
          <w:tcPr>
            <w:tcW w:w="0" w:type="dxa"/>
            <w:vAlign w:val="bottom"/>
          </w:tcPr>
          <w:p>
            <w:pPr>
              <w:spacing w:after="0"/>
              <w:rPr>
                <w:sz w:val="1"/>
                <w:szCs w:val="1"/>
                <w:color w:val="auto"/>
              </w:rPr>
            </w:pPr>
          </w:p>
        </w:tc>
      </w:tr>
      <w:tr>
        <w:trPr>
          <w:trHeight w:val="224"/>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Frederick R. Wilson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spacing w:after="0" w:line="234" w:lineRule="auto"/>
        <w:rPr>
          <w:sz w:val="20"/>
          <w:szCs w:val="20"/>
          <w:color w:val="auto"/>
        </w:rPr>
      </w:pPr>
      <w:r>
        <w:rPr>
          <w:rFonts w:ascii="Arial" w:cs="Arial" w:eastAsia="Arial" w:hAnsi="Arial"/>
          <w:sz w:val="14"/>
          <w:szCs w:val="14"/>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5" w:lineRule="exact"/>
        <w:rPr>
          <w:sz w:val="20"/>
          <w:szCs w:val="20"/>
          <w:color w:val="auto"/>
        </w:rPr>
      </w:pPr>
    </w:p>
    <w:p>
      <w:pPr>
        <w:ind w:right="3120"/>
        <w:spacing w:after="0" w:line="253" w:lineRule="auto"/>
        <w:rPr>
          <w:sz w:val="20"/>
          <w:szCs w:val="20"/>
          <w:color w:val="auto"/>
        </w:rPr>
      </w:pPr>
      <w:r>
        <w:rPr>
          <w:rFonts w:ascii="Arial" w:cs="Arial" w:eastAsia="Arial" w:hAnsi="Arial"/>
          <w:sz w:val="14"/>
          <w:szCs w:val="14"/>
          <w:i w:val="1"/>
          <w:iCs w:val="1"/>
          <w:color w:val="auto"/>
        </w:rPr>
        <w:t>NOTE</w:t>
      </w:r>
      <w:r>
        <w:rPr>
          <w:rFonts w:ascii="Arial" w:cs="Arial" w:eastAsia="Arial" w:hAnsi="Arial"/>
          <w:sz w:val="14"/>
          <w:szCs w:val="14"/>
          <w:color w:val="auto"/>
        </w:rPr>
        <w:t>: Schedules filed in paper format shall include a signed original and five copies of the schedule, including all exhibits.</w:t>
      </w:r>
      <w:r>
        <w:rPr>
          <w:rFonts w:ascii="Arial" w:cs="Arial" w:eastAsia="Arial" w:hAnsi="Arial"/>
          <w:sz w:val="14"/>
          <w:szCs w:val="14"/>
          <w:i w:val="1"/>
          <w:iCs w:val="1"/>
          <w:color w:val="auto"/>
        </w:rPr>
        <w:t xml:space="preserve"> See </w:t>
      </w:r>
      <w:r>
        <w:rPr>
          <w:rFonts w:ascii="Arial" w:cs="Arial" w:eastAsia="Arial" w:hAnsi="Arial"/>
          <w:sz w:val="14"/>
          <w:szCs w:val="14"/>
          <w:color w:val="auto"/>
        </w:rPr>
        <w:t>§240.13d-7 for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parties for whom copies are to be sent.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Borders>
              <w:top w:val="single" w:sz="8" w:color="auto"/>
              <w:left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CUSIP NO. 60937P106</w:t>
            </w:r>
          </w:p>
        </w:tc>
        <w:tc>
          <w:tcPr>
            <w:tcW w:w="1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13 G</w:t>
            </w:r>
          </w:p>
        </w:tc>
        <w:tc>
          <w:tcPr>
            <w:tcW w:w="2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w w:val="94"/>
              </w:rPr>
              <w:t>Page 10 of 11</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80" w:type="dxa"/>
            <w:vAlign w:val="bottom"/>
            <w:gridSpan w:val="4"/>
          </w:tcPr>
          <w:p>
            <w:pPr>
              <w:ind w:left="1180"/>
              <w:spacing w:after="0"/>
              <w:rPr>
                <w:sz w:val="20"/>
                <w:szCs w:val="20"/>
                <w:color w:val="auto"/>
              </w:rPr>
            </w:pPr>
            <w:r>
              <w:rPr>
                <w:rFonts w:ascii="Arial" w:cs="Arial" w:eastAsia="Arial" w:hAnsi="Arial"/>
                <w:sz w:val="18"/>
                <w:szCs w:val="18"/>
                <w:color w:val="auto"/>
              </w:rPr>
              <w:t>EXHIBIT INDEX</w:t>
            </w: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3860" w:type="dxa"/>
            <w:vAlign w:val="bottom"/>
            <w:gridSpan w:val="3"/>
          </w:tcPr>
          <w:p>
            <w:pPr>
              <w:jc w:val="center"/>
              <w:ind w:left="1610"/>
              <w:spacing w:after="0"/>
              <w:rPr>
                <w:sz w:val="20"/>
                <w:szCs w:val="20"/>
                <w:color w:val="auto"/>
              </w:rPr>
            </w:pPr>
            <w:r>
              <w:rPr>
                <w:rFonts w:ascii="Arial" w:cs="Arial" w:eastAsia="Arial" w:hAnsi="Arial"/>
                <w:sz w:val="18"/>
                <w:szCs w:val="18"/>
                <w:color w:val="auto"/>
                <w:w w:val="91"/>
              </w:rPr>
              <w:t>Found on Sequentially</w:t>
            </w:r>
          </w:p>
        </w:tc>
        <w:tc>
          <w:tcPr>
            <w:tcW w:w="0" w:type="dxa"/>
            <w:vAlign w:val="bottom"/>
          </w:tcPr>
          <w:p>
            <w:pPr>
              <w:spacing w:after="0"/>
              <w:rPr>
                <w:sz w:val="1"/>
                <w:szCs w:val="1"/>
                <w:color w:val="auto"/>
              </w:rPr>
            </w:pPr>
          </w:p>
        </w:tc>
      </w:tr>
      <w:tr>
        <w:trPr>
          <w:trHeight w:val="190"/>
        </w:trPr>
        <w:tc>
          <w:tcPr>
            <w:tcW w:w="3880" w:type="dxa"/>
            <w:vAlign w:val="bottom"/>
            <w:gridSpan w:val="3"/>
          </w:tcPr>
          <w:p>
            <w:pPr>
              <w:spacing w:after="0" w:line="190" w:lineRule="exact"/>
              <w:rPr>
                <w:sz w:val="20"/>
                <w:szCs w:val="20"/>
                <w:color w:val="auto"/>
              </w:rPr>
            </w:pPr>
            <w:r>
              <w:rPr>
                <w:rFonts w:ascii="Arial" w:cs="Arial" w:eastAsia="Arial" w:hAnsi="Arial"/>
                <w:sz w:val="18"/>
                <w:szCs w:val="18"/>
                <w:color w:val="auto"/>
              </w:rPr>
              <w:t>Exhibit</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60" w:type="dxa"/>
            <w:vAlign w:val="bottom"/>
            <w:gridSpan w:val="2"/>
          </w:tcPr>
          <w:p>
            <w:pPr>
              <w:jc w:val="center"/>
              <w:ind w:right="500"/>
              <w:spacing w:after="0" w:line="190" w:lineRule="exact"/>
              <w:rPr>
                <w:sz w:val="20"/>
                <w:szCs w:val="20"/>
                <w:color w:val="auto"/>
              </w:rPr>
            </w:pPr>
            <w:r>
              <w:rPr>
                <w:rFonts w:ascii="Arial" w:cs="Arial" w:eastAsia="Arial" w:hAnsi="Arial"/>
                <w:sz w:val="18"/>
                <w:szCs w:val="18"/>
                <w:color w:val="auto"/>
                <w:w w:val="88"/>
              </w:rPr>
              <w:t>Numbered 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Exhibit A: Agreement of Joint Filing</w:t>
            </w:r>
          </w:p>
        </w:tc>
        <w:tc>
          <w:tcPr>
            <w:tcW w:w="1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3360" w:type="dxa"/>
            <w:vAlign w:val="bottom"/>
            <w:gridSpan w:val="2"/>
            <w:shd w:val="clear" w:color="auto" w:fill="CCEEFF"/>
          </w:tcPr>
          <w:p>
            <w:pPr>
              <w:jc w:val="center"/>
              <w:ind w:left="2110"/>
              <w:spacing w:after="0"/>
              <w:rPr>
                <w:sz w:val="20"/>
                <w:szCs w:val="20"/>
                <w:color w:val="auto"/>
              </w:rPr>
            </w:pPr>
            <w:r>
              <w:rPr>
                <w:rFonts w:ascii="Arial" w:cs="Arial" w:eastAsia="Arial" w:hAnsi="Arial"/>
                <w:sz w:val="18"/>
                <w:szCs w:val="18"/>
                <w:color w:val="auto"/>
                <w:w w:val="79"/>
              </w:rPr>
              <w:t>11</w:t>
            </w:r>
          </w:p>
        </w:tc>
        <w:tc>
          <w:tcPr>
            <w:tcW w:w="5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8"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CUSIP NO. 60937P106</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ind w:left="2760"/>
              <w:spacing w:after="0"/>
              <w:rPr>
                <w:sz w:val="20"/>
                <w:szCs w:val="20"/>
                <w:color w:val="auto"/>
              </w:rPr>
            </w:pPr>
            <w:r>
              <w:rPr>
                <w:rFonts w:ascii="Arial" w:cs="Arial" w:eastAsia="Arial" w:hAnsi="Arial"/>
                <w:sz w:val="18"/>
                <w:szCs w:val="18"/>
                <w:color w:val="auto"/>
                <w:w w:val="94"/>
              </w:rPr>
              <w:t>Page 11 of 11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Reporting Persons hereby agree that a single Schedule 13G (or any amendment thereto) relating to the Common Stock of MongoDB, Inc. shall be filed on behalf of each of the Reporting Persons. Note that copies of the applicable Agreement of Joint Filing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3"/>
      <w:numFmt w:val="bullet"/>
      <w:start w:val="1"/>
    </w:lvl>
  </w:abstractNum>
  <w:abstractNum w:abstractNumId="6">
    <w:nsid w:val="436C6125"/>
    <w:multiLevelType w:val="hybridMultilevel"/>
    <w:lvl w:ilvl="0">
      <w:lvlJc w:val="left"/>
      <w:lvlText w:val="4"/>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1"/>
      <w:numFmt w:val="decimal"/>
      <w:start w:val="10"/>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4"/>
      <w:numFmt w:val="bullet"/>
      <w:start w:val="1"/>
    </w:lvl>
  </w:abstractNum>
  <w:abstractNum w:abstractNumId="13">
    <w:nsid w:val="75A2A8D4"/>
    <w:multiLevelType w:val="hybridMultilevel"/>
    <w:lvl w:ilvl="0">
      <w:lvlJc w:val="left"/>
      <w:lvlText w:val="9"/>
      <w:numFmt w:val="bullet"/>
      <w:start w:val="1"/>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2"/>
      <w:numFmt w:val="bullet"/>
      <w:start w:val="1"/>
    </w:lvl>
  </w:abstractNum>
  <w:abstractNum w:abstractNumId="17">
    <w:nsid w:val="B03E0C6"/>
    <w:multiLevelType w:val="hybridMultilevel"/>
    <w:lvl w:ilvl="0">
      <w:lvlJc w:val="left"/>
      <w:lvlText w:val="3"/>
      <w:numFmt w:val="bullet"/>
      <w:start w:val="1"/>
    </w:lvl>
  </w:abstractNum>
  <w:abstractNum w:abstractNumId="18">
    <w:nsid w:val="189A769B"/>
    <w:multiLevelType w:val="hybridMultilevel"/>
    <w:lvl w:ilvl="0">
      <w:lvlJc w:val="left"/>
      <w:lvlText w:val="4"/>
      <w:numFmt w:val="bullet"/>
      <w:start w:val="1"/>
    </w:lvl>
  </w:abstractNum>
  <w:abstractNum w:abstractNumId="19">
    <w:nsid w:val="54E49EB4"/>
    <w:multiLevelType w:val="hybridMultilevel"/>
    <w:lvl w:ilvl="0">
      <w:lvlJc w:val="left"/>
      <w:lvlText w:val="9"/>
      <w:numFmt w:val="bullet"/>
      <w:start w:val="1"/>
    </w:lvl>
  </w:abstractNum>
  <w:abstractNum w:abstractNumId="20">
    <w:nsid w:val="71F32454"/>
    <w:multiLevelType w:val="hybridMultilevel"/>
    <w:lvl w:ilvl="0">
      <w:lvlJc w:val="left"/>
      <w:lvlText w:val="%1"/>
      <w:numFmt w:val="decimal"/>
      <w:start w:val="10"/>
    </w:lvl>
  </w:abstractNum>
  <w:abstractNum w:abstractNumId="21">
    <w:nsid w:val="2CA88611"/>
    <w:multiLevelType w:val="hybridMultilevel"/>
    <w:lvl w:ilvl="0">
      <w:lvlJc w:val="left"/>
      <w:lvlText w:val="1"/>
      <w:numFmt w:val="bullet"/>
      <w:start w:val="1"/>
    </w:lvl>
  </w:abstractNum>
  <w:abstractNum w:abstractNumId="22">
    <w:nsid w:val="836C40E"/>
    <w:multiLevelType w:val="hybridMultilevel"/>
    <w:lvl w:ilvl="0">
      <w:lvlJc w:val="left"/>
      <w:lvlText w:val="2"/>
      <w:numFmt w:val="bullet"/>
      <w:start w:val="1"/>
    </w:lvl>
  </w:abstractNum>
  <w:abstractNum w:abstractNumId="23">
    <w:nsid w:val="2901D82"/>
    <w:multiLevelType w:val="hybridMultilevel"/>
    <w:lvl w:ilvl="0">
      <w:lvlJc w:val="left"/>
      <w:lvlText w:val="3"/>
      <w:numFmt w:val="bullet"/>
      <w:start w:val="1"/>
    </w:lvl>
  </w:abstractNum>
  <w:abstractNum w:abstractNumId="24">
    <w:nsid w:val="3A95F874"/>
    <w:multiLevelType w:val="hybridMultilevel"/>
    <w:lvl w:ilvl="0">
      <w:lvlJc w:val="left"/>
      <w:lvlText w:val="4"/>
      <w:numFmt w:val="bullet"/>
      <w:start w:val="1"/>
    </w:lvl>
  </w:abstractNum>
  <w:abstractNum w:abstractNumId="25">
    <w:nsid w:val="8138641"/>
    <w:multiLevelType w:val="hybridMultilevel"/>
    <w:lvl w:ilvl="0">
      <w:lvlJc w:val="left"/>
      <w:lvlText w:val="9"/>
      <w:numFmt w:val="bullet"/>
      <w:start w:val="1"/>
    </w:lvl>
  </w:abstractNum>
  <w:abstractNum w:abstractNumId="26">
    <w:nsid w:val="1E7FF521"/>
    <w:multiLevelType w:val="hybridMultilevel"/>
    <w:lvl w:ilvl="0">
      <w:lvlJc w:val="left"/>
      <w:lvlText w:val="%1"/>
      <w:numFmt w:val="decimal"/>
      <w:start w:val="10"/>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2"/>
      <w:numFmt w:val="bullet"/>
      <w:start w:val="1"/>
    </w:lvl>
  </w:abstractNum>
  <w:abstractNum w:abstractNumId="29">
    <w:nsid w:val="6CEAF087"/>
    <w:multiLevelType w:val="hybridMultilevel"/>
    <w:lvl w:ilvl="0">
      <w:lvlJc w:val="left"/>
      <w:lvlText w:val="3"/>
      <w:numFmt w:val="bullet"/>
      <w:start w:val="1"/>
    </w:lvl>
  </w:abstractNum>
  <w:abstractNum w:abstractNumId="30">
    <w:nsid w:val="22221A70"/>
    <w:multiLevelType w:val="hybridMultilevel"/>
    <w:lvl w:ilvl="0">
      <w:lvlJc w:val="left"/>
      <w:lvlText w:val="4"/>
      <w:numFmt w:val="bullet"/>
      <w:start w:val="1"/>
    </w:lvl>
  </w:abstractNum>
  <w:abstractNum w:abstractNumId="31">
    <w:nsid w:val="4516DDE9"/>
    <w:multiLevelType w:val="hybridMultilevel"/>
    <w:lvl w:ilvl="0">
      <w:lvlJc w:val="left"/>
      <w:lvlText w:val="9"/>
      <w:numFmt w:val="bullet"/>
      <w:start w:val="1"/>
    </w:lvl>
  </w:abstractNum>
  <w:abstractNum w:abstractNumId="32">
    <w:nsid w:val="3006C83E"/>
    <w:multiLevelType w:val="hybridMultilevel"/>
    <w:lvl w:ilvl="0">
      <w:lvlJc w:val="left"/>
      <w:lvlText w:val="%1"/>
      <w:numFmt w:val="decimal"/>
      <w:start w:val="10"/>
    </w:lvl>
  </w:abstractNum>
  <w:abstractNum w:abstractNumId="33">
    <w:nsid w:val="614FD4A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2019-12-17T07:47:22Z</dcterms:created>
  <dcterms:modified xsi:type="dcterms:W3CDTF">2019-12-17T07:47:22Z</dcterms:modified>
</cp:coreProperties>
</file>