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602615</wp:posOffset>
            </wp:positionH>
            <wp:positionV relativeFrom="page">
              <wp:posOffset>706120</wp:posOffset>
            </wp:positionV>
            <wp:extent cx="66522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page">
              <wp:posOffset>602615</wp:posOffset>
            </wp:positionH>
            <wp:positionV relativeFrom="page">
              <wp:posOffset>732155</wp:posOffset>
            </wp:positionV>
            <wp:extent cx="66522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52260" cy="8255"/>
                    </a:xfrm>
                    <a:prstGeom prst="rect">
                      <a:avLst/>
                    </a:prstGeom>
                    <a:noFill/>
                  </pic:spPr>
                </pic:pic>
              </a:graphicData>
            </a:graphic>
          </wp:anchor>
        </w:drawing>
        <w:t>UNITED STATES</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4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69" w:lineRule="exact"/>
        <w:rPr>
          <w:rFonts w:ascii="MS PGothic" w:cs="MS PGothic" w:eastAsia="MS PGothic" w:hAnsi="MS PGothic"/>
          <w:sz w:val="22"/>
          <w:szCs w:val="22"/>
          <w:color w:val="auto"/>
        </w:rPr>
      </w:pPr>
    </w:p>
    <w:p>
      <w:pPr>
        <w:ind w:left="3760"/>
        <w:spacing w:after="0"/>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For the quarterly period ended October 31, 2022</w:t>
      </w:r>
    </w:p>
    <w:p>
      <w:pPr>
        <w:spacing w:after="0" w:line="6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6"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58" w:lineRule="exact"/>
        <w:rPr>
          <w:sz w:val="24"/>
          <w:szCs w:val="24"/>
          <w:color w:val="auto"/>
        </w:rPr>
      </w:pPr>
    </w:p>
    <w:p>
      <w:pPr>
        <w:ind w:left="396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4018915</wp:posOffset>
            </wp:positionH>
            <wp:positionV relativeFrom="paragraph">
              <wp:posOffset>-6350</wp:posOffset>
            </wp:positionV>
            <wp:extent cx="609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9600" cy="8255"/>
                    </a:xfrm>
                    <a:prstGeom prst="rect">
                      <a:avLst/>
                    </a:prstGeom>
                    <a:noFill/>
                  </pic:spPr>
                </pic:pic>
              </a:graphicData>
            </a:graphic>
          </wp:anchor>
        </w:drawing>
      </w:r>
    </w:p>
    <w:p>
      <w:pPr>
        <w:spacing w:after="0" w:line="9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001-38240</w:t>
      </w:r>
    </w:p>
    <w:p>
      <w:pPr>
        <w:spacing w:after="0" w:line="63"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MONGODB, INC.</w:t>
      </w:r>
    </w:p>
    <w:p>
      <w:pPr>
        <w:spacing w:after="0" w:line="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47" w:lineRule="exact"/>
        <w:rPr>
          <w:sz w:val="24"/>
          <w:szCs w:val="24"/>
          <w:color w:val="auto"/>
        </w:rPr>
      </w:pPr>
    </w:p>
    <w:tbl>
      <w:tblPr>
        <w:tblLayout w:type="fixed"/>
        <w:tblInd w:w="2080" w:type="dxa"/>
        <w:tblCellMar>
          <w:top w:w="0" w:type="dxa"/>
          <w:left w:w="0" w:type="dxa"/>
          <w:bottom w:w="0" w:type="dxa"/>
          <w:right w:w="0" w:type="dxa"/>
        </w:tblCellMar>
      </w:tblPr>
      <w:tr>
        <w:trPr>
          <w:trHeight w:val="227"/>
        </w:trPr>
        <w:tc>
          <w:tcPr>
            <w:tcW w:w="3880" w:type="dxa"/>
            <w:vAlign w:val="bottom"/>
          </w:tcPr>
          <w:p>
            <w:pPr>
              <w:jc w:val="center"/>
              <w:ind w:right="13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6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26-1463205</w:t>
            </w:r>
          </w:p>
        </w:tc>
      </w:tr>
      <w:tr>
        <w:trPr>
          <w:trHeight w:val="146"/>
        </w:trPr>
        <w:tc>
          <w:tcPr>
            <w:tcW w:w="3880" w:type="dxa"/>
            <w:vAlign w:val="bottom"/>
          </w:tcPr>
          <w:p>
            <w:pPr>
              <w:jc w:val="center"/>
              <w:ind w:right="1359"/>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560" w:type="dxa"/>
            <w:vAlign w:val="bottom"/>
          </w:tcPr>
          <w:p>
            <w:pPr>
              <w:jc w:val="center"/>
              <w:ind w:left="132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80" w:type="dxa"/>
            <w:vAlign w:val="bottom"/>
          </w:tcPr>
          <w:p>
            <w:pPr>
              <w:jc w:val="center"/>
              <w:ind w:right="13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5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1633 Broadway, 38th Floor</w:t>
            </w:r>
          </w:p>
        </w:tc>
        <w:tc>
          <w:tcPr>
            <w:tcW w:w="2560" w:type="dxa"/>
            <w:vAlign w:val="bottom"/>
          </w:tcPr>
          <w:p>
            <w:pPr>
              <w:spacing w:after="0"/>
              <w:rPr>
                <w:sz w:val="24"/>
                <w:szCs w:val="24"/>
                <w:color w:val="auto"/>
              </w:rPr>
            </w:pPr>
          </w:p>
        </w:tc>
      </w:tr>
      <w:tr>
        <w:trPr>
          <w:trHeight w:val="286"/>
        </w:trPr>
        <w:tc>
          <w:tcPr>
            <w:tcW w:w="38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New York, NY</w:t>
            </w:r>
          </w:p>
        </w:tc>
        <w:tc>
          <w:tcPr>
            <w:tcW w:w="2560" w:type="dxa"/>
            <w:vAlign w:val="bottom"/>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10019</w:t>
            </w:r>
          </w:p>
        </w:tc>
      </w:tr>
      <w:tr>
        <w:trPr>
          <w:trHeight w:val="190"/>
        </w:trPr>
        <w:tc>
          <w:tcPr>
            <w:tcW w:w="3880" w:type="dxa"/>
            <w:vAlign w:val="bottom"/>
          </w:tcPr>
          <w:p>
            <w:pPr>
              <w:jc w:val="center"/>
              <w:ind w:right="13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60" w:type="dxa"/>
            <w:vAlign w:val="bottom"/>
          </w:tcPr>
          <w:p>
            <w:pPr>
              <w:jc w:val="center"/>
              <w:ind w:left="13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646-727-4092</w:t>
      </w:r>
    </w:p>
    <w:p>
      <w:pPr>
        <w:spacing w:after="0" w:line="6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7"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69"/>
        </w:trPr>
        <w:tc>
          <w:tcPr>
            <w:tcW w:w="3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Common Stock, par value $0.001 per</w:t>
            </w:r>
          </w:p>
        </w:tc>
        <w:tc>
          <w:tcPr>
            <w:tcW w:w="140" w:type="dxa"/>
            <w:vAlign w:val="bottom"/>
          </w:tcPr>
          <w:p>
            <w:pPr>
              <w:spacing w:after="0"/>
              <w:rPr>
                <w:sz w:val="14"/>
                <w:szCs w:val="14"/>
                <w:color w:val="auto"/>
              </w:rPr>
            </w:pPr>
          </w:p>
        </w:tc>
        <w:tc>
          <w:tcPr>
            <w:tcW w:w="3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MDB</w:t>
            </w:r>
          </w:p>
        </w:tc>
        <w:tc>
          <w:tcPr>
            <w:tcW w:w="140" w:type="dxa"/>
            <w:vAlign w:val="bottom"/>
          </w:tcPr>
          <w:p>
            <w:pPr>
              <w:spacing w:after="0"/>
              <w:rPr>
                <w:sz w:val="14"/>
                <w:szCs w:val="14"/>
                <w:color w:val="auto"/>
              </w:rPr>
            </w:pPr>
          </w:p>
        </w:tc>
        <w:tc>
          <w:tcPr>
            <w:tcW w:w="3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83"/>
        </w:trPr>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share</w:t>
            </w: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27" w:lineRule="exact"/>
        <w:rPr>
          <w:sz w:val="24"/>
          <w:szCs w:val="24"/>
          <w:color w:val="auto"/>
        </w:rPr>
      </w:pPr>
    </w:p>
    <w:p>
      <w:pPr>
        <w:ind w:firstLine="445"/>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w:t>
      </w:r>
    </w:p>
    <w:p>
      <w:pPr>
        <w:spacing w:after="0" w:line="1" w:lineRule="exact"/>
        <w:rPr>
          <w:sz w:val="24"/>
          <w:szCs w:val="24"/>
          <w:color w:val="auto"/>
        </w:rPr>
      </w:pPr>
    </w:p>
    <w:p>
      <w:pPr>
        <w:spacing w:after="0" w:line="242" w:lineRule="exact"/>
        <w:tabs>
          <w:tab w:leader="none" w:pos="2140" w:val="left"/>
        </w:tabs>
        <w:rPr>
          <w:sz w:val="20"/>
          <w:szCs w:val="20"/>
          <w:color w:val="auto"/>
        </w:rPr>
      </w:pPr>
      <w:r>
        <w:rPr>
          <w:rFonts w:ascii="Times New Roman" w:cs="Times New Roman" w:eastAsia="Times New Roman" w:hAnsi="Times New Roman"/>
          <w:sz w:val="17"/>
          <w:szCs w:val="17"/>
          <w:color w:val="auto"/>
        </w:rPr>
        <w:t xml:space="preserve">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21"/>
          <w:szCs w:val="21"/>
          <w:color w:val="auto"/>
        </w:rPr>
        <w:t>☐</w:t>
      </w:r>
    </w:p>
    <w:p>
      <w:pPr>
        <w:spacing w:after="0" w:line="51" w:lineRule="exact"/>
        <w:rPr>
          <w:sz w:val="24"/>
          <w:szCs w:val="24"/>
          <w:color w:val="auto"/>
        </w:rPr>
      </w:pPr>
    </w:p>
    <w:p>
      <w:pPr>
        <w:ind w:right="20" w:firstLine="445"/>
        <w:spacing w:after="0" w:line="24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21"/>
          <w:szCs w:val="21"/>
          <w:color w:val="auto"/>
        </w:rPr>
        <w:t>☐</w:t>
      </w:r>
    </w:p>
    <w:p>
      <w:pPr>
        <w:spacing w:after="0" w:line="13" w:lineRule="exact"/>
        <w:rPr>
          <w:sz w:val="24"/>
          <w:szCs w:val="24"/>
          <w:color w:val="auto"/>
        </w:rPr>
      </w:pPr>
    </w:p>
    <w:p>
      <w:pPr>
        <w:ind w:right="220" w:firstLine="445"/>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tbl>
      <w:tblPr>
        <w:tblLayout w:type="fixed"/>
        <w:tblInd w:w="48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2280"/>
              <w:spacing w:after="0"/>
              <w:rPr>
                <w:sz w:val="20"/>
                <w:szCs w:val="20"/>
                <w:color w:val="auto"/>
              </w:rPr>
            </w:pPr>
            <w:r>
              <w:rPr>
                <w:rFonts w:ascii="Times New Roman" w:cs="Times New Roman" w:eastAsia="Times New Roman" w:hAnsi="Times New Roman"/>
                <w:sz w:val="17"/>
                <w:szCs w:val="17"/>
                <w:color w:val="auto"/>
              </w:rPr>
              <w:t>Accelerated filer</w:t>
            </w:r>
          </w:p>
        </w:tc>
        <w:tc>
          <w:tcPr>
            <w:tcW w:w="5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29"/>
        </w:trPr>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000" w:type="dxa"/>
            <w:vAlign w:val="bottom"/>
          </w:tcPr>
          <w:p>
            <w:pPr>
              <w:ind w:left="560"/>
              <w:spacing w:after="0" w:line="171" w:lineRule="exact"/>
              <w:rPr>
                <w:sz w:val="20"/>
                <w:szCs w:val="20"/>
                <w:color w:val="auto"/>
              </w:rPr>
            </w:pPr>
            <w:r>
              <w:rPr>
                <w:rFonts w:ascii="MS PGothic" w:cs="MS PGothic" w:eastAsia="MS PGothic" w:hAnsi="MS PGothic"/>
                <w:sz w:val="17"/>
                <w:szCs w:val="17"/>
                <w:color w:val="auto"/>
              </w:rPr>
              <w:t>☐</w:t>
            </w:r>
          </w:p>
        </w:tc>
        <w:tc>
          <w:tcPr>
            <w:tcW w:w="4520" w:type="dxa"/>
            <w:vAlign w:val="bottom"/>
          </w:tcPr>
          <w:p>
            <w:pPr>
              <w:ind w:left="22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5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69"/>
        </w:trPr>
        <w:tc>
          <w:tcPr>
            <w:tcW w:w="206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4520" w:type="dxa"/>
            <w:vAlign w:val="bottom"/>
          </w:tcPr>
          <w:p>
            <w:pPr>
              <w:ind w:left="2280"/>
              <w:spacing w:after="0"/>
              <w:rPr>
                <w:sz w:val="20"/>
                <w:szCs w:val="20"/>
                <w:color w:val="auto"/>
              </w:rPr>
            </w:pPr>
            <w:r>
              <w:rPr>
                <w:rFonts w:ascii="Times New Roman" w:cs="Times New Roman" w:eastAsia="Times New Roman" w:hAnsi="Times New Roman"/>
                <w:sz w:val="17"/>
                <w:szCs w:val="17"/>
                <w:color w:val="auto"/>
              </w:rPr>
              <w:t>Emerging growth company</w:t>
            </w:r>
          </w:p>
        </w:tc>
        <w:tc>
          <w:tcPr>
            <w:tcW w:w="5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24" w:lineRule="exact"/>
        <w:rPr>
          <w:sz w:val="24"/>
          <w:szCs w:val="24"/>
          <w:color w:val="auto"/>
        </w:rPr>
      </w:pPr>
    </w:p>
    <w:p>
      <w:pPr>
        <w:ind w:right="20" w:firstLine="445"/>
        <w:spacing w:after="0" w:line="25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 w:lineRule="exact"/>
        <w:rPr>
          <w:sz w:val="24"/>
          <w:szCs w:val="24"/>
          <w:color w:val="auto"/>
        </w:rPr>
      </w:pPr>
    </w:p>
    <w:p>
      <w:pPr>
        <w:ind w:left="460" w:right="1740"/>
        <w:spacing w:after="0" w:line="26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December 5, 2022, there were 69,285,760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96520</wp:posOffset>
            </wp:positionV>
            <wp:extent cx="6652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121920</wp:posOffset>
            </wp:positionV>
            <wp:extent cx="6652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52260" cy="8890"/>
                    </a:xfrm>
                    <a:prstGeom prst="rect">
                      <a:avLst/>
                    </a:prstGeom>
                    <a:noFill/>
                  </pic:spPr>
                </pic:pic>
              </a:graphicData>
            </a:graphic>
          </wp:anchor>
        </w:drawing>
      </w:r>
    </w:p>
    <w:p>
      <w:pPr>
        <w:sectPr>
          <w:pgSz w:w="11900" w:h="16838" w:orient="portrait"/>
          <w:cols w:equalWidth="0" w:num="1">
            <w:col w:w="11160"/>
          </w:cols>
          <w:pgMar w:left="320" w:top="1235" w:right="419" w:bottom="1440" w:gutter="0" w:footer="0" w:header="0"/>
        </w:sectPr>
      </w:pPr>
    </w:p>
    <w:bookmarkStart w:id="1" w:name="page2"/>
    <w:bookmarkEnd w:id="1"/>
    <w:p>
      <w:pPr>
        <w:jc w:val="center"/>
        <w:ind w:right="-459"/>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ectPr>
          <w:pgSz w:w="11900" w:h="16838" w:orient="portrait"/>
          <w:cols w:equalWidth="0" w:num="1">
            <w:col w:w="10840"/>
          </w:cols>
          <w:pgMar w:left="540" w:top="1256"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Item 2.</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Item 3.</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Item 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0"/>
        <w:spacing w:after="0" w:line="380" w:lineRule="auto"/>
        <w:rPr>
          <w:sz w:val="20"/>
          <w:szCs w:val="20"/>
          <w:color w:val="auto"/>
        </w:rPr>
      </w:pPr>
      <w:r>
        <w:rPr>
          <w:rFonts w:ascii="Times New Roman" w:cs="Times New Roman" w:eastAsia="Times New Roman" w:hAnsi="Times New Roman"/>
          <w:sz w:val="18"/>
          <w:szCs w:val="18"/>
          <w:u w:val="single" w:color="auto"/>
          <w:color w:val="0000FF"/>
        </w:rPr>
        <w:t>Item 1. Item 1A. Item 2. Item 3. Item 4. Item 5. Item 6. 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60" w:type="dxa"/>
            <w:vAlign w:val="bottom"/>
            <w:vMerge w:val="restart"/>
          </w:tcPr>
          <w:p>
            <w:pPr>
              <w:spacing w:after="0"/>
              <w:rPr>
                <w:sz w:val="2"/>
                <w:szCs w:val="2"/>
                <w:color w:val="auto"/>
              </w:rPr>
            </w:pPr>
          </w:p>
        </w:tc>
        <w:tc>
          <w:tcPr>
            <w:tcW w:w="3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560" w:type="dxa"/>
            <w:vAlign w:val="bottom"/>
            <w:vMerge w:val="restart"/>
          </w:tcPr>
          <w:p>
            <w:pPr>
              <w:spacing w:after="0"/>
              <w:rPr>
                <w:sz w:val="2"/>
                <w:szCs w:val="2"/>
                <w:color w:val="auto"/>
              </w:rPr>
            </w:pPr>
          </w:p>
        </w:tc>
        <w:tc>
          <w:tcPr>
            <w:tcW w:w="580" w:type="dxa"/>
            <w:vAlign w:val="bottom"/>
            <w:vMerge w:val="restart"/>
          </w:tcPr>
          <w:p>
            <w:pPr>
              <w:spacing w:after="0"/>
              <w:rPr>
                <w:sz w:val="2"/>
                <w:szCs w:val="2"/>
                <w:color w:val="auto"/>
              </w:rPr>
            </w:pPr>
          </w:p>
        </w:tc>
        <w:tc>
          <w:tcPr>
            <w:tcW w:w="30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3360" w:type="dxa"/>
            <w:vAlign w:val="bottom"/>
            <w:gridSpan w:val="7"/>
            <w:vMerge w:val="restart"/>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060" w:type="dxa"/>
            <w:vAlign w:val="bottom"/>
            <w:tcBorders>
              <w:bottom w:val="single" w:sz="8" w:color="0000FF"/>
            </w:tcBorders>
            <w:gridSpan w:val="5"/>
            <w:vMerge w:val="continue"/>
          </w:tcPr>
          <w:p>
            <w:pPr>
              <w:spacing w:after="0"/>
              <w:rPr>
                <w:sz w:val="14"/>
                <w:szCs w:val="14"/>
                <w:color w:val="auto"/>
              </w:rPr>
            </w:pPr>
          </w:p>
        </w:tc>
        <w:tc>
          <w:tcPr>
            <w:tcW w:w="3360" w:type="dxa"/>
            <w:vAlign w:val="bottom"/>
            <w:gridSpan w:val="7"/>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9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9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Sheets as of October 31, 2022 and January 31, 2022</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91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Operations for the three and nine months ended October 31, 2022 and 2021</w:t>
            </w:r>
          </w:p>
        </w:tc>
        <w:tc>
          <w:tcPr>
            <w:tcW w:w="60" w:type="dxa"/>
            <w:vAlign w:val="bottom"/>
            <w:gridSpan w:val="2"/>
          </w:tcPr>
          <w:p>
            <w:pPr>
              <w:spacing w:after="0"/>
              <w:rPr>
                <w:sz w:val="20"/>
                <w:szCs w:val="20"/>
                <w:color w:val="auto"/>
              </w:rPr>
            </w:pPr>
          </w:p>
        </w:tc>
        <w:tc>
          <w:tcPr>
            <w:tcW w:w="420" w:type="dxa"/>
            <w:vAlign w:val="bottom"/>
            <w:gridSpan w:val="2"/>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91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Comprehensive Loss for the three and nine months ended October 31, 2022</w:t>
            </w:r>
          </w:p>
        </w:tc>
        <w:tc>
          <w:tcPr>
            <w:tcW w:w="40" w:type="dxa"/>
            <w:vAlign w:val="bottom"/>
          </w:tcPr>
          <w:p>
            <w:pPr>
              <w:spacing w:after="0"/>
              <w:rPr>
                <w:sz w:val="18"/>
                <w:szCs w:val="18"/>
                <w:color w:val="auto"/>
              </w:rPr>
            </w:pPr>
          </w:p>
        </w:tc>
        <w:tc>
          <w:tcPr>
            <w:tcW w:w="5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75"/>
        </w:trPr>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gridSpan w:val="3"/>
            <w:vMerge w:val="restart"/>
          </w:tcPr>
          <w:p>
            <w:pPr>
              <w:spacing w:after="0" w:line="169" w:lineRule="exact"/>
              <w:rPr>
                <w:sz w:val="20"/>
                <w:szCs w:val="20"/>
                <w:color w:val="auto"/>
              </w:rPr>
            </w:pPr>
            <w:r>
              <w:rPr>
                <w:rFonts w:ascii="Times New Roman" w:cs="Times New Roman" w:eastAsia="Times New Roman" w:hAnsi="Times New Roman"/>
                <w:sz w:val="18"/>
                <w:szCs w:val="18"/>
                <w:color w:val="0000FF"/>
                <w:w w:val="99"/>
              </w:rPr>
              <w:t>and 2021</w:t>
            </w:r>
          </w:p>
        </w:tc>
        <w:tc>
          <w:tcPr>
            <w:tcW w:w="8160" w:type="dxa"/>
            <w:vAlign w:val="bottom"/>
            <w:gridSpan w:val="17"/>
            <w:vMerge w:val="restart"/>
          </w:tcPr>
          <w:p>
            <w:pPr>
              <w:spacing w:after="0"/>
              <w:rPr>
                <w:sz w:val="6"/>
                <w:szCs w:val="6"/>
                <w:color w:val="auto"/>
              </w:rPr>
            </w:pPr>
          </w:p>
        </w:tc>
        <w:tc>
          <w:tcPr>
            <w:tcW w:w="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Borders>
              <w:bottom w:val="single" w:sz="8" w:color="0000FF"/>
            </w:tcBorders>
            <w:gridSpan w:val="3"/>
            <w:vMerge w:val="continue"/>
          </w:tcPr>
          <w:p>
            <w:pPr>
              <w:spacing w:after="0"/>
              <w:rPr>
                <w:sz w:val="6"/>
                <w:szCs w:val="6"/>
                <w:color w:val="auto"/>
              </w:rPr>
            </w:pPr>
          </w:p>
        </w:tc>
        <w:tc>
          <w:tcPr>
            <w:tcW w:w="8160" w:type="dxa"/>
            <w:vAlign w:val="bottom"/>
            <w:gridSpan w:val="17"/>
            <w:vMerge w:val="continue"/>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58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Stockholders’ Equity (Deficit)</w:t>
            </w:r>
          </w:p>
        </w:tc>
        <w:tc>
          <w:tcPr>
            <w:tcW w:w="3300" w:type="dxa"/>
            <w:vAlign w:val="bottom"/>
            <w:gridSpan w:val="6"/>
          </w:tcPr>
          <w:p>
            <w:pPr>
              <w:spacing w:after="0"/>
              <w:rPr>
                <w:sz w:val="18"/>
                <w:szCs w:val="18"/>
                <w:color w:val="auto"/>
              </w:rPr>
            </w:pPr>
          </w:p>
        </w:tc>
        <w:tc>
          <w:tcPr>
            <w:tcW w:w="42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9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nine months ended October 31, 2022 and 2021</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4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720" w:type="dxa"/>
            <w:vAlign w:val="bottom"/>
            <w:gridSpan w:val="3"/>
          </w:tcPr>
          <w:p>
            <w:pPr>
              <w:spacing w:after="0"/>
              <w:rPr>
                <w:sz w:val="18"/>
                <w:szCs w:val="18"/>
                <w:color w:val="auto"/>
              </w:rPr>
            </w:pPr>
          </w:p>
        </w:tc>
        <w:tc>
          <w:tcPr>
            <w:tcW w:w="420" w:type="dxa"/>
            <w:vAlign w:val="bottom"/>
            <w:gridSpan w:val="2"/>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60" w:type="dxa"/>
            <w:vAlign w:val="bottom"/>
            <w:gridSpan w:val="5"/>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20" w:type="dxa"/>
            <w:vAlign w:val="bottom"/>
            <w:gridSpan w:val="5"/>
          </w:tcPr>
          <w:p>
            <w:pPr>
              <w:spacing w:after="0"/>
              <w:rPr>
                <w:sz w:val="24"/>
                <w:szCs w:val="24"/>
                <w:color w:val="auto"/>
              </w:rPr>
            </w:pPr>
          </w:p>
        </w:tc>
        <w:tc>
          <w:tcPr>
            <w:tcW w:w="2860" w:type="dxa"/>
            <w:vAlign w:val="bottom"/>
            <w:gridSpan w:val="5"/>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980" w:type="dxa"/>
            <w:vAlign w:val="bottom"/>
            <w:gridSpan w:val="10"/>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80" w:type="dxa"/>
            <w:vAlign w:val="bottom"/>
            <w:gridSpan w:val="11"/>
          </w:tcPr>
          <w:p>
            <w:pPr>
              <w:jc w:val="center"/>
              <w:ind w:right="3520"/>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3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1720" w:type="dxa"/>
            <w:vAlign w:val="bottom"/>
            <w:gridSpan w:val="5"/>
          </w:tcPr>
          <w:p>
            <w:pPr>
              <w:spacing w:after="0"/>
              <w:rPr>
                <w:sz w:val="24"/>
                <w:szCs w:val="24"/>
                <w:color w:val="auto"/>
              </w:rPr>
            </w:pPr>
          </w:p>
        </w:tc>
        <w:tc>
          <w:tcPr>
            <w:tcW w:w="2760" w:type="dxa"/>
            <w:vAlign w:val="bottom"/>
            <w:tcBorders>
              <w:top w:val="single" w:sz="8" w:color="0000FF"/>
            </w:tcBorders>
            <w:gridSpan w:val="3"/>
          </w:tcPr>
          <w:p>
            <w:pPr>
              <w:spacing w:after="0"/>
              <w:rPr>
                <w:sz w:val="24"/>
                <w:szCs w:val="24"/>
                <w:color w:val="auto"/>
              </w:rPr>
            </w:pPr>
          </w:p>
        </w:tc>
        <w:tc>
          <w:tcPr>
            <w:tcW w:w="3520" w:type="dxa"/>
            <w:vAlign w:val="bottom"/>
            <w:gridSpan w:val="8"/>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000" w:type="dxa"/>
            <w:vAlign w:val="bottom"/>
            <w:gridSpan w:val="16"/>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980" w:type="dxa"/>
            <w:vAlign w:val="bottom"/>
            <w:gridSpan w:val="10"/>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7000" w:type="dxa"/>
            <w:vAlign w:val="bottom"/>
            <w:gridSpan w:val="1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00" w:type="dxa"/>
            <w:vAlign w:val="bottom"/>
            <w:gridSpan w:val="13"/>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2"/>
          </w:tcPr>
          <w:p>
            <w:pPr>
              <w:spacing w:after="0"/>
              <w:rPr>
                <w:sz w:val="24"/>
                <w:szCs w:val="24"/>
                <w:color w:val="auto"/>
              </w:rPr>
            </w:pPr>
          </w:p>
        </w:tc>
        <w:tc>
          <w:tcPr>
            <w:tcW w:w="7560" w:type="dxa"/>
            <w:vAlign w:val="bottom"/>
            <w:gridSpan w:val="14"/>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000" w:type="dxa"/>
            <w:vAlign w:val="bottom"/>
            <w:gridSpan w:val="1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Exhibits</w:t>
            </w:r>
          </w:p>
        </w:tc>
        <w:tc>
          <w:tcPr>
            <w:tcW w:w="8000" w:type="dxa"/>
            <w:vAlign w:val="bottom"/>
            <w:gridSpan w:val="16"/>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1264285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-3719830</wp:posOffset>
            </wp:positionV>
            <wp:extent cx="689229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-3342640</wp:posOffset>
            </wp:positionV>
            <wp:extent cx="689229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2290" cy="14605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-2931160</wp:posOffset>
            </wp:positionV>
            <wp:extent cx="689229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2290" cy="14541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-2639695</wp:posOffset>
            </wp:positionV>
            <wp:extent cx="689229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2290" cy="14541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-2287905</wp:posOffset>
            </wp:positionV>
            <wp:extent cx="689229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-1877060</wp:posOffset>
            </wp:positionV>
            <wp:extent cx="689229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92290" cy="16319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-1568450</wp:posOffset>
            </wp:positionV>
            <wp:extent cx="689229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-1156970</wp:posOffset>
            </wp:positionV>
            <wp:extent cx="689229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-745490</wp:posOffset>
            </wp:positionV>
            <wp:extent cx="689229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-334010</wp:posOffset>
            </wp:positionV>
            <wp:extent cx="689229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92290" cy="205740"/>
                    </a:xfrm>
                    <a:prstGeom prst="rect">
                      <a:avLst/>
                    </a:prstGeom>
                    <a:noFill/>
                  </pic:spPr>
                </pic:pic>
              </a:graphicData>
            </a:graphic>
          </wp:anchor>
        </w:drawing>
      </w:r>
    </w:p>
    <w:p>
      <w:pPr>
        <w:sectPr>
          <w:pgSz w:w="11900" w:h="16838" w:orient="portrait"/>
          <w:cols w:equalWidth="0" w:num="2">
            <w:col w:w="760" w:space="220"/>
            <w:col w:w="9860"/>
          </w:cols>
          <w:pgMar w:left="540" w:top="1256" w:right="5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PART I—FINANCIAL INFORMATION</w:t>
      </w:r>
    </w:p>
    <w:p>
      <w:pPr>
        <w:spacing w:after="0" w:line="112"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b w:val="1"/>
          <w:bCs w:val="1"/>
          <w:color w:val="auto"/>
        </w:rPr>
        <w:t>ITEM 1.</w:t>
      </w:r>
      <w:r>
        <w:rPr>
          <w:sz w:val="20"/>
          <w:szCs w:val="20"/>
          <w:color w:val="auto"/>
        </w:rPr>
        <w:tab/>
      </w:r>
      <w:r>
        <w:rPr>
          <w:rFonts w:ascii="Times New Roman" w:cs="Times New Roman" w:eastAsia="Times New Roman" w:hAnsi="Times New Roman"/>
          <w:sz w:val="21"/>
          <w:szCs w:val="21"/>
          <w:b w:val="1"/>
          <w:bCs w:val="1"/>
          <w:color w:val="auto"/>
        </w:rPr>
        <w:t>FINANCIAL STATEMENTS.</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24" w:lineRule="exact"/>
        <w:rPr>
          <w:sz w:val="20"/>
          <w:szCs w:val="20"/>
          <w:color w:val="auto"/>
        </w:rPr>
      </w:pPr>
    </w:p>
    <w:p>
      <w:pPr>
        <w:jc w:val="right"/>
        <w:ind w:right="260"/>
        <w:spacing w:after="0"/>
        <w:tabs>
          <w:tab w:leader="none" w:pos="900" w:val="left"/>
        </w:tabs>
        <w:rPr>
          <w:sz w:val="20"/>
          <w:szCs w:val="20"/>
          <w:color w:val="auto"/>
        </w:rPr>
      </w:pPr>
      <w:r>
        <w:rPr>
          <w:rFonts w:ascii="Times New Roman" w:cs="Times New Roman" w:eastAsia="Times New Roman" w:hAnsi="Times New Roman"/>
          <w:sz w:val="13"/>
          <w:szCs w:val="13"/>
          <w:b w:val="1"/>
          <w:bCs w:val="1"/>
          <w:color w:val="auto"/>
        </w:rPr>
        <w:t>October 31, 2022</w:t>
      </w:r>
      <w:r>
        <w:rPr>
          <w:sz w:val="20"/>
          <w:szCs w:val="20"/>
          <w:color w:val="auto"/>
        </w:rPr>
        <w:tab/>
      </w:r>
      <w:r>
        <w:rPr>
          <w:rFonts w:ascii="Times New Roman" w:cs="Times New Roman" w:eastAsia="Times New Roman" w:hAnsi="Times New Roman"/>
          <w:sz w:val="12"/>
          <w:szCs w:val="12"/>
          <w:b w:val="1"/>
          <w:bCs w:val="1"/>
          <w:color w:val="auto"/>
        </w:rPr>
        <w:t>January 31, 2022</w:t>
      </w:r>
    </w:p>
    <w:p>
      <w:pPr>
        <w:sectPr>
          <w:pgSz w:w="11900" w:h="16838" w:orient="portrait"/>
          <w:cols w:equalWidth="0" w:num="1">
            <w:col w:w="11240"/>
          </w:cols>
          <w:pgMar w:left="320" w:top="130" w:right="339" w:bottom="1440" w:gutter="0" w:footer="0" w:header="0"/>
        </w:sectPr>
      </w:pP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5" w:lineRule="exact"/>
        <w:rPr>
          <w:sz w:val="20"/>
          <w:szCs w:val="20"/>
          <w:color w:val="auto"/>
        </w:rPr>
      </w:pPr>
    </w:p>
    <w:p>
      <w:pPr>
        <w:ind w:left="400"/>
        <w:spacing w:after="0"/>
        <w:tabs>
          <w:tab w:leader="none" w:pos="8220" w:val="left"/>
        </w:tabs>
        <w:rPr>
          <w:sz w:val="20"/>
          <w:szCs w:val="20"/>
          <w:color w:val="auto"/>
        </w:rPr>
      </w:pPr>
      <w:r>
        <w:rPr>
          <w:rFonts w:ascii="Times New Roman" w:cs="Times New Roman" w:eastAsia="Times New Roman" w:hAnsi="Times New Roman"/>
          <w:sz w:val="14"/>
          <w:szCs w:val="14"/>
          <w:color w:val="auto"/>
        </w:rPr>
        <w:t>Cash and cash equivalents</w:t>
      </w:r>
      <w:r>
        <w:rPr>
          <w:sz w:val="20"/>
          <w:szCs w:val="20"/>
          <w:color w:val="auto"/>
        </w:rPr>
        <w:tab/>
      </w:r>
      <w:r>
        <w:rPr>
          <w:rFonts w:ascii="Times New Roman" w:cs="Times New Roman" w:eastAsia="Times New Roman" w:hAnsi="Times New Roman"/>
          <w:sz w:val="12"/>
          <w:szCs w:val="12"/>
          <w:color w:val="auto"/>
        </w:rPr>
        <w:t>$</w:t>
      </w:r>
    </w:p>
    <w:p>
      <w:pPr>
        <w:spacing w:after="0" w:line="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257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$5,457 and $4,966 as of October 31, 2022 and January 31, 2022,</w:t>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respectively</w:t>
      </w:r>
    </w:p>
    <w:p>
      <w:pPr>
        <w:spacing w:after="0" w:line="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Deferred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Prepaid expenses and other current assets</w:t>
      </w:r>
    </w:p>
    <w:p>
      <w:pPr>
        <w:spacing w:after="0" w:line="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Goodwill</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Acquired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Deferred tax assets</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62" w:lineRule="exact"/>
        <w:rPr>
          <w:sz w:val="20"/>
          <w:szCs w:val="20"/>
          <w:color w:val="auto"/>
        </w:rPr>
      </w:pPr>
    </w:p>
    <w:p>
      <w:pPr>
        <w:ind w:left="180"/>
        <w:spacing w:after="0"/>
        <w:tabs>
          <w:tab w:leader="none" w:pos="8220" w:val="left"/>
        </w:tabs>
        <w:rPr>
          <w:sz w:val="20"/>
          <w:szCs w:val="20"/>
          <w:color w:val="auto"/>
        </w:rPr>
      </w:pPr>
      <w:r>
        <w:rPr>
          <w:rFonts w:ascii="Times New Roman" w:cs="Times New Roman" w:eastAsia="Times New Roman" w:hAnsi="Times New Roman"/>
          <w:sz w:val="14"/>
          <w:szCs w:val="14"/>
          <w:color w:val="auto"/>
        </w:rPr>
        <w:t>Total assets</w:t>
      </w:r>
      <w:r>
        <w:rPr>
          <w:sz w:val="20"/>
          <w:szCs w:val="20"/>
          <w:color w:val="auto"/>
        </w:rPr>
        <w:tab/>
      </w:r>
      <w:r>
        <w:rPr>
          <w:rFonts w:ascii="Times New Roman" w:cs="Times New Roman" w:eastAsia="Times New Roman" w:hAnsi="Times New Roman"/>
          <w:sz w:val="12"/>
          <w:szCs w:val="12"/>
          <w:color w:val="auto"/>
        </w:rPr>
        <w:t>$</w:t>
      </w:r>
    </w:p>
    <w:p>
      <w:pPr>
        <w:spacing w:after="0" w:line="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p>
      <w:pPr>
        <w:spacing w:after="0" w:line="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5" w:lineRule="exact"/>
        <w:rPr>
          <w:sz w:val="20"/>
          <w:szCs w:val="20"/>
          <w:color w:val="auto"/>
        </w:rPr>
      </w:pPr>
    </w:p>
    <w:p>
      <w:pPr>
        <w:ind w:left="400"/>
        <w:spacing w:after="0"/>
        <w:tabs>
          <w:tab w:leader="none" w:pos="8220" w:val="left"/>
        </w:tabs>
        <w:rPr>
          <w:sz w:val="20"/>
          <w:szCs w:val="20"/>
          <w:color w:val="auto"/>
        </w:rPr>
      </w:pPr>
      <w:r>
        <w:rPr>
          <w:rFonts w:ascii="Times New Roman" w:cs="Times New Roman" w:eastAsia="Times New Roman" w:hAnsi="Times New Roman"/>
          <w:sz w:val="14"/>
          <w:szCs w:val="14"/>
          <w:color w:val="auto"/>
        </w:rPr>
        <w:t>Accounts payable</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Accrued compensation and benefits</w:t>
      </w:r>
    </w:p>
    <w:p>
      <w:pPr>
        <w:spacing w:after="0" w:line="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Other accrued liabilities</w:t>
      </w:r>
    </w:p>
    <w:p>
      <w:pPr>
        <w:spacing w:after="0" w:line="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Total current liabilities</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Deferred tax liability,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Operating lease liabilities, non-current</w:t>
      </w:r>
    </w:p>
    <w:p>
      <w:pPr>
        <w:spacing w:after="0" w:line="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Deferred revenue,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Convertible senior notes, net</w:t>
      </w:r>
    </w:p>
    <w:p>
      <w:pPr>
        <w:spacing w:after="0" w:line="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Other liabilities,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liabilities</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Commitments and contingencies (Note 7)</w:t>
      </w:r>
    </w:p>
    <w:p>
      <w:pPr>
        <w:spacing w:after="0" w:line="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5" w:lineRule="exact"/>
        <w:rPr>
          <w:sz w:val="20"/>
          <w:szCs w:val="20"/>
          <w:color w:val="auto"/>
        </w:rPr>
      </w:pPr>
    </w:p>
    <w:p>
      <w:pPr>
        <w:ind w:left="400" w:right="120" w:hanging="120"/>
        <w:spacing w:after="0" w:line="271" w:lineRule="auto"/>
        <w:rPr>
          <w:sz w:val="20"/>
          <w:szCs w:val="20"/>
          <w:color w:val="auto"/>
        </w:rPr>
      </w:pPr>
      <w:r>
        <w:rPr>
          <w:rFonts w:ascii="Times New Roman" w:cs="Times New Roman" w:eastAsia="Times New Roman" w:hAnsi="Times New Roman"/>
          <w:sz w:val="14"/>
          <w:szCs w:val="14"/>
          <w:color w:val="auto"/>
        </w:rPr>
        <w:t>Common stock, par value of $0.001 per share; 1,000,000,000 shares authorized as of October 31, 2022 and January 31, 2022; 69,355,046 shares issued and 69,255,675 shares outstanding as of October 31, 2022; 67,543,731 shares issued and 67,444,360 shares outstanding as of January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Additional paid-in capital</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Treasury stock, 99,371 shares (repurchased at an average of $13.27 per share) as of October 31, 2022 and January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Accumulated other comprehensive loss</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stockholders’ equity</w:t>
      </w:r>
    </w:p>
    <w:p>
      <w:pPr>
        <w:spacing w:after="0" w:line="96" w:lineRule="exact"/>
        <w:rPr>
          <w:sz w:val="20"/>
          <w:szCs w:val="20"/>
          <w:color w:val="auto"/>
        </w:rPr>
      </w:pPr>
    </w:p>
    <w:p>
      <w:pPr>
        <w:ind w:left="180"/>
        <w:spacing w:after="0"/>
        <w:tabs>
          <w:tab w:leader="none" w:pos="8220" w:val="left"/>
        </w:tabs>
        <w:rPr>
          <w:sz w:val="20"/>
          <w:szCs w:val="20"/>
          <w:color w:val="auto"/>
        </w:rPr>
      </w:pPr>
      <w:r>
        <w:rPr>
          <w:rFonts w:ascii="Times New Roman" w:cs="Times New Roman" w:eastAsia="Times New Roman" w:hAnsi="Times New Roman"/>
          <w:sz w:val="14"/>
          <w:szCs w:val="14"/>
          <w:color w:val="auto"/>
        </w:rPr>
        <w:t>Total liabilities and stockholders’ equity</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188"/>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999,674</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473,904</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787,858</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1,352,019</w:t>
            </w:r>
          </w:p>
        </w:tc>
        <w:tc>
          <w:tcPr>
            <w:tcW w:w="0" w:type="dxa"/>
            <w:vAlign w:val="bottom"/>
          </w:tcPr>
          <w:p>
            <w:pPr>
              <w:spacing w:after="0"/>
              <w:rPr>
                <w:sz w:val="1"/>
                <w:szCs w:val="1"/>
                <w:color w:val="auto"/>
              </w:rPr>
            </w:pPr>
          </w:p>
        </w:tc>
      </w:tr>
      <w:tr>
        <w:trPr>
          <w:trHeight w:val="405"/>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231,260</w:t>
            </w: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195,383</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77,446</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63,523</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26,017</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32,573</w:t>
            </w:r>
          </w:p>
        </w:tc>
        <w:tc>
          <w:tcPr>
            <w:tcW w:w="0" w:type="dxa"/>
            <w:vAlign w:val="bottom"/>
          </w:tcPr>
          <w:p>
            <w:pPr>
              <w:spacing w:after="0"/>
              <w:rPr>
                <w:sz w:val="1"/>
                <w:szCs w:val="1"/>
                <w:color w:val="auto"/>
              </w:rPr>
            </w:pPr>
          </w:p>
        </w:tc>
      </w:tr>
      <w:tr>
        <w:trPr>
          <w:trHeight w:val="23"/>
        </w:trPr>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99"/>
              </w:rPr>
              <w:t>2,122,255</w:t>
            </w: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2,117,402</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59,489</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62,625</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43,485</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41,745</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57,779</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57,775</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13,723</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20,608</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1,657</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1,939</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168,798</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147,494</w:t>
            </w:r>
          </w:p>
        </w:tc>
        <w:tc>
          <w:tcPr>
            <w:tcW w:w="0" w:type="dxa"/>
            <w:vAlign w:val="bottom"/>
          </w:tcPr>
          <w:p>
            <w:pPr>
              <w:spacing w:after="0"/>
              <w:rPr>
                <w:sz w:val="1"/>
                <w:szCs w:val="1"/>
                <w:color w:val="auto"/>
              </w:rPr>
            </w:pPr>
          </w:p>
        </w:tc>
      </w:tr>
      <w:tr>
        <w:trPr>
          <w:trHeight w:val="23"/>
        </w:trPr>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99"/>
              </w:rPr>
              <w:t>2,467,186</w:t>
            </w: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40" w:type="dxa"/>
            <w:vAlign w:val="bottom"/>
            <w:vMerge w:val="continue"/>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2,449,588</w:t>
            </w:r>
          </w:p>
        </w:tc>
        <w:tc>
          <w:tcPr>
            <w:tcW w:w="0" w:type="dxa"/>
            <w:vAlign w:val="bottom"/>
          </w:tcPr>
          <w:p>
            <w:pPr>
              <w:spacing w:after="0"/>
              <w:rPr>
                <w:sz w:val="1"/>
                <w:szCs w:val="1"/>
                <w:color w:val="auto"/>
              </w:rPr>
            </w:pPr>
          </w:p>
        </w:tc>
      </w:tr>
      <w:tr>
        <w:trPr>
          <w:trHeight w:val="23"/>
        </w:trPr>
        <w:tc>
          <w:tcPr>
            <w:tcW w:w="7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8"/>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7,734</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5,234</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84,443</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112,568</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8,645</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8,084</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52,826</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48,848</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364,159</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352,001</w:t>
            </w:r>
          </w:p>
        </w:tc>
        <w:tc>
          <w:tcPr>
            <w:tcW w:w="0" w:type="dxa"/>
            <w:vAlign w:val="bottom"/>
          </w:tcPr>
          <w:p>
            <w:pPr>
              <w:spacing w:after="0"/>
              <w:rPr>
                <w:sz w:val="1"/>
                <w:szCs w:val="1"/>
                <w:color w:val="auto"/>
              </w:rPr>
            </w:pPr>
          </w:p>
        </w:tc>
      </w:tr>
      <w:tr>
        <w:trPr>
          <w:trHeight w:val="23"/>
        </w:trPr>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517,807</w:t>
            </w: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526,735</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406</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37,261</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38,707</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34,014</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23,179</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9"/>
              </w:rPr>
              <w:t>1,139,042</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1,136,521</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54,374</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57,665</w:t>
            </w:r>
          </w:p>
        </w:tc>
        <w:tc>
          <w:tcPr>
            <w:tcW w:w="0" w:type="dxa"/>
            <w:vAlign w:val="bottom"/>
          </w:tcPr>
          <w:p>
            <w:pPr>
              <w:spacing w:after="0"/>
              <w:rPr>
                <w:sz w:val="1"/>
                <w:szCs w:val="1"/>
                <w:color w:val="auto"/>
              </w:rPr>
            </w:pPr>
          </w:p>
        </w:tc>
      </w:tr>
      <w:tr>
        <w:trPr>
          <w:trHeight w:val="23"/>
        </w:trPr>
        <w:tc>
          <w:tcPr>
            <w:tcW w:w="7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9"/>
              </w:rPr>
              <w:t>1,782,904</w:t>
            </w: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1,782,888</w:t>
            </w:r>
          </w:p>
        </w:tc>
        <w:tc>
          <w:tcPr>
            <w:tcW w:w="0" w:type="dxa"/>
            <w:vAlign w:val="bottom"/>
          </w:tcPr>
          <w:p>
            <w:pPr>
              <w:spacing w:after="0"/>
              <w:rPr>
                <w:sz w:val="1"/>
                <w:szCs w:val="1"/>
                <w:color w:val="auto"/>
              </w:rPr>
            </w:pPr>
          </w:p>
        </w:tc>
      </w:tr>
      <w:tr>
        <w:trPr>
          <w:trHeight w:val="23"/>
        </w:trPr>
        <w:tc>
          <w:tcPr>
            <w:tcW w:w="7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-7620</wp:posOffset>
            </wp:positionV>
            <wp:extent cx="9258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-2056765</wp:posOffset>
            </wp:positionV>
            <wp:extent cx="9258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-3256915</wp:posOffset>
            </wp:positionV>
            <wp:extent cx="9258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69</w:t>
            </w: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30"/>
        </w:trPr>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2,159,957</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1,860,514</w:t>
            </w:r>
          </w:p>
        </w:tc>
        <w:tc>
          <w:tcPr>
            <w:tcW w:w="0" w:type="dxa"/>
            <w:vAlign w:val="bottom"/>
          </w:tcPr>
          <w:p>
            <w:pPr>
              <w:spacing w:after="0"/>
              <w:rPr>
                <w:sz w:val="1"/>
                <w:szCs w:val="1"/>
                <w:color w:val="auto"/>
              </w:rPr>
            </w:pPr>
          </w:p>
        </w:tc>
      </w:tr>
      <w:tr>
        <w:trPr>
          <w:trHeight w:val="230"/>
        </w:trPr>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(1,319)</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0" w:type="dxa"/>
            <w:vAlign w:val="bottom"/>
          </w:tcPr>
          <w:p>
            <w:pPr>
              <w:spacing w:after="0"/>
              <w:rPr>
                <w:sz w:val="1"/>
                <w:szCs w:val="1"/>
                <w:color w:val="auto"/>
              </w:rPr>
            </w:pPr>
          </w:p>
        </w:tc>
      </w:tr>
      <w:tr>
        <w:trPr>
          <w:trHeight w:val="230"/>
        </w:trPr>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(3,791)</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(2,928)</w:t>
            </w:r>
          </w:p>
        </w:tc>
        <w:tc>
          <w:tcPr>
            <w:tcW w:w="0" w:type="dxa"/>
            <w:vAlign w:val="bottom"/>
          </w:tcPr>
          <w:p>
            <w:pPr>
              <w:spacing w:after="0"/>
              <w:rPr>
                <w:sz w:val="1"/>
                <w:szCs w:val="1"/>
                <w:color w:val="auto"/>
              </w:rPr>
            </w:pPr>
          </w:p>
        </w:tc>
      </w:tr>
      <w:tr>
        <w:trPr>
          <w:trHeight w:val="243"/>
        </w:trPr>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97"/>
              </w:rPr>
              <w:t>(1,470,634)</w:t>
            </w: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(1,189,634)</w:t>
            </w:r>
          </w:p>
        </w:tc>
        <w:tc>
          <w:tcPr>
            <w:tcW w:w="0" w:type="dxa"/>
            <w:vAlign w:val="bottom"/>
          </w:tcPr>
          <w:p>
            <w:pPr>
              <w:spacing w:after="0"/>
              <w:rPr>
                <w:sz w:val="1"/>
                <w:szCs w:val="1"/>
                <w:color w:val="auto"/>
              </w:rPr>
            </w:pPr>
          </w:p>
        </w:tc>
      </w:tr>
      <w:tr>
        <w:trPr>
          <w:trHeight w:val="24"/>
        </w:trPr>
        <w:tc>
          <w:tcPr>
            <w:tcW w:w="8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684,282</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666,700</w:t>
            </w:r>
          </w:p>
        </w:tc>
        <w:tc>
          <w:tcPr>
            <w:tcW w:w="0" w:type="dxa"/>
            <w:vAlign w:val="bottom"/>
          </w:tcPr>
          <w:p>
            <w:pPr>
              <w:spacing w:after="0"/>
              <w:rPr>
                <w:sz w:val="1"/>
                <w:szCs w:val="1"/>
                <w:color w:val="auto"/>
              </w:rPr>
            </w:pPr>
          </w:p>
        </w:tc>
      </w:tr>
      <w:tr>
        <w:trPr>
          <w:trHeight w:val="24"/>
        </w:trPr>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2,467,186</w:t>
            </w: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0" w:type="dxa"/>
            <w:vAlign w:val="bottom"/>
            <w:vMerge w:val="continue"/>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2,449,588</w:t>
            </w:r>
          </w:p>
        </w:tc>
        <w:tc>
          <w:tcPr>
            <w:tcW w:w="0" w:type="dxa"/>
            <w:vAlign w:val="bottom"/>
          </w:tcPr>
          <w:p>
            <w:pPr>
              <w:spacing w:after="0"/>
              <w:rPr>
                <w:sz w:val="1"/>
                <w:szCs w:val="1"/>
                <w:color w:val="auto"/>
              </w:rPr>
            </w:pPr>
          </w:p>
        </w:tc>
      </w:tr>
      <w:tr>
        <w:trPr>
          <w:trHeight w:val="24"/>
        </w:trPr>
        <w:tc>
          <w:tcPr>
            <w:tcW w:w="8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-33655</wp:posOffset>
            </wp:positionV>
            <wp:extent cx="9258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-8255</wp:posOffset>
            </wp:positionV>
            <wp:extent cx="9258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-179705</wp:posOffset>
            </wp:positionV>
            <wp:extent cx="9258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680"/>
            <w:col w:w="2260"/>
          </w:cols>
          <w:pgMar w:left="320" w:top="130" w:right="339" w:bottom="1440" w:gutter="0" w:footer="0" w:header="0"/>
          <w:type w:val="continuous"/>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72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37"/>
        </w:trPr>
        <w:tc>
          <w:tcPr>
            <w:tcW w:w="50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50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320,756</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217,871</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886,944</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583,822</w:t>
            </w:r>
          </w:p>
        </w:tc>
        <w:tc>
          <w:tcPr>
            <w:tcW w:w="0" w:type="dxa"/>
            <w:vAlign w:val="bottom"/>
          </w:tcPr>
          <w:p>
            <w:pPr>
              <w:spacing w:after="0"/>
              <w:rPr>
                <w:sz w:val="1"/>
                <w:szCs w:val="1"/>
                <w:color w:val="auto"/>
              </w:rPr>
            </w:pPr>
          </w:p>
        </w:tc>
      </w:tr>
      <w:tr>
        <w:trPr>
          <w:trHeight w:val="283"/>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35,784</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23,466</w:t>
            </w:r>
          </w:p>
        </w:tc>
        <w:tc>
          <w:tcPr>
            <w:tcW w:w="0" w:type="dxa"/>
            <w:vAlign w:val="bottom"/>
          </w:tcPr>
          <w:p>
            <w:pPr>
              <w:spacing w:after="0"/>
              <w:rPr>
                <w:sz w:val="1"/>
                <w:szCs w:val="1"/>
                <w:color w:val="auto"/>
              </w:rPr>
            </w:pPr>
          </w:p>
        </w:tc>
      </w:tr>
      <w:tr>
        <w:trPr>
          <w:trHeight w:val="263"/>
        </w:trPr>
        <w:tc>
          <w:tcPr>
            <w:tcW w:w="50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333,621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226,893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922,728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607,288</w:t>
            </w: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77,150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213,154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153,735</w:t>
            </w:r>
          </w:p>
        </w:tc>
        <w:tc>
          <w:tcPr>
            <w:tcW w:w="0" w:type="dxa"/>
            <w:vAlign w:val="bottom"/>
          </w:tcPr>
          <w:p>
            <w:pPr>
              <w:spacing w:after="0"/>
              <w:rPr>
                <w:sz w:val="1"/>
                <w:szCs w:val="1"/>
                <w:color w:val="auto"/>
              </w:rPr>
            </w:pPr>
          </w:p>
        </w:tc>
      </w:tr>
      <w:tr>
        <w:trPr>
          <w:trHeight w:val="284"/>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16,502</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11,086</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46,990</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29,959</w:t>
            </w:r>
          </w:p>
        </w:tc>
        <w:tc>
          <w:tcPr>
            <w:tcW w:w="0" w:type="dxa"/>
            <w:vAlign w:val="bottom"/>
          </w:tcPr>
          <w:p>
            <w:pPr>
              <w:spacing w:after="0"/>
              <w:rPr>
                <w:sz w:val="1"/>
                <w:szCs w:val="1"/>
                <w:color w:val="auto"/>
              </w:rPr>
            </w:pPr>
          </w:p>
        </w:tc>
      </w:tr>
      <w:tr>
        <w:trPr>
          <w:trHeight w:val="263"/>
        </w:trPr>
        <w:tc>
          <w:tcPr>
            <w:tcW w:w="50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cost of revenue</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93,652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68,464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260,144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183,694</w:t>
            </w: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239,969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158,429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662,584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423,594</w:t>
            </w:r>
          </w:p>
        </w:tc>
        <w:tc>
          <w:tcPr>
            <w:tcW w:w="0" w:type="dxa"/>
            <w:vAlign w:val="bottom"/>
          </w:tcPr>
          <w:p>
            <w:pPr>
              <w:spacing w:after="0"/>
              <w:rPr>
                <w:sz w:val="1"/>
                <w:szCs w:val="1"/>
                <w:color w:val="auto"/>
              </w:rPr>
            </w:pPr>
          </w:p>
        </w:tc>
      </w:tr>
      <w:tr>
        <w:trPr>
          <w:trHeight w:val="229"/>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177,419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509,285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327,627</w:t>
            </w:r>
          </w:p>
        </w:tc>
        <w:tc>
          <w:tcPr>
            <w:tcW w:w="0" w:type="dxa"/>
            <w:vAlign w:val="bottom"/>
          </w:tcPr>
          <w:p>
            <w:pPr>
              <w:spacing w:after="0"/>
              <w:rPr>
                <w:sz w:val="1"/>
                <w:szCs w:val="1"/>
                <w:color w:val="auto"/>
              </w:rPr>
            </w:pPr>
          </w:p>
        </w:tc>
      </w:tr>
      <w:tr>
        <w:trPr>
          <w:trHeight w:val="270"/>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106,392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82,256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310,801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219,403</w:t>
            </w:r>
          </w:p>
        </w:tc>
        <w:tc>
          <w:tcPr>
            <w:tcW w:w="0" w:type="dxa"/>
            <w:vAlign w:val="bottom"/>
          </w:tcPr>
          <w:p>
            <w:pPr>
              <w:spacing w:after="0"/>
              <w:rPr>
                <w:sz w:val="1"/>
                <w:szCs w:val="1"/>
                <w:color w:val="auto"/>
              </w:rPr>
            </w:pPr>
          </w:p>
        </w:tc>
      </w:tr>
      <w:tr>
        <w:trPr>
          <w:trHeight w:val="283"/>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39,081</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32,581</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116,204</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87,309</w:t>
            </w: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322,892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235,197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936,290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634,339</w:t>
            </w: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(82,923)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(210,745)</w:t>
            </w:r>
          </w:p>
        </w:tc>
        <w:tc>
          <w:tcPr>
            <w:tcW w:w="0" w:type="dxa"/>
            <w:vAlign w:val="bottom"/>
          </w:tcPr>
          <w:p>
            <w:pPr>
              <w:spacing w:after="0"/>
              <w:rPr>
                <w:sz w:val="1"/>
                <w:szCs w:val="1"/>
                <w:color w:val="auto"/>
              </w:rPr>
            </w:pPr>
          </w:p>
        </w:tc>
      </w:tr>
      <w:tr>
        <w:trPr>
          <w:trHeight w:val="229"/>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84"/>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(8,811)</w:t>
            </w:r>
          </w:p>
        </w:tc>
        <w:tc>
          <w:tcPr>
            <w:tcW w:w="0" w:type="dxa"/>
            <w:vAlign w:val="bottom"/>
          </w:tcPr>
          <w:p>
            <w:pPr>
              <w:spacing w:after="0"/>
              <w:rPr>
                <w:sz w:val="1"/>
                <w:szCs w:val="1"/>
                <w:color w:val="auto"/>
              </w:rPr>
            </w:pPr>
          </w:p>
        </w:tc>
      </w:tr>
      <w:tr>
        <w:trPr>
          <w:trHeight w:val="283"/>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50"/>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(220,007)</w:t>
            </w:r>
          </w:p>
        </w:tc>
        <w:tc>
          <w:tcPr>
            <w:tcW w:w="0" w:type="dxa"/>
            <w:vAlign w:val="bottom"/>
          </w:tcPr>
          <w:p>
            <w:pPr>
              <w:spacing w:after="0"/>
              <w:rPr>
                <w:sz w:val="1"/>
                <w:szCs w:val="1"/>
                <w:color w:val="auto"/>
              </w:rPr>
            </w:pPr>
          </w:p>
        </w:tc>
      </w:tr>
      <w:tr>
        <w:trPr>
          <w:trHeight w:val="283"/>
        </w:trPr>
        <w:tc>
          <w:tcPr>
            <w:tcW w:w="5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0" w:type="dxa"/>
            <w:vAlign w:val="bottom"/>
          </w:tcPr>
          <w:p>
            <w:pPr>
              <w:spacing w:after="0"/>
              <w:rPr>
                <w:sz w:val="1"/>
                <w:szCs w:val="1"/>
                <w:color w:val="auto"/>
              </w:rPr>
            </w:pPr>
          </w:p>
        </w:tc>
      </w:tr>
      <w:tr>
        <w:trPr>
          <w:trHeight w:val="264"/>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(84,841)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(81,293)</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(281,000)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(222,418)</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0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basic</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0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68,916,813</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66,386,379</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68,325,990</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63,750,884</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72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6"/>
        </w:trPr>
        <w:tc>
          <w:tcPr>
            <w:tcW w:w="5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(222,418)</w:t>
            </w:r>
          </w:p>
        </w:tc>
      </w:tr>
      <w:tr>
        <w:trPr>
          <w:trHeight w:val="229"/>
        </w:trPr>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5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Unrealized income (loss) on available-for-sale securities</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83"/>
        </w:trPr>
        <w:tc>
          <w:tcPr>
            <w:tcW w:w="51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64"/>
        </w:trPr>
        <w:tc>
          <w:tcPr>
            <w:tcW w:w="5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63"/>
        </w:trPr>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(84,438)</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(82,305)</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(281,863)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(223,006)</w:t>
            </w:r>
          </w:p>
        </w:tc>
      </w:tr>
      <w:tr>
        <w:trPr>
          <w:trHeight w:val="20"/>
        </w:trPr>
        <w:tc>
          <w:tcPr>
            <w:tcW w:w="5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20" w:type="dxa"/>
            <w:vAlign w:val="bottom"/>
          </w:tcPr>
          <w:p>
            <w:pPr>
              <w:spacing w:after="0"/>
              <w:rPr>
                <w:sz w:val="14"/>
                <w:szCs w:val="14"/>
                <w:color w:val="auto"/>
              </w:rPr>
            </w:pPr>
          </w:p>
        </w:tc>
        <w:tc>
          <w:tcPr>
            <w:tcW w:w="1900" w:type="dxa"/>
            <w:vAlign w:val="bottom"/>
            <w:gridSpan w:val="3"/>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Additional Paid-</w:t>
            </w:r>
          </w:p>
        </w:tc>
        <w:tc>
          <w:tcPr>
            <w:tcW w:w="120" w:type="dxa"/>
            <w:vAlign w:val="bottom"/>
          </w:tcPr>
          <w:p>
            <w:pPr>
              <w:spacing w:after="0"/>
              <w:rPr>
                <w:sz w:val="14"/>
                <w:szCs w:val="14"/>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3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12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Total Stockholders’</w:t>
            </w:r>
          </w:p>
        </w:tc>
        <w:tc>
          <w:tcPr>
            <w:tcW w:w="0" w:type="dxa"/>
            <w:vAlign w:val="bottom"/>
          </w:tcPr>
          <w:p>
            <w:pPr>
              <w:spacing w:after="0"/>
              <w:rPr>
                <w:sz w:val="1"/>
                <w:szCs w:val="1"/>
                <w:color w:val="auto"/>
              </w:rPr>
            </w:pPr>
          </w:p>
        </w:tc>
      </w:tr>
      <w:tr>
        <w:trPr>
          <w:trHeight w:val="43"/>
        </w:trPr>
        <w:tc>
          <w:tcPr>
            <w:tcW w:w="33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36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3320" w:type="dxa"/>
            <w:vAlign w:val="bottom"/>
          </w:tcPr>
          <w:p>
            <w:pPr>
              <w:spacing w:after="0"/>
              <w:rPr>
                <w:sz w:val="2"/>
                <w:szCs w:val="2"/>
                <w:color w:val="auto"/>
              </w:rPr>
            </w:pPr>
          </w:p>
        </w:tc>
        <w:tc>
          <w:tcPr>
            <w:tcW w:w="11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3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In Capital</w:t>
            </w:r>
          </w:p>
        </w:tc>
        <w:tc>
          <w:tcPr>
            <w:tcW w:w="12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12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40" w:type="dxa"/>
            <w:vAlign w:val="bottom"/>
          </w:tcPr>
          <w:p>
            <w:pPr>
              <w:spacing w:after="0"/>
              <w:rPr>
                <w:sz w:val="14"/>
                <w:szCs w:val="14"/>
                <w:color w:val="auto"/>
              </w:rPr>
            </w:pPr>
          </w:p>
        </w:tc>
        <w:tc>
          <w:tcPr>
            <w:tcW w:w="880" w:type="dxa"/>
            <w:vAlign w:val="bottom"/>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36"/>
        </w:trPr>
        <w:tc>
          <w:tcPr>
            <w:tcW w:w="33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January 31, 2022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67,444,360</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1,860,514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(2,928)</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(1,189,634)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666,700</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Cumulative effect of accounting change</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235,517</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Vesting of early exercised stock options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381,178</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83,566</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Conversion of convertible senior notes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(77,294)</w:t>
            </w:r>
          </w:p>
        </w:tc>
        <w:tc>
          <w:tcPr>
            <w:tcW w:w="0" w:type="dxa"/>
            <w:vAlign w:val="bottom"/>
          </w:tcPr>
          <w:p>
            <w:pPr>
              <w:spacing w:after="0"/>
              <w:rPr>
                <w:sz w:val="1"/>
                <w:szCs w:val="1"/>
                <w:color w:val="auto"/>
              </w:rPr>
            </w:pPr>
          </w:p>
        </w:tc>
      </w:tr>
      <w:tr>
        <w:trPr>
          <w:trHeight w:val="23"/>
        </w:trPr>
        <w:tc>
          <w:tcPr>
            <w:tcW w:w="33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April 30, 2022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68,061,063</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1,945,737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(1,266,928)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672,879</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163,986</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388,483</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96,554</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Conversion of convertible senior notes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net of issuance costs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common stock under the Employee Stock</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Purchase Plan</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72,966</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15,777</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220"/>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(118,865)</w:t>
            </w:r>
          </w:p>
        </w:tc>
        <w:tc>
          <w:tcPr>
            <w:tcW w:w="0" w:type="dxa"/>
            <w:vAlign w:val="bottom"/>
          </w:tcPr>
          <w:p>
            <w:pPr>
              <w:spacing w:after="0"/>
              <w:rPr>
                <w:sz w:val="1"/>
                <w:szCs w:val="1"/>
                <w:color w:val="auto"/>
              </w:rPr>
            </w:pPr>
          </w:p>
        </w:tc>
      </w:tr>
      <w:tr>
        <w:trPr>
          <w:trHeight w:val="23"/>
        </w:trPr>
        <w:tc>
          <w:tcPr>
            <w:tcW w:w="33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July 31, 2022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68,686,516</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2,059,405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(4,194)</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(1,385,793)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668,168</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199,043</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370,102</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99,198</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Conversion of convertible senior notes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0" w:type="dxa"/>
            <w:vAlign w:val="bottom"/>
          </w:tcPr>
          <w:p>
            <w:pPr>
              <w:spacing w:after="0"/>
              <w:rPr>
                <w:sz w:val="1"/>
                <w:szCs w:val="1"/>
                <w:color w:val="auto"/>
              </w:rPr>
            </w:pPr>
          </w:p>
        </w:tc>
      </w:tr>
      <w:tr>
        <w:trPr>
          <w:trHeight w:val="220"/>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(84,841)</w:t>
            </w:r>
          </w:p>
        </w:tc>
        <w:tc>
          <w:tcPr>
            <w:tcW w:w="0" w:type="dxa"/>
            <w:vAlign w:val="bottom"/>
          </w:tcPr>
          <w:p>
            <w:pPr>
              <w:spacing w:after="0"/>
              <w:rPr>
                <w:sz w:val="1"/>
                <w:szCs w:val="1"/>
                <w:color w:val="auto"/>
              </w:rPr>
            </w:pPr>
          </w:p>
        </w:tc>
      </w:tr>
      <w:tr>
        <w:trPr>
          <w:trHeight w:val="23"/>
        </w:trPr>
        <w:tc>
          <w:tcPr>
            <w:tcW w:w="33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October 31, 2022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69,255,675</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2,159,957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(1,470,634)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684,282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34" w:lineRule="exact"/>
        <w:rPr>
          <w:sz w:val="20"/>
          <w:szCs w:val="20"/>
          <w:color w:val="auto"/>
        </w:rPr>
      </w:pPr>
    </w:p>
    <w:tbl>
      <w:tblPr>
        <w:tblLayout w:type="fixed"/>
        <w:tblInd w:w="3320" w:type="dxa"/>
        <w:tblCellMar>
          <w:top w:w="0" w:type="dxa"/>
          <w:left w:w="0" w:type="dxa"/>
          <w:bottom w:w="0" w:type="dxa"/>
          <w:right w:w="0" w:type="dxa"/>
        </w:tblCellMar>
      </w:tblPr>
      <w:tr>
        <w:trPr>
          <w:trHeight w:val="166"/>
        </w:trPr>
        <w:tc>
          <w:tcPr>
            <w:tcW w:w="2140" w:type="dxa"/>
            <w:vAlign w:val="bottom"/>
            <w:gridSpan w:val="2"/>
          </w:tcPr>
          <w:p>
            <w:pPr>
              <w:ind w:left="6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Additional Paid-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0" w:type="dxa"/>
            <w:vAlign w:val="bottom"/>
            <w:vMerge w:val="restart"/>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5"/>
              </w:rPr>
              <w:t>Total Stockholders’</w:t>
            </w:r>
          </w:p>
        </w:tc>
        <w:tc>
          <w:tcPr>
            <w:tcW w:w="0" w:type="dxa"/>
            <w:vAlign w:val="bottom"/>
          </w:tcPr>
          <w:p>
            <w:pPr>
              <w:spacing w:after="0"/>
              <w:rPr>
                <w:sz w:val="1"/>
                <w:szCs w:val="1"/>
                <w:color w:val="auto"/>
              </w:rPr>
            </w:pPr>
          </w:p>
        </w:tc>
      </w:tr>
      <w:tr>
        <w:trPr>
          <w:trHeight w:val="43"/>
        </w:trPr>
        <w:tc>
          <w:tcPr>
            <w:tcW w:w="10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06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8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Capital</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0" w:type="dxa"/>
            <w:vAlign w:val="bottom"/>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Balances as of January 31, 2021</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60,898,451</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Cumulative effect of accounting change</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 option exercises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483,787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Vesting of early exercised stock options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341,939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Conversion of convertible senior notes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Balances as of April 30, 2021</w:t>
            </w: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300" w:type="dxa"/>
            <w:vAlign w:val="bottom"/>
            <w:vMerge w:val="continue"/>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62,096,273</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 option exercises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362,342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Conversion of convertible senior notes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844,194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Issuance of common stock, net of issuance costs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Issuance of common stock under the Employee Stock</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 Plan</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45,261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Balances as of July 31, 2021</w:t>
            </w: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300" w:type="dxa"/>
            <w:vAlign w:val="bottom"/>
            <w:vMerge w:val="continue"/>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66,130,589</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 option exercises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219,696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366,226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Conversion of convertible senior notes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Balances as of October 31, 2021</w:t>
            </w: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300" w:type="dxa"/>
            <w:vAlign w:val="bottom"/>
            <w:vMerge w:val="continue"/>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66,716,713</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3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-4088130</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-3796665</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-3505200</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-3214370</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-2630805</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-2339340</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-2047875</wp:posOffset>
            </wp:positionV>
            <wp:extent cx="7132320" cy="257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-1053465</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-1345565</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-2922270</wp:posOffset>
            </wp:positionV>
            <wp:extent cx="713232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932,332</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(935,403)</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(5,033)</w:t>
            </w:r>
          </w:p>
        </w:tc>
        <w:tc>
          <w:tcPr>
            <w:tcW w:w="0" w:type="dxa"/>
            <w:vAlign w:val="bottom"/>
          </w:tcPr>
          <w:p>
            <w:pPr>
              <w:spacing w:after="0"/>
              <w:rPr>
                <w:sz w:val="1"/>
                <w:szCs w:val="1"/>
                <w:color w:val="auto"/>
              </w:rPr>
            </w:pPr>
          </w:p>
        </w:tc>
      </w:tr>
      <w:tr>
        <w:trPr>
          <w:trHeight w:val="229"/>
        </w:trPr>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(309,381)</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52,635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(256,746)</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3,539</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3,540</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50,914</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50,914</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2,999</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(63,992)</w:t>
            </w:r>
          </w:p>
        </w:tc>
        <w:tc>
          <w:tcPr>
            <w:tcW w:w="0" w:type="dxa"/>
            <w:vAlign w:val="bottom"/>
          </w:tcPr>
          <w:p>
            <w:pPr>
              <w:spacing w:after="0"/>
              <w:rPr>
                <w:sz w:val="1"/>
                <w:szCs w:val="1"/>
                <w:color w:val="auto"/>
              </w:rPr>
            </w:pPr>
          </w:p>
        </w:tc>
      </w:tr>
      <w:tr>
        <w:trPr>
          <w:trHeight w:val="23"/>
        </w:trPr>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680,413</w:t>
            </w: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40" w:type="dxa"/>
            <w:vAlign w:val="bottom"/>
            <w:vMerge w:val="continue"/>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(946,760)</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(268,364)</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2,206</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57,705</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57,705</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56,682</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56,683</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889,181</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889,184</w:t>
            </w:r>
          </w:p>
        </w:tc>
        <w:tc>
          <w:tcPr>
            <w:tcW w:w="0" w:type="dxa"/>
            <w:vAlign w:val="bottom"/>
          </w:tcPr>
          <w:p>
            <w:pPr>
              <w:spacing w:after="0"/>
              <w:rPr>
                <w:sz w:val="1"/>
                <w:szCs w:val="1"/>
                <w:color w:val="auto"/>
              </w:rPr>
            </w:pPr>
          </w:p>
        </w:tc>
      </w:tr>
      <w:tr>
        <w:trPr>
          <w:trHeight w:val="405"/>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12,963</w:t>
            </w:r>
          </w:p>
        </w:tc>
        <w:tc>
          <w:tcPr>
            <w:tcW w:w="240" w:type="dxa"/>
            <w:vAlign w:val="bottom"/>
          </w:tcPr>
          <w:p>
            <w:pPr>
              <w:spacing w:after="0"/>
              <w:rPr>
                <w:sz w:val="24"/>
                <w:szCs w:val="24"/>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12,963</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1"/>
                <w:szCs w:val="21"/>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(77,133)</w:t>
            </w:r>
          </w:p>
        </w:tc>
        <w:tc>
          <w:tcPr>
            <w:tcW w:w="0" w:type="dxa"/>
            <w:vAlign w:val="bottom"/>
          </w:tcPr>
          <w:p>
            <w:pPr>
              <w:spacing w:after="0"/>
              <w:rPr>
                <w:sz w:val="1"/>
                <w:szCs w:val="1"/>
                <w:color w:val="auto"/>
              </w:rPr>
            </w:pPr>
          </w:p>
        </w:tc>
      </w:tr>
      <w:tr>
        <w:trPr>
          <w:trHeight w:val="23"/>
        </w:trPr>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99"/>
              </w:rPr>
              <w:t>1,699,150</w:t>
            </w: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40" w:type="dxa"/>
            <w:vAlign w:val="bottom"/>
            <w:vMerge w:val="continue"/>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(1,023,893)</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673,724</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1,848</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69,620</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69,620</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1"/>
                <w:szCs w:val="21"/>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(81,293)</w:t>
            </w:r>
          </w:p>
        </w:tc>
        <w:tc>
          <w:tcPr>
            <w:tcW w:w="0" w:type="dxa"/>
            <w:vAlign w:val="bottom"/>
          </w:tcPr>
          <w:p>
            <w:pPr>
              <w:spacing w:after="0"/>
              <w:rPr>
                <w:sz w:val="1"/>
                <w:szCs w:val="1"/>
                <w:color w:val="auto"/>
              </w:rPr>
            </w:pPr>
          </w:p>
        </w:tc>
      </w:tr>
      <w:tr>
        <w:trPr>
          <w:trHeight w:val="23"/>
        </w:trPr>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99"/>
              </w:rPr>
              <w:t>1,770,635</w:t>
            </w: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40" w:type="dxa"/>
            <w:vAlign w:val="bottom"/>
            <w:vMerge w:val="continue"/>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(1,105,186)</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662,905</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-8255</wp:posOffset>
            </wp:positionV>
            <wp:extent cx="6254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60" w:space="260"/>
            <w:col w:w="5320"/>
          </w:cols>
          <w:pgMar w:left="320" w:top="130" w:right="33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4"/>
          </w:tcPr>
          <w:p>
            <w:pPr>
              <w:jc w:val="right"/>
              <w:ind w:right="797"/>
              <w:spacing w:after="0"/>
              <w:rPr>
                <w:sz w:val="20"/>
                <w:szCs w:val="20"/>
                <w:color w:val="auto"/>
              </w:rPr>
            </w:pPr>
            <w:r>
              <w:rPr>
                <w:rFonts w:ascii="Times New Roman" w:cs="Times New Roman" w:eastAsia="Times New Roman" w:hAnsi="Times New Roman"/>
                <w:sz w:val="13"/>
                <w:szCs w:val="13"/>
                <w:b w:val="1"/>
                <w:bCs w:val="1"/>
                <w:color w:val="auto"/>
              </w:rPr>
              <w:t>Nine Months Ended October 31,</w:t>
            </w:r>
          </w:p>
        </w:tc>
        <w:tc>
          <w:tcPr>
            <w:tcW w:w="0" w:type="dxa"/>
            <w:vAlign w:val="bottom"/>
          </w:tcPr>
          <w:p>
            <w:pPr>
              <w:spacing w:after="0"/>
              <w:rPr>
                <w:sz w:val="1"/>
                <w:szCs w:val="1"/>
                <w:color w:val="auto"/>
              </w:rPr>
            </w:pPr>
          </w:p>
        </w:tc>
      </w:tr>
      <w:tr>
        <w:trPr>
          <w:trHeight w:val="171"/>
        </w:trPr>
        <w:tc>
          <w:tcPr>
            <w:tcW w:w="77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60"/>
        </w:trPr>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loss</w:t>
            </w:r>
          </w:p>
        </w:tc>
        <w:tc>
          <w:tcPr>
            <w:tcW w:w="40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(281,000)</w:t>
            </w:r>
          </w:p>
        </w:tc>
        <w:tc>
          <w:tcPr>
            <w:tcW w:w="100" w:type="dxa"/>
            <w:vAlign w:val="bottom"/>
          </w:tcPr>
          <w:p>
            <w:pPr>
              <w:spacing w:after="0"/>
              <w:rPr>
                <w:sz w:val="16"/>
                <w:szCs w:val="16"/>
                <w:color w:val="auto"/>
              </w:rPr>
            </w:pPr>
          </w:p>
        </w:tc>
        <w:tc>
          <w:tcPr>
            <w:tcW w:w="40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(222,418)</w:t>
            </w:r>
          </w:p>
        </w:tc>
        <w:tc>
          <w:tcPr>
            <w:tcW w:w="0" w:type="dxa"/>
            <w:vAlign w:val="bottom"/>
          </w:tcPr>
          <w:p>
            <w:pPr>
              <w:spacing w:after="0"/>
              <w:rPr>
                <w:sz w:val="1"/>
                <w:szCs w:val="1"/>
                <w:color w:val="auto"/>
              </w:rPr>
            </w:pPr>
          </w:p>
        </w:tc>
      </w:tr>
      <w:tr>
        <w:trPr>
          <w:trHeight w:val="183"/>
        </w:trPr>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11,912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9,989</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Stock-based compensation</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279,318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177,327</w:t>
            </w:r>
          </w:p>
        </w:tc>
        <w:tc>
          <w:tcPr>
            <w:tcW w:w="0" w:type="dxa"/>
            <w:vAlign w:val="bottom"/>
          </w:tcPr>
          <w:p>
            <w:pPr>
              <w:spacing w:after="0"/>
              <w:rPr>
                <w:sz w:val="1"/>
                <w:szCs w:val="1"/>
                <w:color w:val="auto"/>
              </w:rPr>
            </w:pPr>
          </w:p>
        </w:tc>
      </w:tr>
      <w:tr>
        <w:trPr>
          <w:trHeight w:val="195"/>
        </w:trPr>
        <w:tc>
          <w:tcPr>
            <w:tcW w:w="7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3,161</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Amortization of finance right-of-use assets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2,981</w:t>
            </w:r>
          </w:p>
        </w:tc>
        <w:tc>
          <w:tcPr>
            <w:tcW w:w="0" w:type="dxa"/>
            <w:vAlign w:val="bottom"/>
          </w:tcPr>
          <w:p>
            <w:pPr>
              <w:spacing w:after="0"/>
              <w:rPr>
                <w:sz w:val="1"/>
                <w:szCs w:val="1"/>
                <w:color w:val="auto"/>
              </w:rPr>
            </w:pPr>
          </w:p>
        </w:tc>
      </w:tr>
      <w:tr>
        <w:trPr>
          <w:trHeight w:val="195"/>
        </w:trPr>
        <w:tc>
          <w:tcPr>
            <w:tcW w:w="7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Amortization of operating right-of-use assets</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5,010</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income taxes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(2,711)</w:t>
            </w:r>
          </w:p>
        </w:tc>
        <w:tc>
          <w:tcPr>
            <w:tcW w:w="0" w:type="dxa"/>
            <w:vAlign w:val="bottom"/>
          </w:tcPr>
          <w:p>
            <w:pPr>
              <w:spacing w:after="0"/>
              <w:rPr>
                <w:sz w:val="1"/>
                <w:szCs w:val="1"/>
                <w:color w:val="auto"/>
              </w:rPr>
            </w:pPr>
          </w:p>
        </w:tc>
      </w:tr>
      <w:tr>
        <w:trPr>
          <w:trHeight w:val="195"/>
        </w:trPr>
        <w:tc>
          <w:tcPr>
            <w:tcW w:w="7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Accretion of discount on short-term investments</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4,978</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Gain on non-marketable securities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4"/>
        </w:trPr>
        <w:tc>
          <w:tcPr>
            <w:tcW w:w="77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Unrealized foreign exchange (gain) loss</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0" w:type="dxa"/>
            <w:vAlign w:val="bottom"/>
          </w:tcPr>
          <w:p>
            <w:pPr>
              <w:spacing w:after="0"/>
              <w:rPr>
                <w:sz w:val="1"/>
                <w:szCs w:val="1"/>
                <w:color w:val="auto"/>
              </w:rPr>
            </w:pPr>
          </w:p>
        </w:tc>
      </w:tr>
      <w:tr>
        <w:trPr>
          <w:trHeight w:val="184"/>
        </w:trPr>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Change in operating assets and liabilities:</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receivable</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(38,260)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(46,892)</w:t>
            </w:r>
          </w:p>
        </w:tc>
        <w:tc>
          <w:tcPr>
            <w:tcW w:w="0" w:type="dxa"/>
            <w:vAlign w:val="bottom"/>
          </w:tcPr>
          <w:p>
            <w:pPr>
              <w:spacing w:after="0"/>
              <w:rPr>
                <w:sz w:val="1"/>
                <w:szCs w:val="1"/>
                <w:color w:val="auto"/>
              </w:rPr>
            </w:pPr>
          </w:p>
        </w:tc>
      </w:tr>
      <w:tr>
        <w:trPr>
          <w:trHeight w:val="211"/>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(7,220)</w:t>
            </w:r>
          </w:p>
        </w:tc>
        <w:tc>
          <w:tcPr>
            <w:tcW w:w="0" w:type="dxa"/>
            <w:vAlign w:val="bottom"/>
          </w:tcPr>
          <w:p>
            <w:pPr>
              <w:spacing w:after="0"/>
              <w:rPr>
                <w:sz w:val="1"/>
                <w:szCs w:val="1"/>
                <w:color w:val="auto"/>
              </w:rPr>
            </w:pPr>
          </w:p>
        </w:tc>
      </w:tr>
      <w:tr>
        <w:trPr>
          <w:trHeight w:val="194"/>
        </w:trPr>
        <w:tc>
          <w:tcPr>
            <w:tcW w:w="7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commissions</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(29,909)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(34,819)</w:t>
            </w:r>
          </w:p>
        </w:tc>
        <w:tc>
          <w:tcPr>
            <w:tcW w:w="0" w:type="dxa"/>
            <w:vAlign w:val="bottom"/>
          </w:tcPr>
          <w:p>
            <w:pPr>
              <w:spacing w:after="0"/>
              <w:rPr>
                <w:sz w:val="1"/>
                <w:szCs w:val="1"/>
                <w:color w:val="auto"/>
              </w:rPr>
            </w:pPr>
          </w:p>
        </w:tc>
      </w:tr>
      <w:tr>
        <w:trPr>
          <w:trHeight w:val="211"/>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long-term assets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0" w:type="dxa"/>
            <w:vAlign w:val="bottom"/>
          </w:tcPr>
          <w:p>
            <w:pPr>
              <w:spacing w:after="0"/>
              <w:rPr>
                <w:sz w:val="1"/>
                <w:szCs w:val="1"/>
                <w:color w:val="auto"/>
              </w:rPr>
            </w:pPr>
          </w:p>
        </w:tc>
      </w:tr>
      <w:tr>
        <w:trPr>
          <w:trHeight w:val="194"/>
        </w:trPr>
        <w:tc>
          <w:tcPr>
            <w:tcW w:w="7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1,127</w:t>
            </w:r>
          </w:p>
        </w:tc>
        <w:tc>
          <w:tcPr>
            <w:tcW w:w="0" w:type="dxa"/>
            <w:vAlign w:val="bottom"/>
          </w:tcPr>
          <w:p>
            <w:pPr>
              <w:spacing w:after="0"/>
              <w:rPr>
                <w:sz w:val="1"/>
                <w:szCs w:val="1"/>
                <w:color w:val="auto"/>
              </w:rPr>
            </w:pPr>
          </w:p>
        </w:tc>
      </w:tr>
      <w:tr>
        <w:trPr>
          <w:trHeight w:val="211"/>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Accrued liabilities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(18,769)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34,138</w:t>
            </w:r>
          </w:p>
        </w:tc>
        <w:tc>
          <w:tcPr>
            <w:tcW w:w="0" w:type="dxa"/>
            <w:vAlign w:val="bottom"/>
          </w:tcPr>
          <w:p>
            <w:pPr>
              <w:spacing w:after="0"/>
              <w:rPr>
                <w:sz w:val="1"/>
                <w:szCs w:val="1"/>
                <w:color w:val="auto"/>
              </w:rPr>
            </w:pPr>
          </w:p>
        </w:tc>
      </w:tr>
      <w:tr>
        <w:trPr>
          <w:trHeight w:val="221"/>
        </w:trPr>
        <w:tc>
          <w:tcPr>
            <w:tcW w:w="7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(4,343)</w:t>
            </w:r>
          </w:p>
        </w:tc>
        <w:tc>
          <w:tcPr>
            <w:tcW w:w="0" w:type="dxa"/>
            <w:vAlign w:val="bottom"/>
          </w:tcPr>
          <w:p>
            <w:pPr>
              <w:spacing w:after="0"/>
              <w:rPr>
                <w:sz w:val="1"/>
                <w:szCs w:val="1"/>
                <w:color w:val="auto"/>
              </w:rPr>
            </w:pPr>
          </w:p>
        </w:tc>
      </w:tr>
      <w:tr>
        <w:trPr>
          <w:trHeight w:val="238"/>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revenue</w:t>
            </w: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23,973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58,498</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Other liabilities, non-current</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5,651</w:t>
            </w: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4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(38,841)</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(15,331)</w:t>
            </w:r>
          </w:p>
        </w:tc>
        <w:tc>
          <w:tcPr>
            <w:tcW w:w="0" w:type="dxa"/>
            <w:vAlign w:val="bottom"/>
          </w:tcPr>
          <w:p>
            <w:pPr>
              <w:spacing w:after="0"/>
              <w:rPr>
                <w:sz w:val="1"/>
                <w:szCs w:val="1"/>
                <w:color w:val="auto"/>
              </w:rPr>
            </w:pPr>
          </w:p>
        </w:tc>
      </w:tr>
      <w:tr>
        <w:trPr>
          <w:trHeight w:val="151"/>
        </w:trPr>
        <w:tc>
          <w:tcPr>
            <w:tcW w:w="7780" w:type="dxa"/>
            <w:vAlign w:val="bottom"/>
          </w:tcPr>
          <w:p>
            <w:pPr>
              <w:ind w:left="60"/>
              <w:spacing w:after="0" w:line="146"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(4,516)</w:t>
            </w:r>
          </w:p>
        </w:tc>
        <w:tc>
          <w:tcPr>
            <w:tcW w:w="0" w:type="dxa"/>
            <w:vAlign w:val="bottom"/>
          </w:tcPr>
          <w:p>
            <w:pPr>
              <w:spacing w:after="0"/>
              <w:rPr>
                <w:sz w:val="1"/>
                <w:szCs w:val="1"/>
                <w:color w:val="auto"/>
              </w:rPr>
            </w:pPr>
          </w:p>
        </w:tc>
      </w:tr>
      <w:tr>
        <w:trPr>
          <w:trHeight w:val="195"/>
        </w:trPr>
        <w:tc>
          <w:tcPr>
            <w:tcW w:w="7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Acquisition, net of cash acquired</w:t>
            </w:r>
          </w:p>
        </w:tc>
        <w:tc>
          <w:tcPr>
            <w:tcW w:w="4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(4,469)</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Investment in non-marketable securities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(2,343)</w:t>
            </w:r>
          </w:p>
        </w:tc>
        <w:tc>
          <w:tcPr>
            <w:tcW w:w="0" w:type="dxa"/>
            <w:vAlign w:val="bottom"/>
          </w:tcPr>
          <w:p>
            <w:pPr>
              <w:spacing w:after="0"/>
              <w:rPr>
                <w:sz w:val="1"/>
                <w:szCs w:val="1"/>
                <w:color w:val="auto"/>
              </w:rPr>
            </w:pPr>
          </w:p>
        </w:tc>
      </w:tr>
      <w:tr>
        <w:trPr>
          <w:trHeight w:val="195"/>
        </w:trPr>
        <w:tc>
          <w:tcPr>
            <w:tcW w:w="7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maturities of marketable securities</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1,075,000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400,000</w:t>
            </w:r>
          </w:p>
        </w:tc>
        <w:tc>
          <w:tcPr>
            <w:tcW w:w="0" w:type="dxa"/>
            <w:vAlign w:val="bottom"/>
          </w:tcPr>
          <w:p>
            <w:pPr>
              <w:spacing w:after="0"/>
              <w:rPr>
                <w:sz w:val="1"/>
                <w:szCs w:val="1"/>
                <w:color w:val="auto"/>
              </w:rPr>
            </w:pPr>
          </w:p>
        </w:tc>
      </w:tr>
      <w:tr>
        <w:trPr>
          <w:trHeight w:val="238"/>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Purchases of marketable securities</w:t>
            </w:r>
          </w:p>
        </w:tc>
        <w:tc>
          <w:tcPr>
            <w:tcW w:w="4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(514,047)</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(932,250)</w:t>
            </w:r>
          </w:p>
        </w:tc>
        <w:tc>
          <w:tcPr>
            <w:tcW w:w="0" w:type="dxa"/>
            <w:vAlign w:val="bottom"/>
          </w:tcPr>
          <w:p>
            <w:pPr>
              <w:spacing w:after="0"/>
              <w:rPr>
                <w:sz w:val="1"/>
                <w:szCs w:val="1"/>
                <w:color w:val="auto"/>
              </w:rPr>
            </w:pPr>
          </w:p>
        </w:tc>
      </w:tr>
      <w:tr>
        <w:trPr>
          <w:trHeight w:val="176"/>
        </w:trPr>
        <w:tc>
          <w:tcPr>
            <w:tcW w:w="77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551,697</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(543,578)</w:t>
            </w:r>
          </w:p>
        </w:tc>
        <w:tc>
          <w:tcPr>
            <w:tcW w:w="0" w:type="dxa"/>
            <w:vAlign w:val="bottom"/>
          </w:tcPr>
          <w:p>
            <w:pPr>
              <w:spacing w:after="0"/>
              <w:rPr>
                <w:sz w:val="1"/>
                <w:szCs w:val="1"/>
                <w:color w:val="auto"/>
              </w:rPr>
            </w:pPr>
          </w:p>
        </w:tc>
      </w:tr>
      <w:tr>
        <w:trPr>
          <w:trHeight w:val="162"/>
        </w:trPr>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7,591</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Proceeds from issuance of common stock, net of issuance costs</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889,184</w:t>
            </w:r>
          </w:p>
        </w:tc>
        <w:tc>
          <w:tcPr>
            <w:tcW w:w="0" w:type="dxa"/>
            <w:vAlign w:val="bottom"/>
          </w:tcPr>
          <w:p>
            <w:pPr>
              <w:spacing w:after="0"/>
              <w:rPr>
                <w:sz w:val="1"/>
                <w:szCs w:val="1"/>
                <w:color w:val="auto"/>
              </w:rPr>
            </w:pPr>
          </w:p>
        </w:tc>
      </w:tr>
      <w:tr>
        <w:trPr>
          <w:trHeight w:val="195"/>
        </w:trPr>
        <w:tc>
          <w:tcPr>
            <w:tcW w:w="7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the issuance of common stock under the Employee Stock Purchase Plan</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15,777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12,963</w:t>
            </w:r>
          </w:p>
        </w:tc>
        <w:tc>
          <w:tcPr>
            <w:tcW w:w="0" w:type="dxa"/>
            <w:vAlign w:val="bottom"/>
          </w:tcPr>
          <w:p>
            <w:pPr>
              <w:spacing w:after="0"/>
              <w:rPr>
                <w:sz w:val="1"/>
                <w:szCs w:val="1"/>
                <w:color w:val="auto"/>
              </w:rPr>
            </w:pPr>
          </w:p>
        </w:tc>
      </w:tr>
      <w:tr>
        <w:trPr>
          <w:trHeight w:val="237"/>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Principal repayments of finance leases</w:t>
            </w: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(3,649)</w:t>
            </w:r>
          </w:p>
        </w:tc>
        <w:tc>
          <w:tcPr>
            <w:tcW w:w="0" w:type="dxa"/>
            <w:vAlign w:val="bottom"/>
          </w:tcPr>
          <w:p>
            <w:pPr>
              <w:spacing w:after="0"/>
              <w:rPr>
                <w:sz w:val="1"/>
                <w:szCs w:val="1"/>
                <w:color w:val="auto"/>
              </w:rPr>
            </w:pPr>
          </w:p>
        </w:tc>
      </w:tr>
      <w:tr>
        <w:trPr>
          <w:trHeight w:val="223"/>
        </w:trPr>
        <w:tc>
          <w:tcPr>
            <w:tcW w:w="7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Repayments of convertible senior notes attributable to principal</w:t>
            </w:r>
          </w:p>
        </w:tc>
        <w:tc>
          <w:tcPr>
            <w:tcW w:w="4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(27,594)</w:t>
            </w:r>
          </w:p>
        </w:tc>
        <w:tc>
          <w:tcPr>
            <w:tcW w:w="0" w:type="dxa"/>
            <w:vAlign w:val="bottom"/>
          </w:tcPr>
          <w:p>
            <w:pPr>
              <w:spacing w:after="0"/>
              <w:rPr>
                <w:sz w:val="1"/>
                <w:szCs w:val="1"/>
                <w:color w:val="auto"/>
              </w:rPr>
            </w:pPr>
          </w:p>
        </w:tc>
      </w:tr>
      <w:tr>
        <w:trPr>
          <w:trHeight w:val="189"/>
        </w:trPr>
        <w:tc>
          <w:tcPr>
            <w:tcW w:w="778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16,930</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878,495</w:t>
            </w:r>
          </w:p>
        </w:tc>
        <w:tc>
          <w:tcPr>
            <w:tcW w:w="0" w:type="dxa"/>
            <w:vAlign w:val="bottom"/>
          </w:tcPr>
          <w:p>
            <w:pPr>
              <w:spacing w:after="0"/>
              <w:rPr>
                <w:sz w:val="1"/>
                <w:szCs w:val="1"/>
                <w:color w:val="auto"/>
              </w:rPr>
            </w:pPr>
          </w:p>
        </w:tc>
      </w:tr>
      <w:tr>
        <w:trPr>
          <w:trHeight w:val="203"/>
        </w:trPr>
        <w:tc>
          <w:tcPr>
            <w:tcW w:w="77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(1,148)</w:t>
            </w: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Net increase in cash, cash equivalents and restricted cash</w:t>
            </w: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525,757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318,438</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474,420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430,222</w:t>
            </w:r>
          </w:p>
        </w:tc>
        <w:tc>
          <w:tcPr>
            <w:tcW w:w="0" w:type="dxa"/>
            <w:vAlign w:val="bottom"/>
          </w:tcPr>
          <w:p>
            <w:pPr>
              <w:spacing w:after="0"/>
              <w:rPr>
                <w:sz w:val="1"/>
                <w:szCs w:val="1"/>
                <w:color w:val="auto"/>
              </w:rPr>
            </w:pPr>
          </w:p>
        </w:tc>
      </w:tr>
      <w:tr>
        <w:trPr>
          <w:trHeight w:val="221"/>
        </w:trPr>
        <w:tc>
          <w:tcPr>
            <w:tcW w:w="7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Cash, cash equivalents and restricted cash, end of period</w:t>
            </w: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1,000,177</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748,660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Supplemental cash flow disclosure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7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77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Cash paid during the period for:</w:t>
            </w: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Income taxes, net of refunds</w:t>
            </w:r>
          </w:p>
        </w:tc>
        <w:tc>
          <w:tcPr>
            <w:tcW w:w="40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7,254</w:t>
            </w:r>
          </w:p>
        </w:tc>
        <w:tc>
          <w:tcPr>
            <w:tcW w:w="100" w:type="dxa"/>
            <w:vAlign w:val="bottom"/>
          </w:tcPr>
          <w:p>
            <w:pPr>
              <w:spacing w:after="0"/>
              <w:rPr>
                <w:sz w:val="19"/>
                <w:szCs w:val="19"/>
                <w:color w:val="auto"/>
              </w:rPr>
            </w:pPr>
          </w:p>
        </w:tc>
        <w:tc>
          <w:tcPr>
            <w:tcW w:w="40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3,651</w:t>
            </w:r>
          </w:p>
        </w:tc>
        <w:tc>
          <w:tcPr>
            <w:tcW w:w="0" w:type="dxa"/>
            <w:vAlign w:val="bottom"/>
          </w:tcPr>
          <w:p>
            <w:pPr>
              <w:spacing w:after="0"/>
              <w:rPr>
                <w:sz w:val="1"/>
                <w:szCs w:val="1"/>
                <w:color w:val="auto"/>
              </w:rPr>
            </w:pPr>
          </w:p>
        </w:tc>
      </w:tr>
      <w:tr>
        <w:trPr>
          <w:trHeight w:val="236"/>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Interest expense</w:t>
            </w: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Reconciliation of cash, cash equivalents and restricted cash within the condensed consolidated balance sheets, end of period, to the amounts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77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77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shown in the statements of cash flows above:</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7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400" w:type="dxa"/>
            <w:vAlign w:val="bottom"/>
            <w:vMerge w:val="restart"/>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999,674</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748,140</w:t>
            </w:r>
          </w:p>
        </w:tc>
        <w:tc>
          <w:tcPr>
            <w:tcW w:w="0" w:type="dxa"/>
            <w:vAlign w:val="bottom"/>
          </w:tcPr>
          <w:p>
            <w:pPr>
              <w:spacing w:after="0"/>
              <w:rPr>
                <w:sz w:val="1"/>
                <w:szCs w:val="1"/>
                <w:color w:val="auto"/>
              </w:rPr>
            </w:pPr>
          </w:p>
        </w:tc>
      </w:tr>
      <w:tr>
        <w:trPr>
          <w:trHeight w:val="70"/>
        </w:trPr>
        <w:tc>
          <w:tcPr>
            <w:tcW w:w="778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7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Restricted cash, non-current</w:t>
            </w: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0" w:type="dxa"/>
            <w:vAlign w:val="bottom"/>
          </w:tcPr>
          <w:p>
            <w:pPr>
              <w:spacing w:after="0"/>
              <w:rPr>
                <w:sz w:val="1"/>
                <w:szCs w:val="1"/>
                <w:color w:val="auto"/>
              </w:rPr>
            </w:pPr>
          </w:p>
        </w:tc>
      </w:tr>
      <w:tr>
        <w:trPr>
          <w:trHeight w:val="64"/>
        </w:trPr>
        <w:tc>
          <w:tcPr>
            <w:tcW w:w="77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77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1,000,177</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748,660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75" w:lineRule="exact"/>
        <w:rPr>
          <w:sz w:val="20"/>
          <w:szCs w:val="20"/>
          <w:color w:val="auto"/>
        </w:rPr>
      </w:pPr>
    </w:p>
    <w:p>
      <w:pPr>
        <w:ind w:right="260" w:firstLine="486"/>
        <w:spacing w:after="0" w:line="256" w:lineRule="auto"/>
        <w:rPr>
          <w:sz w:val="20"/>
          <w:szCs w:val="20"/>
          <w:color w:val="auto"/>
        </w:rPr>
      </w:pPr>
      <w:r>
        <w:rPr>
          <w:rFonts w:ascii="Times New Roman" w:cs="Times New Roman" w:eastAsia="Times New Roman" w:hAnsi="Times New Roman"/>
          <w:sz w:val="18"/>
          <w:szCs w:val="18"/>
          <w:color w:val="auto"/>
        </w:rPr>
        <w:t>MongoDB, Inc. (“MongoDB” or the “Company”) was originally incorporated in the state of Delaware in November 2007 under the name 10Gen, Inc. In August 2013, the Company changed its name to MongoDB, Inc. The Company is headquartered in New York City. MongoDB is the leading modern, general purpose database platform. The Company’s robust platform enables developers to build and modernize applications rapidly and cost-effectively across a broad range of use cases. Organizations can deploy the Company’s platform at scale in the cloud, on-premise or in a hybrid environment. In addition to selling subscriptions to its software, the Company provides post-contract support, training and consulting services for its offerings. The Company’s fiscal year ends on January 31.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Basis of Presentation</w:t>
      </w:r>
    </w:p>
    <w:p>
      <w:pPr>
        <w:spacing w:after="0" w:line="17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are unaudited and have been prepared in accordance with generally accepted accounting principles in the United States of America ("U.S. GAAP") for interim financial information and the instructions to Form 10-Q and Rule 10-01 of Regulation S-X. These interim unaudited condensed consolidated financial statements include the accounts of the Company and all of its wholly-owned subsidiaries. The interim unaudited condensed consolidated financial statements have been prepared on a basis consistent with the annual consolidated financial statements and in the opinion of management, reflect all adjustments, including normal recurring adjustments, which are considered necessary to fairly state the Company’s financial position and results of operations as of and for the periods presented. All intercompany transactions and accounts have been eliminated. The results of operations for the interim periods should not be considered indicative of results for the full year or for any other future year or interim period.</w:t>
      </w:r>
    </w:p>
    <w:p>
      <w:pPr>
        <w:spacing w:after="0" w:line="13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year-end condensed balance sheet data was derived from audited financial statements but does not include all disclosures required by U.S. GAAP. Therefore, these interim unaudited condensed consolidated financial statements and accompanying footnotes should be read in conjunction with the Company’s annual consolidated financial statements and related footnotes included in its Annual Report on Form 10-K for the fiscal year ended January 31, 2022 (the “2022 Form 10-K”).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Use of Estimates</w:t>
      </w:r>
    </w:p>
    <w:p>
      <w:pPr>
        <w:spacing w:after="0" w:line="173"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The preparation of the interim unaudited condensed consolidated financial statements in conformity with U.S. GAAP requires management to make estimates, assumptions and judgments that affect the reported amounts of assets and liabilities, the disclosure of contingent assets and liabilities at the date of the financial statements and the reported amounts of revenue and expenses during the reporting period. Such estimates include, but are not limited to, revenue recognition, allowances for doubtful accounts, the incremental borrowing rate related to the Company’s lease liabilities, stock-based compensation, legal contingencies, fair value of acquired intangible assets and goodwill, useful lives of acquired intangible assets and property and equipment, fair value of non-marketable securities and accounting for income taxes. The Company bases these estimates on historical and anticipated results, trends and various other assumptions that it believes are reasonable under the circumstances, including assumptions as to future events.</w:t>
      </w:r>
    </w:p>
    <w:p>
      <w:pPr>
        <w:spacing w:after="0" w:line="135"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COVID-19 pandemic and global macroeconomic conditions, including rising interest rates and inflation, continue to impact demand and supply for a broad variety of goods and services, including demand from the Company’s customers, while also disrupting sales channels and marketing activities for an unknown period of time.</w:t>
      </w:r>
    </w:p>
    <w:p>
      <w:pPr>
        <w:spacing w:after="0" w:line="12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adjust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Significant Accounting Policies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as described in the Company’s 2022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that have been measured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2022 and January 31, 2022 and indicate the fair value hierarchy of the valuation inputs utilized to determine such fair value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 as of October 31, 2022</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5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5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5"/>
                <w:szCs w:val="15"/>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5"/>
                <w:szCs w:val="15"/>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
        </w:trPr>
        <w:tc>
          <w:tcPr>
            <w:tcW w:w="5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5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845,312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845,312</w:t>
            </w:r>
          </w:p>
        </w:tc>
      </w:tr>
      <w:tr>
        <w:trPr>
          <w:trHeight w:val="229"/>
        </w:trPr>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83"/>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787,858</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787,858</w:t>
            </w:r>
          </w:p>
        </w:tc>
      </w:tr>
      <w:tr>
        <w:trPr>
          <w:trHeight w:val="26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1,633,170</w:t>
            </w:r>
          </w:p>
        </w:tc>
        <w:tc>
          <w:tcPr>
            <w:tcW w:w="100" w:type="dxa"/>
            <w:vAlign w:val="bottom"/>
          </w:tcPr>
          <w:p>
            <w:pPr>
              <w:spacing w:after="0"/>
              <w:rPr>
                <w:sz w:val="22"/>
                <w:szCs w:val="22"/>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1,633,170</w:t>
            </w:r>
          </w:p>
        </w:tc>
      </w:tr>
      <w:tr>
        <w:trPr>
          <w:trHeight w:val="21"/>
        </w:trPr>
        <w:tc>
          <w:tcPr>
            <w:tcW w:w="5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80"/>
        </w:trPr>
        <w:tc>
          <w:tcPr>
            <w:tcW w:w="5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 as of January 31, 2022</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
        </w:trPr>
        <w:tc>
          <w:tcPr>
            <w:tcW w:w="5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5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5"/>
                <w:szCs w:val="15"/>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5"/>
                <w:szCs w:val="15"/>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
        </w:trPr>
        <w:tc>
          <w:tcPr>
            <w:tcW w:w="5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331,221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331,221</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83"/>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1,352,019</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1,352,019</w:t>
            </w:r>
          </w:p>
        </w:tc>
      </w:tr>
      <w:tr>
        <w:trPr>
          <w:trHeight w:val="26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1,683,240</w:t>
            </w:r>
          </w:p>
        </w:tc>
        <w:tc>
          <w:tcPr>
            <w:tcW w:w="10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1,683,240</w:t>
            </w:r>
          </w:p>
        </w:tc>
      </w:tr>
      <w:tr>
        <w:trPr>
          <w:trHeight w:val="20"/>
        </w:trPr>
        <w:tc>
          <w:tcPr>
            <w:tcW w:w="5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utilized the market approach and Level 1 valuation inputs to value its money market mutual funds and U.S. government treasury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because published net asset values were readily available. The contractual maturity of all marketable securities was less than one year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2022 and January 31, 2022. As of October 31, 2022, unrealized losses on our U.S. government treasury securities were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 million. The fluctuations in market interest rates impact the unrealized losses on these securities. The Company intends to hold these securities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and, as a result, does not expect to realize these losses in its financial statements. The Company concluded that an allowance for credit losses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unnecessary for short-term investments as of October 31, 2022. Gross realized gains and losses were not material for each of the three- and nine-month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 ended October 31, 2022 and 2021.</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Convertible Senior Notes</w:t>
      </w:r>
    </w:p>
    <w:p>
      <w:pPr>
        <w:spacing w:after="0" w:line="173"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 Company measures the fair value of its outstanding convertible senior notes on a quarterly basis for disclosure purposes. The Company considers the fair value of its convertible senior notes at October 31, 2022 to be a Level 2 measurement due to limited trading activity of the convertible senior notes. Refer to Note 5,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for further details.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Non-marketable Securities</w:t>
      </w:r>
    </w:p>
    <w:p>
      <w:pPr>
        <w:spacing w:after="0" w:line="173"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 xml:space="preserve">As of October 31, 2022 and January 31, 2022, the total amount of non-marketable equity and debt securities included in other assets on the Company’s condensed consolidated balance sheets were $9.3 million and $4.8 million, respectively. During the three and nine months ended October 31, 2022, the Company invested an additional $1.6 million and $2.7 million, respectively, of its cash in non-marketable equity securities. In addition, the Company recognized a gain on certain of these non-marketable securities of $1.7 million during the nine months ended October 31, 2022. No gain or loss was recognized during the nine months ended October 31, 2021. 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Notes to Consolidated Financial Statements included in Part II, Item 8 of the Company’s 2022 Form 10-K for further information. The Company considers these assets as Level 3 within the fair value hierarchy. The estimation of fair value for these investments is inherently complex due to the lack of readily available market data and inherent lack of liquidity and requires the Company’s judgment and the use of significant unobservable inputs in an inactive market. In addition, the determination of whether an orderly transaction is for the identical or a similar investment requires significant management judgment,</w:t>
      </w:r>
    </w:p>
    <w:p>
      <w:pPr>
        <w:spacing w:after="0" w:line="200" w:lineRule="exact"/>
        <w:rPr>
          <w:sz w:val="20"/>
          <w:szCs w:val="20"/>
          <w:color w:val="auto"/>
        </w:rPr>
      </w:pPr>
    </w:p>
    <w:p>
      <w:pPr>
        <w:spacing w:after="0" w:line="36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including understanding the differences in the rights and obligations of the investments, the extent to which those differences would affect the fair values of those investments and the stage of operational development of the entities.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Acquired Intangible Assets, Net</w:t>
      </w:r>
    </w:p>
    <w:p>
      <w:pPr>
        <w:spacing w:after="0" w:line="175"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goodwill carrying amounts during the nine months ended October 31, 2022. The gross carrying amounts and accumulated amortization of the Company’s intangible assets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60" w:type="dxa"/>
            <w:vAlign w:val="bottom"/>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 Remaining</w:t>
            </w: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1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220" w:type="dxa"/>
            <w:vAlign w:val="bottom"/>
          </w:tcPr>
          <w:p>
            <w:pPr>
              <w:spacing w:after="0"/>
              <w:rPr>
                <w:sz w:val="12"/>
                <w:szCs w:val="12"/>
                <w:color w:val="auto"/>
              </w:rPr>
            </w:pPr>
          </w:p>
        </w:tc>
        <w:tc>
          <w:tcPr>
            <w:tcW w:w="138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80" w:type="dxa"/>
            <w:vAlign w:val="bottom"/>
          </w:tcPr>
          <w:p>
            <w:pPr>
              <w:spacing w:after="0"/>
              <w:rPr>
                <w:sz w:val="12"/>
                <w:szCs w:val="12"/>
                <w:color w:val="auto"/>
              </w:rPr>
            </w:pPr>
          </w:p>
        </w:tc>
        <w:tc>
          <w:tcPr>
            <w:tcW w:w="2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1640" w:type="dxa"/>
            <w:vAlign w:val="bottom"/>
            <w:gridSpan w:val="3"/>
            <w:vMerge w:val="continue"/>
          </w:tcPr>
          <w:p>
            <w:pPr>
              <w:spacing w:after="0"/>
              <w:rPr>
                <w:sz w:val="17"/>
                <w:szCs w:val="17"/>
                <w:color w:val="auto"/>
              </w:rPr>
            </w:pPr>
          </w:p>
        </w:tc>
        <w:tc>
          <w:tcPr>
            <w:tcW w:w="190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9"/>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38,100</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8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2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13,723</w:t>
            </w:r>
          </w:p>
        </w:tc>
        <w:tc>
          <w:tcPr>
            <w:tcW w:w="8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3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60" w:type="dxa"/>
            <w:vAlign w:val="bottom"/>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 Remaining</w:t>
            </w: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1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220" w:type="dxa"/>
            <w:vAlign w:val="bottom"/>
          </w:tcPr>
          <w:p>
            <w:pPr>
              <w:spacing w:after="0"/>
              <w:rPr>
                <w:sz w:val="12"/>
                <w:szCs w:val="12"/>
                <w:color w:val="auto"/>
              </w:rPr>
            </w:pPr>
          </w:p>
        </w:tc>
        <w:tc>
          <w:tcPr>
            <w:tcW w:w="138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80" w:type="dxa"/>
            <w:vAlign w:val="bottom"/>
          </w:tcPr>
          <w:p>
            <w:pPr>
              <w:spacing w:after="0"/>
              <w:rPr>
                <w:sz w:val="12"/>
                <w:szCs w:val="12"/>
                <w:color w:val="auto"/>
              </w:rPr>
            </w:pPr>
          </w:p>
        </w:tc>
        <w:tc>
          <w:tcPr>
            <w:tcW w:w="2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1640" w:type="dxa"/>
            <w:vAlign w:val="bottom"/>
            <w:gridSpan w:val="3"/>
            <w:vMerge w:val="continue"/>
          </w:tcPr>
          <w:p>
            <w:pPr>
              <w:spacing w:after="0"/>
              <w:rPr>
                <w:sz w:val="17"/>
                <w:szCs w:val="17"/>
                <w:color w:val="auto"/>
              </w:rPr>
            </w:pPr>
          </w:p>
        </w:tc>
        <w:tc>
          <w:tcPr>
            <w:tcW w:w="190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9"/>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38,100</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15,118</w:t>
            </w:r>
          </w:p>
        </w:tc>
        <w:tc>
          <w:tcPr>
            <w:tcW w:w="8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2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20,608</w:t>
            </w:r>
          </w:p>
        </w:tc>
        <w:tc>
          <w:tcPr>
            <w:tcW w:w="8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Acquired intangible assets are amortized on a straight-line basis. Amortization expense of intangible assets was $2.3 million and $6.9 million for the three and nine months ended October 31, 2022, respectively, and $2.3 million and $6.8 million for the three and nine months ended October 31, 2021, respectively. Amortization expense for developed technology was included as research and development expense in the Company’s condensed consolidated statements of operations. Amortization expense for customer relationships was included as sales and marketing expense in the Company’s interim unaudited condensed consolidated statements of operations.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 of October 31, 2022, future amortization expense related to the intangible assets is as follows (in thousands):</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18"/>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January 31,</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2023</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8,505</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13,723</w:t>
            </w:r>
          </w:p>
        </w:tc>
      </w:tr>
      <w:tr>
        <w:trPr>
          <w:trHeight w:val="20"/>
        </w:trPr>
        <w:tc>
          <w:tcPr>
            <w:tcW w:w="9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Convertible Senior Notes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net carrying amounts of the Company’s 2026 Notes (as defined herein) were as follows for the periods presented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240" w:type="dxa"/>
            <w:vAlign w:val="bottom"/>
          </w:tcPr>
          <w:p>
            <w:pPr>
              <w:spacing w:after="0"/>
              <w:rPr>
                <w:sz w:val="16"/>
                <w:szCs w:val="16"/>
                <w:color w:val="auto"/>
              </w:rPr>
            </w:pPr>
          </w:p>
        </w:tc>
        <w:tc>
          <w:tcPr>
            <w:tcW w:w="15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January 31, 2022</w:t>
            </w:r>
          </w:p>
        </w:tc>
      </w:tr>
      <w:tr>
        <w:trPr>
          <w:trHeight w:val="23"/>
        </w:trPr>
        <w:tc>
          <w:tcPr>
            <w:tcW w:w="7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1,149,979</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1,149,988</w:t>
            </w:r>
          </w:p>
        </w:tc>
      </w:tr>
      <w:tr>
        <w:trPr>
          <w:trHeight w:val="22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(10,937)</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(13,467)</w:t>
            </w:r>
          </w:p>
        </w:tc>
      </w:tr>
      <w:tr>
        <w:trPr>
          <w:trHeight w:val="248"/>
        </w:trPr>
        <w:tc>
          <w:tcPr>
            <w:tcW w:w="7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carrying amount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1,139,042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1,136,521</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As of October 31, 2022, the estimated fair value (Level 2) of the outstanding 2026 Notes, which is utilized solely for disclosure purposes, was approximately $1.3 billion. The fair value was determined based on the closing trading price per</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$100 of the 2026 Notes as of the last day of trading for the period. The fair value of the 2026 Notes is primarily affected by the trading price of the Company’s common stock and market interest rates.</w:t>
      </w:r>
    </w:p>
    <w:p>
      <w:pPr>
        <w:spacing w:after="0" w:line="108"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January 2020, the Company issued $1.0 billion aggregate principal amount of 0.25% convertible senior notes due 2026 in a private placement and, also in January 2020, the Company issued an additional $150.0 million aggregate principal amount of convertible senior notes pursuant to the exercise in full of the initial purchasers’ option to purchase additional convertible senior notes (collectively, the “2026 Notes”). The 2026 Notes are senior unsecured obligations of the Company and interest is payable semiannually in arrears on July 15 and January 15 of each year, beginning on July 15, 2020, at a rate of 0.25% per year. The 2026 Notes will mature on January 15, 2026, unless earlier converted, redeemed or repurchased. The total net proceeds from the offering, after deducting initial purchase discounts and estimated debt issuance costs, were approximately $1.13 billion.</w:t>
      </w:r>
    </w:p>
    <w:p>
      <w:pPr>
        <w:spacing w:after="0" w:line="131" w:lineRule="exact"/>
        <w:rPr>
          <w:sz w:val="20"/>
          <w:szCs w:val="20"/>
          <w:color w:val="auto"/>
        </w:rPr>
      </w:pPr>
    </w:p>
    <w:p>
      <w:pPr>
        <w:ind w:right="400" w:firstLine="486"/>
        <w:spacing w:after="0" w:line="284" w:lineRule="auto"/>
        <w:rPr>
          <w:sz w:val="20"/>
          <w:szCs w:val="20"/>
          <w:color w:val="auto"/>
        </w:rPr>
      </w:pPr>
      <w:r>
        <w:rPr>
          <w:rFonts w:ascii="Times New Roman" w:cs="Times New Roman" w:eastAsia="Times New Roman" w:hAnsi="Times New Roman"/>
          <w:sz w:val="18"/>
          <w:szCs w:val="18"/>
          <w:color w:val="auto"/>
        </w:rPr>
        <w:t xml:space="preserve">Refer to Note 6,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in the Notes to Consolidated Financial Statements included in Part II, Item 8 of the Company’s 2022 Form 10-K for further information on the 2026 Notes.</w:t>
      </w:r>
    </w:p>
    <w:p>
      <w:pPr>
        <w:spacing w:after="0" w:line="106"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During the three months ended October 31, 2022, the conditional conversion feature of the 2026 Notes was not triggered as the last reported sale price of the Company's common stock was not more than or equal to 130% of the conversion price for at least 20 trading days in the period of 30 consecutive trading days ending on October 31, 2022 (the last trading day of the fiscal quarter) and therefore the 2026 Notes are not convertible, in whole or in part, from November 1, 2022 through January 31, 2023. Whether the 2026 Notes will be convertible following such period will depend on the continued satisfaction of this condition or another conversion condition in the future.</w:t>
      </w:r>
    </w:p>
    <w:p>
      <w:pPr>
        <w:spacing w:after="0" w:line="129"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October 31, 2022, certain holders elected to redeem an immaterial aggregate principal amount of the 2026 Notes. The Company elected to settle the redemption through the issuance of common stock. The Company may elect to repay the 2026 Notes in cash, shares of the Company’s common stock or a combination of both cash and shares with respect to future conversions of the 2026 Notes.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Calls</w:t>
      </w:r>
    </w:p>
    <w:p>
      <w:pPr>
        <w:spacing w:after="0" w:line="173"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pricing of the issuance of our convertible notes due June 15, 2024 (the “2024 Notes”) and the 2026 Notes, the Company entered into privately negotiated capped call transactions with certain counterparties (the “Capped Calls”). The Capped Calls associated with the 2024 Notes each have an initial strike price of approximately $68.15 per share, subject to certain adjustments, which corresponded to the initial conversion price of the 2024 Notes. These Capped Calls have initial cap prices of $106.90 per share, subject to certain adjustments.</w:t>
      </w:r>
    </w:p>
    <w:p>
      <w:pPr>
        <w:spacing w:after="0" w:line="126"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Capped Calls associated with the 2026 Notes each have an initial strike price of approximately $211.20 per share, subject to certain adjustments, which corresponds to the initial conversion price of the 2026 Notes. These Capped Calls have initial cap prices of $296.42 per share, subject to certain adjustments. The Company did not unwind any of its Capped Calls through October 31, 2022.</w:t>
      </w:r>
    </w:p>
    <w:p>
      <w:pPr>
        <w:spacing w:after="0" w:line="120" w:lineRule="exact"/>
        <w:rPr>
          <w:sz w:val="20"/>
          <w:szCs w:val="20"/>
          <w:color w:val="auto"/>
        </w:rPr>
      </w:pPr>
    </w:p>
    <w:p>
      <w:pPr>
        <w:ind w:right="400" w:firstLine="486"/>
        <w:spacing w:after="0" w:line="284" w:lineRule="auto"/>
        <w:rPr>
          <w:sz w:val="20"/>
          <w:szCs w:val="20"/>
          <w:color w:val="auto"/>
        </w:rPr>
      </w:pPr>
      <w:r>
        <w:rPr>
          <w:rFonts w:ascii="Times New Roman" w:cs="Times New Roman" w:eastAsia="Times New Roman" w:hAnsi="Times New Roman"/>
          <w:sz w:val="18"/>
          <w:szCs w:val="18"/>
          <w:color w:val="auto"/>
        </w:rPr>
        <w:t xml:space="preserve">Refer to Note 6,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in the Notes to Consolidated Financial Statements included in Part II, Item 8 of the Company’s 2022 Form 10-K for further information on the Capped Calls and the 2024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7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Company has entered into non-cancelable operating and finance lease agreements, principally real estate for office space globally. The Company may receive renewal or expansion options, leasehold improvement allowances or other incentives on certain lease agreements. Lease terms range from one to 12 years and may include renewal options, which the company deems reasonably certain to be renewed. The exercise of the lease renewal option is at the company's discretion.</w:t>
      </w:r>
    </w:p>
    <w:p>
      <w:pPr>
        <w:spacing w:after="0" w:line="126"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The Company entered into a new agreement to lease office space in Gurgaon, India for a term of five years with total estimated aggregate base rent payments of $7.0 million. This lease commenced and payments began in April 2022.</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Lease Costs</w:t>
      </w:r>
    </w:p>
    <w:p>
      <w:pPr>
        <w:spacing w:after="0" w:line="173"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components of the Company’s lease costs included in its interim unaudited condensed consolidated statement of operations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4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7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finance lease right-of-use assets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19"/>
                <w:szCs w:val="19"/>
                <w:color w:val="auto"/>
              </w:rPr>
            </w:pP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w:t>
            </w: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12,498</w:t>
            </w:r>
          </w:p>
        </w:tc>
      </w:tr>
      <w:tr>
        <w:trPr>
          <w:trHeight w:val="21"/>
        </w:trPr>
        <w:tc>
          <w:tcPr>
            <w:tcW w:w="4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Balance Sheet Components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balances of the Company’s finance and operating leases were recorded on the condensed consolidated balance sheet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January 31, 2022</w:t>
            </w:r>
          </w:p>
        </w:tc>
      </w:tr>
      <w:tr>
        <w:trPr>
          <w:trHeight w:val="23"/>
        </w:trPr>
        <w:tc>
          <w:tcPr>
            <w:tcW w:w="61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1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29"/>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40" w:type="dxa"/>
            <w:vAlign w:val="bottom"/>
          </w:tcPr>
          <w:p>
            <w:pPr>
              <w:jc w:val="right"/>
              <w:ind w:right="16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31,463</w:t>
            </w:r>
          </w:p>
        </w:tc>
      </w:tr>
      <w:tr>
        <w:trPr>
          <w:trHeight w:val="22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accrued liabilities (current)</w:t>
            </w:r>
          </w:p>
        </w:tc>
        <w:tc>
          <w:tcPr>
            <w:tcW w:w="18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r>
      <w:tr>
        <w:trPr>
          <w:trHeight w:val="230"/>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8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49,173</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8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29"/>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40" w:type="dxa"/>
            <w:vAlign w:val="bottom"/>
          </w:tcPr>
          <w:p>
            <w:pPr>
              <w:jc w:val="right"/>
              <w:ind w:right="16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41,745</w:t>
            </w:r>
          </w:p>
        </w:tc>
      </w:tr>
      <w:tr>
        <w:trPr>
          <w:trHeight w:val="230"/>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w:t>
            </w:r>
          </w:p>
        </w:tc>
      </w:tr>
      <w:tr>
        <w:trPr>
          <w:trHeight w:val="234"/>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8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38,707</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Supplemental Information</w:t>
      </w:r>
    </w:p>
    <w:p>
      <w:pPr>
        <w:spacing w:after="0" w:line="173"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information related to the Company’s finance and operating leases (in thousands, except weighted-average information):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328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780" w:type="dxa"/>
            <w:vAlign w:val="bottom"/>
          </w:tcPr>
          <w:p>
            <w:pPr>
              <w:spacing w:after="0"/>
              <w:rPr>
                <w:sz w:val="16"/>
                <w:szCs w:val="16"/>
                <w:color w:val="auto"/>
              </w:rPr>
            </w:pPr>
          </w:p>
        </w:tc>
      </w:tr>
      <w:tr>
        <w:trPr>
          <w:trHeight w:val="23"/>
        </w:trPr>
        <w:tc>
          <w:tcPr>
            <w:tcW w:w="71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71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Borders>
              <w:bottom w:val="single" w:sz="8" w:color="auto"/>
            </w:tcBorders>
          </w:tcPr>
          <w:p>
            <w:pPr>
              <w:spacing w:after="0"/>
              <w:rPr>
                <w:sz w:val="16"/>
                <w:szCs w:val="16"/>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w:t>
            </w:r>
          </w:p>
        </w:tc>
        <w:tc>
          <w:tcPr>
            <w:tcW w:w="1240" w:type="dxa"/>
            <w:vAlign w:val="bottom"/>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tcPr>
          <w:p>
            <w:pPr>
              <w:spacing w:after="0"/>
              <w:rPr>
                <w:sz w:val="19"/>
                <w:szCs w:val="19"/>
                <w:color w:val="auto"/>
              </w:rPr>
            </w:pPr>
          </w:p>
        </w:tc>
        <w:tc>
          <w:tcPr>
            <w:tcW w:w="1200" w:type="dxa"/>
            <w:vAlign w:val="bottom"/>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2,406</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8,861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5,909</w:t>
            </w: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w:t>
            </w:r>
          </w:p>
        </w:tc>
        <w:tc>
          <w:tcPr>
            <w:tcW w:w="124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3,649</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240" w:type="dxa"/>
            <w:vAlign w:val="bottom"/>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9,633</w:t>
            </w:r>
          </w:p>
        </w:tc>
        <w:tc>
          <w:tcPr>
            <w:tcW w:w="100" w:type="dxa"/>
            <w:vAlign w:val="bottom"/>
          </w:tcPr>
          <w:p>
            <w:pPr>
              <w:spacing w:after="0"/>
              <w:rPr>
                <w:sz w:val="19"/>
                <w:szCs w:val="19"/>
                <w:color w:val="auto"/>
              </w:rPr>
            </w:pPr>
          </w:p>
        </w:tc>
        <w:tc>
          <w:tcPr>
            <w:tcW w:w="1200" w:type="dxa"/>
            <w:vAlign w:val="bottom"/>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12,893</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as of period end (in years):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w:t>
            </w: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34"/>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Maturities of Lease Liabilities</w:t>
      </w:r>
    </w:p>
    <w:p>
      <w:pPr>
        <w:spacing w:after="0" w:line="173"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non-cancelable finance and operating leases on an annual undiscounted cash flow basis as of October 31, 2022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January 31,</w:t>
            </w:r>
          </w:p>
        </w:tc>
        <w:tc>
          <w:tcPr>
            <w:tcW w:w="28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240" w:type="dxa"/>
            <w:vAlign w:val="bottom"/>
          </w:tcPr>
          <w:p>
            <w:pPr>
              <w:spacing w:after="0"/>
              <w:rPr>
                <w:sz w:val="16"/>
                <w:szCs w:val="16"/>
                <w:color w:val="auto"/>
              </w:rPr>
            </w:pPr>
          </w:p>
        </w:tc>
        <w:tc>
          <w:tcPr>
            <w:tcW w:w="15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37"/>
        </w:trPr>
        <w:tc>
          <w:tcPr>
            <w:tcW w:w="7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Remainder of 2023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29"/>
        </w:trPr>
        <w:tc>
          <w:tcPr>
            <w:tcW w:w="7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11,564</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0" w:type="dxa"/>
            <w:vAlign w:val="bottom"/>
          </w:tcPr>
          <w:p>
            <w:pPr>
              <w:spacing w:after="0"/>
              <w:rPr>
                <w:sz w:val="1"/>
                <w:szCs w:val="1"/>
                <w:color w:val="auto"/>
              </w:rPr>
            </w:pPr>
          </w:p>
        </w:tc>
      </w:tr>
      <w:tr>
        <w:trPr>
          <w:trHeight w:val="229"/>
        </w:trPr>
        <w:tc>
          <w:tcPr>
            <w:tcW w:w="7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0" w:type="dxa"/>
            <w:vAlign w:val="bottom"/>
          </w:tcPr>
          <w:p>
            <w:pPr>
              <w:spacing w:after="0"/>
              <w:rPr>
                <w:sz w:val="1"/>
                <w:szCs w:val="1"/>
                <w:color w:val="auto"/>
              </w:rPr>
            </w:pPr>
          </w:p>
        </w:tc>
      </w:tr>
      <w:tr>
        <w:trPr>
          <w:trHeight w:val="284"/>
        </w:trPr>
        <w:tc>
          <w:tcPr>
            <w:tcW w:w="75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16,178</w:t>
            </w:r>
          </w:p>
        </w:tc>
        <w:tc>
          <w:tcPr>
            <w:tcW w:w="0" w:type="dxa"/>
            <w:vAlign w:val="bottom"/>
          </w:tcPr>
          <w:p>
            <w:pPr>
              <w:spacing w:after="0"/>
              <w:rPr>
                <w:sz w:val="1"/>
                <w:szCs w:val="1"/>
                <w:color w:val="auto"/>
              </w:rPr>
            </w:pPr>
          </w:p>
        </w:tc>
      </w:tr>
      <w:tr>
        <w:trPr>
          <w:trHeight w:val="223"/>
        </w:trPr>
        <w:tc>
          <w:tcPr>
            <w:tcW w:w="7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payments</w:t>
            </w:r>
          </w:p>
        </w:tc>
        <w:tc>
          <w:tcPr>
            <w:tcW w:w="280" w:type="dxa"/>
            <w:vAlign w:val="bottom"/>
            <w:shd w:val="clear" w:color="auto" w:fill="CCEEFF"/>
          </w:tcPr>
          <w:p>
            <w:pPr>
              <w:spacing w:after="0"/>
              <w:rPr>
                <w:sz w:val="19"/>
                <w:szCs w:val="19"/>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53,584</w:t>
            </w:r>
          </w:p>
        </w:tc>
        <w:tc>
          <w:tcPr>
            <w:tcW w:w="0" w:type="dxa"/>
            <w:vAlign w:val="bottom"/>
          </w:tcPr>
          <w:p>
            <w:pPr>
              <w:spacing w:after="0"/>
              <w:rPr>
                <w:sz w:val="1"/>
                <w:szCs w:val="1"/>
                <w:color w:val="auto"/>
              </w:rPr>
            </w:pPr>
          </w:p>
        </w:tc>
      </w:tr>
      <w:tr>
        <w:trPr>
          <w:trHeight w:val="68"/>
        </w:trPr>
        <w:tc>
          <w:tcPr>
            <w:tcW w:w="7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Pr>
          <w:p>
            <w:pPr>
              <w:spacing w:after="0"/>
              <w:rPr>
                <w:sz w:val="21"/>
                <w:szCs w:val="2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(7,678)</w:t>
            </w:r>
          </w:p>
        </w:tc>
        <w:tc>
          <w:tcPr>
            <w:tcW w:w="0" w:type="dxa"/>
            <w:vAlign w:val="bottom"/>
          </w:tcPr>
          <w:p>
            <w:pPr>
              <w:spacing w:after="0"/>
              <w:rPr>
                <w:sz w:val="1"/>
                <w:szCs w:val="1"/>
                <w:color w:val="auto"/>
              </w:rPr>
            </w:pPr>
          </w:p>
        </w:tc>
      </w:tr>
      <w:tr>
        <w:trPr>
          <w:trHeight w:val="68"/>
        </w:trPr>
        <w:tc>
          <w:tcPr>
            <w:tcW w:w="74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7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80" w:type="dxa"/>
            <w:vAlign w:val="bottom"/>
            <w:shd w:val="clear" w:color="auto" w:fill="CCEEFF"/>
          </w:tcPr>
          <w:p>
            <w:pPr>
              <w:spacing w:after="0"/>
              <w:rPr>
                <w:sz w:val="19"/>
                <w:szCs w:val="19"/>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45,906</w:t>
            </w:r>
          </w:p>
        </w:tc>
        <w:tc>
          <w:tcPr>
            <w:tcW w:w="0" w:type="dxa"/>
            <w:vAlign w:val="bottom"/>
          </w:tcPr>
          <w:p>
            <w:pPr>
              <w:spacing w:after="0"/>
              <w:rPr>
                <w:sz w:val="1"/>
                <w:szCs w:val="1"/>
                <w:color w:val="auto"/>
              </w:rPr>
            </w:pPr>
          </w:p>
        </w:tc>
      </w:tr>
      <w:tr>
        <w:trPr>
          <w:trHeight w:val="68"/>
        </w:trPr>
        <w:tc>
          <w:tcPr>
            <w:tcW w:w="7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280" w:type="dxa"/>
            <w:vAlign w:val="bottom"/>
          </w:tcPr>
          <w:p>
            <w:pPr>
              <w:spacing w:after="0"/>
              <w:rPr>
                <w:sz w:val="21"/>
                <w:szCs w:val="2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0" w:type="dxa"/>
            <w:vAlign w:val="bottom"/>
          </w:tcPr>
          <w:p>
            <w:pPr>
              <w:spacing w:after="0"/>
              <w:rPr>
                <w:sz w:val="1"/>
                <w:szCs w:val="1"/>
                <w:color w:val="auto"/>
              </w:rPr>
            </w:pPr>
          </w:p>
        </w:tc>
      </w:tr>
      <w:tr>
        <w:trPr>
          <w:trHeight w:val="68"/>
        </w:trPr>
        <w:tc>
          <w:tcPr>
            <w:tcW w:w="74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8"/>
        </w:trPr>
        <w:tc>
          <w:tcPr>
            <w:tcW w:w="7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lease obligations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37,261</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Non-cancelable Material Commitments</w:t>
      </w:r>
    </w:p>
    <w:p>
      <w:pPr>
        <w:spacing w:after="0" w:line="171" w:lineRule="exact"/>
        <w:rPr>
          <w:sz w:val="20"/>
          <w:szCs w:val="20"/>
          <w:color w:val="auto"/>
        </w:rPr>
      </w:pPr>
    </w:p>
    <w:p>
      <w:pPr>
        <w:ind w:right="20" w:firstLine="486"/>
        <w:spacing w:after="0" w:line="267" w:lineRule="auto"/>
        <w:rPr>
          <w:sz w:val="20"/>
          <w:szCs w:val="20"/>
          <w:color w:val="auto"/>
        </w:rPr>
      </w:pPr>
      <w:r>
        <w:rPr>
          <w:rFonts w:ascii="Times New Roman" w:cs="Times New Roman" w:eastAsia="Times New Roman" w:hAnsi="Times New Roman"/>
          <w:sz w:val="18"/>
          <w:szCs w:val="18"/>
          <w:color w:val="auto"/>
        </w:rPr>
        <w:t xml:space="preserve">During the nine months ended October 31, 2022, other than certain non-cancelable operating leases described in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there have been no material changes outside the ordinary course of business to the Company’s contractual obligations and commitments from those disclosed in the 2022 Form 10-K.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Legal Matters</w:t>
      </w:r>
    </w:p>
    <w:p>
      <w:pPr>
        <w:spacing w:after="0" w:line="173" w:lineRule="exact"/>
        <w:rPr>
          <w:sz w:val="20"/>
          <w:szCs w:val="20"/>
          <w:color w:val="auto"/>
        </w:rPr>
      </w:pPr>
    </w:p>
    <w:p>
      <w:pPr>
        <w:ind w:right="120" w:firstLine="486"/>
        <w:spacing w:after="0" w:line="253" w:lineRule="auto"/>
        <w:rPr>
          <w:sz w:val="20"/>
          <w:szCs w:val="20"/>
          <w:color w:val="auto"/>
        </w:rPr>
      </w:pPr>
      <w:r>
        <w:rPr>
          <w:rFonts w:ascii="Times New Roman" w:cs="Times New Roman" w:eastAsia="Times New Roman" w:hAnsi="Times New Roman"/>
          <w:sz w:val="18"/>
          <w:szCs w:val="18"/>
          <w:color w:val="auto"/>
        </w:rPr>
        <w:t>From time to time, the Company has become involved in claims, litigation and other legal matters arising in the ordinary course of business, including intellectual property claims, labor and employment claims and breach of contract claims. For example, on March 12, 2019, Realtime Data LLC (“Realtime”) filed a lawsuit against the Company in the United States District Court for the District of Delaware alleging that the Company is infringing three U.S. patents that it holds: U.S. Patent No. 9,116,908, U.S. Patent No. 9,667,751 and U.S. Patent No. 8,933,825. On May 4, 2021, in a consolidated action that includes Realtime's case against MongoDB, the District Court granted certain defendants' motion to dismiss without prejudice, finding that the patents are invalid under 35 U.S.C. § 101. Realtime filed an amended complaint against the Company on May 18, 2021, and the Company moved to dismiss that amended complaint on June 29, 2021. On August 23, 2021, the District Court granted the Company's motion to dismiss. On August 25, 2021, Realtime filed a notice of appeal of the Delaware District Court’s order. Realtime filed its appellate brief on December 2, 2021 and the defendants (including MongoDB) filed a responsive brief on March 11, 2022. Realtime filed a reply brief on April 29, 2022. The oral argument has not yet been scheduled.</w:t>
      </w:r>
    </w:p>
    <w:p>
      <w:pPr>
        <w:spacing w:after="0" w:line="140"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 investigates all claims, litigation and other legal matters as they arise. Although claims and litigation are inherently unpredictable, as of October 31, 2022 and January 31, 2022, the Company is currently not aware of any matters that, if determined adversely to the Company, would individually or taken together have a material adverse effect on its business, financial position, results of operations or cash flows. The Company accrues estimates for resolution of legal and other contingencies when losses are probable and estimable. Regardless of the outcome, litigation can have an adverse impact on the Company because of defense and settlement costs, diversion of management resources and other factors.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Indemnification</w:t>
      </w:r>
    </w:p>
    <w:p>
      <w:pPr>
        <w:spacing w:after="0" w:line="173"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The Company enters into indemnification provisions under its agreements with other companies in the ordinary course of business, including business partners, landlords, contractors and parties performing its research and development. Pursuant to these arrangements, the Company agrees to indemnify, hold harmless and reimburse the indemnified party for certain losses suffered or incurred by the indemnified party as a result of the Company’s activities. The terms of these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indemnification agreements are generally perpetual. The maximum potential amount of future payments the Company could be required to make under these agreements is not determinable. The Company has never incurred costs to defend lawsuits or settle claims related to these indemnification agreements. As a result, the Company believes the fair value of these agreements is not material. The Company maintains commercial general liability insurance and product liability insurance to offset certain of the Company’s potential liabilities under these indemnification provisions.</w:t>
      </w:r>
    </w:p>
    <w:p>
      <w:pPr>
        <w:spacing w:after="0" w:line="126"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These agreements require the Company to indemnify such individuals, to the fullest extent permitted by Delaware law, for certain liabilities to which they may become subject as a result of their affiliation with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Disaggregation of Revenue</w:t>
      </w:r>
    </w:p>
    <w:p>
      <w:pPr>
        <w:spacing w:after="0" w:line="173" w:lineRule="exact"/>
        <w:rPr>
          <w:sz w:val="20"/>
          <w:szCs w:val="20"/>
          <w:color w:val="auto"/>
        </w:rPr>
      </w:pPr>
    </w:p>
    <w:p>
      <w:pPr>
        <w:ind w:right="260" w:firstLine="486"/>
        <w:spacing w:after="0" w:line="277" w:lineRule="auto"/>
        <w:rPr>
          <w:sz w:val="20"/>
          <w:szCs w:val="20"/>
          <w:color w:val="auto"/>
        </w:rPr>
      </w:pPr>
      <w:r>
        <w:rPr>
          <w:rFonts w:ascii="Times New Roman" w:cs="Times New Roman" w:eastAsia="Times New Roman" w:hAnsi="Times New Roman"/>
          <w:sz w:val="17"/>
          <w:szCs w:val="17"/>
          <w:color w:val="auto"/>
        </w:rPr>
        <w:t>Based on the information provided to and reviewed by the Company’s Chief Executive Officer (“CEO”), its Chief Operating Decision Maker, the Company believes that the nature, amount, timing and uncertainty of its revenue and cash flows and how they are affected by economic factors is most appropriately depicted through the Company’s primary geographical markets and subscription product categories. The Company’s primary geographical markets are North and South America (“Americas”); Europe, Middle East and Africa (“EMEA”); and Asia Pacific. The Company also disaggregates its subscription products between its MongoDB Atlas-related offerings and other subscription products, which include MongoDB Enterprise Advanced.</w:t>
      </w:r>
    </w:p>
    <w:p>
      <w:pPr>
        <w:spacing w:after="0" w:line="114" w:lineRule="exact"/>
        <w:rPr>
          <w:sz w:val="20"/>
          <w:szCs w:val="20"/>
          <w:color w:val="auto"/>
        </w:rPr>
      </w:pPr>
    </w:p>
    <w:p>
      <w:pPr>
        <w:ind w:right="14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Company’s revenues disaggregated by primary geographical markets, subscription product categories and services (in thousands):</w:t>
      </w: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72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5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Primary geographical markets:</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70"/>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205,887</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138,036</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565,739</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368,339</w:t>
            </w:r>
          </w:p>
        </w:tc>
      </w:tr>
      <w:tr>
        <w:trPr>
          <w:trHeight w:val="270"/>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257,619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178,490</w:t>
            </w:r>
          </w:p>
        </w:tc>
      </w:tr>
      <w:tr>
        <w:trPr>
          <w:trHeight w:val="283"/>
        </w:trPr>
        <w:tc>
          <w:tcPr>
            <w:tcW w:w="5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99,370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60,459</w:t>
            </w:r>
          </w:p>
        </w:tc>
      </w:tr>
      <w:tr>
        <w:trPr>
          <w:trHeight w:val="288"/>
        </w:trPr>
        <w:tc>
          <w:tcPr>
            <w:tcW w:w="5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333,621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226,893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922,728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607,288</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product categories and services: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MongoDB Atlas-related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211,378</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131,123</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574,727</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336,390</w:t>
            </w:r>
          </w:p>
        </w:tc>
      </w:tr>
      <w:tr>
        <w:trPr>
          <w:trHeight w:val="270"/>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subscription</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109,378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86,748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312,217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247,432</w:t>
            </w:r>
          </w:p>
        </w:tc>
      </w:tr>
      <w:tr>
        <w:trPr>
          <w:trHeight w:val="283"/>
        </w:trPr>
        <w:tc>
          <w:tcPr>
            <w:tcW w:w="5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9,022</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23,466</w:t>
            </w:r>
          </w:p>
        </w:tc>
      </w:tr>
      <w:tr>
        <w:trPr>
          <w:trHeight w:val="289"/>
        </w:trPr>
        <w:tc>
          <w:tcPr>
            <w:tcW w:w="5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333,621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226,893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922,728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607,288</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Customers located in the United States accounted for 56% and 55% of total revenue for the three and nine months ended October 31, 2022, respectively, and 55% of total revenue for both the three and nine months ended October 31, 2021. No other country accounted for 10% or more of revenue for the periods presented.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Contract Liabilities</w:t>
      </w:r>
    </w:p>
    <w:p>
      <w:pPr>
        <w:spacing w:after="0" w:line="173" w:lineRule="exact"/>
        <w:rPr>
          <w:sz w:val="20"/>
          <w:szCs w:val="20"/>
          <w:color w:val="auto"/>
        </w:rPr>
      </w:pPr>
    </w:p>
    <w:p>
      <w:pPr>
        <w:jc w:val="both"/>
        <w:ind w:right="40" w:firstLine="486"/>
        <w:spacing w:after="0" w:line="257" w:lineRule="auto"/>
        <w:rPr>
          <w:sz w:val="20"/>
          <w:szCs w:val="20"/>
          <w:color w:val="auto"/>
        </w:rPr>
      </w:pPr>
      <w:r>
        <w:rPr>
          <w:rFonts w:ascii="Times New Roman" w:cs="Times New Roman" w:eastAsia="Times New Roman" w:hAnsi="Times New Roman"/>
          <w:sz w:val="18"/>
          <w:szCs w:val="18"/>
          <w:color w:val="auto"/>
        </w:rPr>
        <w:t>The Company’s contract liabilities are recorded as deferred revenue in the Company’s condensed consolidated balance sheet and consist of customer invoices issued or payments received in advance of revenues being recognized from the Company’s subscription and services contracts. Deferred revenue, including current and non-current balances, as of October 31, 2022 and January 31, 2022 was $398.2 million and $375.2 million, respectively.</w:t>
      </w:r>
    </w:p>
    <w:p>
      <w:pPr>
        <w:spacing w:after="0" w:line="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Approximately 30% of the total revenue recognized for both the nine months ended October 31, 2022 and 2021 was from deferred revenue at the beginning of each respective period.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Remaining Performance Obligations</w:t>
      </w:r>
    </w:p>
    <w:p>
      <w:pPr>
        <w:spacing w:after="0" w:line="173"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2"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against accepted customer contracts at the end of any given period. As of October 31, 2022, the aggregate transaction price allocated to remaining performance obligations was $414.3 million. Approximately 64% is expected to be recognized as revenue over the next 12 months and the remainder thereafter. The Company applies the practical expedient to omit disclosure with respect to the amount of the transaction price allocated to remaining performance obligations if the related contract has a total duration of 12 months or less.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Unbilled Receivables</w:t>
      </w:r>
    </w:p>
    <w:p>
      <w:pPr>
        <w:spacing w:after="0" w:line="173"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Revenue recognized in excess of invoiced amounts creates an unbilled receivable, which represents the Company’s unconditional right to consideration in exchange for goods or services that the Company has transferred to the customer. Unbilled receivables are recorded as part of accounts receivable, net in the Company’s condensed consolidated balance sheets. As of October 31, 2022 and January 31, 2022, unbilled receivables were $8.9 million and $6.1 million,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Allowance for Doubtful Accounts</w:t>
      </w:r>
    </w:p>
    <w:p>
      <w:pPr>
        <w:spacing w:after="0" w:line="173"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considers expectations of forward-looking losses, in addition to historical loss rates, to estimate its allowance for doubtful accounts on its accounts receivable. The following is a summary of the changes in the Company’s allowance for doubtful accounts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3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Allowance for Doubtful Accounts</w:t>
            </w:r>
          </w:p>
        </w:tc>
      </w:tr>
      <w:tr>
        <w:trPr>
          <w:trHeight w:val="23"/>
        </w:trPr>
        <w:tc>
          <w:tcPr>
            <w:tcW w:w="73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31, 2022</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3380" w:type="dxa"/>
            <w:vAlign w:val="bottom"/>
            <w:shd w:val="clear" w:color="auto" w:fill="CCEEFF"/>
          </w:tcPr>
          <w:p>
            <w:pPr>
              <w:jc w:val="center"/>
              <w:ind w:left="2734"/>
              <w:spacing w:after="0"/>
              <w:rPr>
                <w:sz w:val="20"/>
                <w:szCs w:val="20"/>
                <w:color w:val="auto"/>
              </w:rPr>
            </w:pPr>
            <w:r>
              <w:rPr>
                <w:rFonts w:ascii="Times New Roman" w:cs="Times New Roman" w:eastAsia="Times New Roman" w:hAnsi="Times New Roman"/>
                <w:sz w:val="18"/>
                <w:szCs w:val="18"/>
                <w:color w:val="auto"/>
                <w:w w:val="98"/>
              </w:rPr>
              <w:t>4,966</w:t>
            </w:r>
          </w:p>
        </w:tc>
      </w:tr>
      <w:tr>
        <w:trPr>
          <w:trHeight w:val="229"/>
        </w:trPr>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w:t>
            </w:r>
          </w:p>
        </w:tc>
        <w:tc>
          <w:tcPr>
            <w:tcW w:w="520" w:type="dxa"/>
            <w:vAlign w:val="bottom"/>
          </w:tcPr>
          <w:p>
            <w:pPr>
              <w:spacing w:after="0"/>
              <w:rPr>
                <w:sz w:val="19"/>
                <w:szCs w:val="19"/>
                <w:color w:val="auto"/>
              </w:rPr>
            </w:pPr>
          </w:p>
        </w:tc>
        <w:tc>
          <w:tcPr>
            <w:tcW w:w="3380" w:type="dxa"/>
            <w:vAlign w:val="bottom"/>
          </w:tcPr>
          <w:p>
            <w:pPr>
              <w:jc w:val="center"/>
              <w:ind w:left="2734"/>
              <w:spacing w:after="0"/>
              <w:rPr>
                <w:sz w:val="20"/>
                <w:szCs w:val="20"/>
                <w:color w:val="auto"/>
              </w:rPr>
            </w:pPr>
            <w:r>
              <w:rPr>
                <w:rFonts w:ascii="Times New Roman" w:cs="Times New Roman" w:eastAsia="Times New Roman" w:hAnsi="Times New Roman"/>
                <w:sz w:val="18"/>
                <w:szCs w:val="18"/>
                <w:color w:val="auto"/>
                <w:w w:val="98"/>
              </w:rPr>
              <w:t>3,809</w:t>
            </w:r>
          </w:p>
        </w:tc>
      </w:tr>
      <w:tr>
        <w:trPr>
          <w:trHeight w:val="230"/>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Recoveries/write-offs</w:t>
            </w:r>
          </w:p>
        </w:tc>
        <w:tc>
          <w:tcPr>
            <w:tcW w:w="520" w:type="dxa"/>
            <w:vAlign w:val="bottom"/>
            <w:tcBorders>
              <w:bottom w:val="single" w:sz="8" w:color="auto"/>
            </w:tcBorders>
            <w:shd w:val="clear" w:color="auto" w:fill="CCEEFF"/>
          </w:tcPr>
          <w:p>
            <w:pPr>
              <w:spacing w:after="0"/>
              <w:rPr>
                <w:sz w:val="19"/>
                <w:szCs w:val="19"/>
                <w:color w:val="auto"/>
              </w:rPr>
            </w:pPr>
          </w:p>
        </w:tc>
        <w:tc>
          <w:tcPr>
            <w:tcW w:w="3380" w:type="dxa"/>
            <w:vAlign w:val="bottom"/>
            <w:tcBorders>
              <w:bottom w:val="single" w:sz="8" w:color="auto"/>
            </w:tcBorders>
            <w:shd w:val="clear" w:color="auto" w:fill="CCEEFF"/>
          </w:tcPr>
          <w:p>
            <w:pPr>
              <w:jc w:val="center"/>
              <w:ind w:left="2714"/>
              <w:spacing w:after="0"/>
              <w:rPr>
                <w:sz w:val="20"/>
                <w:szCs w:val="20"/>
                <w:color w:val="auto"/>
              </w:rPr>
            </w:pPr>
            <w:r>
              <w:rPr>
                <w:rFonts w:ascii="Times New Roman" w:cs="Times New Roman" w:eastAsia="Times New Roman" w:hAnsi="Times New Roman"/>
                <w:sz w:val="18"/>
                <w:szCs w:val="18"/>
                <w:color w:val="auto"/>
              </w:rPr>
              <w:t>(3,318)</w:t>
            </w:r>
          </w:p>
        </w:tc>
      </w:tr>
      <w:tr>
        <w:trPr>
          <w:trHeight w:val="22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October 31, 2022</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3380" w:type="dxa"/>
            <w:vAlign w:val="bottom"/>
            <w:tcBorders>
              <w:bottom w:val="single" w:sz="8" w:color="auto"/>
            </w:tcBorders>
          </w:tcPr>
          <w:p>
            <w:pPr>
              <w:jc w:val="center"/>
              <w:ind w:left="2734"/>
              <w:spacing w:after="0"/>
              <w:rPr>
                <w:sz w:val="20"/>
                <w:szCs w:val="20"/>
                <w:color w:val="auto"/>
              </w:rPr>
            </w:pPr>
            <w:r>
              <w:rPr>
                <w:rFonts w:ascii="Times New Roman" w:cs="Times New Roman" w:eastAsia="Times New Roman" w:hAnsi="Times New Roman"/>
                <w:sz w:val="18"/>
                <w:szCs w:val="18"/>
                <w:color w:val="auto"/>
                <w:w w:val="98"/>
              </w:rPr>
              <w:t>5,457</w:t>
            </w:r>
          </w:p>
        </w:tc>
      </w:tr>
      <w:tr>
        <w:trPr>
          <w:trHeight w:val="21"/>
        </w:trPr>
        <w:tc>
          <w:tcPr>
            <w:tcW w:w="7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Costs Capitalized to Obtain Contracts with Customers</w:t>
      </w:r>
    </w:p>
    <w:p>
      <w:pPr>
        <w:spacing w:after="0" w:line="173"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Deferred commissions were $233.2 million and $203.3 million as of October 31, 2022 and January 31, 2022, respectively. Amortization expense with respect to deferred commissions, which is included in sales and marketing expense in the Company’s interim unaudited condensed consolidated statement of operations, was $20.5 million and $57.0 million for the three and nine months ended October 31, 2022, respectively, and $13.3 million and $33.5 million for the three and nine months ended October 31, 2021, respectively. There was no impairment loss in relation to the costs capitalized for the periods presented.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 Incentive Plans and Employee Stock Purchase Plan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2008 Stock Incentive Plan and 2016 Equity Incentive Plan</w:t>
      </w:r>
    </w:p>
    <w:p>
      <w:pPr>
        <w:spacing w:after="0" w:line="17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Company adopted the 2008 Stock Incentive Plan (as amended, the “2008 Plan”) and the 2016 Equity Incentive Plan (as amended, the “2016 Plan”), primarily for the purpose of granting stock-based awards to employees, directors and consultants, including stock options, restricted stock units (“RSUs”) and other stock-based awards. With the establishment of the 2016 Plan in December 2016, all shares available for grant under the 2008 Plan were transferred to the 2016 Plan. The Company no longer grants any stock-based awards under the 2008 Plan and any shares underlying stock options canceled under the 2008 Plan will be automatically transferred to the 2016 Plan.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Stock Options</w:t>
      </w:r>
    </w:p>
    <w:p>
      <w:pPr>
        <w:spacing w:after="0" w:line="173"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The 2016 Plan provides for the issuance of incentive stock options to employees and non-statutory stock options to employees, directors or consultants. The Company’s Board of Directors, or a committee thereof, determines the vesting schedule for all equity awards. Stock option awards generally vest over a period of four years with 25% vesting on the one-year anniversary of the award and the remainder vesting monthly over the next 36 months of the grantee’s service to the Company. There were no stock options granted during the nine months ended October 31, 2022.</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2"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option activity for the nine months ended October 31, 2022 (in thousands, except share and per share data and years):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4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restart"/>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1640" w:type="dxa"/>
            <w:vAlign w:val="bottom"/>
          </w:tcPr>
          <w:p>
            <w:pPr>
              <w:jc w:val="center"/>
              <w:ind w:left="208"/>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42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40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0"/>
        </w:trPr>
        <w:tc>
          <w:tcPr>
            <w:tcW w:w="436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6"/>
        </w:trPr>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Balance - January 31, 2022</w:t>
            </w: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360" w:type="dxa"/>
            <w:vAlign w:val="bottom"/>
            <w:vMerge w:val="continue"/>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2,591,894</w:t>
            </w:r>
          </w:p>
        </w:tc>
        <w:tc>
          <w:tcPr>
            <w:tcW w:w="1520" w:type="dxa"/>
            <w:vAlign w:val="bottom"/>
            <w:gridSpan w:val="2"/>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1,030,680</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options 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(598,546)</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Stock options forfeited and expired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 October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1,992,539</w:t>
            </w:r>
          </w:p>
        </w:tc>
        <w:tc>
          <w:tcPr>
            <w:tcW w:w="1520" w:type="dxa"/>
            <w:vAlign w:val="bottom"/>
            <w:tcBorders>
              <w:bottom w:val="single" w:sz="8" w:color="CCEEFF"/>
            </w:tcBorders>
            <w:gridSpan w:val="2"/>
            <w:shd w:val="clear" w:color="auto" w:fill="CCEEFF"/>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349,716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Vested and exercisable - January 31, 2022</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2,591,894</w:t>
            </w:r>
          </w:p>
        </w:tc>
        <w:tc>
          <w:tcPr>
            <w:tcW w:w="1520" w:type="dxa"/>
            <w:vAlign w:val="bottom"/>
            <w:gridSpan w:val="2"/>
          </w:tcPr>
          <w:p>
            <w:pPr>
              <w:jc w:val="right"/>
              <w:ind w:right="1228"/>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1,030,680</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 and exercisable - October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1,992,539</w:t>
            </w:r>
          </w:p>
        </w:tc>
        <w:tc>
          <w:tcPr>
            <w:tcW w:w="1520" w:type="dxa"/>
            <w:vAlign w:val="bottom"/>
            <w:tcBorders>
              <w:bottom w:val="single" w:sz="8" w:color="CCEEFF"/>
            </w:tcBorders>
            <w:gridSpan w:val="2"/>
            <w:shd w:val="clear" w:color="auto" w:fill="CCEEFF"/>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349,716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Restricted Stock Units</w:t>
      </w:r>
    </w:p>
    <w:p>
      <w:pPr>
        <w:spacing w:after="0" w:line="173"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2016 Plan provides for the issuance of RSUs to employees, directors and consultants. RSUs granted to new employees generally vest over a period of four years with 25% vesting on the one-year anniversary of the vesting start date and the remainder vesting quarterly over the next 12 quarters, subject to the grantee’s continued service to the Company. RSUs granted to existing employees generally vest quarterly over a period of four years, subject to the grantee’s continued service to the Company.</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RSU activity for the nine months ended October 31,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800" w:type="dxa"/>
            <w:vAlign w:val="bottom"/>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3"/>
        </w:trPr>
        <w:tc>
          <w:tcPr>
            <w:tcW w:w="754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Date Fair Value per RSU</w:t>
            </w:r>
          </w:p>
        </w:tc>
        <w:tc>
          <w:tcPr>
            <w:tcW w:w="0" w:type="dxa"/>
            <w:vAlign w:val="bottom"/>
          </w:tcPr>
          <w:p>
            <w:pPr>
              <w:spacing w:after="0"/>
              <w:rPr>
                <w:sz w:val="1"/>
                <w:szCs w:val="1"/>
                <w:color w:val="auto"/>
              </w:rPr>
            </w:pPr>
          </w:p>
        </w:tc>
      </w:tr>
      <w:tr>
        <w:trPr>
          <w:trHeight w:val="37"/>
        </w:trPr>
        <w:tc>
          <w:tcPr>
            <w:tcW w:w="7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Unvested - January 31, 2022</w:t>
            </w:r>
          </w:p>
        </w:tc>
        <w:tc>
          <w:tcPr>
            <w:tcW w:w="1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540" w:type="dxa"/>
            <w:vAlign w:val="bottom"/>
            <w:vMerge w:val="continue"/>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3,226,759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258.85</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RSUs granted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1,790,022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316.47</w:t>
            </w:r>
          </w:p>
        </w:tc>
        <w:tc>
          <w:tcPr>
            <w:tcW w:w="0" w:type="dxa"/>
            <w:vAlign w:val="bottom"/>
          </w:tcPr>
          <w:p>
            <w:pPr>
              <w:spacing w:after="0"/>
              <w:rPr>
                <w:sz w:val="1"/>
                <w:szCs w:val="1"/>
                <w:color w:val="auto"/>
              </w:rPr>
            </w:pPr>
          </w:p>
        </w:tc>
      </w:tr>
      <w:tr>
        <w:trPr>
          <w:trHeight w:val="270"/>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RSUs vested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(1,139,763)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214.84</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RSUs forfeited and canceled</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(296,995)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291.22</w:t>
            </w:r>
          </w:p>
        </w:tc>
        <w:tc>
          <w:tcPr>
            <w:tcW w:w="0" w:type="dxa"/>
            <w:vAlign w:val="bottom"/>
          </w:tcPr>
          <w:p>
            <w:pPr>
              <w:spacing w:after="0"/>
              <w:rPr>
                <w:sz w:val="1"/>
                <w:szCs w:val="1"/>
                <w:color w:val="auto"/>
              </w:rPr>
            </w:pPr>
          </w:p>
        </w:tc>
      </w:tr>
      <w:tr>
        <w:trPr>
          <w:trHeight w:val="223"/>
        </w:trPr>
        <w:tc>
          <w:tcPr>
            <w:tcW w:w="7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Unvested - October 31, 2022</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3,580,023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298.99</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Executive Performance Share Awards</w:t>
      </w:r>
    </w:p>
    <w:p>
      <w:pPr>
        <w:spacing w:after="0" w:line="173"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During three months ended April 30, 2022, the Company created a long-term performance-based equity award program and granted performance share units (“PSUs”) to the Company’s CEO and certain other executives. The vesting of PSUs is conditioned upon the achievement of certain targets for the year ended January 31, 2023. Upon achievement of those conditions, the PSUs vest annually over a period of three years from the date of grant, subject to the executive’s continued employment with the Company. Each vested PSU entitles the executive to one share of common stock. A PSU performance factor of 100 will result in the targeted number of PSUs being vested. The minimum percentage of PSUs that can vest is zero, with a maximum percentage of 200. On the date of grant, the Company assumed a performance factor of 100, which would result in 74,823 PSUs to be issued, if fully vested.</w:t>
      </w:r>
    </w:p>
    <w:p>
      <w:pPr>
        <w:spacing w:after="0" w:line="133"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The grant date fair value of these PSUs was $23.7 million at a performance factor of 100, which was determined by using the closing price of the Company’s stock at the date of grant. Compensation expense is being recognized over the requisite service period based on the probability of the performance conditions being satisfied using the accelerated attribution method.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2017 Employee Stock Purchase Plan</w:t>
      </w:r>
    </w:p>
    <w:p>
      <w:pPr>
        <w:spacing w:after="0" w:line="17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October 2017, the Company’s Board of Directors adopted, and stockholders approved, the 2017 Employee Stock Purchase Plan (the “2017 ESPP”). Subject to any plan limitations, the 2017 ESPP allows eligible employees to contribute, normally through payroll deductions, up to 15% of their earnings for the purchase of the Company’s common stock at a</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discounted price per share. In June 2022, the Company issued 72,966 shares of its common stock under the 2017 ESPP. The Company’s current offering period began June 16, 2022 and ends on December 15, 2022.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Stock-Based Compensation Expense</w:t>
      </w:r>
    </w:p>
    <w:p>
      <w:pPr>
        <w:spacing w:after="0" w:line="173"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recognized in the Company’s unaudited condensed consolidated statements of operations is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0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80" w:type="dxa"/>
            <w:vAlign w:val="bottom"/>
          </w:tcPr>
          <w:p>
            <w:pPr>
              <w:spacing w:after="0"/>
              <w:rPr>
                <w:sz w:val="16"/>
                <w:szCs w:val="16"/>
                <w:color w:val="auto"/>
              </w:rPr>
            </w:pPr>
          </w:p>
        </w:tc>
        <w:tc>
          <w:tcPr>
            <w:tcW w:w="260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3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6"/>
        </w:trPr>
        <w:tc>
          <w:tcPr>
            <w:tcW w:w="5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revenue—subscription</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10,322</w:t>
            </w:r>
          </w:p>
        </w:tc>
      </w:tr>
      <w:tr>
        <w:trPr>
          <w:trHeight w:val="270"/>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revenue—services</w:t>
            </w:r>
          </w:p>
        </w:tc>
        <w:tc>
          <w:tcPr>
            <w:tcW w:w="8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r>
      <w:tr>
        <w:trPr>
          <w:trHeight w:val="270"/>
        </w:trPr>
        <w:tc>
          <w:tcPr>
            <w:tcW w:w="5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38,352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64,749</w:t>
            </w:r>
          </w:p>
        </w:tc>
      </w:tr>
      <w:tr>
        <w:trPr>
          <w:trHeight w:val="270"/>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41,458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73,227</w:t>
            </w:r>
          </w:p>
        </w:tc>
      </w:tr>
      <w:tr>
        <w:trPr>
          <w:trHeight w:val="284"/>
        </w:trPr>
        <w:tc>
          <w:tcPr>
            <w:tcW w:w="5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11,545</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9,258</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35,105</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24,556</w:t>
            </w:r>
          </w:p>
        </w:tc>
      </w:tr>
      <w:tr>
        <w:trPr>
          <w:trHeight w:val="263"/>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99,198</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68,708</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279,318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177,327</w:t>
            </w:r>
          </w:p>
        </w:tc>
      </w:tr>
      <w:tr>
        <w:trPr>
          <w:trHeight w:val="20"/>
        </w:trPr>
        <w:tc>
          <w:tcPr>
            <w:tcW w:w="5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75"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 calculates basic net loss per share by dividing the net loss by the weighted-average number of shares of common stock outstanding during the period, less shares subject to repurchase. Diluted net loss per share is computed by giving effect to all potentially dilutive common shares outstanding for the period, including stock options, restricted stock units and shares underlying the conversion option of the convertible senior notes. Basic and diluted net loss per share was the same for each period presented, as the inclusion of all potential common shares outstanding would have been anti-dilutive due to the net loss reported for each period presented.</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share and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80" w:type="dxa"/>
            <w:vAlign w:val="bottom"/>
          </w:tcPr>
          <w:p>
            <w:pPr>
              <w:spacing w:after="0"/>
              <w:rPr>
                <w:sz w:val="16"/>
                <w:szCs w:val="16"/>
                <w:color w:val="auto"/>
              </w:rPr>
            </w:pPr>
          </w:p>
        </w:tc>
        <w:tc>
          <w:tcPr>
            <w:tcW w:w="260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5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53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(84,841)</w:t>
            </w:r>
          </w:p>
        </w:tc>
        <w:tc>
          <w:tcPr>
            <w:tcW w:w="100" w:type="dxa"/>
            <w:vAlign w:val="bottom"/>
          </w:tcPr>
          <w:p>
            <w:pPr>
              <w:spacing w:after="0"/>
              <w:rPr>
                <w:sz w:val="21"/>
                <w:szCs w:val="21"/>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(81,293)</w:t>
            </w:r>
          </w:p>
        </w:tc>
        <w:tc>
          <w:tcPr>
            <w:tcW w:w="120" w:type="dxa"/>
            <w:vAlign w:val="bottom"/>
          </w:tcPr>
          <w:p>
            <w:pPr>
              <w:spacing w:after="0"/>
              <w:rPr>
                <w:sz w:val="21"/>
                <w:szCs w:val="21"/>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(281,000)</w:t>
            </w:r>
          </w:p>
        </w:tc>
        <w:tc>
          <w:tcPr>
            <w:tcW w:w="100" w:type="dxa"/>
            <w:vAlign w:val="bottom"/>
          </w:tcPr>
          <w:p>
            <w:pPr>
              <w:spacing w:after="0"/>
              <w:rPr>
                <w:sz w:val="21"/>
                <w:szCs w:val="21"/>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(222,418)</w:t>
            </w:r>
          </w:p>
        </w:tc>
        <w:tc>
          <w:tcPr>
            <w:tcW w:w="0" w:type="dxa"/>
            <w:vAlign w:val="bottom"/>
          </w:tcPr>
          <w:p>
            <w:pPr>
              <w:spacing w:after="0"/>
              <w:rPr>
                <w:sz w:val="1"/>
                <w:szCs w:val="1"/>
                <w:color w:val="auto"/>
              </w:rPr>
            </w:pPr>
          </w:p>
        </w:tc>
      </w:tr>
      <w:tr>
        <w:trPr>
          <w:trHeight w:val="68"/>
        </w:trPr>
        <w:tc>
          <w:tcPr>
            <w:tcW w:w="538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5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basic</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and diluted</w:t>
            </w:r>
          </w:p>
        </w:tc>
        <w:tc>
          <w:tcPr>
            <w:tcW w:w="260" w:type="dxa"/>
            <w:vAlign w:val="bottom"/>
            <w:shd w:val="clear" w:color="auto" w:fill="CCEEFF"/>
          </w:tcPr>
          <w:p>
            <w:pPr>
              <w:spacing w:after="0"/>
              <w:rPr>
                <w:sz w:val="20"/>
                <w:szCs w:val="20"/>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68,916,813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66,386,379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68,325,990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63,750,884</w:t>
            </w:r>
          </w:p>
        </w:tc>
        <w:tc>
          <w:tcPr>
            <w:tcW w:w="0" w:type="dxa"/>
            <w:vAlign w:val="bottom"/>
          </w:tcPr>
          <w:p>
            <w:pPr>
              <w:spacing w:after="0"/>
              <w:rPr>
                <w:sz w:val="1"/>
                <w:szCs w:val="1"/>
                <w:color w:val="auto"/>
              </w:rPr>
            </w:pPr>
          </w:p>
        </w:tc>
      </w:tr>
      <w:tr>
        <w:trPr>
          <w:trHeight w:val="68"/>
        </w:trPr>
        <w:tc>
          <w:tcPr>
            <w:tcW w:w="53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21"/>
                <w:szCs w:val="21"/>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21"/>
                <w:szCs w:val="21"/>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21"/>
                <w:szCs w:val="21"/>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68"/>
        </w:trPr>
        <w:tc>
          <w:tcPr>
            <w:tcW w:w="538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2024 Notes and 2026 Notes, the Company entered into Capped Calls, which were not included for purposes of calculating the number of diluted shares outstanding, as their effect would have been anti-dilutive. The Capped Calls are expected to partially offset the potential dilution to the Company’s common stock upon any conversion of the 2024 Notes and the 2026 Notes. The Company has not exercised any of its Capped Calls as of October 31, 2022.</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weighted-average outstanding potentially dilutive shares of common stock were excluded from the computation of diluted net loss per share for the periods presented because the impact of including them would have been anti-dilutive: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1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880" w:type="dxa"/>
            <w:vAlign w:val="bottom"/>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52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6"/>
        </w:trPr>
        <w:tc>
          <w:tcPr>
            <w:tcW w:w="5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options pursuant to the 2016 Equity Incentive Plan</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549,089</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722,070</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584,933</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818,589</w:t>
            </w:r>
          </w:p>
        </w:tc>
      </w:tr>
      <w:tr>
        <w:trPr>
          <w:trHeight w:val="270"/>
        </w:trPr>
        <w:tc>
          <w:tcPr>
            <w:tcW w:w="5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 options pursuant to the 2008 Stock Incentive Plan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1,537,192</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2,250,736</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1,680,349</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2,476,270</w:t>
            </w:r>
          </w:p>
        </w:tc>
      </w:tr>
      <w:tr>
        <w:trPr>
          <w:trHeight w:val="270"/>
        </w:trPr>
        <w:tc>
          <w:tcPr>
            <w:tcW w:w="5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3,879,249</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3,679,734</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3,801,137</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3,745,955</w:t>
            </w:r>
          </w:p>
        </w:tc>
      </w:tr>
      <w:tr>
        <w:trPr>
          <w:trHeight w:val="270"/>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Unvested executive PSUs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65,844</w:t>
            </w:r>
          </w:p>
        </w:tc>
        <w:tc>
          <w:tcPr>
            <w:tcW w:w="100" w:type="dxa"/>
            <w:vAlign w:val="bottom"/>
          </w:tcPr>
          <w:p>
            <w:pPr>
              <w:spacing w:after="0"/>
              <w:rPr>
                <w:sz w:val="23"/>
                <w:szCs w:val="23"/>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65,844</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Early exercised stock options</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70"/>
        </w:trPr>
        <w:tc>
          <w:tcPr>
            <w:tcW w:w="5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underlying the conversion option of the 2024 Notes</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27,337</w:t>
            </w:r>
          </w:p>
        </w:tc>
        <w:tc>
          <w:tcPr>
            <w:tcW w:w="120" w:type="dxa"/>
            <w:vAlign w:val="bottom"/>
          </w:tcPr>
          <w:p>
            <w:pPr>
              <w:spacing w:after="0"/>
              <w:rPr>
                <w:sz w:val="23"/>
                <w:szCs w:val="23"/>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308,849</w:t>
            </w:r>
          </w:p>
        </w:tc>
      </w:tr>
      <w:tr>
        <w:trPr>
          <w:trHeight w:val="270"/>
        </w:trPr>
        <w:tc>
          <w:tcPr>
            <w:tcW w:w="5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Shares underlying the conversion option of the 2026 Notes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5,445,036</w:t>
            </w:r>
          </w:p>
        </w:tc>
        <w:tc>
          <w:tcPr>
            <w:tcW w:w="10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5,445,092</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5,445,051</w:t>
            </w:r>
          </w:p>
        </w:tc>
        <w:tc>
          <w:tcPr>
            <w:tcW w:w="10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5,445,116</w:t>
            </w:r>
          </w:p>
        </w:tc>
      </w:tr>
      <w:tr>
        <w:trPr>
          <w:trHeight w:val="223"/>
        </w:trPr>
        <w:tc>
          <w:tcPr>
            <w:tcW w:w="5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11,476,410</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12,124,969</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11,577,314</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12,794,915</w:t>
            </w:r>
          </w:p>
        </w:tc>
      </w:tr>
      <w:tr>
        <w:trPr>
          <w:trHeight w:val="20"/>
        </w:trPr>
        <w:tc>
          <w:tcPr>
            <w:tcW w:w="5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898"/>
        </w:trPr>
        <w:tc>
          <w:tcPr>
            <w:tcW w:w="5220" w:type="dxa"/>
            <w:vAlign w:val="bottom"/>
          </w:tcPr>
          <w:p>
            <w:pPr>
              <w:spacing w:after="0"/>
              <w:rPr>
                <w:sz w:val="24"/>
                <w:szCs w:val="24"/>
                <w:color w:val="auto"/>
              </w:rPr>
            </w:pPr>
          </w:p>
        </w:tc>
        <w:tc>
          <w:tcPr>
            <w:tcW w:w="146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7"/>
        </w:trPr>
        <w:tc>
          <w:tcPr>
            <w:tcW w:w="52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75"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Company recorded a provision for income taxes of $5.0 million and $9.2 million for the three and nine months ended October 31, 2022, respectively, and a provision for income taxes of $2.2 million and $2.4 million for the three and nine months ended October 31, 2021, respectively. The provisions recorded during the three and nine months ended October 31, 2022 and 2021 were driven by the increase in global income and the associated foreign taxes as the Company continues its global expansion The provision for the nine months ended October 31, 2021, was partially offset by the release of the valuation allowance as a result of goodwill recorded associated with an immaterial business combination, as well as the reversal of the deferred tax liability associated with the convertible senior notes upon the adoption of ASU 2020-06. The calculation of income taxes was based upon the estimated annual effective tax rates for the year applied to the jurisdictional mix of current period income (loss) before tax plus the tax effect of any significant unusual items, discrete events or changes in tax law.</w:t>
      </w:r>
    </w:p>
    <w:p>
      <w:pPr>
        <w:spacing w:after="0" w:line="138" w:lineRule="exact"/>
        <w:rPr>
          <w:sz w:val="20"/>
          <w:szCs w:val="20"/>
          <w:color w:val="auto"/>
        </w:rPr>
      </w:pPr>
    </w:p>
    <w:p>
      <w:pPr>
        <w:ind w:right="380" w:firstLine="486"/>
        <w:spacing w:after="0" w:line="258" w:lineRule="auto"/>
        <w:rPr>
          <w:sz w:val="20"/>
          <w:szCs w:val="20"/>
          <w:color w:val="auto"/>
        </w:rPr>
      </w:pPr>
      <w:r>
        <w:rPr>
          <w:rFonts w:ascii="Times New Roman" w:cs="Times New Roman" w:eastAsia="Times New Roman" w:hAnsi="Times New Roman"/>
          <w:sz w:val="18"/>
          <w:szCs w:val="18"/>
          <w:color w:val="auto"/>
        </w:rPr>
        <w:t>The Company regularly assesses the need for a valuation allowance against its deferred tax assets. In making that assessment, the Company considers both positive and negative evidence related to the likelihood of realization of the deferred tax assets to determine, based on the weight of available evidence, whether it is more likely than not that some or all of the deferred tax assets will not be realized. The Company has maintained a valuation allowance on U.S., U.K. and Ireland net deferred tax assets, as it is more likely than not that some or all of the deferred tax assets will not be realized.</w:t>
      </w:r>
    </w:p>
    <w:p>
      <w:pPr>
        <w:spacing w:after="0" w:line="127" w:lineRule="exact"/>
        <w:rPr>
          <w:sz w:val="20"/>
          <w:szCs w:val="20"/>
          <w:color w:val="auto"/>
        </w:rPr>
      </w:pPr>
    </w:p>
    <w:p>
      <w:pPr>
        <w:ind w:right="300"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Company assesses uncertain tax positions in accordance with ASC 740-10, </w:t>
      </w:r>
      <w:r>
        <w:rPr>
          <w:rFonts w:ascii="Times New Roman" w:cs="Times New Roman" w:eastAsia="Times New Roman" w:hAnsi="Times New Roman"/>
          <w:sz w:val="18"/>
          <w:szCs w:val="18"/>
          <w:i w:val="1"/>
          <w:iCs w:val="1"/>
          <w:color w:val="auto"/>
        </w:rPr>
        <w:t>Accounting for Uncertainties in Tax</w:t>
      </w:r>
      <w:r>
        <w:rPr>
          <w:rFonts w:ascii="Times New Roman" w:cs="Times New Roman" w:eastAsia="Times New Roman" w:hAnsi="Times New Roman"/>
          <w:sz w:val="18"/>
          <w:szCs w:val="18"/>
          <w:color w:val="auto"/>
        </w:rPr>
        <w:t>. As of January 31, 2022, the Company’s net unrecognized tax benefits totaled $22.7 million, which would have no impact on the Company’s effective tax rate if recognized.</w:t>
      </w:r>
    </w:p>
    <w:p>
      <w:pPr>
        <w:spacing w:after="0" w:line="10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continues to monitor and interpret the impact of proposed and enacted global tax legislation, such as the U.S. Tax Cuts and Jobs Act of 2017 (“Tax Act”). To date, based on the net operating losses and full valuation allowances against the Company’s two most significant tax jurisdictions, the United States and Ireland, the impact of global enacted and proposed legislation has not had an impact on the tax provisions of the financial statements. The Company continues to monitor to ensure both the Company’s financial results and its related tax disclosures are in compliance with any tax legislation.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left="900" w:right="640" w:hanging="850"/>
        <w:spacing w:after="0" w:line="275" w:lineRule="auto"/>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w:t>
      </w:r>
    </w:p>
    <w:p>
      <w:pPr>
        <w:spacing w:after="0" w:line="95" w:lineRule="exact"/>
        <w:rPr>
          <w:sz w:val="20"/>
          <w:szCs w:val="20"/>
          <w:color w:val="auto"/>
        </w:rPr>
      </w:pPr>
    </w:p>
    <w:p>
      <w:pPr>
        <w:ind w:right="40" w:firstLine="486"/>
        <w:spacing w:after="0" w:line="273" w:lineRule="auto"/>
        <w:rPr>
          <w:sz w:val="20"/>
          <w:szCs w:val="20"/>
          <w:color w:val="auto"/>
        </w:rPr>
      </w:pPr>
      <w:r>
        <w:rPr>
          <w:rFonts w:ascii="Times New Roman" w:cs="Times New Roman" w:eastAsia="Times New Roman" w:hAnsi="Times New Roman"/>
          <w:sz w:val="17"/>
          <w:szCs w:val="17"/>
          <w:color w:val="auto"/>
        </w:rPr>
        <w:t>Unless the context otherwise indicates, references in this report to the terms “MongoDB,” “the Company,” “we,” “our” and “us” refer to MongoDB, Inc., its divisions and its subsidiaries. The following discussion and analysis of our financial condition and results of operations should be read in conjunction with (1) our interim unaudited condensed consolidated financial statements and related notes appearing elsewhere in this Quarterly Report on Form 10-Q and (2) the audited consolidated financial statements and the related notes and the discussion under the heading “Management’s Discussion and Analysis of Financial Condition and Results of Operations” included in our Annual Report on Form 10-K for the fiscal year ended January 31, 2022 (the “2022 Form 10-K”). All information presented herein is based on our fiscal calendar year, which ends January 31. Unless otherwise stated, references to particular years, quarters, months or periods refer to our fiscal years ended January 31 and the associated quarters, months and periods of those fiscal years.</w:t>
      </w:r>
    </w:p>
    <w:p>
      <w:pPr>
        <w:spacing w:after="0" w:line="11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These statements are often identified by the use of words such as “anticipate,” “believe,” “continue,” “could,” “estimate,” “expect,” “intend,” “may,” “plan,” “project,” “will,” “would” or the negative or plural of these words or similar expressions or variations, including our expectations regarding our future growth opportunity, revenue and revenue growth, investments, strategy, operating expenses and the anticipated impact of the global economic uncertainty and financial market conditions, caused by the COVID-19 pandemic and the macroeconomic environment, on our business, results of operations and financial condition.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2, Item 1A of this Quarterly Report on Form 10-Q.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34" w:lineRule="exact"/>
        <w:rPr>
          <w:sz w:val="20"/>
          <w:szCs w:val="20"/>
          <w:color w:val="auto"/>
        </w:rPr>
      </w:pPr>
    </w:p>
    <w:p>
      <w:pPr>
        <w:jc w:val="both"/>
        <w:ind w:right="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Our corporate website is located at </w:t>
      </w:r>
      <w:r>
        <w:rPr>
          <w:rFonts w:ascii="Times New Roman" w:cs="Times New Roman" w:eastAsia="Times New Roman" w:hAnsi="Times New Roman"/>
          <w:sz w:val="18"/>
          <w:szCs w:val="18"/>
          <w:i w:val="1"/>
          <w:iCs w:val="1"/>
          <w:color w:val="auto"/>
        </w:rPr>
        <w:t>www.mongodb.com</w:t>
      </w:r>
      <w:r>
        <w:rPr>
          <w:rFonts w:ascii="Times New Roman" w:cs="Times New Roman" w:eastAsia="Times New Roman" w:hAnsi="Times New Roman"/>
          <w:sz w:val="18"/>
          <w:szCs w:val="18"/>
          <w:color w:val="auto"/>
        </w:rPr>
        <w:t>. We make available free of charge, on or through our corporate website, our annual, quarterly and current reports, and any amendments to those reports, as soon as reasonably practicable after electronically filing such reports with, or furnishing such reports to, the Securities and Exchange Commission (“SEC”). Information contained on our corporate website is not part of this Quarterly Report on Form 10-Q or any other report filed with or furnished to the SEC.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MongoDB is the leading modern, general purpose database platform. Our robust platform enables developers to build and modernize applications rapidly and cost-effectively across a broad range of use cases. Organizations can deploy our platform at scale in the cloud, on-premise, or in a hybrid environment. Through our unique document-based architecture, we are able to address the needs of organizations for performance, scalability, flexibility and reliability while maintaining the strengths of legacy databases. Software applications continue to redefine how organizations across industries engage with their customers, operate their businesses and compete with each other. A database is at the heart of every software application. As a result, selecting a database is a highly strategic decision that directly affects developer productivity, application performance and organizational competitiveness. Our platform addresses the performance, scalability, flexibility and reliability demands of modern applications while maintaining the strengths of legacy databases. Our business model combines the developer mindshare and adoption benefits of open source with the economic benefits of a proprietary software subscription business model. MongoDB is headquartered in New York City and our total headcount increased to 4,534 as of October 31, 2022, from 3,223 as of October 31, 2021.</w:t>
      </w:r>
    </w:p>
    <w:p>
      <w:pPr>
        <w:spacing w:after="0" w:line="140"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We generate revenue primarily from sales of subscriptions, which accounted for 96% of our total revenue for each of the three and nine months ended October 31, 2022 and October 31, 2021.</w:t>
      </w:r>
    </w:p>
    <w:p>
      <w:pPr>
        <w:spacing w:after="0" w:line="108"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MongoDB Atlas is our hosted multi-cloud database-as-a-service (“DBaaS”) offering that includes comprehensive infrastructure and management, which we run and manage in the cloud. During the three and nine months ended October 31, 2022, MongoDB Atlas revenue represented 63% and 62%, respectively, as compared to 58% and 55% of our total revenue during the three and nine months ended October 31, 2021, respectively, reflecting the continued growth of MongoDB Atlas since its introduction in June 2016. We have experienced strong growth in self-serve customers of MongoDB Atlas. These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customers are charged monthly in arrears based on their usage. In addition, we have also seen growth in MongoDB Atlas customers sold by our sales force.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customers typically sign annual contracts and pay in advance or are invoiced monthly in arrears based on usage.</w:t>
      </w:r>
    </w:p>
    <w:p>
      <w:pPr>
        <w:spacing w:after="0" w:line="153"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MongoDB Enterprise Advanced is our proprietary commercial database server offering for enterprise customers that can run in the cloud, on-premise or in a hybrid environment. MongoDB Enterprise Advanced revenue represented 29% and 30% of our subscription revenue for the three and nine months ended October 31, 2022, respectively, and 34% and 36% of our subscription revenue for the three and nine months ended October 31, 2021, respectively. We sell subscriptions directly through our field and inside sales teams, as well as indirectly through channel partners. The majority of our subscription contracts are one year in duration and are invoiced upfront. When we enter into multi-year subscriptions, we typically invoice the customer on an annual basis.</w:t>
      </w:r>
    </w:p>
    <w:p>
      <w:pPr>
        <w:spacing w:after="0" w:line="133"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Many of our enterprise customers initially get to know our software by using Community Server, which is our free-to-download version of our database that includes the core functionality developers need to get started with MongoDB without all the features of our commercial platform. Our platform has been downloaded from our website more than 325 million times since February 2009 and over 115 million times in the last 12 months alone. We also offer a free tier of MongoDB Atlas, which provides access to our hosted database solution with limited processing power and storage, as well as certain operational limitations. As a result, with the availability of both Community Server and MongoDB Atlas free tier offerings, our direct sales prospects are often familiar with our platform and may have already built applications using our technology. A core component of our growth strategy for MongoDB Atlas and MongoDB Enterprise Advanced is to convert developers and their organizations who are already using Community Server or the free tier of MongoDB Atlas to become customers of our commercial products and enjoy the benefits of either a self-managed or hosted offering.</w:t>
      </w:r>
    </w:p>
    <w:p>
      <w:pPr>
        <w:spacing w:after="0" w:line="13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also generate revenue from services, which consist primarily of fees associated with consulting and training services. Revenue from services accounted for 4% of our total revenue for each of the three and nine months ended October 31, 2022 and October 31, 2021. We expect to continue to invest in our services organization as we believe it plays an important role in accelerating our customers’ realization of the benefits of our platform, which helps drive customer retention and expansion.</w:t>
      </w:r>
    </w:p>
    <w:p>
      <w:pPr>
        <w:spacing w:after="0" w:line="126"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believe the market for our offerings is large and growing. According to IDC, the worldwide database software market, which it refers to as the data management software market, is forecast to be approximately $84 billion in 2022 growing to approximately $138 billion in 2026, representing a 13% compound annual growth rate. We have experienced rapid growth and have made substantial investments in developing our platform and expanding our sales and marketing footprint. We intend to continue to invest to grow our business to take advantage of our market opportunity.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 and Macroeconomic Conditions</w:t>
      </w:r>
    </w:p>
    <w:p>
      <w:pPr>
        <w:spacing w:after="0" w:line="17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COVID-19 pandemic has impacted the United States (“U.S.”) and the world. The full extent of the impact of the COVID-19 pandemic on our future operational and financial performance will depend on certain developments, including the duration and spread of the outbreak and the impact of new variants of the virus that cause COVID-19; the public health measures taken by authorities and other entities to contain and treat COVID-19; and the impact of the COVID-19 pandemic on the global economy and on our current and prospective customers, employees, vendors and other parties with whom we do business, all of which are uncertain and cannot be predicted.</w:t>
      </w:r>
    </w:p>
    <w:p>
      <w:pPr>
        <w:spacing w:after="0" w:line="12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In 2020, we adopted several measures in response to the COVID-19 pandemic, including temporarily requiring employees to work remotely, suspending non-essential travel by our employees, and replacing in-person marketing events (including our annual developer conference) with virtual events. In 2021, we began to re-open our offices in the United States and certain other locations globally for employees to voluntarily return. Business travel also resumed during 2021 on a voluntary basis and we started to hold in-person marketing events. In April 2022, we moved forward with our return to office plan, which encompasses a hybrid approach to in-office attendance based on the different needs of teams across the company. During 2022, we experienced an increase in business travel, in-person marketing events, and office-related costs. We expect these and other costs to increase during the year ended January 31, 2023 and result in higher charges compared to the prior year.</w:t>
      </w:r>
    </w:p>
    <w:p>
      <w:pPr>
        <w:spacing w:after="0" w:line="135" w:lineRule="exact"/>
        <w:rPr>
          <w:sz w:val="20"/>
          <w:szCs w:val="20"/>
          <w:color w:val="auto"/>
        </w:rPr>
      </w:pPr>
    </w:p>
    <w:p>
      <w:pPr>
        <w:jc w:val="both"/>
        <w:ind w:right="320" w:firstLine="486"/>
        <w:spacing w:after="0" w:line="266" w:lineRule="auto"/>
        <w:rPr>
          <w:sz w:val="20"/>
          <w:szCs w:val="20"/>
          <w:color w:val="auto"/>
        </w:rPr>
      </w:pPr>
      <w:r>
        <w:rPr>
          <w:rFonts w:ascii="Times New Roman" w:cs="Times New Roman" w:eastAsia="Times New Roman" w:hAnsi="Times New Roman"/>
          <w:sz w:val="18"/>
          <w:szCs w:val="18"/>
          <w:color w:val="auto"/>
        </w:rPr>
        <w:t>We are also impacted by adverse macroeconomic conditions, including slower or negative economic growth, higher inflation and higher interest rates. During the three and nine months ended October 31, 2022, the macroeconomic environment negatively impacted our business. For instance, we experienced slower than historical growth of our existing Atlas applications.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continue to monitor the developments of the COVID-19 pandemic and the macroeconomic environment on our business and we may adjust our business practices accordingly. For further discussion of the potential impacts of the COVID-19 pandemic and the macroeconomic environment on our business, operating results, and financial condition, see the section titled “Risk Factors” included in Part II, Item 1A of this Quarterly Report on Form 10-Q. Other factors affecting our performance are discussed below, although we caution you that the COVID-19 pandemic may also impact these factors.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Growing Our Customer Base and Expanding Our Global Reach</w:t>
      </w:r>
    </w:p>
    <w:p>
      <w:pPr>
        <w:spacing w:after="0" w:line="173"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are intensely focused on continuing to grow our customer base. We have invested, and expect to continue to invest, in our sales and marketing efforts and developer community outreach, which are critical to driving customer acquisition. As of October 31, 2022, we had over 39,100 customers across a wide range of industries and in over 100 countries, compared to over 31,000 customers as of October 31, 2021. All affiliated entities are counted as a single customer and our definition of “customer” excludes users of our free offerings.</w:t>
      </w:r>
    </w:p>
    <w:p>
      <w:pPr>
        <w:spacing w:after="0" w:line="126"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As of October 31, 2022, we had over 5,900 customers that were sold through our direct sales force and channel partners, as compared to over 3,900 such customers as of October 31, 2021. These customers, which we refer to as our Direct Sales Customers, accounted for 87% of our subscription revenue for both the three and nine months ended October 31, 2022 and 85% and 84% of our subscription revenue for the three and nine months ended October 31, 2021, respectively. The percentage of our subscription revenue from Direct Sales Customers increased during both the three and nine months ended October 31, 2022, in part due to existing self-serve customers of MongoDB Atlas becoming Direct Sales Customers. We are also focused on increasing the number of overall MongoDB Atlas customers as we emphasize the on-demand scalability of MongoDB Atlas by allowing our customers to consume the product with minimal commitment. We had over 37,600 MongoDB Atlas customers as of October 31, 2022 compared to over 29,500 as of October 31, 2021. The growth in MongoDB Atlas customers included new customers to MongoDB and existing MongoDB Enterprise Advanced customers adding incremental MongoDB Atlas workloads.</w:t>
      </w:r>
    </w:p>
    <w:p>
      <w:pPr>
        <w:spacing w:after="0" w:line="134"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In an effort to expand our global reach, in October 2019, we announced a partnership with Alibaba Cloud to offer an authorized MongoDB-as-a-service solution allowing customers of Alibaba Cloud to use this managed offering from their data centers globally. We expanded our reach in China in February 2021 when we announced the launch of a global partnership with Tencent Cloud that allows customers to easily adopt and use MongoDB-as-a-Service across Tencent’s global cloud infrastructure.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Increasing Adoption of MongoDB Atlas</w:t>
      </w:r>
    </w:p>
    <w:p>
      <w:pPr>
        <w:spacing w:after="0" w:line="173"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MongoDB Atlas, our hosted multi-cloud offering, is an important part of our run-anywhere strategy. To accelerate the adoption of this database-as-a-service offering, we provide tools to easily migrate existing users of our Community Server offering to MongoDB Atlas. We have also expanded our introductory offerings for MongoDB Atlas, including a free tier, which provides limited processing power and storage in order to drive usage and adoption of MongoDB Atlas among developers. Our MongoDB Atlas free tier offering is available on all three major cloud providers (Amazon Web Services (“AWS”), Google Cloud Platform (“GCP”) and Microsoft Azure) in North America, Europe and Asia Pacific. In addition, MongoDB Atlas is available on AWS Marketplace, making it easier for AWS customers to buy and consume MongoDB Atlas. Our business partnership with GCP provides deeper product integration and unified billing for GCP customers who are also MongoDB Atlas customers and offers GCP customers a seamless integration between MongoDB Atlas and GCP. The availability of MongoDB Atlas on the Microsoft Azure Marketplace offers unified billing for joint customers of MongoDB Atlas and Microsoft and makes it easier for established Azure customers to purchase and use MongoDB Atlas.</w:t>
      </w:r>
    </w:p>
    <w:p>
      <w:pPr>
        <w:spacing w:after="0" w:line="134"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have also expanded the functionality available in MongoDB Atlas beyond that of our Community Server offering. We expect this will drive further adoption of MongoDB Atlas as companies migrate mission-critical applications to the public cloud. The enterprise capabilities that we have introduced to MongoDB Atlas include advanced security features, enterprise-standard authentication and database auditing. We have invested significantly in MongoDB Atlas and our ability to drive the adoption of MongoDB Atlas is a key component of our growth strategy.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Retaining and Expanding Revenue from Existing Customers</w:t>
      </w:r>
    </w:p>
    <w:p>
      <w:pPr>
        <w:spacing w:after="0" w:line="173"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economic attractiveness of our subscription-based model is driven by customer renewals and increasing existing customer subscriptions over time, referred to as land-and-expand. We believe that there is a significant opportunity to drive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additional sales to existing customers, and expect to invest in sales and marketing and customer success personnel and activities to achieve additional revenue growth from existing customers. If an application grows and requires additional capacity, our customers increase their usage of our platform. Growth of an application is impacted by a number of factors including the macroeconomic environment. During the three and nine months ended October 31, 2022, we believe we experienced a negative impact from the macroeconomic environment on the growth of existing Atlas applications, which affected our revenue growth. We expect the macroeconomic environment to continue to negatively impact our revenue growth for the remainder of the year. In addition, our customers expand their subscriptions to our platform as they migrate additional existing applications or build new applications, either within the same department or in other lines of business or geographies. Also, as customers modernize their information technology infrastructure and move to the cloud, they may migrate applications from legacy databases. Our goal is to increase the number of customers that standardize on our database within their organization. Over time, the subscription amount for our typical Direct Sales Customer has increased.</w:t>
      </w:r>
    </w:p>
    <w:p>
      <w:pPr>
        <w:spacing w:after="0" w:line="13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calculate annualized recurring revenue (“ARR”) and annualized monthly recurring revenue (“MRR”) to help us measure our subscription revenue performance. ARR includes the revenue we expect to receive from our customers over the following 12 months based on contractual commitments and, in the case of Direct Sales Customers of MongoDB Atlas, by annualizing the prior 90 days of their actual consumption of MongoDB Atlas, assuming no increases or reductions in their subscriptions or usage. For all other customers of our self-serve products, we calculate annualized MRR by annualizing the prior 30 days of their actual consumption of such products, assuming no increases or reductions in usage. ARR and annualized MRR exclude professional services. The number of customers with $100,000 or greater in ARR and annualized MRR was 1,545 and 1,201 as of October 31, 2022 and 2021, respectively. Our ability to increase sales to existing customers will depend on a number of factors, including customers’ satisfaction or dissatisfaction with our products and services, competition, pricing, economic conditions or overall changes in our customers’ spending levels.</w:t>
      </w:r>
    </w:p>
    <w:p>
      <w:pPr>
        <w:spacing w:after="0" w:line="138"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also examine the rate at which our customers increase their spend with us, which we call net ARR expansion rate. We calculate net ARR expansion rate by dividing the ARR at the close of a given period (the “measurement period”), from customers who were also customers at the close of the same period in the prior year (the “base period”), by the ARR from all customers at the close of the base period, including those who churned or reduced their subscriptions. For Direct Sales Customers included in the base period, measurement period or both such periods that were self-serve customers in any such period, we also include annualized MRR from those customers in the calculation of the net ARR expansion rate. Our net ARR expansion rate has consistently been over 120% demonstrating our ability to expand within existing customers.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Revenue</w:t>
      </w:r>
    </w:p>
    <w:p>
      <w:pPr>
        <w:spacing w:after="0" w:line="171" w:lineRule="exact"/>
        <w:rPr>
          <w:sz w:val="20"/>
          <w:szCs w:val="20"/>
          <w:color w:val="auto"/>
        </w:rPr>
      </w:pPr>
    </w:p>
    <w:p>
      <w:pPr>
        <w:ind w:right="140" w:firstLine="486"/>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Subscription Revenue. </w:t>
      </w:r>
      <w:r>
        <w:rPr>
          <w:rFonts w:ascii="Times New Roman" w:cs="Times New Roman" w:eastAsia="Times New Roman" w:hAnsi="Times New Roman"/>
          <w:sz w:val="18"/>
          <w:szCs w:val="18"/>
          <w:color w:val="auto"/>
        </w:rPr>
        <w:t>Our subscription revenue is comprised of term licenses and hosted as-a-service solutions. Subscriptions to term licenses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technical support and access to new software versions on a when-and-if available basis. Revenue from our term licenses is recognized upfront for the license component and ratably for the technical support and when-and-if available update components. Associated contracts are typically billed annually in advance. Revenue from our hosted 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service solutions is primarily generated on a usage basis and is billed either in arrears or paid upfront. The majority of our subscription contracts are one year in duration. When we enter into multi-year subscriptions, we typically invoice the customer on an annual basis. Our subscription contracts are generally non-cancelable and non-refundable.</w:t>
      </w:r>
    </w:p>
    <w:p>
      <w:pPr>
        <w:spacing w:after="0" w:line="144" w:lineRule="exact"/>
        <w:rPr>
          <w:sz w:val="20"/>
          <w:szCs w:val="20"/>
          <w:color w:val="auto"/>
        </w:rPr>
      </w:pPr>
    </w:p>
    <w:p>
      <w:pPr>
        <w:ind w:right="1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Services Revenue. </w:t>
      </w:r>
      <w:r>
        <w:rPr>
          <w:rFonts w:ascii="Times New Roman" w:cs="Times New Roman" w:eastAsia="Times New Roman" w:hAnsi="Times New Roman"/>
          <w:sz w:val="18"/>
          <w:szCs w:val="18"/>
          <w:color w:val="auto"/>
        </w:rPr>
        <w:t>Services revenue is comprised of consulting and training services and is recognized over the period of delivery of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We recognize revenue from services agreements as services are delivered.</w:t>
      </w:r>
    </w:p>
    <w:p>
      <w:pPr>
        <w:spacing w:after="0" w:line="106" w:lineRule="exact"/>
        <w:rPr>
          <w:sz w:val="20"/>
          <w:szCs w:val="20"/>
          <w:color w:val="auto"/>
        </w:rPr>
      </w:pPr>
    </w:p>
    <w:p>
      <w:pPr>
        <w:ind w:right="140" w:firstLine="486"/>
        <w:spacing w:after="0" w:line="229" w:lineRule="exact"/>
        <w:rPr>
          <w:sz w:val="20"/>
          <w:szCs w:val="20"/>
          <w:color w:val="auto"/>
        </w:rPr>
      </w:pPr>
      <w:r>
        <w:rPr>
          <w:rFonts w:ascii="Times New Roman" w:cs="Times New Roman" w:eastAsia="Times New Roman" w:hAnsi="Times New Roman"/>
          <w:sz w:val="18"/>
          <w:szCs w:val="18"/>
          <w:color w:val="auto"/>
        </w:rPr>
        <w:t>We expect our revenue may vary from period to period based on, among other things, the timing and size of new subscriptions, customer usage patterns, the proportion of term license contracts that commence within the period, the rate of customer renewals and expansions, delivery of professional services, the impact of significant transactions and seasonality of or fluctuations in usage for our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Cost of Revenue</w:t>
      </w:r>
    </w:p>
    <w:p>
      <w:pPr>
        <w:spacing w:after="0" w:line="158" w:lineRule="exact"/>
        <w:rPr>
          <w:sz w:val="20"/>
          <w:szCs w:val="20"/>
          <w:color w:val="auto"/>
        </w:rPr>
      </w:pPr>
    </w:p>
    <w:p>
      <w:pPr>
        <w:ind w:right="60" w:firstLine="486"/>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Cost of Subscription Revenue. </w:t>
      </w:r>
      <w:r>
        <w:rPr>
          <w:rFonts w:ascii="Times New Roman" w:cs="Times New Roman" w:eastAsia="Times New Roman" w:hAnsi="Times New Roman"/>
          <w:sz w:val="18"/>
          <w:szCs w:val="18"/>
          <w:color w:val="auto"/>
        </w:rPr>
        <w:t>Cost of subscription revenue primarily includes third-party cloud infrastructure expenses for our hosted as-a-service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We expect our cost of subscription revenue to increase in absolute dollars as our subscription revenue increases and, depending on the results of MongoDB Atlas, our cost of subscription revenue may increase as a percentage of subscription revenue as well. Cost of subscription revenue also includes personnel costs, including salaries, bonuses and benefits and stock-based compensation, for employees associated with our subscription arrangements principally related to technical support and allocated shared costs, as well as depreciation and amortization.</w:t>
      </w:r>
    </w:p>
    <w:p>
      <w:pPr>
        <w:spacing w:after="0" w:line="200" w:lineRule="exact"/>
        <w:rPr>
          <w:sz w:val="20"/>
          <w:szCs w:val="20"/>
          <w:color w:val="auto"/>
        </w:rPr>
      </w:pPr>
    </w:p>
    <w:p>
      <w:pPr>
        <w:spacing w:after="0" w:line="37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60" w:firstLine="486"/>
        <w:spacing w:after="0" w:line="232" w:lineRule="exact"/>
        <w:rPr>
          <w:sz w:val="20"/>
          <w:szCs w:val="20"/>
          <w:color w:val="auto"/>
        </w:rPr>
      </w:pPr>
      <w:r>
        <w:rPr>
          <w:rFonts w:ascii="Times New Roman" w:cs="Times New Roman" w:eastAsia="Times New Roman" w:hAnsi="Times New Roman"/>
          <w:sz w:val="18"/>
          <w:szCs w:val="18"/>
          <w:i w:val="1"/>
          <w:iCs w:val="1"/>
          <w:color w:val="auto"/>
        </w:rPr>
        <w:t xml:space="preserve">Cost of Services Revenue. </w:t>
      </w:r>
      <w:r>
        <w:rPr>
          <w:rFonts w:ascii="Times New Roman" w:cs="Times New Roman" w:eastAsia="Times New Roman" w:hAnsi="Times New Roman"/>
          <w:sz w:val="18"/>
          <w:szCs w:val="18"/>
          <w:color w:val="auto"/>
        </w:rPr>
        <w:t>Cost of services revenue primarily includes personnel costs, including salaries, bonuses and benefits,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for employees associated with our professional service contracts, as well as, travel costs, allocated shared costs and depreciation and amortization. We expect our cost of services revenue to increase in absolute dollars as our services revenue increases.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Gross Profit and Gross Margin</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represents revenue less cost of revenue.</w:t>
      </w:r>
    </w:p>
    <w:p>
      <w:pPr>
        <w:spacing w:after="0" w:line="17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or gross profit as a percentage of revenue, has been and will continue to be affected by a variety of factors,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average sales price of our products and services, the mix of products sold, transaction volume growth and the mix of revenue between subscriptions and services. We expect our gross margin to fluctuate over time depending on the factors described above and, to the extent MongoDB Atlas revenue increases as a percentage of total revenue, our gross margin may decline as a result of the associated hosting costs of MongoDB Atlas.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Operating Expenses</w:t>
      </w:r>
    </w:p>
    <w:p>
      <w:pPr>
        <w:spacing w:after="0" w:line="173"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sales and marketing, research and development and general and administrative expenses. Personnel costs are the most significant component of each category of operating expenses. Operating expenses also include travel and related costs and allocated overhead costs for facilities, information technology and employee benefit costs.</w:t>
      </w:r>
    </w:p>
    <w:p>
      <w:pPr>
        <w:spacing w:after="0" w:line="120" w:lineRule="exact"/>
        <w:rPr>
          <w:sz w:val="20"/>
          <w:szCs w:val="20"/>
          <w:color w:val="auto"/>
        </w:rPr>
      </w:pPr>
    </w:p>
    <w:p>
      <w:pPr>
        <w:ind w:right="100" w:firstLine="486"/>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 consists primarily of personnel costs, including salaries, sales commission and benefits, bonuses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These expenses also include costs related to marketing programs, travel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expenses and allocated overhead. Marketing programs consist of advertising, events, corporate communications, and brand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building and developer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community activities. We expect our sales and marketing expense to increase in absolute dollars over time as we expand our sales force and increase our marketing resources, expand into new markets and further develop our self-serve and partner channels.</w:t>
      </w:r>
    </w:p>
    <w:p>
      <w:pPr>
        <w:spacing w:after="0" w:line="142" w:lineRule="exact"/>
        <w:rPr>
          <w:sz w:val="20"/>
          <w:szCs w:val="20"/>
          <w:color w:val="auto"/>
        </w:rPr>
      </w:pPr>
    </w:p>
    <w:p>
      <w:pPr>
        <w:ind w:right="140" w:firstLine="486"/>
        <w:spacing w:after="0" w:line="223" w:lineRule="exact"/>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 consists primarily of personnel costs, including salaries, bonuses and benefits,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It also includes amortization associated with intangible acquired assets and allocated overhead. We expect our research and development expenses to continue to increase in absolute dollars, as we continue to invest in our platform and develop new products.</w:t>
      </w:r>
    </w:p>
    <w:p>
      <w:pPr>
        <w:spacing w:after="0" w:line="142" w:lineRule="exact"/>
        <w:rPr>
          <w:sz w:val="20"/>
          <w:szCs w:val="20"/>
          <w:color w:val="auto"/>
        </w:rPr>
      </w:pPr>
    </w:p>
    <w:p>
      <w:pPr>
        <w:ind w:right="80" w:firstLine="486"/>
        <w:spacing w:after="0" w:line="221" w:lineRule="exact"/>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consists primarily of personnel costs, including salaries, bonuses and benefits,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for administrative functions including finance, legal, human resources and external legal and accounting fees, as well as allocated overhead. We expect general and administrative expense to increase in absolute dollars over time as we continue to invest in the growth of our business, as well as incur the ongoing costs of compliance associated with being a publicly-traded company.</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73"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interest income, interest expense, gains and losses on investments and gains and losses from foreign currency transactions.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Provision for Income Taxes</w:t>
      </w:r>
    </w:p>
    <w:p>
      <w:pPr>
        <w:spacing w:after="0" w:line="17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Provision for income taxes consists primarily of state income taxes in the United States and income taxes in certain foreign jurisdictions in which we conduct business.</w:t>
      </w:r>
    </w:p>
    <w:p>
      <w:pPr>
        <w:spacing w:after="0" w:line="108"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2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regularly assess the need for a valuation allowance against our deferred tax assets. In making that assessment, we consider both positive and negative evidence related to the likelihood of realization of the deferred tax assets to determine, based on the weight of available evidence, whether it is more likely than not that some or all of the deferred tax assets will not be realized. We have maintained a valuation allowance on U.S., U.K. and Ireland net deferred tax assets, as it is more likely than not that some or all of the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We continue to monitor and interpret the impact of proposed and enacted global tax legislation, such as the U.S. Tax Cuts and Jobs Act of 2017 (“Tax Act”). To date, based on the net operating losses and full valuation allowances against our two most significant tax jurisdictions, the United States and Ireland, the impact of global enacted and proposed legislation has not had an impact on the tax provisions of the financial statements. We continue to monitor to ensure both our financial results and our related tax disclosures are in compliance with any tax legislation.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October 31, 2022 Summary</w:t>
      </w:r>
    </w:p>
    <w:p>
      <w:pPr>
        <w:spacing w:after="0" w:line="175"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For the three months ended October 31, 2022, our total revenue increased to $333.6 million as compared to $226.9 million for the three months ended October 31, 2021, primarily driven by an increase in subscription revenue from our Direct Sales Customers. Our net loss increased to $84.8 million for the three months ended October 31, 2022 as compared to $81.3 million for the three months ended October 31, 2021, as improvement in gross profit was offset by higher sales and marketing spend and research and development costs during the three months ended October 31, 2022.</w:t>
      </w:r>
    </w:p>
    <w:p>
      <w:pPr>
        <w:spacing w:after="0" w:line="126"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For the nine months ended October 31, 2022, our total revenue increased to $922.7 million as compared to $607.3 million for the nine months ended October 31, 2021, primarily driven by an increase in subscription revenue from our Direct Sales Customers. Our net loss increased to $281.0 million for the nine months ended October 31, 2022 as compared to $222.4 million for the nine months ended October 31, 2021, primarily driven by increased sales and marketing and research and development costs during the nine months ended October 31, 2022.</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operating cash flow was $(38.8) million and $(15.3) million for the nine months ended October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in U.S. dollars (unaudited, in thousands) and as a percentage of our total revenue. Percentage of revenue figures are rounded and therefore may not subtotal exactly.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60" w:type="dxa"/>
            <w:vAlign w:val="bottom"/>
          </w:tcPr>
          <w:p>
            <w:pPr>
              <w:spacing w:after="0"/>
              <w:rPr>
                <w:sz w:val="16"/>
                <w:szCs w:val="16"/>
                <w:color w:val="auto"/>
              </w:rPr>
            </w:pPr>
          </w:p>
        </w:tc>
        <w:tc>
          <w:tcPr>
            <w:tcW w:w="252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00" w:type="dxa"/>
            <w:vAlign w:val="bottom"/>
            <w:tcBorders>
              <w:bottom w:val="single" w:sz="8" w:color="CCEEFF"/>
            </w:tcBorders>
          </w:tcPr>
          <w:p>
            <w:pPr>
              <w:spacing w:after="0"/>
              <w:rPr>
                <w:sz w:val="16"/>
                <w:szCs w:val="16"/>
                <w:color w:val="auto"/>
              </w:rPr>
            </w:pPr>
          </w:p>
        </w:tc>
        <w:tc>
          <w:tcPr>
            <w:tcW w:w="284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0"/>
        </w:trPr>
        <w:tc>
          <w:tcPr>
            <w:tcW w:w="55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320,756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217,871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886,944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583,822</w:t>
            </w:r>
          </w:p>
        </w:tc>
      </w:tr>
      <w:tr>
        <w:trPr>
          <w:trHeight w:val="283"/>
        </w:trPr>
        <w:tc>
          <w:tcPr>
            <w:tcW w:w="556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23,466</w:t>
            </w:r>
          </w:p>
        </w:tc>
      </w:tr>
      <w:tr>
        <w:trPr>
          <w:trHeight w:val="250"/>
        </w:trPr>
        <w:tc>
          <w:tcPr>
            <w:tcW w:w="55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333,621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226,893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922,728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607,288</w:t>
            </w:r>
          </w:p>
        </w:tc>
      </w:tr>
      <w:tr>
        <w:trPr>
          <w:trHeight w:val="243"/>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5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Subscription</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213,154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153,735</w:t>
            </w:r>
          </w:p>
        </w:tc>
      </w:tr>
      <w:tr>
        <w:trPr>
          <w:trHeight w:val="283"/>
        </w:trPr>
        <w:tc>
          <w:tcPr>
            <w:tcW w:w="556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Services</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16,502</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46,990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29,959</w:t>
            </w:r>
          </w:p>
        </w:tc>
      </w:tr>
      <w:tr>
        <w:trPr>
          <w:trHeight w:val="263"/>
        </w:trPr>
        <w:tc>
          <w:tcPr>
            <w:tcW w:w="55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93,652</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68,464</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260,144</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183,694</w:t>
            </w:r>
          </w:p>
        </w:tc>
      </w:tr>
      <w:tr>
        <w:trPr>
          <w:trHeight w:val="250"/>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423,594</w:t>
            </w:r>
          </w:p>
        </w:tc>
      </w:tr>
      <w:tr>
        <w:trPr>
          <w:trHeight w:val="230"/>
        </w:trPr>
        <w:tc>
          <w:tcPr>
            <w:tcW w:w="5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70"/>
        </w:trPr>
        <w:tc>
          <w:tcPr>
            <w:tcW w:w="55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509,285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327,627</w:t>
            </w:r>
          </w:p>
        </w:tc>
      </w:tr>
      <w:tr>
        <w:trPr>
          <w:trHeight w:val="270"/>
        </w:trPr>
        <w:tc>
          <w:tcPr>
            <w:tcW w:w="55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310,801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219,403</w:t>
            </w:r>
          </w:p>
        </w:tc>
      </w:tr>
      <w:tr>
        <w:trPr>
          <w:trHeight w:val="283"/>
        </w:trPr>
        <w:tc>
          <w:tcPr>
            <w:tcW w:w="556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116,204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87,309</w:t>
            </w:r>
          </w:p>
        </w:tc>
      </w:tr>
      <w:tr>
        <w:trPr>
          <w:trHeight w:val="263"/>
        </w:trPr>
        <w:tc>
          <w:tcPr>
            <w:tcW w:w="55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322,892</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235,197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936,290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634,339</w:t>
            </w:r>
          </w:p>
        </w:tc>
      </w:tr>
      <w:tr>
        <w:trPr>
          <w:trHeight w:val="250"/>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(210,745)</w:t>
            </w:r>
          </w:p>
        </w:tc>
      </w:tr>
      <w:tr>
        <w:trPr>
          <w:trHeight w:val="270"/>
        </w:trPr>
        <w:tc>
          <w:tcPr>
            <w:tcW w:w="5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w:t>
            </w:r>
          </w:p>
        </w:tc>
      </w:tr>
      <w:tr>
        <w:trPr>
          <w:trHeight w:val="250"/>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(220,007)</w:t>
            </w:r>
          </w:p>
        </w:tc>
      </w:tr>
      <w:tr>
        <w:trPr>
          <w:trHeight w:val="270"/>
        </w:trPr>
        <w:tc>
          <w:tcPr>
            <w:tcW w:w="5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r>
      <w:tr>
        <w:trPr>
          <w:trHeight w:val="263"/>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(84,841)</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(81,293)</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(281,000)</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(222,418)</w:t>
            </w:r>
          </w:p>
        </w:tc>
      </w:tr>
      <w:tr>
        <w:trPr>
          <w:trHeight w:val="21"/>
        </w:trPr>
        <w:tc>
          <w:tcPr>
            <w:tcW w:w="5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5"/>
        </w:trPr>
        <w:tc>
          <w:tcPr>
            <w:tcW w:w="500" w:type="dxa"/>
            <w:vAlign w:val="bottom"/>
          </w:tcPr>
          <w:p>
            <w:pPr>
              <w:spacing w:after="0"/>
              <w:rPr>
                <w:sz w:val="13"/>
                <w:szCs w:val="13"/>
                <w:color w:val="auto"/>
              </w:rPr>
            </w:pPr>
          </w:p>
        </w:tc>
        <w:tc>
          <w:tcPr>
            <w:tcW w:w="2840" w:type="dxa"/>
            <w:vAlign w:val="bottom"/>
            <w:tcBorders>
              <w:bottom w:val="single" w:sz="8" w:color="auto"/>
            </w:tcBorders>
          </w:tcPr>
          <w:p>
            <w:pPr>
              <w:spacing w:after="0"/>
              <w:rPr>
                <w:sz w:val="13"/>
                <w:szCs w:val="13"/>
                <w:color w:val="auto"/>
              </w:rPr>
            </w:pPr>
          </w:p>
        </w:tc>
        <w:tc>
          <w:tcPr>
            <w:tcW w:w="2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48" w:lineRule="exact"/>
        <w:rPr>
          <w:sz w:val="20"/>
          <w:szCs w:val="20"/>
          <w:color w:val="auto"/>
        </w:rPr>
      </w:pPr>
    </w:p>
    <w:p>
      <w:pPr>
        <w:ind w:left="320" w:hanging="312"/>
        <w:spacing w:after="0" w:line="265" w:lineRule="exact"/>
        <w:tabs>
          <w:tab w:leader="none" w:pos="3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as follows (unaudited,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5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Cost of revenue—subscription</w:t>
            </w:r>
          </w:p>
        </w:tc>
        <w:tc>
          <w:tcPr>
            <w:tcW w:w="920" w:type="dxa"/>
            <w:vAlign w:val="bottom"/>
            <w:tcBorders>
              <w:bottom w:val="single" w:sz="8" w:color="CCEEFF"/>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5,016</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10,322</w:t>
            </w:r>
          </w:p>
        </w:tc>
      </w:tr>
      <w:tr>
        <w:trPr>
          <w:trHeight w:val="206"/>
        </w:trPr>
        <w:tc>
          <w:tcPr>
            <w:tcW w:w="5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Cost of revenue—services</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2,827</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4,473</w:t>
            </w:r>
          </w:p>
        </w:tc>
      </w:tr>
      <w:tr>
        <w:trPr>
          <w:trHeight w:val="2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0"/>
        </w:trPr>
        <w:tc>
          <w:tcPr>
            <w:tcW w:w="5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Sales and marketing</w:t>
            </w:r>
          </w:p>
        </w:tc>
        <w:tc>
          <w:tcPr>
            <w:tcW w:w="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38,352</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24,790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104,539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64,749</w:t>
            </w:r>
          </w:p>
        </w:tc>
      </w:tr>
      <w:tr>
        <w:trPr>
          <w:trHeight w:val="206"/>
        </w:trPr>
        <w:tc>
          <w:tcPr>
            <w:tcW w:w="5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41,458</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29,205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117,583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73,227</w:t>
            </w:r>
          </w:p>
        </w:tc>
      </w:tr>
      <w:tr>
        <w:trPr>
          <w:trHeight w:val="2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24,556</w:t>
            </w:r>
          </w:p>
        </w:tc>
      </w:tr>
      <w:tr>
        <w:trPr>
          <w:trHeight w:val="208"/>
        </w:trPr>
        <w:tc>
          <w:tcPr>
            <w:tcW w:w="5120" w:type="dxa"/>
            <w:vAlign w:val="bottom"/>
          </w:tcPr>
          <w:p>
            <w:pPr>
              <w:ind w:left="260"/>
              <w:spacing w:after="0" w:line="161" w:lineRule="exact"/>
              <w:rPr>
                <w:sz w:val="20"/>
                <w:szCs w:val="20"/>
                <w:color w:val="auto"/>
              </w:rPr>
            </w:pPr>
            <w:r>
              <w:rPr>
                <w:rFonts w:ascii="Times New Roman" w:cs="Times New Roman" w:eastAsia="Times New Roman" w:hAnsi="Times New Roman"/>
                <w:sz w:val="14"/>
                <w:szCs w:val="14"/>
                <w:color w:val="auto"/>
              </w:rPr>
              <w:t>Total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w:t>
            </w:r>
          </w:p>
        </w:tc>
        <w:tc>
          <w:tcPr>
            <w:tcW w:w="920" w:type="dxa"/>
            <w:vAlign w:val="bottom"/>
            <w:tcBorders>
              <w:top w:val="single" w:sz="8" w:color="auto"/>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99,198</w:t>
            </w: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68,708</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279,318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177,327</w:t>
            </w:r>
          </w:p>
        </w:tc>
      </w:tr>
      <w:tr>
        <w:trPr>
          <w:trHeight w:val="22"/>
        </w:trPr>
        <w:tc>
          <w:tcPr>
            <w:tcW w:w="5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6"/>
          </w:tcPr>
          <w:p>
            <w:pPr>
              <w:jc w:val="center"/>
              <w:ind w:right="27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48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Percentage of Revenue Data:</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96 %</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83"/>
        </w:trPr>
        <w:tc>
          <w:tcPr>
            <w:tcW w:w="4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50"/>
        </w:trPr>
        <w:tc>
          <w:tcPr>
            <w:tcW w:w="4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23 %</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83"/>
        </w:trPr>
        <w:tc>
          <w:tcPr>
            <w:tcW w:w="4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64"/>
        </w:trPr>
        <w:tc>
          <w:tcPr>
            <w:tcW w:w="4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cost of revenue</w:t>
            </w:r>
          </w:p>
        </w:tc>
        <w:tc>
          <w:tcPr>
            <w:tcW w:w="2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50"/>
        </w:trPr>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72 %</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29"/>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7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55 %</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70"/>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83"/>
        </w:trPr>
        <w:tc>
          <w:tcPr>
            <w:tcW w:w="4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63"/>
        </w:trPr>
        <w:tc>
          <w:tcPr>
            <w:tcW w:w="4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101 %</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50"/>
        </w:trPr>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80" w:type="dxa"/>
            <w:vAlign w:val="bottom"/>
            <w:gridSpan w:val="5"/>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0"/>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64"/>
        </w:trPr>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4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58"/>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October 31, 2022 and 2021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82"/>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5"/>
          </w:tcPr>
          <w:p>
            <w:pPr>
              <w:jc w:val="center"/>
              <w:ind w:left="6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spacing w:after="0"/>
              <w:rPr>
                <w:sz w:val="24"/>
                <w:szCs w:val="24"/>
                <w:color w:val="auto"/>
              </w:rPr>
            </w:pPr>
          </w:p>
        </w:tc>
      </w:tr>
      <w:tr>
        <w:trPr>
          <w:trHeight w:val="23"/>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Subscription</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320,756</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217,871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102,885</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83"/>
        </w:trPr>
        <w:tc>
          <w:tcPr>
            <w:tcW w:w="4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12,865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9,022</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83"/>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333,621</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226,893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106,728</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p>
      <w:pPr>
        <w:ind w:right="240" w:firstLine="486"/>
        <w:spacing w:after="0" w:line="289" w:lineRule="auto"/>
        <w:rPr>
          <w:sz w:val="20"/>
          <w:szCs w:val="20"/>
          <w:color w:val="auto"/>
        </w:rPr>
      </w:pPr>
      <w:r>
        <w:rPr>
          <w:rFonts w:ascii="Times New Roman" w:cs="Times New Roman" w:eastAsia="Times New Roman" w:hAnsi="Times New Roman"/>
          <w:sz w:val="17"/>
          <w:szCs w:val="17"/>
          <w:color w:val="auto"/>
        </w:rPr>
        <w:t>Total revenue growth reflects increased demand for our platform and related services. Subscription revenue increased by $102.9 million primarily due to an increase of $95.0 million from our Direct Sales Customers, inclusive of Direct Sales Customers who were self-serve customers of MongoDB Atlas in the prior-year period. The increase in services revenue was driven primarily by the continued increase in delivery of consulting services.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 Gross Profit and Gross Margin Percentage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800" w:type="dxa"/>
            <w:vAlign w:val="bottom"/>
          </w:tcPr>
          <w:p>
            <w:pPr>
              <w:spacing w:after="0"/>
              <w:rPr>
                <w:sz w:val="17"/>
                <w:szCs w:val="17"/>
                <w:color w:val="auto"/>
              </w:rPr>
            </w:pPr>
          </w:p>
        </w:tc>
        <w:tc>
          <w:tcPr>
            <w:tcW w:w="118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77,150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57,378</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19,772</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84"/>
        </w:trPr>
        <w:tc>
          <w:tcPr>
            <w:tcW w:w="48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Services cost of revenue</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16,502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11,086</w:t>
            </w:r>
          </w:p>
        </w:tc>
        <w:tc>
          <w:tcPr>
            <w:tcW w:w="10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cost of revenue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93,652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68,464</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25,188</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83"/>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239,969</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158,429</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81,540</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3"/>
        </w:trPr>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margin</w:t>
            </w:r>
          </w:p>
        </w:tc>
        <w:tc>
          <w:tcPr>
            <w:tcW w:w="3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72 %</w:t>
            </w:r>
          </w:p>
        </w:tc>
        <w:tc>
          <w:tcPr>
            <w:tcW w:w="422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rPr>
              <w:t>70 %</w:t>
            </w:r>
          </w:p>
        </w:tc>
      </w:tr>
      <w:tr>
        <w:trPr>
          <w:trHeight w:val="270"/>
        </w:trPr>
        <w:tc>
          <w:tcPr>
            <w:tcW w:w="3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3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76 %</w:t>
            </w:r>
          </w:p>
        </w:tc>
        <w:tc>
          <w:tcPr>
            <w:tcW w:w="422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rPr>
              <w:t>74 %</w:t>
            </w:r>
          </w:p>
        </w:tc>
      </w:tr>
      <w:tr>
        <w:trPr>
          <w:trHeight w:val="270"/>
        </w:trPr>
        <w:tc>
          <w:tcPr>
            <w:tcW w:w="3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34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(28)%</w:t>
            </w:r>
          </w:p>
        </w:tc>
        <w:tc>
          <w:tcPr>
            <w:tcW w:w="4220" w:type="dxa"/>
            <w:vAlign w:val="bottom"/>
            <w:shd w:val="clear" w:color="auto" w:fill="CCEEFF"/>
          </w:tcPr>
          <w:p>
            <w:pPr>
              <w:jc w:val="right"/>
              <w:ind w:right="3070"/>
              <w:spacing w:after="0"/>
              <w:rPr>
                <w:sz w:val="20"/>
                <w:szCs w:val="20"/>
                <w:color w:val="auto"/>
              </w:rPr>
            </w:pPr>
            <w:r>
              <w:rPr>
                <w:rFonts w:ascii="Times New Roman" w:cs="Times New Roman" w:eastAsia="Times New Roman" w:hAnsi="Times New Roman"/>
                <w:sz w:val="18"/>
                <w:szCs w:val="18"/>
                <w:color w:val="auto"/>
              </w:rPr>
              <w:t>(23)%</w:t>
            </w: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38" w:lineRule="exact"/>
        <w:rPr>
          <w:sz w:val="20"/>
          <w:szCs w:val="20"/>
          <w:color w:val="auto"/>
        </w:rPr>
      </w:pPr>
    </w:p>
    <w:p>
      <w:pPr>
        <w:ind w:right="240" w:firstLine="486"/>
        <w:spacing w:after="0" w:line="224" w:lineRule="exact"/>
        <w:rPr>
          <w:sz w:val="20"/>
          <w:szCs w:val="20"/>
          <w:color w:val="auto"/>
        </w:rPr>
      </w:pPr>
      <w:r>
        <w:rPr>
          <w:rFonts w:ascii="Times New Roman" w:cs="Times New Roman" w:eastAsia="Times New Roman" w:hAnsi="Times New Roman"/>
          <w:sz w:val="18"/>
          <w:szCs w:val="18"/>
          <w:color w:val="auto"/>
        </w:rPr>
        <w:t>The increase in subscription cost of revenue was primarily due to a $16.8 million increase 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cloud infrastructure costs, including costs associated with the growth of MongoDB Atlas, although we continue to realize efficiencies in our third-party cloud infrastructure costs as we scale MongoDB Atlas. In addition, subscription cost of revenue was higher due to a $2.0 million increase in personnel costs and stock-based compensation associated with increased headcount in our support organization. The increase in services cost of revenue was primarily due to a $3.3 million increase in personnel costs and stock-based compensation associated with increased headcount in our services organization. Total headcount in our support and services organizations increased 39% from October 31, 2021 to October 31, 2022.</w:t>
      </w:r>
    </w:p>
    <w:p>
      <w:pPr>
        <w:spacing w:after="0" w:line="146"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Our overall gross margin increased to 72%. Our subscription gross margin benefited from efficiencies realized in managing our third-party cloud infrastructure costs, offset by the negative impact from the increasing percentage of revenue from MongoDB Atlas. The impact of higher services personnel costs and stock based compensation and lower utilization rate resulted in a lower services gross margin.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Sales and Marketing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820" w:type="dxa"/>
            <w:vAlign w:val="bottom"/>
          </w:tcPr>
          <w:p>
            <w:pPr>
              <w:spacing w:after="0"/>
              <w:rPr>
                <w:sz w:val="17"/>
                <w:szCs w:val="17"/>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00" w:type="dxa"/>
            <w:vAlign w:val="bottom"/>
            <w:vMerge w:val="restart"/>
          </w:tcPr>
          <w:p>
            <w:pPr>
              <w:jc w:val="center"/>
              <w:ind w:right="3299"/>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00" w:type="dxa"/>
            <w:vAlign w:val="bottom"/>
            <w:tcBorders>
              <w:bottom w:val="single" w:sz="8" w:color="CCEEFF"/>
            </w:tcBorders>
            <w:shd w:val="clear" w:color="auto" w:fill="CCEEFF"/>
          </w:tcPr>
          <w:p>
            <w:pPr>
              <w:jc w:val="center"/>
              <w:ind w:right="3339"/>
              <w:spacing w:after="0"/>
              <w:rPr>
                <w:sz w:val="20"/>
                <w:szCs w:val="20"/>
                <w:color w:val="auto"/>
              </w:rPr>
            </w:pPr>
            <w:r>
              <w:rPr>
                <w:rFonts w:ascii="Times New Roman" w:cs="Times New Roman" w:eastAsia="Times New Roman" w:hAnsi="Times New Roman"/>
                <w:sz w:val="18"/>
                <w:szCs w:val="18"/>
                <w:color w:val="auto"/>
                <w:w w:val="99"/>
              </w:rPr>
              <w:t>Sales and marketing</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177,419</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120,360</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increase in sales and marketing expense included $38.6 million from higher personnel costs and stock-based compensation, driven by an increase in our sales and marketing headcount to 2,276 as of October 31, 2022 from 1,528 as of October 31, 2021, which includes non-quota-carrying hires in sales operations, customer success and marketing. Sales and marketing expense also increased $11.8 million from costs associated with our higher headcount, including higher travel costs related to in-person events and higher commissions expense. In addition, sales and marketing expenses increased by $2.6 million due to increased spending on marketing programs, including the return to in-person attendance for our marketing events.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Research and Development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820" w:type="dxa"/>
            <w:vAlign w:val="bottom"/>
          </w:tcPr>
          <w:p>
            <w:pPr>
              <w:spacing w:after="0"/>
              <w:rPr>
                <w:sz w:val="17"/>
                <w:szCs w:val="17"/>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106,392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82,256</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The increase in research and development expense was primarily driven by a $21.3 million increase in personnel costs and stock-based compensation as we grew our research and development headcount by 26%. Research and development expense also increased due to higher travel costs and higher office-related expenses driven by higher headcount. Travel costs and office-related expenses increased also due to the easing of restrictions related to the COVID-19 pandemic.</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General and Administrative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860" w:type="dxa"/>
            <w:vAlign w:val="bottom"/>
          </w:tcPr>
          <w:p>
            <w:pPr>
              <w:spacing w:after="0"/>
              <w:rPr>
                <w:sz w:val="17"/>
                <w:szCs w:val="17"/>
                <w:color w:val="auto"/>
              </w:rPr>
            </w:pPr>
          </w:p>
        </w:tc>
        <w:tc>
          <w:tcPr>
            <w:tcW w:w="11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39,081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32,581</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200" w:firstLine="486"/>
        <w:spacing w:after="0" w:line="289" w:lineRule="auto"/>
        <w:rPr>
          <w:sz w:val="20"/>
          <w:szCs w:val="20"/>
          <w:color w:val="auto"/>
        </w:rPr>
      </w:pPr>
      <w:r>
        <w:rPr>
          <w:rFonts w:ascii="Times New Roman" w:cs="Times New Roman" w:eastAsia="Times New Roman" w:hAnsi="Times New Roman"/>
          <w:sz w:val="17"/>
          <w:szCs w:val="17"/>
          <w:color w:val="auto"/>
        </w:rPr>
        <w:t>The increase in general and administrative expense was due to higher costs to support the growth of our business and to maintain compliance as a public company. In particular, these higher costs were driven by an increase in general and administrative personnel headcount resulting in an increase of $6.7 million in personnel costs and stock-based compensation. These higher costs were partly offset by a decrease in bad debt expense of $1.3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10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860" w:type="dxa"/>
            <w:vAlign w:val="bottom"/>
          </w:tcPr>
          <w:p>
            <w:pPr>
              <w:spacing w:after="0"/>
              <w:rPr>
                <w:sz w:val="17"/>
                <w:szCs w:val="17"/>
                <w:color w:val="auto"/>
              </w:rPr>
            </w:pPr>
          </w:p>
        </w:tc>
        <w:tc>
          <w:tcPr>
            <w:tcW w:w="11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40" w:firstLine="486"/>
        <w:spacing w:after="0" w:line="458" w:lineRule="auto"/>
        <w:rPr>
          <w:sz w:val="20"/>
          <w:szCs w:val="20"/>
          <w:color w:val="auto"/>
        </w:rPr>
      </w:pPr>
      <w:r>
        <w:rPr>
          <w:rFonts w:ascii="Times New Roman" w:cs="Times New Roman" w:eastAsia="Times New Roman" w:hAnsi="Times New Roman"/>
          <w:sz w:val="18"/>
          <w:szCs w:val="18"/>
          <w:color w:val="auto"/>
        </w:rPr>
        <w:t xml:space="preserve">Other income (expense), net for the three months ended October 31, 2022 improved due to higher interest income from our short-term investments. </w:t>
      </w:r>
      <w:r>
        <w:rPr>
          <w:rFonts w:ascii="Times New Roman" w:cs="Times New Roman" w:eastAsia="Times New Roman" w:hAnsi="Times New Roman"/>
          <w:sz w:val="18"/>
          <w:szCs w:val="18"/>
          <w:b w:val="1"/>
          <w:bCs w:val="1"/>
          <w:color w:val="auto"/>
        </w:rPr>
        <w:t>Provision for Income Taxes</w:t>
      </w:r>
    </w:p>
    <w:tbl>
      <w:tblPr>
        <w:tblLayout w:type="fixed"/>
        <w:tblInd w:w="0" w:type="dxa"/>
        <w:tblCellMar>
          <w:top w:w="0" w:type="dxa"/>
          <w:left w:w="0" w:type="dxa"/>
          <w:bottom w:w="0" w:type="dxa"/>
          <w:right w:w="0" w:type="dxa"/>
        </w:tblCellMar>
      </w:tblPr>
      <w:tr>
        <w:trPr>
          <w:trHeight w:val="204"/>
        </w:trPr>
        <w:tc>
          <w:tcPr>
            <w:tcW w:w="5040" w:type="dxa"/>
            <w:vAlign w:val="bottom"/>
          </w:tcPr>
          <w:p>
            <w:pPr>
              <w:spacing w:after="0"/>
              <w:rPr>
                <w:sz w:val="17"/>
                <w:szCs w:val="17"/>
                <w:color w:val="auto"/>
              </w:rPr>
            </w:pPr>
          </w:p>
        </w:tc>
        <w:tc>
          <w:tcPr>
            <w:tcW w:w="308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860" w:type="dxa"/>
            <w:vAlign w:val="bottom"/>
          </w:tcPr>
          <w:p>
            <w:pPr>
              <w:spacing w:after="0"/>
              <w:rPr>
                <w:sz w:val="17"/>
                <w:szCs w:val="17"/>
                <w:color w:val="auto"/>
              </w:rPr>
            </w:pPr>
          </w:p>
        </w:tc>
        <w:tc>
          <w:tcPr>
            <w:tcW w:w="11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provision for income taxes during the three months ended October 31, 2022 and 2021 was primarily due to global income and the associated foreign taxes as we continue our global expansion.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October 31, 2022 and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780" w:type="dxa"/>
            <w:vAlign w:val="bottom"/>
          </w:tcPr>
          <w:p>
            <w:pPr>
              <w:spacing w:after="0"/>
              <w:rPr>
                <w:sz w:val="17"/>
                <w:szCs w:val="17"/>
                <w:color w:val="auto"/>
              </w:rPr>
            </w:pPr>
          </w:p>
        </w:tc>
        <w:tc>
          <w:tcPr>
            <w:tcW w:w="12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Subscription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886,944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583,822</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303,122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83"/>
        </w:trPr>
        <w:tc>
          <w:tcPr>
            <w:tcW w:w="50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35,784</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23,466</w:t>
            </w: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12,318</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89"/>
        </w:trPr>
        <w:tc>
          <w:tcPr>
            <w:tcW w:w="5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922,728</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607,288</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315,440</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Total revenue growth reflects increased demand for our platform and related services. Subscription revenue increased by $303.1 million primarily due to an increase of $277.8 million from our Direct Sales Customers, inclusive of the impact from Direct Sales Customers who were self-serve customers of MongoDB Atlas in the prior-year period. The growth in services revenue was driven primarily by the continued increase in delivery of consulting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 Gross Profit and Gross Margin Percentage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760" w:type="dxa"/>
            <w:vAlign w:val="bottom"/>
          </w:tcPr>
          <w:p>
            <w:pPr>
              <w:spacing w:after="0"/>
              <w:rPr>
                <w:sz w:val="17"/>
                <w:szCs w:val="17"/>
                <w:color w:val="auto"/>
              </w:rPr>
            </w:pPr>
          </w:p>
        </w:tc>
        <w:tc>
          <w:tcPr>
            <w:tcW w:w="124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213,154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153,735</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59,419</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83"/>
        </w:trPr>
        <w:tc>
          <w:tcPr>
            <w:tcW w:w="48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Services cost of revenue</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46,990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29,959</w:t>
            </w:r>
          </w:p>
        </w:tc>
        <w:tc>
          <w:tcPr>
            <w:tcW w:w="10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17,031</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cost of revenue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260,144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183,694</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76,450</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83"/>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662,584</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423,594</w:t>
            </w: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238,990</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3"/>
        </w:trPr>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margin</w:t>
            </w:r>
          </w:p>
        </w:tc>
        <w:tc>
          <w:tcPr>
            <w:tcW w:w="34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72 %</w:t>
            </w:r>
          </w:p>
        </w:tc>
        <w:tc>
          <w:tcPr>
            <w:tcW w:w="4240" w:type="dxa"/>
            <w:vAlign w:val="bottom"/>
          </w:tcPr>
          <w:p>
            <w:pPr>
              <w:jc w:val="right"/>
              <w:ind w:right="3090"/>
              <w:spacing w:after="0"/>
              <w:rPr>
                <w:sz w:val="20"/>
                <w:szCs w:val="20"/>
                <w:color w:val="auto"/>
              </w:rPr>
            </w:pPr>
            <w:r>
              <w:rPr>
                <w:rFonts w:ascii="Times New Roman" w:cs="Times New Roman" w:eastAsia="Times New Roman" w:hAnsi="Times New Roman"/>
                <w:sz w:val="18"/>
                <w:szCs w:val="18"/>
                <w:color w:val="auto"/>
              </w:rPr>
              <w:t>70 %</w:t>
            </w:r>
          </w:p>
        </w:tc>
      </w:tr>
      <w:tr>
        <w:trPr>
          <w:trHeight w:val="270"/>
        </w:trPr>
        <w:tc>
          <w:tcPr>
            <w:tcW w:w="3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34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76 %</w:t>
            </w:r>
          </w:p>
        </w:tc>
        <w:tc>
          <w:tcPr>
            <w:tcW w:w="4240" w:type="dxa"/>
            <w:vAlign w:val="bottom"/>
          </w:tcPr>
          <w:p>
            <w:pPr>
              <w:jc w:val="right"/>
              <w:ind w:right="3090"/>
              <w:spacing w:after="0"/>
              <w:rPr>
                <w:sz w:val="20"/>
                <w:szCs w:val="20"/>
                <w:color w:val="auto"/>
              </w:rPr>
            </w:pPr>
            <w:r>
              <w:rPr>
                <w:rFonts w:ascii="Times New Roman" w:cs="Times New Roman" w:eastAsia="Times New Roman" w:hAnsi="Times New Roman"/>
                <w:sz w:val="18"/>
                <w:szCs w:val="18"/>
                <w:color w:val="auto"/>
              </w:rPr>
              <w:t>74 %</w:t>
            </w:r>
          </w:p>
        </w:tc>
      </w:tr>
      <w:tr>
        <w:trPr>
          <w:trHeight w:val="270"/>
        </w:trPr>
        <w:tc>
          <w:tcPr>
            <w:tcW w:w="3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34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(31)%</w:t>
            </w:r>
          </w:p>
        </w:tc>
        <w:tc>
          <w:tcPr>
            <w:tcW w:w="4240" w:type="dxa"/>
            <w:vAlign w:val="bottom"/>
            <w:shd w:val="clear" w:color="auto" w:fill="CCEEFF"/>
          </w:tcPr>
          <w:p>
            <w:pPr>
              <w:jc w:val="right"/>
              <w:ind w:right="3090"/>
              <w:spacing w:after="0"/>
              <w:rPr>
                <w:sz w:val="20"/>
                <w:szCs w:val="20"/>
                <w:color w:val="auto"/>
              </w:rPr>
            </w:pPr>
            <w:r>
              <w:rPr>
                <w:rFonts w:ascii="Times New Roman" w:cs="Times New Roman" w:eastAsia="Times New Roman" w:hAnsi="Times New Roman"/>
                <w:sz w:val="18"/>
                <w:szCs w:val="18"/>
                <w:color w:val="auto"/>
              </w:rPr>
              <w:t>(28)%</w:t>
            </w:r>
          </w:p>
        </w:tc>
      </w:tr>
    </w:tbl>
    <w:p>
      <w:pPr>
        <w:spacing w:after="0" w:line="210" w:lineRule="exact"/>
        <w:rPr>
          <w:sz w:val="20"/>
          <w:szCs w:val="20"/>
          <w:color w:val="auto"/>
        </w:rPr>
      </w:pPr>
    </w:p>
    <w:p>
      <w:pPr>
        <w:ind w:right="220" w:firstLine="486"/>
        <w:spacing w:after="0" w:line="228" w:lineRule="exact"/>
        <w:rPr>
          <w:sz w:val="20"/>
          <w:szCs w:val="20"/>
          <w:color w:val="auto"/>
        </w:rPr>
      </w:pPr>
      <w:r>
        <w:rPr>
          <w:rFonts w:ascii="Times New Roman" w:cs="Times New Roman" w:eastAsia="Times New Roman" w:hAnsi="Times New Roman"/>
          <w:sz w:val="18"/>
          <w:szCs w:val="18"/>
          <w:color w:val="auto"/>
        </w:rPr>
        <w:t>The increase in subscription cost of revenue was primarily due to a $48.1 million increase 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cloud infrastructure costs, including costs associated with the growth of MongoDB Atlas. The increase in third-party infrastructure costs was partly offset by continued cost efficiencies realized as we scale MongoDB Atlas. In addition, subscription cost of revenue was higher due to a $8.0 million increase in personnel costs and stock-based compensation associated with increased headcount in our support organization. The increase in services cost of revenue was primarily due to a</w:t>
      </w:r>
    </w:p>
    <w:p>
      <w:pPr>
        <w:ind w:right="760"/>
        <w:spacing w:after="0" w:line="255" w:lineRule="auto"/>
        <w:rPr>
          <w:sz w:val="20"/>
          <w:szCs w:val="20"/>
          <w:color w:val="auto"/>
        </w:rPr>
      </w:pPr>
      <w:r>
        <w:rPr>
          <w:rFonts w:ascii="Times New Roman" w:cs="Times New Roman" w:eastAsia="Times New Roman" w:hAnsi="Times New Roman"/>
          <w:sz w:val="18"/>
          <w:szCs w:val="18"/>
          <w:color w:val="auto"/>
        </w:rPr>
        <w:t>$10.6 million increase in personnel costs and stock-based compensation associated with increased headcount in our services organization, and a $3.4 million increase in costs driven by an increase in the volume of consulting and training services. Total headcount in our support and services organizations increased 39% from October 31, 2021 to October 31, 2022.</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jc w:val="both"/>
        <w:ind w:right="380" w:firstLine="486"/>
        <w:spacing w:after="0" w:line="266" w:lineRule="auto"/>
        <w:rPr>
          <w:sz w:val="20"/>
          <w:szCs w:val="20"/>
          <w:color w:val="auto"/>
        </w:rPr>
      </w:pPr>
      <w:r>
        <w:rPr>
          <w:rFonts w:ascii="Times New Roman" w:cs="Times New Roman" w:eastAsia="Times New Roman" w:hAnsi="Times New Roman"/>
          <w:sz w:val="18"/>
          <w:szCs w:val="18"/>
          <w:color w:val="auto"/>
        </w:rPr>
        <w:t>Our overall gross margin improved to 72%. Our subscription gross margin increased to 76% as efficiencies realized in managing our third-party cloud infrastructure costs more than offset the negative margin impact from the increasing percentage of revenue from MongoDB Atlas. The impact of higher services personnel costs and stock-based compensation and lower utilization rate resulted in negative services gross margin.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Sales and Marketing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gridSpan w:val="4"/>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00" w:type="dxa"/>
            <w:vAlign w:val="bottom"/>
            <w:vMerge w:val="restart"/>
          </w:tcPr>
          <w:p>
            <w:pPr>
              <w:jc w:val="center"/>
              <w:ind w:right="3299"/>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00" w:type="dxa"/>
            <w:vAlign w:val="bottom"/>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00" w:type="dxa"/>
            <w:vAlign w:val="bottom"/>
            <w:tcBorders>
              <w:bottom w:val="single" w:sz="8" w:color="CCEEFF"/>
            </w:tcBorders>
            <w:shd w:val="clear" w:color="auto" w:fill="CCEEFF"/>
          </w:tcPr>
          <w:p>
            <w:pPr>
              <w:jc w:val="center"/>
              <w:ind w:right="3339"/>
              <w:spacing w:after="0"/>
              <w:rPr>
                <w:sz w:val="20"/>
                <w:szCs w:val="20"/>
                <w:color w:val="auto"/>
              </w:rPr>
            </w:pPr>
            <w:r>
              <w:rPr>
                <w:rFonts w:ascii="Times New Roman" w:cs="Times New Roman" w:eastAsia="Times New Roman" w:hAnsi="Times New Roman"/>
                <w:sz w:val="18"/>
                <w:szCs w:val="18"/>
                <w:color w:val="auto"/>
                <w:w w:val="99"/>
              </w:rPr>
              <w:t>Sales and marketing</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509,285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327,627</w:t>
            </w:r>
          </w:p>
        </w:tc>
        <w:tc>
          <w:tcPr>
            <w:tcW w:w="880" w:type="dxa"/>
            <w:vAlign w:val="bottom"/>
            <w:tcBorders>
              <w:bottom w:val="single" w:sz="8" w:color="CCEEFF"/>
            </w:tcBorders>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181,658</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increase in sales and marketing expense included $109.0 million from higher personnel costs and stock-based compensation, driven by an increase in our sales and marketing headcount to 2,276 as of October 31, 2022 from 1,528 as of October 31, 2021, which includes non-quota-carrying hires in sales operations, customer success and marketing. Sales and marketing expense also increased $55.6 million from costs associated with our higher headcount, including higher commissions expense, higher travel costs related to in-person events and higher computer hardware and software expenses. In addition, sales and marketing expenses increased by $12.2 million due to increased spending on marketing programs including the return to in-person attendance for our MongoDB World event.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Research and Development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310,801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219,403</w:t>
            </w:r>
          </w:p>
        </w:tc>
        <w:tc>
          <w:tcPr>
            <w:tcW w:w="90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91,398</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increase in research and development expense was primarily driven by a $77.5 million increase in personnel costs and stock-based compensation as we increased our research and development headcount by 26%. Research and development expense also increased $13.4 million due to higher computer hardware and software expenses, increased third-party infrastructure costs and higher travel costs driven by higher headcount. Travel costs increased also due to the easing of restrictions related to the COVID-19 pandemic.</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General and Administrative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4"/>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116,204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87,309</w:t>
            </w:r>
          </w:p>
        </w:tc>
        <w:tc>
          <w:tcPr>
            <w:tcW w:w="90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28,895</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40" w:firstLine="486"/>
        <w:spacing w:after="0" w:line="258" w:lineRule="auto"/>
        <w:rPr>
          <w:sz w:val="20"/>
          <w:szCs w:val="20"/>
          <w:color w:val="auto"/>
        </w:rPr>
      </w:pPr>
      <w:r>
        <w:rPr>
          <w:rFonts w:ascii="Times New Roman" w:cs="Times New Roman" w:eastAsia="Times New Roman" w:hAnsi="Times New Roman"/>
          <w:sz w:val="18"/>
          <w:szCs w:val="18"/>
          <w:color w:val="auto"/>
        </w:rPr>
        <w:t>The increase in general and administrative expense was due to higher costs to support the growth of our business and to maintain compliance as a public company. In particular, these higher costs were driven by an increase in general and administrative personnel headcount resulting in $23.2 million higher personnel costs and stock-based compensation. In addition, general and administrative expense increased due to higher professional services fees, higher office-related expenses driven by higher headcount and higher travel costs. The increase in travel costs was primarily driven by higher headcount and the easing of restrictions related to the COVID-19 pandemic.</w:t>
      </w: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2980" w:type="dxa"/>
            <w:vAlign w:val="bottom"/>
            <w:gridSpan w:val="5"/>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92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Other income (expense), net, for the nine months ended October 31, 2022 improved primarily due to gain on investments, related to our non-marketable securities, higher interest income from our short-term investments, as well as lower interest expense following the redemption of convertible securities.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40" w:type="dxa"/>
            <w:vAlign w:val="bottom"/>
          </w:tcPr>
          <w:p>
            <w:pPr>
              <w:spacing w:after="0"/>
              <w:rPr>
                <w:sz w:val="17"/>
                <w:szCs w:val="17"/>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2,411</w:t>
            </w:r>
          </w:p>
        </w:tc>
        <w:tc>
          <w:tcPr>
            <w:tcW w:w="960" w:type="dxa"/>
            <w:vAlign w:val="bottom"/>
            <w:tcBorders>
              <w:bottom w:val="single" w:sz="8" w:color="CCEEFF"/>
            </w:tcBorders>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provision for income taxes during the nine months ended October 31, 2022 and 2021 was primarily due to global income and the associated foreign taxes as the Company continues its global expansion. The provision for income taxes during the nine months ended October 31, 2021 was offset by the release of the valuation allowance as a result of goodwill recorded associated with an immaterial business combination, as well as the reversal of the deferred tax liability associated with convertible debt upon the adoption of ASU 2020-06.</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6" w:lineRule="exact"/>
        <w:rPr>
          <w:sz w:val="20"/>
          <w:szCs w:val="20"/>
          <w:color w:val="auto"/>
        </w:rPr>
      </w:pPr>
    </w:p>
    <w:p>
      <w:pPr>
        <w:ind w:right="100" w:firstLine="486"/>
        <w:spacing w:after="0" w:line="232" w:lineRule="exact"/>
        <w:rPr>
          <w:sz w:val="20"/>
          <w:szCs w:val="20"/>
          <w:color w:val="auto"/>
        </w:rPr>
      </w:pPr>
      <w:r>
        <w:rPr>
          <w:rFonts w:ascii="Times New Roman" w:cs="Times New Roman" w:eastAsia="Times New Roman" w:hAnsi="Times New Roman"/>
          <w:sz w:val="18"/>
          <w:szCs w:val="18"/>
          <w:color w:val="auto"/>
        </w:rPr>
        <w:t>As of October 31, 2022, our principal sources of liquidity were cash, cash equivalents,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and restricted cash totaling $1.8 billion. Our cash and cash equivalents primarily consist of bank deposits and money market funds. Our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consist of U.S. government treasury securities, and our restricted cash represents collateral for our available credit on corporate credit cards. We believe our existing cash and cash equivalents and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will be sufficient to fund our operating and capital needs for at least the next 12 months.</w:t>
      </w:r>
    </w:p>
    <w:p>
      <w:pPr>
        <w:spacing w:after="0" w:line="127" w:lineRule="exact"/>
        <w:rPr>
          <w:sz w:val="20"/>
          <w:szCs w:val="20"/>
          <w:color w:val="auto"/>
        </w:rPr>
      </w:pPr>
    </w:p>
    <w:p>
      <w:pPr>
        <w:ind w:right="60" w:firstLine="486"/>
        <w:spacing w:after="0" w:line="269" w:lineRule="auto"/>
        <w:rPr>
          <w:sz w:val="20"/>
          <w:szCs w:val="20"/>
          <w:color w:val="auto"/>
        </w:rPr>
      </w:pPr>
      <w:r>
        <w:rPr>
          <w:rFonts w:ascii="Times New Roman" w:cs="Times New Roman" w:eastAsia="Times New Roman" w:hAnsi="Times New Roman"/>
          <w:sz w:val="17"/>
          <w:szCs w:val="17"/>
          <w:color w:val="auto"/>
        </w:rPr>
        <w:t>We have generated significant operating losses and negative cash flows from operations as reflected in our accumulated deficit and historical consolidated statements of cash flows. As of October 31, 2022, we had an accumulated deficit of $1.5 billion. We expect to continue to incur operating losses, may continue to experience negative cash flows from operations in the future and may require additional capital resources to execute strategic initiatives to grow our business. Our future capital requirements and adequacy of available funds will depend on many factors, including our growth rate and any impact on it from global macroeconomic conditions, including rising interest rates and inflation, the timing and extent of spending to support development efforts, the expansion of sales and marketing and international operation activities, the timing and size of new subscription introductions and customer usage of our platform, the continuing market acceptance of our subscriptions and services and the impact of the COVID-19 pandemic on the global economy and our business, financial condition and results of operations. As the impact of the COVID-19 pandemic and macroeconomic conditions on the global economy and our operations continues to evolve, we will continue to assess our liquidity needs.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(unaudited,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8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6"/>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(15,331)</w:t>
            </w:r>
          </w:p>
        </w:tc>
      </w:tr>
      <w:tr>
        <w:trPr>
          <w:trHeight w:val="270"/>
        </w:trPr>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551,697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(543,578)</w:t>
            </w:r>
          </w:p>
        </w:tc>
      </w:tr>
      <w:tr>
        <w:trPr>
          <w:trHeight w:val="270"/>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878,495</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Operating Activities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used in operating activities during the nine months ended October 31, 2022 was $38.8 million. This was primarily driven by our net loss of</w:t>
      </w:r>
    </w:p>
    <w:p>
      <w:pPr>
        <w:spacing w:after="0" w:line="205" w:lineRule="exact"/>
        <w:rPr>
          <w:sz w:val="20"/>
          <w:szCs w:val="20"/>
          <w:color w:val="auto"/>
        </w:rPr>
      </w:pPr>
      <w:r>
        <w:rPr>
          <w:rFonts w:ascii="Times New Roman" w:cs="Times New Roman" w:eastAsia="Times New Roman" w:hAnsi="Times New Roman"/>
          <w:sz w:val="18"/>
          <w:szCs w:val="18"/>
          <w:color w:val="auto"/>
        </w:rPr>
        <w:t>$281.0 million, which was offset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charges of $279.3 million for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$11.9 million for depreciation and amortization and</w:t>
      </w:r>
    </w:p>
    <w:p>
      <w:pPr>
        <w:spacing w:after="0" w:line="219" w:lineRule="auto"/>
        <w:rPr>
          <w:sz w:val="20"/>
          <w:szCs w:val="20"/>
          <w:color w:val="auto"/>
        </w:rPr>
      </w:pPr>
      <w:r>
        <w:rPr>
          <w:rFonts w:ascii="Times New Roman" w:cs="Times New Roman" w:eastAsia="Times New Roman" w:hAnsi="Times New Roman"/>
          <w:sz w:val="18"/>
          <w:szCs w:val="18"/>
          <w:color w:val="auto"/>
        </w:rPr>
        <w:t>$9.8 million for lease-related charges. The continuing growth of our sales and our expanding customer base led to an increase in accounts receivable of</w:t>
      </w:r>
    </w:p>
    <w:p>
      <w:pPr>
        <w:spacing w:after="0" w:line="219" w:lineRule="auto"/>
        <w:rPr>
          <w:sz w:val="20"/>
          <w:szCs w:val="20"/>
          <w:color w:val="auto"/>
        </w:rPr>
      </w:pPr>
      <w:r>
        <w:rPr>
          <w:rFonts w:ascii="Times New Roman" w:cs="Times New Roman" w:eastAsia="Times New Roman" w:hAnsi="Times New Roman"/>
          <w:sz w:val="18"/>
          <w:szCs w:val="18"/>
          <w:color w:val="auto"/>
        </w:rPr>
        <w:t>$38.3 million and deferred commissions of $29.9 million. In addition, accrued liabilities increased by $18.8 million reflecting our increase in expenses and</w:t>
      </w:r>
    </w:p>
    <w:p>
      <w:pPr>
        <w:spacing w:after="0"/>
        <w:rPr>
          <w:sz w:val="20"/>
          <w:szCs w:val="20"/>
          <w:color w:val="auto"/>
        </w:rPr>
      </w:pPr>
      <w:r>
        <w:rPr>
          <w:rFonts w:ascii="Times New Roman" w:cs="Times New Roman" w:eastAsia="Times New Roman" w:hAnsi="Times New Roman"/>
          <w:sz w:val="18"/>
          <w:szCs w:val="18"/>
          <w:color w:val="auto"/>
        </w:rPr>
        <w:t>timing of payments. These were partly offset by our cash collections, which increased our deferred revenue by $24.0 million.</w:t>
      </w:r>
    </w:p>
    <w:p>
      <w:pPr>
        <w:spacing w:after="0" w:line="219" w:lineRule="exact"/>
        <w:rPr>
          <w:sz w:val="20"/>
          <w:szCs w:val="20"/>
          <w:color w:val="auto"/>
        </w:rPr>
      </w:pPr>
    </w:p>
    <w:p>
      <w:pPr>
        <w:ind w:right="40" w:firstLine="648"/>
        <w:spacing w:after="0" w:line="199" w:lineRule="exact"/>
        <w:rPr>
          <w:sz w:val="20"/>
          <w:szCs w:val="20"/>
          <w:color w:val="auto"/>
        </w:rPr>
      </w:pPr>
      <w:r>
        <w:rPr>
          <w:rFonts w:ascii="Times New Roman" w:cs="Times New Roman" w:eastAsia="Times New Roman" w:hAnsi="Times New Roman"/>
          <w:sz w:val="18"/>
          <w:szCs w:val="18"/>
          <w:color w:val="auto"/>
        </w:rPr>
        <w:t>Cash used in operating activities during the nine months ended October 31, 2021 was $15.3 million. This was primarily driven by our net loss of $222.4 million, which was partially offset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charges of $177.3 million for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$10.0 million for depreciation and amortization, $8.0 million for lease-related charges, $5.0 million for accretion of discount on our short-term investments and $3.2 million for debt issuance costs. In addition, our cash collections increased our deferred revenue by $58.5 million, reflecting the overall growth of our sales and our expanding customer base. Partially offsetting these benefits to our operating cash flow was an increase in our accounts receivable of $46.9 million, driven by our sales growth.</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Investing Activities</w:t>
      </w:r>
    </w:p>
    <w:p>
      <w:pPr>
        <w:spacing w:after="0" w:line="173"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during the nine months ended October 31, 2022 was $551.7 million, primarily due to proceeds from maturities of marketable securities, net of purchases, of $561.0 million. The proceeds were partially offset by $6.5 million of cash used for purchases of property and equipment and $2.7 million of additional investment in non-marketable securities.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during the nine months ended October 31, 2021 was $543.6 million, primarily due to cash used to purchase marketable securities, net of maturities, of $532.3 million, and $4.5 million of net cash used for an immaterial acquisition. In addition, we used $2.3 million of net cash to purchase non-marketable securities.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Financing Activities</w:t>
      </w:r>
    </w:p>
    <w:p>
      <w:pPr>
        <w:spacing w:after="0" w:line="173"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during the nine months ended October 31, 2022 was $16.9 million, due to proceeds from the issuance of common stock under the Employee Stock Purchase Plan and exercises of stock options, partly offset by principal repayments of finance leases.</w:t>
      </w:r>
    </w:p>
    <w:p>
      <w:pPr>
        <w:spacing w:after="0" w:line="108"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during the nine months ended October 31, 2021 was $878.5 million, primarily due to net proceeds from the equity offering, the issuance of common stock under the Employee Stock Purchase Plan, and exercises of stock options, partly offset by cash used to repay a portion of our 2024 convertible notes upon redemption.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ind w:right="240" w:firstLine="486"/>
        <w:spacing w:after="0" w:line="256" w:lineRule="auto"/>
        <w:rPr>
          <w:sz w:val="20"/>
          <w:szCs w:val="20"/>
          <w:color w:val="auto"/>
        </w:rPr>
      </w:pPr>
      <w:r>
        <w:rPr>
          <w:rFonts w:ascii="Times New Roman" w:cs="Times New Roman" w:eastAsia="Times New Roman" w:hAnsi="Times New Roman"/>
          <w:sz w:val="18"/>
          <w:szCs w:val="18"/>
          <w:color w:val="auto"/>
        </w:rPr>
        <w:t>We have in the past and expect in the future to experience seasonal fluctuations in our revenue and operating results from time to time. We may experience variability and reduced comparability of our quarterly revenue and operating results with respect to the timing and nature of certain of our contracts, particularly multi-year contracts that contain a term license. We may also experience fluctuations as MongoDB Atlas revenue is recorded on a consumption basis and varies with usage, including due to seasonal factors. As MongoDB Atlas revenue continues to increase as a percentage of total revenue, these fluctuations may have a greater impact on our results of operations. We believe that seasonal fluctuations that we have experienced in the past may continue in the future.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 xml:space="preserve">During the nine months ended October 31, 2022, there were no material changes outside the ordinary course of business to our contractual obligations and commitments from those disclosed in our 2022 Form 10-K. Refer to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our Notes to Unaudited Condensed Consolidated Financial Statements included in Part I, Item 1 of this Quarterly Report on Form 10-Q for further details.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26"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estimates from those disclosed in Part II, Item 7, “Management’s Discussion and Analysis of Financial Condition and Results of Operations” of the 2022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QUANTITATIVE AND QUALITATIVE DISCLOSURES ABOUT MARKET RISK.</w:t>
      </w:r>
    </w:p>
    <w:p>
      <w:pPr>
        <w:spacing w:after="0" w:line="165"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We have operations both within the United States and internationally, and we are exposed to market risk in the ordinary course of business. The uncertainty that exists with respect to the global economic impact of the COVID-19 pandemic has introduced significant volatility in the financial markets.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Interest Rate Risk</w:t>
      </w:r>
    </w:p>
    <w:p>
      <w:pPr>
        <w:spacing w:after="0" w:line="173"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Our cash and cash equivalents primarily consist of bank deposits and money market funds, and our short-term investments consist of U.S. government treasury securities. As of October 31, 2022, we had cash, cash equivalents, restricted cash and short-term investments of $1.8 billion.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a fluctuation in interest rates, which may affect our interest income and the fair market value of our investments. The effect of a hypothetical 10% increase or decrease in interest rates would not have had a material impact on the fair market value of our investments as of October 31, 2022.</w:t>
      </w:r>
    </w:p>
    <w:p>
      <w:pPr>
        <w:spacing w:after="0" w:line="135"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In January 2020, we issued $1.15 billion aggregate principal amount of 0.25% convertible senior notes due 2026 in a private placement (the “2026 Notes”). The fair value of the 2026 Notes is subject to interest rate risk, market risk and other factors due to the conversion feature. The fair value of the 2026 Notes will generally increase as our common stock price increases and will generally decrease as our common stock price declines. The interest and market value changes affect the fair value of the 2026 Notes, but do not impact our financial position, cash flows or results of operations due to the fixed nature of the debt obligation. Additionally, we carry the 2026 Notes at face value less unamortized issuance costs on our balance sheet, and we present the fair value for required disclosure purposes only.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Foreign Currency Risk</w:t>
      </w:r>
    </w:p>
    <w:p>
      <w:pPr>
        <w:spacing w:after="0" w:line="17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sales contracts are primarily denominated in U.S. dollars, British pounds (“GBP”) or Euros (“EUR”). A portion of our operating expenses are incurred outside the United States and denominated in foreign currencies and are subject to fluctuations due to changes in foreign currency exchange rates, particularly changes in the GBP and EUR. Additionally, fluctuations in foreign currency exchange rates may cause us to recognize transaction gains and losses in our statement of operations. The effect of a hypothetical 10% change in foreign currency exchange rates applicable to our business would not have a material impact on our historical consolidated financial statements for either of the three-month periods ended October 31, 2022 and 2021. Given the impact of foreign currency exchange rates has not been material to our historical operating results, we have not entered into derivative or hedging transactions, but we may do so in the future if our exposure to foreign currency should become more significant. As our international operations grow, we will continue to reassess our approach to manage our risk relating to fluctuations in currency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Market Risk</w:t>
      </w:r>
    </w:p>
    <w:p>
      <w:pPr>
        <w:spacing w:after="0" w:line="173"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could experience additional volatility to our consolidated statements of operations due to observable price changes and impairments to our non-marketable securities. These changes could be material based on market conditions and events, particularly in periods of significant market fluctuations that affect our non-marketable securities. Our non-marketable securities are subject to a risk of partial or total loss of invested capital. As of October 31, 2022 and January 31, 2022, the total amount of non-marketable securities included in other assets on our balance sheet was $9.3 million and $4.8 million.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CONTROLS AND PROCEDURES.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33"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October 31, 2022. Based on the evaluation of our disclosure controls and procedures as of October 31, 2022, our Chief Executive Officer and Chief Financial Officer concluded that, as of such date, our disclosure controls and procedures were effective at the reasonable assurance level.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Rule 15d-15(d) of the Exchange Act that occurred during the three months ended October 31, 2022 that has materially affected, or is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7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PART II—OTHER INFORMATION</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spacing w:after="0" w:line="163" w:lineRule="exact"/>
        <w:rPr>
          <w:sz w:val="20"/>
          <w:szCs w:val="20"/>
          <w:color w:val="auto"/>
        </w:rPr>
      </w:pPr>
    </w:p>
    <w:p>
      <w:pPr>
        <w:ind w:right="240"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required to be set forth under this Item 1 is incorporated by reference to Note 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of the Notes to Condensed Consolidated Financial Statements included in this Form 10-Q.</w:t>
      </w:r>
    </w:p>
    <w:p>
      <w:pPr>
        <w:spacing w:after="0" w:line="10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claims in the ordinary course of business. For example, on March 12, 2019, Realtime filed a lawsuit against us in the United States District Court for the District of Delaware alleging that we are infringing three U.S. patents that it holds: the 908 Patent, the 751 Patent and the 825 Patent. On May 4, 2021, in a consolidated action that includes Realtime's case against MongoDB, the District Court granted certain defendants' motion to dismiss without prejudice, finding that the patents are invalid under 35 U.S.C. § 101. Realtime filed an amended complaint against us on May 18, 2021, and we moved to dismiss that amended complaint on June 29, 2021. On August 23, 2021, the District Court granted our motion to dismiss. On August 25, 2021, Realtime filed a notice of appeal of the Delaware District Court’s order. Realtime filed its appellate brief on December 2, 2021 and the defendants (including MongoDB) filed a responsive brief on March 11, 2022. Realtime filed a reply brief on April 29, 2022. The oral brief argument has not yet been scheduled.</w:t>
      </w:r>
    </w:p>
    <w:p>
      <w:pPr>
        <w:spacing w:after="0" w:line="13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ind w:right="2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Form 10-Q,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75"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because we are subject to numerous risks and uncertainties that could negatively impact our business, financial condition and results of operations, as more fully described below. These risks and uncertainties include, but are not limited to, the following:</w:t>
      </w:r>
    </w:p>
    <w:p>
      <w:pPr>
        <w:spacing w:after="0" w:line="122"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or reductions in information technology spending could limit our ability to grow our business and materially and adversely affect our results of operations.</w:t>
      </w:r>
    </w:p>
    <w:p>
      <w:pPr>
        <w:spacing w:after="0" w:line="53"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related economic downturn and measures taken in response to the pandemic could negatively impact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meet our publicly announced guidance or other expectations about our business and future operating results, which would cause our stock price to decline.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makes it difficult to predict our future results of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as our costs increase, we may not be able to generate sufficient revenue to achieve or sustain profitability.</w:t>
      </w:r>
    </w:p>
    <w:p>
      <w:pPr>
        <w:spacing w:after="0" w:line="117"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derive substantially all of our revenue from our database platform, failure of this platform to satisfy customer demands could adversely affect our business, results of operations, financial condition and growth prospects.</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results of operations depend substantially on our customers renewing their subscriptions with us and expanding their usage of software and related services. Any decline in our customer renewals or failure to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660" w:right="280"/>
        <w:spacing w:after="0" w:line="282" w:lineRule="auto"/>
        <w:rPr>
          <w:sz w:val="20"/>
          <w:szCs w:val="20"/>
          <w:color w:val="auto"/>
        </w:rPr>
      </w:pPr>
      <w:r>
        <w:rPr>
          <w:rFonts w:ascii="Times New Roman" w:cs="Times New Roman" w:eastAsia="Times New Roman" w:hAnsi="Times New Roman"/>
          <w:sz w:val="18"/>
          <w:szCs w:val="18"/>
          <w:color w:val="auto"/>
        </w:rPr>
        <w:t>convince our customers to broaden their usage of subscription offerings and related services could materially and adversely harm our business, results of operations and financial condition.</w:t>
      </w:r>
    </w:p>
    <w:p>
      <w:pPr>
        <w:spacing w:after="0" w:line="5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face significant competition and expect that intense competition will continue.</w:t>
      </w:r>
    </w:p>
    <w:p>
      <w:pPr>
        <w:spacing w:after="0" w:line="11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effectively expand our sales and marketing organization, we may be unable to add new customers or increase sales to our existing customers.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offer Community Server under the Server Side Public License (“SSPL”) may harm the adoption of Community Server.</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invested significantly in our MongoDB Atlas offering and, if we fail to continue to attract new MongoDB Atlas customers or retain and expand within existing customers, our business, results of operations and financial condition could be harmed.</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negatively impacted if the GNU Affero General Public License Version 3 (the “AGPL”), the SSPL and other open source licenses under which some of our software is licensed are not enforceable.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licensing model for Community Server could negatively affect our ability to monetize and protect our intellectual property rights.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incur substantial costs in protecting or defending our intellectual property rights and any failure to protect our intellectual property rights could reduce the value of our software and brand.</w:t>
      </w:r>
    </w:p>
    <w:p>
      <w:pPr>
        <w:spacing w:after="0" w:line="53"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introduce new features or services successfully and to make enhancements to our software or services, our business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67" w:lineRule="exact"/>
        <w:rPr>
          <w:rFonts w:ascii="Times New Roman" w:cs="Times New Roman" w:eastAsia="Times New Roman" w:hAnsi="Times New Roman"/>
          <w:sz w:val="18"/>
          <w:szCs w:val="18"/>
          <w:color w:val="auto"/>
        </w:rPr>
      </w:pPr>
    </w:p>
    <w:p>
      <w:pPr>
        <w:jc w:val="both"/>
        <w:ind w:left="660" w:right="3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security measures, or those of our service providers, are breached or unauthorized access to personal information or otherwise private or proprietary data is otherwise obtained, our software may be perceived as not being secure, customers may reduce or terminate their use of our software and we may face litigation, regulatory investigations, significant liability and reputational damage.</w:t>
      </w:r>
    </w:p>
    <w:p>
      <w:pPr>
        <w:spacing w:after="0" w:line="6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maintain and enhance our brand, especially among developers, our business and results of operations may be adversely affected.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58"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information technology spending could limit our ability to grow our business and materially and adversely affect our results of operations.</w:t>
      </w:r>
    </w:p>
    <w:p>
      <w:pPr>
        <w:spacing w:after="0" w:line="198"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Our overall performance depends in part on worldwide economic conditions and our results of operations may vary based on the impact of changes in our industry or the global economy on us or our customers. The revenue growth and potential profitability of our business depend on demand for database software and services generally and for our subscription offering and related services in particular. Current or future economic uncertainties or downturns could adversely affect our business and results of operations. Negative conditions in the general economy both in the United States and abroad, including conditions resulting from changes in gross domestic product growth, labor shortages, supply chain disruptions, inflationary pressures, rising interest rates, financial and credit market fluctuations, international trade relations and/or the imposition of trade tariffs, political turmoil, natural catastrophes, regional or global outbreaks of contagious diseases, such as the COVID-19 pandemic, warfare and terrorist attacks on the United States, Europe, the Asia Pacific region or elsewhere, could cause a decrease in business investments, including spending on information technology, disrupt the timing and cadence of key industry and marketing events and otherwise could materially and adversely affect the growth of our business.</w:t>
      </w:r>
    </w:p>
    <w:p>
      <w:pPr>
        <w:spacing w:after="0" w:line="215"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Geopolitical risks, including those arising from trade tension and/or the imposition of trade tariffs, terrorist activity or acts of civil or international hostility, are increasing. Similarly, the ongoing military conflict between Russia and Ukraine has had negative impacts on the global economy, including by contributing to rapidly rising costs of living (driven largely by higher energy prices) in Europe and created uncertainty in the global capital markets and is expected to have further global economic consequences, including disruptions of the global supply chain and energy markets. Further, other events outside of our control, including natural disasters, climate change-related events, pandemics (such as the COVID-19 pandemic) or health crises may arise from time to time and be accompanied by governmental actions that may increase international</w:t>
      </w: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tension. Any such events and responses, including regulatory developments, may cause significant volatility and declines in the global markets, disproportionate impacts to certain industries or sectors, disruptions to commerce (including to economic activity, travel and supply chains), loss of life and property damage, and may materially and adversely affect the global economy or capital markets, as well as our business and results of operations.</w:t>
      </w:r>
    </w:p>
    <w:p>
      <w:pPr>
        <w:spacing w:after="0" w:line="203"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Additionally, 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and uncertainty about economic stability. As a result of these factors, our revenues may be affected by both decreased customer acquisition and lower than anticipated revenue growth from existing customers. For example, the COVID-19 pandemic resulted in widespread unemployment, economic slowdown and extreme volatility. Similarly, the ongoing military conflict between Russia and Ukraine has created extreme volatility in the global capital markets and has caused and could continue to cause disruptions of the global supply chain and energy markets. Any such volatility and disruptions may have material and adverse consequences on us, the third parties on whom we rely or our customers. Increased inflation rates can adversely affect us by increasing our costs, including labor and employee benefit costs. Any significant increases in inflation and related increase in interest rates could have a material and adverse effect on our business, financial condition or results of operations.</w:t>
      </w:r>
    </w:p>
    <w:p>
      <w:pPr>
        <w:spacing w:after="0" w:line="21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Also,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spacing w:after="0" w:line="212"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related economic downturn and measures taken in response to the pandemic could materially and adversely impact our business, financial condition and results of operations.</w:t>
      </w:r>
    </w:p>
    <w:p>
      <w:pPr>
        <w:spacing w:after="0" w:line="185" w:lineRule="exact"/>
        <w:rPr>
          <w:sz w:val="20"/>
          <w:szCs w:val="20"/>
          <w:color w:val="auto"/>
        </w:rPr>
      </w:pPr>
    </w:p>
    <w:p>
      <w:pPr>
        <w:ind w:right="40" w:firstLine="567"/>
        <w:spacing w:after="0" w:line="253" w:lineRule="auto"/>
        <w:rPr>
          <w:sz w:val="20"/>
          <w:szCs w:val="20"/>
          <w:color w:val="auto"/>
        </w:rPr>
      </w:pPr>
      <w:r>
        <w:rPr>
          <w:rFonts w:ascii="Times New Roman" w:cs="Times New Roman" w:eastAsia="Times New Roman" w:hAnsi="Times New Roman"/>
          <w:sz w:val="18"/>
          <w:szCs w:val="18"/>
          <w:color w:val="auto"/>
        </w:rPr>
        <w:t>Beginning in March 2020, we took measures intended to help minimize the risk of the SARS-CoV-2 virus to our employees, our customers and the communities in which we participate, which measures could negatively impact our business. These measures included temporarily requiring all employees to work remotely, suspending all non-essential travel worldwide for our employees, canceling, postponing or holding virtually MongoDB-sponsored events and discouraging employee attendance at industry events and in-person work-related meetings. In 2021, we began to re-open our offices in the United States and certain other locations globally for employees to voluntarily return. In April 2022, we moved forward with our return to office plan which encompasses a hybrid approach to in-office attendance based on the different needs of teams across the company. While certain travel bans and other restrictions that were implemented at the beginning of the pandemic were relaxed earlier in the year, due to the identification of novel variants of the SARS-CoV-2 virus, among other developments, some of these restrictions were re-imposed, and new restrictions may be implemented. Business travel resumed during 2021 on a voluntary basis and we started to hold some in-person marketing events, including MongoDB World 2022. Although our travel costs for the year ended January 31, 2022 were below pre-pandemic levels, expenses related to business travel and in-person marketing events have increased during 2022 and we expect spending on business travel and in-person marketing events to increase during the remainder of 2022. We continue to monitor the situation related to the COVID-19 pandemic, and we may adjust our policies as may be required or recommended by federal, foreign, state or local authorities.</w:t>
      </w:r>
    </w:p>
    <w:p>
      <w:pPr>
        <w:spacing w:after="0" w:line="214" w:lineRule="exact"/>
        <w:rPr>
          <w:sz w:val="20"/>
          <w:szCs w:val="20"/>
          <w:color w:val="auto"/>
        </w:rPr>
      </w:pPr>
    </w:p>
    <w:p>
      <w:pPr>
        <w:ind w:right="40" w:firstLine="567"/>
        <w:spacing w:after="0" w:line="254" w:lineRule="auto"/>
        <w:rPr>
          <w:sz w:val="20"/>
          <w:szCs w:val="20"/>
          <w:color w:val="auto"/>
        </w:rPr>
      </w:pPr>
      <w:r>
        <w:rPr>
          <w:rFonts w:ascii="Times New Roman" w:cs="Times New Roman" w:eastAsia="Times New Roman" w:hAnsi="Times New Roman"/>
          <w:sz w:val="18"/>
          <w:szCs w:val="18"/>
          <w:color w:val="auto"/>
        </w:rPr>
        <w:t>While we have a distributed workforce and our employees are accustomed to working remotely or working with other remote employees, our workforce has not historically been fully remote. Additionally, prior to the COVID-19 pandemic, our employees traveled frequently to establish and maintain relationships with one another and with our customers, partners and investors, and some of our business processes assume that employees can review and sign documents in person. We have adopted a hybrid work environment that may also present operational challenges and risks, including reduced productivity, lower employee retention, and increased compliance and tax obligations in a number of jurisdictions. We have informed our employees that they may continue to elect to work remotely until conditions improve, even if their office reopens, and we continue to host large events virtually rather than in person and to travel less frequently for business than we did prior to the pandemic. Although we continue to monitor the situation and may adjust our current policies as more information and guidance become available, reducing travel and in-person business interactions on a long-term basis could negatively impact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marketing efforts, our ability to enter into customer contracts in a timely manner, our international expansion efforts, our ability to recruit employees across the organization and, in sales and marketing, in particular, which could have longer term effects on our sales pipeline, or create operational or other challenges as our workforce remains predominantly remote, any of which could harm our business. For example, remote and hybrid work arrangements may result in decreased employee productivity and morale with increased regretted employee attrition. In addition, our management team has spent, and may continue to spend, significant time, attention and resources monitoring the COVID-19 pandemic and associated global economic uncertainty and seeking to manage its effects on our business and workforce.</w:t>
      </w:r>
    </w:p>
    <w:p>
      <w:pPr>
        <w:spacing w:after="0" w:line="133"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In particular, as the COVID-19 pandemic has continued and the most stringent limitations on the conduct of in-person business have been lifted, many state, local and foreign governments have continued to put in place, and may in the future re-institute or put in place travel restrictions, limitations on indoor occupancy, masking and/or vaccination requirements and similar government orders and restrictions in order to control the spread of the disease. The COVID-19 pandemic, including actions by governmental and private actors in response to the pandemic, including vaccination mandates, could adversely affect workforces, customers, economies and financial markets globally, potentially leading to a sustained economic downturn. While it is not possible at this time to predict the duration and extent of the impact that the COVID-19 pandemic could have on worldwide economic activity and our business in particular, the continued spread of COVID-19, including known variants and other potentially more contagious variants of the SARS-CoV-2 virus, the measures taken by governments, businesses and other organizations in response to COVID-19 and the associated global economic uncertainty could materially and adversely impact our business, financial condition or results of operations.</w:t>
      </w:r>
    </w:p>
    <w:p>
      <w:pPr>
        <w:spacing w:after="0" w:line="21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ultimate impact to our results of operations will depend to a large extent on currently unknowable developments, including the length of time the disruption and uncertainty caused by COVID-19 will continue, which will, in turn, depend on, among other things, the actions taken by authorities and other entities to contain COVID-19 or treat its impact, including the impact of any reopening plans, additional closures and spikes or surges in COVID-19 infection, including as a result of new variants of the SARS-CoV-2 virus, and individuals’ and companies’ risk tolerance regarding health matters going forward, all of which are beyond our control. For example, vaccine mandates have been announced in certain jurisdictions in which our business operates and the implementation of additional vaccination requirements in jurisdictions in which our business operates, could result in attrition, including attrition of critically skilled labor and difficulty securing future labor needs, which could materially and adversely affect our results of operations, financial condition and cash flows. These potential impacts, while uncertain, could harm our business and adversely affect our operating results. In addition, to the extent the COVID-19 pandemic adversely affects our business and results of operations, it may also have the effect of heightening many of the other risks and uncertainties described in this “Risk Factors” section which may materially and adversely affect our business and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makes it difficult to predict our future results of operations.</w:t>
      </w:r>
    </w:p>
    <w:p>
      <w:pPr>
        <w:spacing w:after="0" w:line="175"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We were incorporated in 2007 and introduced MongoDB Community Server in 2009, MongoDB Enterprise Advanced in 2013 and MongoDB Atlas in 2016. As a result of our limited operating history, our ability to forecast our future results of operations is limited and subject to a number of uncertainties, including our ability to accurately predict future growth. Our historical revenue growth has been inconsistent and should not be considered indicative of our future performance. Further, in future periods, our revenue growth could slow or our revenue could decline for a number of reasons, including slowing adoption or usage of MongoDB or demand for our subscription offerings and related services, reduced conversion of users of our free offerings to paying customers, increasing competition, changes to technology or our intellectual property or our failure, for any reason, to continue to capitalize on growth opportunities. We have also encountered and will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as our costs increase, we may not be able to generate sufficient revenue to achieve or sustain profitability.</w:t>
      </w:r>
    </w:p>
    <w:p>
      <w:pPr>
        <w:spacing w:after="0" w:line="175"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have incurred net losses in each period since our inception and we had an accumulated deficit of $1.5 billion as of October 31, 2022. We expect our operating expenses to increase significantly as we increase our sales and marketing efforts, continue to invest in research and development and expand our operations and infrastructure, both domestically and internationally. In particular, we have entered into non-cancelable multi-year capacity commitments with respect to cloud infrastructure services with certain third-party cloud providers, which require us to pay for such capacity irrespective of actual usage. In addition, we have incurred and expect to continue to incur significant additional legal, accounting and other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expenses related to being a public company. While our revenue has grown in recent years, if our revenue declines or fails to grow at a rate faster than these increases in our operating expenses, we will not be able to achieve and maintain profitability in future periods. As a result, we expect to continue to generate losses. We cannot assure you that we will achieve profitability in the future or that, if we do become profitable, we will be able to sustain profitability.</w:t>
      </w:r>
    </w:p>
    <w:p>
      <w:pPr>
        <w:spacing w:after="0" w:line="12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derive substantially all of our revenue from our database platform, failure of this platform to satisfy customer demands could adversely affect our business, results of operations, financial condition and growth prospects.</w:t>
      </w:r>
    </w:p>
    <w:p>
      <w:pPr>
        <w:spacing w:after="0" w:line="105"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We derive and expect to continue to derive substantially all of our revenue from our database platform. As such, market adoption of our database platform is critical to our continued success. Demand for our platform is affected by a number of factors, many of which are beyond our control, including economic downturns, continued market acceptance by developers, the availability of our Community Server offering, the continued volume, variety and velocity of data that is generated, timing of development and release of new offerings by our competitors, technological change and the rate of growth in our market. If we are unable to continue to meet the demands of our customers and the developer community, our business operations, financial results and growth prospects will be materially and adversely affected.</w:t>
      </w:r>
    </w:p>
    <w:p>
      <w:pPr>
        <w:spacing w:after="0" w:line="129" w:lineRule="exact"/>
        <w:rPr>
          <w:sz w:val="20"/>
          <w:szCs w:val="20"/>
          <w:color w:val="auto"/>
        </w:rPr>
      </w:pPr>
    </w:p>
    <w:p>
      <w:pPr>
        <w:jc w:val="both"/>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spacing w:after="0" w:line="202"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Our subscription offerings are term-based and a majority of our subscription contracts were one year in duration in fiscal year 2022.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In addition, the growth of our business depends in part on our customers expanding their use of subscription offerings and related services, including increasing their usage and workloads with us. Historically, some of our customers have elected not to renew their subscriptions with us or have not expanded their usage of our services over time for a variety of reasons, including as a result of changes in their strategic IT priorities, budgets, costs and, in some instances, due to competing solutions. Our retention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herein. As a result, we cannot assure you that customers will renew subscriptions or increase their usage of our software and related services. If our customers do not renew their subscriptions or renew on less favorable terms, or if we are unable to expand our customers’ usage of our software, our business, results of operations and financial condition could be materially and adversely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face significant competition and expect that intense competition will continue.</w:t>
      </w:r>
    </w:p>
    <w:p>
      <w:pPr>
        <w:spacing w:after="0" w:line="1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database software market, for both relational and non-relational database products, is highly competitive, rapidly evolving and others may put out competing databases or sell services in connection with existing open source or source available databases, including ours. The principal competitive factors in our market include: mindshare with software developers and information technology (“IT”) executives; product capabilities, including flexibility, scalability, performance, security and reliability; flexible deployment options, including fully managed as a service or self-managed in the cloud, on-premise or in a hybrid environment and ease of deployment; breadth of use cases supported; ease of integration with existing IT infrastructure; robustness of professional services and customer support; price and total cost of ownership; adherence to industry standards and certifications; size of customer base and level of user adoption; strength of sales and marketing efforts; and brand awareness and reputation. If we fail to compete effectively with respect to any of these competitive factors, we may fail to attract new customers or lose or fail to renew existing customers, which would cause our business and results of operations to suffer.</w:t>
      </w:r>
    </w:p>
    <w:p>
      <w:pPr>
        <w:spacing w:after="0" w:line="134" w:lineRule="exact"/>
        <w:rPr>
          <w:sz w:val="20"/>
          <w:szCs w:val="20"/>
          <w:color w:val="auto"/>
        </w:rPr>
      </w:pPr>
    </w:p>
    <w:p>
      <w:pPr>
        <w:jc w:val="both"/>
        <w:ind w:right="260" w:firstLine="486"/>
        <w:spacing w:after="0" w:line="289" w:lineRule="auto"/>
        <w:rPr>
          <w:sz w:val="20"/>
          <w:szCs w:val="20"/>
          <w:color w:val="auto"/>
        </w:rPr>
      </w:pPr>
      <w:r>
        <w:rPr>
          <w:rFonts w:ascii="Times New Roman" w:cs="Times New Roman" w:eastAsia="Times New Roman" w:hAnsi="Times New Roman"/>
          <w:sz w:val="17"/>
          <w:szCs w:val="17"/>
          <w:color w:val="auto"/>
        </w:rPr>
        <w:t>We primarily compete with established legacy database software providers such as IBM, Microsoft, Oracle and other similar companies. We also compete with public cloud providers such as Amazon Web Services (“AWS”), Google Cloud Platform (“GCP”) and Microsoft Azure that offer database functionality and non-relational database software providers. In addition, other large software and internet companies may seek to enter our market.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Some of our actual and potential competitors, in particular the legacy relational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or may be able to devote greater resources than we can to the development, promotion, and sale of their products and services. As we introduce new technologies and product enhancements, such as the ones we announced during fiscal year 2022, and as our existing markets see more market entry, we expect competition to intensify in the future. In addition, some of our larger competitors have substantially broader offerings and can bundle competing products with hardware or other software offerings, including their cloud computing and customer relationship management platforms. As a result, customers may choose a bundled offering from our competitors, even if individual products have more limited functionality compared to our software. These larger competitors are also often in a better position to withstand any significant reduction in technology spending and will therefore not be as susceptible to competition or economic downturns. In addition, some competitors may offer products or services that address one or a limited number of functions at lower prices, with greater depth than our products or in geographies where we do not operate.</w:t>
      </w:r>
    </w:p>
    <w:p>
      <w:pPr>
        <w:spacing w:after="0" w:line="133"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Furthermore, our actual and potential competitors may establish cooperative relationships among themselves or with third parties that may further enhance their resources and offerings in the markets we address. In addition, third parties with greater available resources may acquire current or potential competitors.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 of other opportunities more readily or develop and expand their offerings more quickly than we do. For all of these reasons, we may not be able to compete successfully against our current or future competitors.</w:t>
      </w:r>
    </w:p>
    <w:p>
      <w:pPr>
        <w:spacing w:after="0" w:line="129"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expand our sales and marketing organization, we may be unable to add new customers or increase sales to our existing customers.</w:t>
      </w:r>
    </w:p>
    <w:p>
      <w:pPr>
        <w:spacing w:after="0" w:line="105"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Increasing our customer base and achieving broader market acceptance of our subscription offerings and related services will depend, to a significant extent, on our ability to effectively expand our sales and marketing operations and activities. We are substantially dependent on our direct sales force and our marketing efforts to obtain new customers. We plan to continue to expand our sales and marketing organization both domestically and internationally. We believe that there is significant competition for experienced sales professionals with the sales skills and technical knowledge that we require, particularly as we continue to target larger enterprises. Our ability to achieve significant revenue growth in the future will depend, in part, on our success in recruiting, training and retaining a sufficient number of experienced sales professionals, especially in highly competitive markets. New hires require significant training and time before they achieve full productivity, particularly in new or developing sales territories. Our recent hires and planned hires may not become as productive as quickly as we expect, including as a result of the COVID-19 pandemic and remote work arrangements, and we may be unable to hire or retain sufficient numbers of qualified individuals in the future in the markets where we do business, particularly during the current period of heightened employee attrition in the United States and other countries. Because of our limited operating history, we cannot predict whether, or to what extent, our sales will increase as we expand our sales and marketing organization or how long it will take for sales personnel to become productive. Our business and results of operations could be harmed if the expansion of our sales and marketing organization does not generate a significant increase in revenue.</w:t>
      </w:r>
    </w:p>
    <w:p>
      <w:pPr>
        <w:spacing w:after="0" w:line="1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adoption strategies include offering Community Server and a free tier of MongoDB Atlas and we may not be able to realize the intended benefits of these strategies.</w:t>
      </w:r>
    </w:p>
    <w:p>
      <w:pPr>
        <w:spacing w:after="0" w:line="10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To encourage developer usage, familiarity and adoption of our platform, we offer Community Server as a “freemium” offering. Community Server is a free-to-download version of our database that does not include all of the features of our commercial platform. We also offer a free tier of MongoDB Atlas in order to accelerate adoption, promote usage and drive brand and product awareness. We do not know if we will be able to convert these users to paying customers of our platform. Our marketing strategy also depends in part on persuading users who use one of these free versions to convince others within their organization to purchase and deploy our platform. To the extent that users of Community Server or our free tier of MongoDB Atlas do not become, or lead others to become, paying customers, we will not realize the intended benefits of these strategies and our ability to grow our business or achieve profitability may be harmed.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decision to offer Community Server under the SSPL may harm the adoption of Community Server.</w:t>
      </w:r>
    </w:p>
    <w:p>
      <w:pPr>
        <w:spacing w:after="0" w:line="175"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On October 16, 2018, we announced that we were changing the license for Community Server from the AGPL to a new software license, the SSPL. The SSPL builds on the spirit of the AGPL, but includes an explicit condition that any organization attempting to exploit MongoDB as a service must open source the software that it uses to offer such service. Since the SSPL is a new license and has not been interpreted by any court, developers and the companies they work for may be hesitant to adopt Community Server because of uncertainty around the provisions of the SSPL and how it will be interpreted and enforced. In addition, the SSPL has not been approved by the Open Source Initiative, nor has it been included in the Free Software Foundation’s list of free software licenses. This may negatively impact the adoption of Community Server, which in turn could lead to reduced brand and product awareness, ultimately leading to a decline in paying customers and our ability to grow our business or achieve profitability may be harmed.</w:t>
      </w:r>
    </w:p>
    <w:p>
      <w:pPr>
        <w:spacing w:after="0" w:line="13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invested significantly in our MongoDB Atlas offering and, if we fail to continue to attract new MongoDB Atlas customers or retain and expand within existing customers, our business, results of operations and financial condition could be harmed.</w:t>
      </w:r>
    </w:p>
    <w:p>
      <w:pPr>
        <w:spacing w:after="0" w:line="10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introduced MongoDB Atlas in June 2016 and we have directed and intend to continue to direct a significant portion of our financial and operating resources to develop and grow MongoDB Atlas, including offering a free tier of MongoDB Atlas to generate developer usage and awareness. Although MongoDB Atlas has seen rapid adoption since its commercial launch, we cannot guarantee that rate of adoption will continue at the same pace or at all. If we are unsuccessful in our efforts to increase customer adoption of MongoDB Atlas or retain and expand within existing customers, or if we do so in a way that is not profitable or fails to compete successfully against our current or future competitors, our business, results of operations and financial condition could be harmed.</w:t>
      </w:r>
    </w:p>
    <w:p>
      <w:pPr>
        <w:spacing w:after="0" w:line="210"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negatively impacted if the AGPL, the SSPL and other open source licenses under which some of our software is licensed are not enforceable.</w:t>
      </w:r>
    </w:p>
    <w:p>
      <w:pPr>
        <w:spacing w:after="0" w:line="105"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The versions of Community Server released prior to October 16, 2018 are licensed under the AGPL. This license states that any program licensed under it may be copied, modified and distributed provided certain conditions are met. On October 16, 2018, we issued a new software license, the SSPL, for all versions of Community Server released after that date. The SSPL builds on the spirit of the AGPL, but includes an explicit condition that any organization using Community Server to offer MongoDB as a third-party service must open source the software that it uses to offer such service. It is possible that a court would hold the SSPL or AGPL to be unenforceable. If a court held either license or certain aspects of this license to be unenforceable, others may be able to use our software to compete with us in the marketplace in a manner not subject to the restrictions set forth in the SSPL or AGPL.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licensing model for Community Server could negatively affect our ability to monetize and protect our intellectual property rights.</w:t>
      </w:r>
    </w:p>
    <w:p>
      <w:pPr>
        <w:spacing w:after="0" w:line="17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make our Community Server offering available under either the SSPL (for versions released after October 16, 2018) or the AGPL (for versions released prior to October 16, 2018). Community Server is a free-to-download version of our database that includes the core functionality developers need to get started with MongoDB but not all of the features of our commercial platform. Both the SSPL and the AGPL grant licensees broad freedom to view, use, copy, modify and redistribute the source code of Community Server provided certain conditions are met. Some commercial enterprises consider SSPL- or AGPL-licensed software to be unsuitable for commercial use because of the “copyleft” requirements of those licenses. However, some of those same commercial enterprises do not have the same concerns regarding using the software under the SSPL or AGPL for internal purposes. As a result, these commercial enterprises may never convert to paying customers of our platform. Anyone can obtain a free copy of Community Server from the Internet and we do not know who all of our SSPL or AGPL licensees are. Competitors could develop modifications of our software to compete with us in the marketplace. We do not have visibility into how our software is being used by licensees, so our ability to detect violations of the SSPL or AGPL is extremely limited.</w:t>
      </w:r>
    </w:p>
    <w:p>
      <w:pPr>
        <w:spacing w:after="0" w:line="140"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addition to Community Server, we contribute other source code to open source projects under open source licenses and release internal software projects under open source licenses and anticipate doing so in the future. Because the source code for Community Server and any other software we contribute to open source projects or distribute under open source licenses is publicly available, our ability to monetize and protect our intellectual property rights with respect to such source code may be limited or, in some cases, lost entirely.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incorporates third-party open source software, which could negatively affect our ability to sell our products and subject us to possible litigation.</w:t>
      </w:r>
    </w:p>
    <w:p>
      <w:pPr>
        <w:spacing w:after="0" w:line="105"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Our software includes third-party open source software and we intend to continue to incorporate third-party open source software in our products in the future. There is a risk that the use of third-party open source software in our software could impose conditions or restrictions on our ability to monetize our software. Although we monitor the incorporation of open source software into our products to avoid such restrictions, we cannot be certain that we have not incorporated open source software in our products or platform in a manner that is inconsistent with our licensing model. Certain open source projects also include other open source software and there is a risk that those dependent open source libraries may be subject to inconsistent licensing terms. This could create further uncertainties as to the governing terms for the open source software we incorporate.</w:t>
      </w:r>
    </w:p>
    <w:p>
      <w:pPr>
        <w:spacing w:after="0" w:line="133"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In addition, the terms of certain open source licenses to which we are subject have not been interpreted by U.S. or foreign courts and there is a risk that open source software licenses could be construed in a manner that imposes unanticipated restrictions or conditions on our use of such software. Additionally, we may from time to time face claims from third parties claiming ownership of, or demanding release of, the software or derivative works that we developed using such open source software, which could include proprietary portions of our source code, or otherwise seeking to enforce the terms of the open source licenses. These claims could result in litigation and could require us to make those proprietary portions of our source code freely available, purchase a costly license or cease offering the implicated software or services unless and until we can re-engineer them to avoid infringement. This re-engineering process could require significant additional research and development resources and we may not be able to complete it successfully.</w:t>
      </w:r>
    </w:p>
    <w:p>
      <w:pPr>
        <w:spacing w:after="0" w:line="135"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In addition to risks related to license requirements, the use of third-party open source software can lead to greater risks than the use of third-party commercial software, as open source licensors generally do not provide warranties. In addition, licensors of open source software included in our offerings may, from time to time, modify the terms of their license agreements in such a manner that those license terms may become incompatible with our licensing model and thus could, among other consequences, prevent us from incorporating the software subject to the modified license.</w:t>
      </w:r>
    </w:p>
    <w:p>
      <w:pPr>
        <w:spacing w:after="0" w:line="126"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Any of these risks could be difficult to eliminate or manage and if not addressed, could have a negative effect on our business, results of operations and financial condition.</w:t>
      </w:r>
    </w:p>
    <w:p>
      <w:pPr>
        <w:spacing w:after="0" w:line="10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introduce new features or services successfully and to make enhancements to our software or services, our business and results of operations could be adversely affected.</w:t>
      </w:r>
    </w:p>
    <w:p>
      <w:pPr>
        <w:spacing w:after="0" w:line="10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ability to attract new customers and increase revenue from existing customers depends in part on our ability to enhance and improve our software and to introduce new features and services. To grow our business and remain competitive, we must continue to enhance our software and develop features that reflect the constantly evolving nature of technology and our customers’ needs. The success of new products, enhancements and developments depends on several factors: our anticipation of market changes and demands for product features, including timely product introduction and conclusion, sufficient customer demand, cost effectiveness in our product development efforts and the proliferation of new technologies that are able to deliver competitive products and services at lower prices, more efficiently, more conveniently or more securely. In addition, because our software is designed to operate with a variety of systems, applications, data and devices, we will need to continuously modify and enhance our software to keep pace with changes in such systems. We may not be successful in developing these modifications and enhancements. Furthermore, the addition of features and solutions to our software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customer adoption of new features. Such uncertainty limits our ability to forecast our future results of operations and subjects us to a number of challenges, including our ability to plan for and model future growth. If we cannot address such uncertainties and successfully develop new features, enhance our software or otherwise overcome technological challenges and competing technologies, our business and results of operations could be adversely affected.</w:t>
      </w:r>
    </w:p>
    <w:p>
      <w:pPr>
        <w:spacing w:after="0" w:line="133"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also offer professional services including consulting and training and must continually adapt to assist our customers in deploying our software in accordance with their specific IT strategies. If we cannot introduce new services or enhance our existing services to keep pace with changes in our customers’ deployment strategies, we may not be able to attract new customers, retain existing customers and expand their use of our software or secure renewal contracts, which are important for the future of our business.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highly dependent on our ability to penetrate the existing market for database products, as well as the growth and expansion of the market for database products.</w:t>
      </w:r>
    </w:p>
    <w:p>
      <w:pPr>
        <w:spacing w:after="0" w:line="10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future success will depend in large part on our ability to service existing demand, as well as the continued growth and expansion of the database market. It is difficult to predict demand for our offerings, the conversion from one to the other and related services and the size, growth rate and expansion of these markets, the entry of competitive products or the success of existing competitive products. Our ability to penetrate the existing database market and any expansion of the market depends on a number of factors, including cost, performance and perceived value associated with our subscription offerings, as well as our customers’ willingness to adopt an alternative approach to relational and other database products available in the market. Furthermore, many of our potential customers have made significant investments in relational databases, such as offerings from Oracle, and may be unwilling to invest in new products. If the market for databases fails to grow at the rate that we anticipate or decreases in size or we are not successful in penetrating the existing market, our business would be harmed.</w:t>
      </w:r>
    </w:p>
    <w:p>
      <w:pPr>
        <w:spacing w:after="0" w:line="13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quarterly results may fluctuate significantly and if we fail to meet the expectations of analysts or investors, our stock price could decline substantially.</w:t>
      </w:r>
    </w:p>
    <w:p>
      <w:pPr>
        <w:spacing w:after="0" w:line="105"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Our results of operations, including our revenue, operating expenses and cash flows may vary significantly in the future as a result of a variety of factors, many of which are outside of our control, may be difficult to predict and may or may not fully reflect the underlying performance of our business and period-to-period comparisons of our operating results may not be meaningful. Some of the factors that may cause our results of operations to fluctuate from quarter to quarter include:</w:t>
      </w:r>
    </w:p>
    <w:p>
      <w:pPr>
        <w:spacing w:after="0" w:line="12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actual and anticipated growth rates of our revenue, customers and other key operating metrics;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announcements, pricing changes and other actions by competitors;</w:t>
      </w:r>
    </w:p>
    <w:p>
      <w:pPr>
        <w:spacing w:after="0" w:line="11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revenue and associated costs attributable to subscriptions for our MongoDB Enterprise Advanced and MongoDB Atlas offerings (such as our non-cancelable multi-year cloud infrastructure capacity commitments, which require us to pay for such capacity irrespective of actual usage) and professional services, as such relative mix may impact our gross margins and operating income;</w:t>
      </w:r>
    </w:p>
    <w:p>
      <w:pPr>
        <w:spacing w:after="0" w:line="6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revenue and associated costs attributable to sales where subscriptions are bundled with services versus sold on a standalone basis and sales by us and our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expand our sales and marketing capabilities and teams;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customers and expand their usage of our software, particularly for our largest customers;</w:t>
      </w:r>
    </w:p>
    <w:p>
      <w:pPr>
        <w:spacing w:after="0" w:line="11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shelter-in-place, occupancy limitations or similar orders, private travel limitation, or business disruption in regions affecting our operations, stemming from actual, imminent or perceived outbreak of contagious disease, including the COVID-19 pandemic;</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enforce the AGPL or SSPL;</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closing sales, including the timing of renewals, which may result in revenue being pushed into the next quarter, particularly because a large portion of our sales occur toward the end of each quarter;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revenue attributable to larger transactions as opposed to smaller transactions;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budgeting cycles and purchasing decisions;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and potential customers opting for alternative products, including developing their own in-house solutions, or opting to use only the free version of our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products, features and services offered by us and our competitors or any other change in the competitive dynamics of our industry, including consolidation among competitors, customers or strategic partners;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software;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the level of service uptime and performance required by our customers;</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collectability of receivables from customers and resellers, which may be hindered or delayed if these customers or resellers experience financial distress;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and economic conditions, in domestic or international markets;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as well as economic conditions specifically affecting industries in which our customers participate, including those conditions related to the COVID-19 pandemic;</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 and other tax determinations by authorities in the jurisdictions in which we conduct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stock-based compensation expense.</w:t>
      </w:r>
    </w:p>
    <w:p>
      <w:pPr>
        <w:spacing w:after="0" w:line="158" w:lineRule="exact"/>
        <w:rPr>
          <w:sz w:val="20"/>
          <w:szCs w:val="20"/>
          <w:color w:val="auto"/>
        </w:rPr>
      </w:pPr>
    </w:p>
    <w:p>
      <w:pPr>
        <w:ind w:firstLine="486"/>
        <w:spacing w:after="0" w:line="236" w:lineRule="auto"/>
        <w:rPr>
          <w:sz w:val="20"/>
          <w:szCs w:val="20"/>
          <w:color w:val="auto"/>
        </w:rPr>
      </w:pPr>
      <w:r>
        <w:rPr>
          <w:rFonts w:ascii="Times New Roman" w:cs="Times New Roman" w:eastAsia="Times New Roman" w:hAnsi="Times New Roman"/>
          <w:sz w:val="18"/>
          <w:szCs w:val="18"/>
          <w:color w:val="auto"/>
        </w:rPr>
        <w:t>The occurrence of one or more of the foregoing and other factors may cause our results of operations to vary significantly and be materially and adversely affected. For example, fluctuations in our quarterly operating results and the price of our common stock may be particularly pronounced in the current economic environment due to the uncertainty caused by and the unprecedented nature of the COVID-19 pandemic, the ongoing geopolitical instability resulting from the conflict between Russia and Ukraine, severely diminished liquidity and credit availability, declines in consumer confidence, declines in economic growth, increases in unemployment rates, increases in inflation rates, higher interest rates and uncertainty about economic stability. In response to the concerns over inflation risk, the U.S. Federal Reserve recently raised interest rates multiple times, and signaled that they expect additional rate increases throughout the year. It is especially difficult to predict the impact of such events on the global economic markets, which have been and will continue to be highly dependent upon the actions of governments, businesses, and other enterprises in response to the pandemic and macroeconomic events, and the effectiveness of those actions. Any of these factors or any combination thereof could materially and adversely affect our business, results of operations and financial condition. For instance, as a result of adverse macroeconomic conditions, we experienced slower than historical growth of our existing Atlas applications in the three and nine months ended October 31, 2022. We also intend to continue to invest to grow our business and to take advantage of our market opportunity. Accordingly, historical patterns and our results of operations in any one quarter may not be meaningful and should not be relied upon as indicative of future performance. Additionally, if our quarterly results of operations fall below the expectations of investors or securities analysts who follow our stock, the price of our common stock could decline substantially and we could face costly lawsuits, including securities class action suits.</w:t>
      </w:r>
    </w:p>
    <w:p>
      <w:pPr>
        <w:spacing w:after="0" w:line="21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121"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We have recently experienced rapid growth in our business, operations and employee headcount. For fiscal years 2022, 2021 and 2020, our total revenue was $873.8 million, $590.4 million and $421.7 million, respectively, representing a 48% and 40% growth rate, respectively. We have also significantly increased the size of our customer base from over 3,200 customers as of January 31, 2017 to over 33,000 customers as of January 31, 2022, and we grew from 713 employees as of January 31, 2017 to 3,544 employees as of January 31, 2022. We expect to continue to expand our operations and employee headcount in the near term. Our success will depend in part on our ability to continue to grow and to manage this growth, domestically and internationally, effectively.</w:t>
      </w:r>
    </w:p>
    <w:p>
      <w:pPr>
        <w:spacing w:after="0" w:line="133"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current and anticipated growth is expected to place a significant strain on our management, administrative, operational and financial infrastructure. We will need to continue to improve our operational, financial and management processes and controls and our reporting syst ems and procedures to manage the expected growth of our operations and personnel, which will require significant expenditures and allocation of valuable management and employee resources. If we fail to implement these infrastructure improvements effectively, our ability to ensure the uninterrupted operation of key business systems and comply with the rules and regulations that are applicable to public reporting companies will be impaired. Further, if we do not effectively manage the growth of our business and operations, the quality of our products and services could suffer, the preservation of our culture, values and entrepreneurial environment may change and we may not be able to adequately address competitive challenges. This could impair our ability to attract new customers, retain existing customers and expand their use of our products and services, all of which would adversely affect our brand, overall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or those of our service providers, are breached or unauthorized access to personal data or otherwise private or proprietary data is otherwise obtained, our software may be perceived as not being secure, customers may reduce or terminate their use of our software and we may face litigation, regulatory investigations, significant liability and reputational damage.</w:t>
      </w:r>
    </w:p>
    <w:p>
      <w:pPr>
        <w:spacing w:after="0" w:line="107" w:lineRule="exact"/>
        <w:rPr>
          <w:sz w:val="20"/>
          <w:szCs w:val="20"/>
          <w:color w:val="auto"/>
        </w:rPr>
      </w:pPr>
    </w:p>
    <w:p>
      <w:pPr>
        <w:ind w:right="40" w:firstLine="486"/>
        <w:spacing w:after="0" w:line="238" w:lineRule="auto"/>
        <w:rPr>
          <w:sz w:val="20"/>
          <w:szCs w:val="20"/>
          <w:color w:val="auto"/>
        </w:rPr>
      </w:pPr>
      <w:r>
        <w:rPr>
          <w:rFonts w:ascii="Times New Roman" w:cs="Times New Roman" w:eastAsia="Times New Roman" w:hAnsi="Times New Roman"/>
          <w:sz w:val="18"/>
          <w:szCs w:val="18"/>
          <w:color w:val="auto"/>
        </w:rPr>
        <w:t>In the ordinary course of our business, we collect, receive, store, generate, use, transfer, disclose, make accessible, protect, secure, dispose of, transmit, share, and otherwise process sensitive information, including personal data and other confidential information of our employees and our customers, confidential business data, trade secrets, and intellectual property. We collect sensitive information from individuals located both in the United States and abroad and may store or process such information outside of the country in which it was collected. We use third-party service providers and subprocessors to help us deliver services to our customers. These third-party service providers and subprocessors may store or process personal data and/or other confidential information of our employees and our customers.</w:t>
      </w:r>
    </w:p>
    <w:p>
      <w:pPr>
        <w:spacing w:after="0" w:line="213" w:lineRule="exact"/>
        <w:rPr>
          <w:sz w:val="20"/>
          <w:szCs w:val="20"/>
          <w:color w:val="auto"/>
        </w:rPr>
      </w:pPr>
    </w:p>
    <w:p>
      <w:pPr>
        <w:ind w:firstLine="486"/>
        <w:spacing w:after="0" w:line="235" w:lineRule="auto"/>
        <w:rPr>
          <w:sz w:val="20"/>
          <w:szCs w:val="20"/>
          <w:color w:val="auto"/>
        </w:rPr>
      </w:pPr>
      <w:r>
        <w:rPr>
          <w:rFonts w:ascii="Times New Roman" w:cs="Times New Roman" w:eastAsia="Times New Roman" w:hAnsi="Times New Roman"/>
          <w:sz w:val="18"/>
          <w:szCs w:val="18"/>
          <w:color w:val="auto"/>
        </w:rPr>
        <w:t>Cyberattacks, malicious internet-based activity, and online and offline fraud, and other similar activities threaten the confidentiality, integrity and availability of our sensitive data and information technology systems, and those of the third parties upon which we rely to help deliver services to our customers. Such threats are prevalent and are becoming increasingly difficult to detect. These threats come from a variety of sources, including traditional computer “hackers,” threat actors, “hacktivists,” organized criminal threat actors, personnel (such as through theft or misuse), sophisticated nation-states, and nation-state-supported actors. In addition, sophisticated nation-state and nation-state supported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whom we rely may be vulnerable to a heightened risk of these attacks, including retaliatory cyberattacks, that could materially disrupt our systems, operations and supply chain.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Ransomware attacks, including by organized criminal threat actors, nation-states, and nation-state-supported actors, are becoming increasingly prevalent and severe – particularly for companies like ours that are engaged in critical infrastructure or manufacturing –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 The COVID -19 pandemic and our remote workforce pose increased risks to our information technology systems and data, as more of our employees work from home, utilizing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Additionally, risks related to cybersecurity will increase as we continue to grow the scale and functionality of our business and process, store, and transit increasingly large amounts of our customers’ information and data, which may include proprietary, confidential or personal data.</w:t>
      </w:r>
    </w:p>
    <w:p>
      <w:pPr>
        <w:spacing w:after="0" w:line="225"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security incident or other interruption could disrupt our ability (and that of third parties upon whom we rely) to provide our platform, products, and services.</w:t>
      </w:r>
    </w:p>
    <w:p>
      <w:pPr>
        <w:spacing w:after="0" w:line="126"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122"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have not always been able in the past and may be unable in the future to detect vulnerabilities in our information technology systems (including our products) because such threats and techniques change frequently, are often sophisticated in nature, and may not be detected until after a security incident has occurred. For example, industry publications have reported ransomware attacks on MongoDB instances. We believe these attacks were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successful due to the failure by users of our Community Server offering to properly turn on the recommended security settings when running these instances. Despite our efforts to identify and remediate vulnerabilities, if any, in our information technology systems (including our products), our efforts may not be successful. Further, we may experience delays in developing and deploying remedial measures designed to address any such identified vulnerabilities.</w:t>
      </w:r>
    </w:p>
    <w:p>
      <w:pPr>
        <w:spacing w:after="0" w:line="126"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of security incidents. Such disclosures are costly, and the disclosures or the failure to comply with such requirements could lead to adverse consequences.</w:t>
      </w:r>
    </w:p>
    <w:p>
      <w:pPr>
        <w:spacing w:after="0" w:line="108"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platform, products, and services, deter new customers from using our platform, products, and services, and negatively impact our ability to grow and operate our business.</w:t>
      </w:r>
    </w:p>
    <w:p>
      <w:pPr>
        <w:spacing w:after="0" w:line="135"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spacing w:after="0" w:line="108"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While we maintain general liability insurance coverage and coverage for errors or omissions, we cannot assure you that such coverage will be adequate or otherwise protect us from liabilities or damages with respect to claims alleging compromises of personal or other confidential data or otherwise relating to privacy or data security matters.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cycle may be long and is unpredictable and our sales efforts require considerable time and expense.</w:t>
      </w:r>
    </w:p>
    <w:p>
      <w:pPr>
        <w:spacing w:after="0" w:line="17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timing of our sales and related revenue recognition is difficult to predict because of the length and unpredictability of the sales cycle for our offerings. We are often required to spend significant time and resources to better educate and familiarize potential customers with the value proposition of paying for our products and services. The length of our sales cycle, from initial evaluation to payment for our offerings is generally three to nine months, but can vary substantially from customer to customer or from application to application within a given customer. As the purchase and deployment of our products can be dependent upon customer initiatives, our sales cycle can extend to more than a year for some customers. Customers often view a subscription to our products and services as a strategic decision and significant investment and, as a result, frequently require considerable time to evaluate, test and qualify our product offering prior to entering into or expanding a subscription.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13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force, in particular new sales people as we increase the size of our sales force;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discretionary nature of purchasing and budget cycles and decisions;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obstacles placed by a customer’s procurement process;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convert users of our free offerings to paying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and other factors impacting customer budgets;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evaluation of competing products during the purchasing process;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customer demands.</w:t>
      </w:r>
    </w:p>
    <w:p>
      <w:pPr>
        <w:spacing w:after="0" w:line="17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Given these factors, it is difficult to predict whether and when a sale will be completed and when revenue from a sale will be recognized, particularly the timing of revenue recognition related to the term license portion of our subscription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revenue. This could impact the variability and comparability of our quarterly revenue results and may have an adverse effect on our business, results of operations and financial condition.</w:t>
      </w:r>
    </w:p>
    <w:p>
      <w:pPr>
        <w:spacing w:after="0" w:line="10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history with our subscription offerings and pricing model and if, in the future, we are forced to reduce prices for our subscription offerings, our revenue and results of operations will be harmed.</w:t>
      </w:r>
    </w:p>
    <w:p>
      <w:pPr>
        <w:spacing w:after="0" w:line="105"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We have limited experience with respect to determining the optimal prices for our subscription offerings. As the market for databases evolves, or as new competitors introduce new products or services that compete with ours, we may be unable to attract new customers or convert users of our free offerings to paying customers on terms or based on pricing models that we have used historically. In the past, we have been able to increase our prices for our subscription offerings, but we may choose not to introduce or be unsuccessful in implementing future price increases. As a result of these and other factors, in the future we may be required to reduce our prices or be unable to increase our prices, or it may be necessary for us to increase our services or product offerings without additional revenue to remain competitive, all of which could harm our results of operations and financial condition.</w:t>
      </w:r>
    </w:p>
    <w:p>
      <w:pPr>
        <w:spacing w:after="0" w:line="12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in a manner that is cost-effective and assures customer success, we will not be able to grow our business, which would adversely affect our results of operations and financial condition.</w:t>
      </w:r>
    </w:p>
    <w:p>
      <w:pPr>
        <w:spacing w:after="0" w:line="10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order to grow our business, we must continue to attract new customers in a cost-effective manner and enable these customers to realize the benefits associated with our products and services. We may not be able to attract new customers for a variety of reasons, including as a result of their use of traditional relational and/or other database products and their internal timing, budget or other constraints that hinder their ability to migrate to or adopt our products or services.</w:t>
      </w:r>
    </w:p>
    <w:p>
      <w:pPr>
        <w:spacing w:after="0" w:line="12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Even if we do attract new customers, the cost of new customer acquisition, product implementation and ongoing customer support may prove so high as to prevent us from achieving or sustaining profitability. For example, in fiscal years 2022, 2021 and 2020, total sales and marketing expense represented 54%, 55% and 53% of revenue, respectively. We intend to continue to hire additional sales personnel, increase our marketing activities to help educate the market about the benefits of our platform and services, grow our domestic and international operations and build brand awareness. We also intend to continue to cultivate our relationships with developers through continued investment and growth of our MongoDB World, MongoDB Advocacy Hub, User Groups, MongoDB University and our partner ecosystem of global system integrators, value-added resellers and independent software vendors. If the costs of these sales and marketing efforts increase dramatically, if we do not experience a substantial increase in leverage from our partner ecosystem, or if our sales and marketing efforts do not result in substantial increases in revenue, our business, results of operations and financial condition may be adversely affected. In addition, while we expect to continue to invest in our professional services organization to accelerate our customers’ ability to adopt our products and ultimately create and expand their use of our products over time, we cannot assure you that any of these investments will lead to the cost-effective acquisition of additional customers.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 quality support, our business and reputation could suffer.</w:t>
      </w:r>
    </w:p>
    <w:p>
      <w:pPr>
        <w:spacing w:after="0" w:line="17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customers rely on our personnel for support of our software and services included in our subscription packages. High-quality support is important for the renewal and expansion of our agreements with existing customers. The importance of high-quality support will increase as we expand our business and pursue new customers. If we do not help our customers quickly resolve issues and provide effective ongoing support, our ability to sell new software to existing and new customers could suffer and our reputation and relationships with existing or potential customers could be harmed.</w:t>
      </w:r>
    </w:p>
    <w:p>
      <w:pPr>
        <w:spacing w:after="0" w:line="12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software could adversely affect our business, results of operations, financial condition and growth prospects.</w:t>
      </w:r>
    </w:p>
    <w:p>
      <w:pPr>
        <w:spacing w:after="0" w:line="10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Real or perceived errors, failures or bugs in our products could result in negative publicity,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errors, failures or bugs in our software could also impair our ability to attract new</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customers, retain existing customers or expand their use of our software, which would adversely affect our business, results of operations and financial condition.</w:t>
      </w:r>
    </w:p>
    <w:p>
      <w:pPr>
        <w:spacing w:after="0" w:line="10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rules, contractual obligations, policies and other obligations related to data privacy and information security. Our actual or perceived failure to comply with such obligations could lead to regulatory investigations or actions; litigation; fines and penalties; a disruption of our business operations; reputational harm; loss of revenue or profits; and other adverse business consequences.</w:t>
      </w:r>
    </w:p>
    <w:p>
      <w:pPr>
        <w:spacing w:after="0" w:line="20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Data privacy has become a significant issue in the United States, Europe and in many other countries and jurisdictions where we offer our software and services. In the ordinary course of business, we collect, receive, store, generate, use, transfer, disclose, make accessible, protect, secure, dispose of, transmit, share and otherwise process personal data and other sensitive information, including proprietary and confidential business data, trade secrets, and intellectual property. Our data processing activities subject us to numerous data privacy and security obligations, such as various laws, regulations, guidance, industry standards, external and internal privacy and security policies, contracts, and other obligations that govern the processing of sensitive data by us and on our behalf.</w:t>
      </w:r>
    </w:p>
    <w:p>
      <w:pPr>
        <w:spacing w:after="0" w:line="120" w:lineRule="exact"/>
        <w:rPr>
          <w:sz w:val="20"/>
          <w:szCs w:val="20"/>
          <w:color w:val="auto"/>
        </w:rPr>
      </w:pPr>
    </w:p>
    <w:p>
      <w:pPr>
        <w:ind w:right="20" w:firstLine="486"/>
        <w:spacing w:after="0" w:line="236"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and consumer protection laws (e.g., Section 5 of the Federal Trade Commission Act).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Additionally, California enacted the California Consumer Privacy Act (the “CCPA”), which introduced new requirements regarding the handling of personal data of California consumers and households. The law gives individuals the right to request access to and deletion of their personal data and the right to opt out of sales of their personal data. The CCPA also authorizes private lawsuits to recover statutory damages for certain data breaches. In addition, it is anticipated that the California Privacy Rights Acts of 2020 (“CPRA”), effective January 1, 2023, will expand the CCPA. For example, the CPRA established a new California Privacy Protection Agency to implement and enforce the CCPA (as amended), which could increase the risk of an enforcement action. The effects of the CCPA and the CPRA are potentially significant and may require us to modify our data collection or processing practices and policies and increase our compliance costs and potential liability with respect to personal information we collect about California residents. For example, in August 2022 California’s Attorney General reached a settlement with Sephora, Inc. for using third-party companies to install tracking software on Sephora's website that could, among other things, create profiles about website visitors that the California Attorney General interpreted as a "sale" of customer information given the benefits that both the software provider and Sephora received from the relationship. This action may signal a priority of enforcement and interpretation that such use of analytics products on the internet may introduce new web-based marketing complexities and compliance challenges pending upcoming CPRA regulations.</w:t>
      </w:r>
    </w:p>
    <w:p>
      <w:pPr>
        <w:spacing w:after="0" w:line="213" w:lineRule="exact"/>
        <w:rPr>
          <w:sz w:val="20"/>
          <w:szCs w:val="20"/>
          <w:color w:val="auto"/>
        </w:rPr>
      </w:pPr>
    </w:p>
    <w:p>
      <w:pPr>
        <w:ind w:right="200" w:firstLine="486"/>
        <w:spacing w:after="0" w:line="250" w:lineRule="auto"/>
        <w:rPr>
          <w:sz w:val="20"/>
          <w:szCs w:val="20"/>
          <w:color w:val="auto"/>
        </w:rPr>
      </w:pPr>
      <w:r>
        <w:rPr>
          <w:rFonts w:ascii="Times New Roman" w:cs="Times New Roman" w:eastAsia="Times New Roman" w:hAnsi="Times New Roman"/>
          <w:sz w:val="18"/>
          <w:szCs w:val="18"/>
          <w:color w:val="auto"/>
        </w:rPr>
        <w:t>Other states, such as Virginia, Colorado, Utah and Connecticut, have also passed comprehensive privacy laws, all of which become effective in 2023. In addition, data privacy and security laws have been proposed at the federal, state, and local levels in recent years, which could further complicate compliance efforts and may increase legal risk and compliance costs for us and the third parties upon whom we rely.</w:t>
      </w:r>
    </w:p>
    <w:p>
      <w:pPr>
        <w:spacing w:after="0" w:line="190" w:lineRule="exact"/>
        <w:rPr>
          <w:sz w:val="20"/>
          <w:szCs w:val="20"/>
          <w:color w:val="auto"/>
        </w:rPr>
      </w:pPr>
    </w:p>
    <w:p>
      <w:pPr>
        <w:ind w:right="180" w:firstLine="486"/>
        <w:spacing w:after="0" w:line="245" w:lineRule="auto"/>
        <w:rPr>
          <w:sz w:val="20"/>
          <w:szCs w:val="20"/>
          <w:color w:val="auto"/>
        </w:rPr>
      </w:pPr>
      <w:r>
        <w:rPr>
          <w:rFonts w:ascii="Times New Roman" w:cs="Times New Roman" w:eastAsia="Times New Roman" w:hAnsi="Times New Roman"/>
          <w:sz w:val="18"/>
          <w:szCs w:val="18"/>
          <w:color w:val="auto"/>
        </w:rPr>
        <w:t>Additionally, in March 2022, the Securities and Exchange Commission (the “SEC”) proposed cybersecurity disclosure rules for public companies. The proposed rules would significantly increase the agency’s scrutiny of public companies’ cybersecurity-related business activities, decision-making processes, and a corporate board’s role in overseeing cybersecurity. While the notice-and-comment period has closed, we do not have an expected date of when these rules would go into effect.</w:t>
      </w:r>
    </w:p>
    <w:p>
      <w:pPr>
        <w:spacing w:after="0" w:line="221"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Furthermore, on May 12, 2021, the Biden administration issued an Executive Order requiring federal agencies to implement additional IT security measures, including, among other things, requiring agencies to adopt multifactor authentication and encryption for data at rest and in transit, to the maximum extent consistent with federal records laws and other applicable laws. Additionally, the Executive Order will result in the development of secure software development practices or criteria for a consumer software labeling program and shall reflect a baseline level of secure practices for development of software sold to the U.S. federal government, including requiring developers to maintain greater visibility into their software and making security data publicly available. Due to the Executive Order, federal agencies may require us to modify our cybersecurity practices and policies and increase our compliance costs and, if we are unable to meet the requirements of the Executive Order, it could impede our ability to work with the U.S. government and result in a loss of revenue.</w:t>
      </w:r>
    </w:p>
    <w:p>
      <w:pPr>
        <w:spacing w:after="0" w:line="138"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In addition to government regulation, we may be contractually subject to industry standards adopted by privacy advocates and industry groups and may become subject to such obligations in the future. We may also be bound by other</w:t>
      </w:r>
    </w:p>
    <w:p>
      <w:pPr>
        <w:spacing w:after="0" w:line="200" w:lineRule="exact"/>
        <w:rPr>
          <w:sz w:val="20"/>
          <w:szCs w:val="20"/>
          <w:color w:val="auto"/>
        </w:rPr>
      </w:pPr>
    </w:p>
    <w:p>
      <w:pPr>
        <w:spacing w:after="0" w:line="34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obligations related to data privacy and security, and our efforts to comply with such obligations may not be successful.</w:t>
      </w:r>
    </w:p>
    <w:p>
      <w:pPr>
        <w:spacing w:after="0" w:line="239" w:lineRule="exact"/>
        <w:rPr>
          <w:sz w:val="20"/>
          <w:szCs w:val="20"/>
          <w:color w:val="auto"/>
        </w:rPr>
      </w:pPr>
    </w:p>
    <w:p>
      <w:pPr>
        <w:ind w:right="80" w:firstLine="486"/>
        <w:spacing w:after="0" w:line="236" w:lineRule="auto"/>
        <w:rPr>
          <w:sz w:val="20"/>
          <w:szCs w:val="20"/>
          <w:color w:val="auto"/>
        </w:rPr>
      </w:pPr>
      <w:r>
        <w:rPr>
          <w:rFonts w:ascii="Times New Roman" w:cs="Times New Roman" w:eastAsia="Times New Roman" w:hAnsi="Times New Roman"/>
          <w:sz w:val="18"/>
          <w:szCs w:val="18"/>
          <w:color w:val="auto"/>
        </w:rPr>
        <w:t>Internationally, virtually every jurisdiction in which we operate has established its own data security and privacy legal framework with which we or our customers must comply, including, but not limited to, the European Economic Area (“E.E.A.”), Switzerland, the United Kingdom (“U.K.”), Canada, Brazil and other countries. The collection, use, disclosure, transfer, or other processing of personal data regarding individuals in the E.E.A and Switzerland is subject to the General Data Protection Regulation (the “GDPR”), which came into effect in May 2018, and other European laws governing the processing of personal data. Data protection authorities in the E.E.A. and Switzerland have the power to impose administrative fines for violations of the GDPR of up to a maximum of €20 million or 4% of the entity’s total worldwide global turnover for the preceding financial year, whichever is higher. Further, the GDPR provides for private litigation related to the processing of personal data that can be brought by classes of data subjects or consumer protection organizations authorized at law to represent the data subjects’ interests. Since we act as a data processor for our MongoDB Atlas customers, we have taken steps to cause our processes to be compliant with applicable portions of the GDPR, but because of the ambiguities in the GDPR and the evolving interpretation of the GDPR by data protection authorities, we cannot assure you that such steps are complete or effective. Countries outside Europe, including without limitation Brazil, which recently enacted the General Data Protection Law (Lei Geral Proteção de Dados Pessoais, or LGPD) (Law No. 13,709/2018), are implementing significant limitations on the processing of personal data, similar to those in the GDPR. On June 5, 2020, Japan passed amendments to its Act on the Protection of Personal data, or APPI. Both laws broadly regulate the processing of personal data in a manner comparable to the GDPR, and violators of the LGPD and APPI face substantial penalties.</w:t>
      </w:r>
    </w:p>
    <w:p>
      <w:pPr>
        <w:spacing w:after="0" w:line="22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Some of the foreign data protection laws, including, without limitation, the GDPR, may restrict the cross-border transfer of personal data, such as transfers of data to the United States from the E.E.A and Switzerland. These laws may require data exporters and data importers - as a condition of cross-border data transfers - to implement specific safeguards to protect the transferred personal data. Existing mechanisms that facilitate cross-border personal data transfers may change or be invalidated. For example, absent appropriate safeguards or other circumstances, the GDPR generally restricts the transfer of personal data to countries outside of the E.E.A. that the European Commission does not consider to provide an adequate level of data privacy and security, such as the United States. The European Commission released a set of “Standard Contractual Clauses” (“SCCs”) that are designed to be a valid mechanism to facilitate personal data transfers out of the EEA to these jurisdictions. Currently, these SCCs are a valid mechanism to transfer personal data outside of the EEA. Additionally, the SCCs impose additional compliance burdens, such as conducting transfer impact assessments to determine whether additional security measures are necessary to protect the at-issue personal data. In addition, the U.K. similarly restricts personal data transfers outside of the U.K. jurisdiction to countries such as the United States that do not provide an adequate level of personal data protection, and certain countries outside Europe (e.g. Russia, China, Brazil)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limit our ability to collaborate with parties that are subject to such cross-border data transfer or localization laws; or require us to increase our personal data processing capabilities and infrastructure in foreign jurisdictions at significant expense.</w:t>
      </w:r>
    </w:p>
    <w:p>
      <w:pPr>
        <w:spacing w:after="0" w:line="14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In addition to the GDPR, other European legislative proposals and present laws and regulations apply to cookies and similar tracking technologies, electronic communications, and marketing. In the E.E.A. and the U.K., regulators are increasingly focusing on compliance with requirements related to the online behavioral advertising ecosystem. It is anticipated that the ePrivacy Regulation and national implementing laws will replace the current national laws implementing the ePrivacy Directive. Compliance with these laws may require us to make significant operational changes, limit the effectiveness of our marketing activities, divert the attention of our technology personnel, adversely affect our margins, and subject us to liabilities.</w:t>
      </w:r>
    </w:p>
    <w:p>
      <w:pPr>
        <w:spacing w:after="0" w:line="12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In addition, because data privacy and security are critical competitive factors in our industry, we publish privacy policies and other documentation regarding our collection, processing, use and disclosure of personal data and/or other confidential information. Although we endeavor to comply with our published policies, certifications and documentation, we may at times fail to do so, may be perceived to have failed to do so, or be alleged to have failed to do so. Moreover, despite our efforts, we may not be successful in achieving compliance if our employees or vendors fail to comply with our published policies, certifications and documentation. The publication of our privacy policies and other documentation that provide promises and assurances about data privacy and security can subject us to potential government or legal action if they are found to be deceptive, unfair or misrepresentative of our actual practices. Should any of these statements prove to be untrue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or be perceived as untrue, even if because of circumstances beyond our reasonable control, we may face litigation, disputes, claims, investigations, inquiries or other proceedings by the U.S. Federal Trade Commission, federal, state and foreign regulators, our customers and private litigants, which could adversely affect our business, reputation, results of operations and financial condition.</w:t>
      </w:r>
    </w:p>
    <w:p>
      <w:pPr>
        <w:spacing w:after="0" w:line="122"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Because the interpretation and application of data privacy and security laws, regulations, rules and other standards are still uncertain and likely to remain uncertain for the foreseeable future, it is possible that these laws, rules, regulations and other actual or alleged legal obligations, such as contractual or self-regulatory obligations, may be interpreted and applied in a manner that is inconsistent with our data management practices or the features of our software. If so, in addition to the possibility of fines, lawsuits and other claims, we could be required to fundamentally change our business activities and practices or modify our software, which we may be unable to do in a commercially reasonable manner or at all and which could have an adverse effect on our business. Any inability to adequately address data privacy and security concerns, even if unfounded, or the failure, or perceived failure, to comply with applicable data and privacy laws, regulations and other actual or alleged obligations, could result in additional cost and liability to us, damage our reputation, inhibit sales and adversely affect our business.</w:t>
      </w:r>
    </w:p>
    <w:p>
      <w:pPr>
        <w:spacing w:after="0" w:line="138"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Furthermore, the costs of compliance with and other burdens imposed by, the laws, regulations and policies that are applicable to the businesses of our customers may limit the use and adoption of, and reduce the overall demand for, our software. Privacy concerns, whether valid or not valid, may inhibit market adoption of our software particularly in certain industries and foreign countries.</w:t>
      </w:r>
    </w:p>
    <w:p>
      <w:pPr>
        <w:spacing w:after="0" w:line="11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Form 10-Q may prove to be inaccurate and even if the market in which we compete achieves the forecasted growth, our business could fail to grow at similar rates, if at all.</w:t>
      </w:r>
    </w:p>
    <w:p>
      <w:pPr>
        <w:spacing w:after="0" w:line="105"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Market opportunity estimates and growth forecasts included in this Form 10-Q are subject to significant uncertainty and are based on third-party assumptions and estimates that may not prove to be accurate. The market in which we compete may not meet the size estimates and may not achieve the growth forecast referenced in this Form 10-Q. Even if the market in which we compete meets the size estimates and the growth forecast referenced in this Form 10-Q, our business could fail to grow at similar rates, if at all, for a variety of reasons, which would adversely affect our results of operations.</w:t>
      </w:r>
    </w:p>
    <w:p>
      <w:pPr>
        <w:spacing w:after="0" w:line="12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in protecting or defending our intellectual property rights and any failure to protect our intellectual property rights could reduce the value of our software and brand.</w:t>
      </w:r>
    </w:p>
    <w:p>
      <w:pPr>
        <w:spacing w:after="0" w:line="10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success and ability to compete depend in part upon our intellectual property rights. As of January 31, 2022, we had 52 issued patents and 36 pending patent applications in the United States, which may not result in issued patents. Even if a patent issues, we cannot assure you that such patent will be adequate to protect our business. We primarily rely on copyright, trademark laws, trade secret protection and confidentiality or other contractual arrangements with our employees, customers, partners and others to protect our intellectual property rights. However, the steps we take to protect our intellectual property rights may not be adequate. In order to protect our intellectual property rights, we may be required to spend significant resources to establish, monitor and enforce such rights. Litigation brought to enforce our intellectual property rights could be costly, time-consuming and distracting to management and could be met with defenses, counterclaims and countersuits attacking the validity and enforceability of our intellectual property rights, which may result in the impairment or loss of portions of our intellectual property. The local laws of some foreign countries do not protect our intellectual property rights to the same extent as the laws of the United States and effective intellectual property protection and mechanisms may not be available in those jurisdictions. We may need to expend additional resources to defend our intellectual property in these countries and our inability to do so could impair our business or adversely affect our international expansion. Even if we are able to secure our intellectual property rights, there can be no assurances that such rights will provide us with competitive advantages or distinguish our products and services from those of our competitors or that our competitors will not independently develop similar technology.</w:t>
      </w:r>
    </w:p>
    <w:p>
      <w:pPr>
        <w:spacing w:after="0" w:line="13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addition, we regularly contribute source code under open source licenses and have made some of our own software available under open source or source available licenses and we include third-party open source software in our products. Because the source code for any software we contribute to open source projects or distribute under open source or source available licenses is publicly available, our ability to protect our intellectual property rights with respect to such source code may be limited or lost entirely. In addition, from time to time, we may face claims from third parties claiming ownership of, or demanding release of, the software or derivative works that we have developed using third-party open source software,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could include our proprietary source code, or otherwise seeking to enforce the terms of the applicable open-source license.</w:t>
      </w:r>
    </w:p>
    <w:p>
      <w:pPr>
        <w:spacing w:after="0" w:line="16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 subject to intellectual property rights claims by third parties, which may be costly to defend, could require us to pay significant damages and could limit our ability to use certain technologies.</w:t>
      </w:r>
    </w:p>
    <w:p>
      <w:pPr>
        <w:spacing w:after="0" w:line="105"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Companies in the software and technology industries, including some of our current and potential competitors, own large numbers of patents, copyrights, trademarks and trade secrets and frequently enter into litigation based on allegations of infringement or other violations of intellectual property rights. We have in the past and may in the future be subject to claims that we have misappropriated, misused or infringed the intellectual property rights of our competitors, non-practicing entities or other third parties. This risk is exacerbated by the fact that our software incorporates third-party open source software. For example, Realtime Data (“Realtime”) filed a lawsuit against us in the United States District Court for the District of Delaware in March 2019 alleging that we are infringing three U.S. patents that it holds: the 908 Patent, the 751 Patent and the 825 Patent. See the section titled “Part II, Item 1. Legal Proceedings.”</w:t>
      </w:r>
    </w:p>
    <w:p>
      <w:pPr>
        <w:spacing w:after="0" w:line="135"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Any intellectual property claims, with or without merit, could be very time-consuming and expensive and could divert our management’s attention and other resources. These claims could also subject us to significant liability for damages, potentially including treble damages if we are found to have willfully infringed patents or copyrights. These claims could also result in our having to stop using technology found to be in violation of a third party’s rights, some of which we have invested considerable effort and time to bring to market. We might be required to seek a license for the intellectual property, which may not be available on reasonable terms or at all. Even if a license is available, we could be required to pay significant royalties, which would increase our operating expenses. As a result, we may be required to develop alternative non-infringing technology, which could require significant effort and expense. If we cannot license or develop technology for any aspect of our business that may ultimately be determined to infringe on the intellectual property rights of another party, we could be forced to limit or stop sales of subscriptions to our software and may be unable to compete effectively. Any of these results would adversely affect our business, results of operations and financial condition.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successful relationships with our partners, our business, results of operations and financial condition could be harmed.</w:t>
      </w:r>
    </w:p>
    <w:p>
      <w:pPr>
        <w:spacing w:after="0" w:line="1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addition to our direct sales force and our website, we use strategic partners, such as global system integrators, value-added resellers and independent software vendors to sell our subscription offerings and related services. Our agreements with our partners are generally nonexclusive, meaning our partners may offer their customers products and services of several different companies, including products and services that compete with ours, or may themselves be or become competitors. If our partners do not effectively market and sell our subscription offerings and related services, choose to use greater efforts to market and sell their own products and services or those of our competitors, or fail to meet the needs of our customers, our ability to grow our business and sell our subscription offerings and related services may be harmed. Our partners may cease marketing our subscription offerings or related services with limited or no notice and with little or no penalty. The loss of a substantial number of our partners, our possible inability to replace them, or the failure to recruit additional partners could harm our growth objectives and results of operations.</w:t>
      </w:r>
    </w:p>
    <w:p>
      <w:pPr>
        <w:spacing w:after="0" w:line="13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third-party cloud providers to host our cloud offering; any disruption of or interference with our use of third-party cloud providers would adversely affect our business, results of operations and financial condition.</w:t>
      </w:r>
    </w:p>
    <w:p>
      <w:pPr>
        <w:spacing w:after="0" w:line="105"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We outsource substantially all of the infrastructure relating to MongoDB Atlas across AWS, Microsoft Azure and GCP to host our cloud offering. If the hosting of MongoDB Atlas gets disrupted for any reason, our business would be negatively impacted. Customers of MongoDB Atlas need to be able to access our platform at any time, without interruption or degradation of performance and we provide them with service level commitments with respect to uptime. Third-party cloud providers run their own platforms that we access and we are, therefore, vulnerable to their service interruptions. We may experience interruptions, delays and outages in service and availability from time to time as a result of problems with our third-party cloud providers’ infrastructure. Lack of availability of this infrastructure could be due to a number of potential causes including technical failures, natural disasters, fraud or security attacks that we cannot predict or prevent. Such outages could lead to the triggering of our service level agreements and the issuance of credits to our cloud offering customers, which may impact our business, results of operations and financial condition. In addition, if our security, or that of any of these third-party cloud providers, is compromised, our software is unavailable or our customers are unable to use our software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is possible that our customers and potential customers would hold us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accountable for any breach of security affecting a third-party cloud provider’s infrastructure and we may incur significant liability from those customers and from third parties with respect to any breach affecting these systems. We may not be able to recover a material portion of our liabilities to our customers and third parties from a third-party cloud provider. It may also become increasingly difficult to maintain and improve our performance, especially during peak usage times, as our software becomes more complex and the usage of our software increases. Any of the above circumstances or events may harm our business, results of operations and financial condition.</w:t>
      </w:r>
    </w:p>
    <w:p>
      <w:pPr>
        <w:spacing w:after="0" w:line="1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technology and infrastructure may adversely affect our business, results of operations and financial condition.</w:t>
      </w:r>
    </w:p>
    <w:p>
      <w:pPr>
        <w:spacing w:after="0" w:line="10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customers and new customers to access our software at any time and within an acceptable amount of time. We may experience service disruptions, outages and other performance problems due to a variety of factors, including infrastructure changes or failures, human or software errors, malicious acts, terrorism or capacity constraints. Capacity constraints could be due to a number of potential causes including technical failures, natural disasters, fraud or security attacks. In some instances, we may not be able to identify and/or remedy the cause or causes of these performance problems within an acceptable period of time. It may become increasingly difficult to maintain and improve our performance as our software offerings and customer implementations become more complex. If our software is unavailable or if our customers are unable to access features of our software within a reasonable amount of time or at all, or if other performance problems occur, our business, results of operations and financial conditions may be adversely affected.</w:t>
      </w:r>
    </w:p>
    <w:p>
      <w:pPr>
        <w:spacing w:after="0" w:line="13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Incorrect or improper implementation or use of our software could result in customer dissatisfaction and harm our business, results of operations, financial condition and growth prospects.</w:t>
      </w:r>
    </w:p>
    <w:p>
      <w:pPr>
        <w:spacing w:after="0" w:line="105"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Our database software and related services are designed to be deployed in a wide variety of technology environments, including in large-scale, complex technology environments and we believe our future success will depend at least, in part, on our ability to support such deployments. Implementations of our software may be technically complicated and it may not be easy to maximize the value of our software without proper implementation and training. For example, industry publications have reported ransomware attacks on MongoDB instances. We believe these attacks were successful due to the failure by users of our Community Server offering to properly turn on the recommended security settings when running these instances. If our customers are unable to implement our software successfully, or in a timely manner, customer perceptions of our company and our software may be impaired, our reputation and brand may suffer and customers may choose not to renew their subscriptions or increase their purchases of our related services.</w:t>
      </w:r>
    </w:p>
    <w:p>
      <w:pPr>
        <w:spacing w:after="0" w:line="138"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Our customers and partners need regular training in the proper use of and the variety of benefits that can be derived from our software to maximize its potential. We often work with our customers to achieve successful implementations, particularly for large, complex deployments. Our failure to train customers on how to efficiently and effectively deploy and use our software, or our failure to provide effective support or professional services to our customers, whether actual or perceived, may result in negative publicity or legal actions against us. Also, as we continue to expand our customer base, any actual or perceived failure by us to properly provide these services will likely result in lost opportunities for follow-on sales of our related services.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meet our service level commitments, our business, results of operations and financial condition could be adversely affected.</w:t>
      </w:r>
    </w:p>
    <w:p>
      <w:pPr>
        <w:spacing w:after="0" w:line="175" w:lineRule="exact"/>
        <w:rPr>
          <w:sz w:val="20"/>
          <w:szCs w:val="20"/>
          <w:color w:val="auto"/>
        </w:rPr>
      </w:pPr>
    </w:p>
    <w:p>
      <w:pPr>
        <w:ind w:right="180" w:firstLine="486"/>
        <w:spacing w:after="0" w:line="255" w:lineRule="auto"/>
        <w:rPr>
          <w:sz w:val="20"/>
          <w:szCs w:val="20"/>
          <w:color w:val="auto"/>
        </w:rPr>
      </w:pPr>
      <w:r>
        <w:rPr>
          <w:rFonts w:ascii="Times New Roman" w:cs="Times New Roman" w:eastAsia="Times New Roman" w:hAnsi="Times New Roman"/>
          <w:sz w:val="18"/>
          <w:szCs w:val="18"/>
          <w:color w:val="auto"/>
        </w:rPr>
        <w:t>Our agreements with customers typically provide for service level commitments. Our MongoDB Enterprise Advanced customers typically get service level commitments with certain guaranteed response times and comprehensive 24x365 coverage. Our MongoDB Atlas customers typically get monthly uptime service level commitments, where we are required to provide a service credit for any extended periods of downtime. The complexity and quality of our customer’s implementation and the performance and availability of cloud services and cloud infrastructure are outside our control and, therefore, we are not in full control of whether we can meet these service level commitments. Our business, results of operations and financial condition could be adversely affected if we fail to meet our service level commitments for any reason. Any extended service outages could adversely affect our business, reputation and brand.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spacing w:after="0" w:line="82" w:lineRule="exact"/>
        <w:rPr>
          <w:sz w:val="20"/>
          <w:szCs w:val="20"/>
          <w:color w:val="auto"/>
        </w:rPr>
      </w:pPr>
    </w:p>
    <w:p>
      <w:pPr>
        <w:ind w:right="360" w:firstLine="486"/>
        <w:spacing w:after="0" w:line="312" w:lineRule="auto"/>
        <w:rPr>
          <w:sz w:val="20"/>
          <w:szCs w:val="20"/>
          <w:color w:val="auto"/>
        </w:rPr>
      </w:pPr>
      <w:r>
        <w:rPr>
          <w:rFonts w:ascii="Times New Roman" w:cs="Times New Roman" w:eastAsia="Times New Roman" w:hAnsi="Times New Roman"/>
          <w:sz w:val="17"/>
          <w:szCs w:val="17"/>
          <w:color w:val="auto"/>
        </w:rPr>
        <w:t>We believe our success has depended, and continues to depend, on the efforts and talents of our senior management team, particularly our Chief Executive Officer, and our highly skilled team members, including our sales personnel, customer-facing technical personnel and software engineers.</w:t>
      </w:r>
    </w:p>
    <w:p>
      <w:pPr>
        <w:spacing w:after="0" w:line="8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do not maintain key man insurance on any of our executive officers or key employees. From time to time, there may be changes in our senior management team resulting from the termination or departure of our executive officers and key employees. The majority of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to execute our business plan and to execute against our market opportunity. We may not be able to find adequate replacements. We cannot ensure that we will be able to retain the services of any members of our senior management or other key employees. Further, if members of our management and other key personnel in critical functions across our organization are unable to perform their duties or have limited availability, we may not be able to execute on our business strategy and/or our operations may be negatively impacted.</w:t>
      </w:r>
    </w:p>
    <w:p>
      <w:pPr>
        <w:spacing w:after="0" w:line="124" w:lineRule="exact"/>
        <w:rPr>
          <w:sz w:val="20"/>
          <w:szCs w:val="20"/>
          <w:color w:val="auto"/>
        </w:rPr>
      </w:pPr>
    </w:p>
    <w:p>
      <w:pPr>
        <w:ind w:right="40" w:firstLine="486"/>
        <w:spacing w:after="0" w:line="237" w:lineRule="auto"/>
        <w:rPr>
          <w:sz w:val="20"/>
          <w:szCs w:val="20"/>
          <w:color w:val="auto"/>
        </w:rPr>
      </w:pPr>
      <w:r>
        <w:rPr>
          <w:rFonts w:ascii="Times New Roman" w:cs="Times New Roman" w:eastAsia="Times New Roman" w:hAnsi="Times New Roman"/>
          <w:sz w:val="18"/>
          <w:szCs w:val="18"/>
          <w:color w:val="auto"/>
        </w:rPr>
        <w:t>Our ability to successfully pursue our growth strategy and compete effectively also depends on our ability to attract, motivate and retain our personnel. Competition for well-qualified employees in all aspects of our business, including sales personnel, customer-facing technical personnel and software engineers, is intense, and it may be even more challenging to retain qualified personnel as many companies have moved to offer a remote or hybrid work environment, and considering the current period of heightened employee attrition in the United States and other countries. Our recruiting efforts focus on elite organizations and our primary recruiting competition are well-known, high-paying technology companies. In response to competition, rising inflation rates and labor shortages, we may need to adjust employee compensation, which could affect our operating costs and margins, as well as potentially cause dilution to existing stockholders. We may also lose new employees to our competitors or other technology companies before we realize the benefit of our investment in recruiting and training them. If we do not succeed in attracting well-qualified employees or retaining and motivating existing employees, our business would be adversely affected.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brand, especially among developers, our business and results of operations may be adversely affected.</w:t>
      </w:r>
    </w:p>
    <w:p>
      <w:pPr>
        <w:spacing w:after="0" w:line="17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believe that developing and maintaining widespread awareness of our brand, especially with developers, in a cost-effective manner is critical to achieving widespread acceptance of our software and attracting new customers. Brand promotion activities may not generate customer awareness or increase revenue and even if they do, any increase in revenue may not offset the expenses we incur in building our brand. For instance, our continued focus and investment in MongoDB World, MongoDB University and similar investments in our brand and customer engagement and education may not generate a sufficient financial return. If we fail to successfully promote and maintain our brand, or continue to incur substantial expenses, we may fail to attract or retain customers necessary to realize a sufficient return on our brand-building efforts, or to achieve the widespread brand awareness that is critical for broad customer adoption of our platform.</w:t>
      </w:r>
    </w:p>
    <w:p>
      <w:pPr>
        <w:spacing w:after="0" w:line="13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continue to maintain and develop this culture as we grow and evolve, we may be unable to execute effectively and could lose the innovation, creativity and entrepreneurial spirit we have worked hard to foster, which could harm our business.</w:t>
      </w:r>
    </w:p>
    <w:p>
      <w:pPr>
        <w:spacing w:after="0" w:line="121"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We believe that our culture has been and will continue to be a key contributor to our success. From January 31, 2017 to January 31, 2022, we increased the size of our workforce by 2,831 employees and we expect to continue to hire as we expand, especially among research and development and sales and marketing personnel. Such substantial headcount growth may result in a change to our corporate culture.</w:t>
      </w:r>
    </w:p>
    <w:p>
      <w:pPr>
        <w:spacing w:after="0" w:line="122" w:lineRule="exact"/>
        <w:rPr>
          <w:sz w:val="20"/>
          <w:szCs w:val="20"/>
          <w:color w:val="auto"/>
        </w:rPr>
      </w:pPr>
    </w:p>
    <w:p>
      <w:pPr>
        <w:ind w:right="140" w:firstLine="486"/>
        <w:spacing w:after="0" w:line="281" w:lineRule="auto"/>
        <w:rPr>
          <w:sz w:val="20"/>
          <w:szCs w:val="20"/>
          <w:color w:val="auto"/>
        </w:rPr>
      </w:pPr>
      <w:r>
        <w:rPr>
          <w:rFonts w:ascii="Times New Roman" w:cs="Times New Roman" w:eastAsia="Times New Roman" w:hAnsi="Times New Roman"/>
          <w:sz w:val="17"/>
          <w:szCs w:val="17"/>
          <w:color w:val="auto"/>
        </w:rPr>
        <w:t>Our leadership team also plays a key role in our corporate culture. We may recruit and hire other senior executives in the future. Such management changes subject us to a number of risks, such as risks pertaining to coordination of responsibilities and tasks, creation of new management systems and processes, differences in management style, any of which could adversely impact our corporate culture. In addition, we may need to adapt our corporate culture and work environments to changing circumstances, such as during times of a natural disaster or pandemic, including the COVID-19 pandemic.</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If we do not continue to maintain and develop our corporate culture, we may be unable to execute effectively and foster the innovation, creativity and entrepreneurial spirit we believe we need to support our growth, which could harm our business.</w:t>
      </w:r>
    </w:p>
    <w:p>
      <w:pPr>
        <w:spacing w:after="0" w:line="104"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and rely upon SaaS technologies from third parties to operate our business and interruptions or performance problems with these technologies may adversely affect our business and results of operations.</w:t>
      </w:r>
    </w:p>
    <w:p>
      <w:pPr>
        <w:spacing w:after="0" w:line="10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rely on hosted SaaS applications from third parties in order to operate critical functions of our business, including enterprise resource planning, order management, contract management billing, project management and accounting and other operational activities. If these services become unavailable due to extended outages, interruptions or because they are no longer available on commercially reasonable terms, our expenses could increase, our ability to manage finances could be interrupted and our processes for managing sales of our platform and supporting our customers could be impaired until equivalent services, if available, are identified, obtained and implemented, all of which could adversely affect our business.</w:t>
      </w:r>
    </w:p>
    <w:p>
      <w:pPr>
        <w:spacing w:after="0" w:line="1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potentially expose us to substantial liability for data breaches, intellectual property infringement and other losses.</w:t>
      </w:r>
    </w:p>
    <w:p>
      <w:pPr>
        <w:spacing w:after="0" w:line="105"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Our agreements with customers and other third parties may include indemnification provisions under which we agree to indemnify them for losses suffered or incurred as a result of claims of intellectual property infringement, damages caused by us to property or persons, data breaches,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12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10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A component of our growth strategy involves the further expansion of our operations and customer base internationally. In the fiscal years ended January 31, 2022, 2021 and 2020, total revenue generated from customers outside the United States was 46%, 44% and 41%, respectively, of our total revenue. We currently have international offices outside of North America in Europe, the Middle East and Africa (“EMEA”), the Asia-Pacific region and South America, focusing primarily on selling our products and services in those regions. In addition, we expanded our reach in China in February 2021 when we announced a global partnership with Tencent Cloud that allows customers to easily adopt and use MongoDB-as-a-Service across Tencent’s global cloud infrastructure. In the future, we may continue to expand our presence in these regions or expand into other international locations. Our current international operations and future initiatives involve a variety of risks, including risks associated with:</w:t>
      </w:r>
    </w:p>
    <w:p>
      <w:pPr>
        <w:spacing w:after="0" w:line="13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products for specific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laws, regulatory requirements, taxes or trade laws;</w:t>
      </w:r>
    </w:p>
    <w:p>
      <w:pPr>
        <w:spacing w:after="0" w:line="11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shelter-in-place, occupancy limitations or similar orders, private travel limitation, or business disruption in regions affecting our operations, stemming from actual, imminent or perceived outbreak of contagious disease, including the COVID-19 pandemic;</w:t>
      </w:r>
    </w:p>
    <w:p>
      <w:pPr>
        <w:spacing w:after="0" w:line="53"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privacy and data security and the unauthorized use of, or access to, commercial and personal data, particularly in EMEA;</w:t>
      </w:r>
    </w:p>
    <w:p>
      <w:pPr>
        <w:spacing w:after="0" w:line="53"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 especially in EMEA, where labor laws are generally more advantageous to employees as compared to the United States, including deemed hourly wage and overtime regulations in these locations;</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53"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associated with international operations, including travel, real estate, infrastructure and legal compliance costs;</w:t>
      </w:r>
    </w:p>
    <w:p>
      <w:pPr>
        <w:spacing w:after="0" w:line="117"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other economic factors, including inflation, pricing and currency devaluation;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preferences for local vendors;</w:t>
      </w:r>
    </w:p>
    <w:p>
      <w:pPr>
        <w:spacing w:after="0" w:line="117" w:lineRule="exact"/>
        <w:rPr>
          <w:rFonts w:ascii="Times New Roman" w:cs="Times New Roman" w:eastAsia="Times New Roman" w:hAnsi="Times New Roman"/>
          <w:sz w:val="18"/>
          <w:szCs w:val="18"/>
          <w:color w:val="auto"/>
        </w:rPr>
      </w:pPr>
    </w:p>
    <w:p>
      <w:pPr>
        <w:ind w:left="660" w:right="9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new, developing or other markets in which there are significant uncertainties regarding the interpretation, application and enforceability of laws and regulations, including relating to contract and intellectual property rights;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enforcing our intellectual property;</w:t>
      </w:r>
    </w:p>
    <w:p>
      <w:pPr>
        <w:spacing w:after="0" w:line="117" w:lineRule="exact"/>
        <w:rPr>
          <w:rFonts w:ascii="Times New Roman" w:cs="Times New Roman" w:eastAsia="Times New Roman" w:hAnsi="Times New Roman"/>
          <w:sz w:val="18"/>
          <w:szCs w:val="18"/>
          <w:color w:val="auto"/>
        </w:rPr>
      </w:pPr>
    </w:p>
    <w:p>
      <w:pPr>
        <w:ind w:left="660" w:right="180" w:hanging="328"/>
        <w:spacing w:after="0" w:line="312" w:lineRule="auto"/>
        <w:tabs>
          <w:tab w:leader="none" w:pos="6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instability, social unrest, terrorist activities, acts of civil or international hostility, such as the current military conflict and escalating tensions between Russia and Ukraine, natural disasters or regional or global outbreaks of contagious diseases, such as the COVID-19 pandemic;</w:t>
      </w:r>
    </w:p>
    <w:p>
      <w:pPr>
        <w:spacing w:after="0" w:line="31" w:lineRule="exact"/>
        <w:rPr>
          <w:rFonts w:ascii="Times New Roman" w:cs="Times New Roman" w:eastAsia="Times New Roman" w:hAnsi="Times New Roman"/>
          <w:sz w:val="17"/>
          <w:szCs w:val="17"/>
          <w:color w:val="auto"/>
        </w:rPr>
      </w:pPr>
    </w:p>
    <w:p>
      <w:pPr>
        <w:ind w:left="660" w:right="1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U.S. Foreign Corrupt Practices Act, U.K. Bribery Act and similar laws and regulations in other jurisdictions;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17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results of operations will suffer.</w:t>
      </w:r>
    </w:p>
    <w:p>
      <w:pPr>
        <w:spacing w:after="0" w:line="11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 trade policies, including the imposition of tariffs and other trade barriers, could limit our ability to sell our products to certain customers and certain markets, which could adversely affect our business, financial condition and results of operations.</w:t>
      </w:r>
    </w:p>
    <w:p>
      <w:pPr>
        <w:spacing w:after="0" w:line="105"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United States or foreign governments may take administrative, legislative or regulatory action that could materially interfere with our ability to sell our offerings in certain countries. For instance, there is currently significant uncertainty about the future relationship between the United States and China with respect to trade policies, treaties, tariffs and taxes. If tariffs or other trade barriers are placed on offerings such as ours, this could have a direct or indirect adverse effect on our business. Even in the absence of tariffs or other trade barriers, the related uncertainty and the market's fears relating to international trade might result in lower demand for our offerings, which could adversely affect our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currency exchange rates fluctuate substantially in the future, our financial results, which are reported in U.S. dollars, could be adversely affected.</w:t>
      </w:r>
    </w:p>
    <w:p>
      <w:pPr>
        <w:spacing w:after="0" w:line="1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As we continue to expand our international operations, we become more exposed to the effects of fluctuations in currency exchange rates. Often, contracts executed by our foreign operations are denominated in the currency of that country or region and a portion of our revenue is therefore subject to foreign currency risks. However, a strengthening of the U.S. dollar could increase the real cost of our subscription offerings and related services to our customers outside of the United States, adversely affecting our business, results of operations and financial condition. We incur expenses for employee compensation and other operating expenses at our non-U.S. locations in the local currency. Fluctuations in the exchange rates between the U.S. dollar and other currencies could result in the dollar equivalent of such expenses being higher. This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software and could have a negative impact on our business.</w:t>
      </w:r>
    </w:p>
    <w:p>
      <w:pPr>
        <w:spacing w:after="0" w:line="10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future success of our business and particularly our cloud offerings, such as MongoDB Atlas,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software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spacing w:after="0" w:line="133"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“ransomware,” “viruses,” “worms,” “malware,” “phishing attacks,” “data breaches” and similar malicious programs, behavior and events and the internet has experienced a variety of outages and other delays as a result of damage to portions of its infrastructure. If the use of the internet is adversely affected by these issues, demand for our subscription offerings and related services could suffer.</w:t>
      </w:r>
    </w:p>
    <w:p>
      <w:pPr>
        <w:spacing w:after="0" w:line="12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0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Based on our current corporate structure,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In addition, the authorities could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and interest and penalties. Any increase in the amount of taxes we pay or that are imposed on us could increase our worldwide effective tax rate and harm our business and results of operations.</w:t>
      </w:r>
    </w:p>
    <w:p>
      <w:pPr>
        <w:spacing w:after="0" w:line="13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or invest in companies, which may divert our management’s attention and result in additional dilution to our stockholders. We may be unable to integrate acquired businesses and technologies successfully or achieve the expected benefits of such acquisitions.</w:t>
      </w:r>
    </w:p>
    <w:p>
      <w:pPr>
        <w:spacing w:after="0" w:line="10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our ability to grow our business in response to changing technologies, customer demands and competitive pressures. In some circumstances, we may choose to do so through the acquisition of businesses and technologies rather than through internal development. The identification of suitable acquisition candidates can be difficult, time-consuming and costly and we may not be able to successfully complete identified acquisitions.</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risks we face in connection with any acquisitions include:</w:t>
      </w:r>
    </w:p>
    <w:p>
      <w:pPr>
        <w:spacing w:after="0" w:line="171" w:lineRule="exact"/>
        <w:rPr>
          <w:sz w:val="20"/>
          <w:szCs w:val="20"/>
          <w:color w:val="auto"/>
        </w:rPr>
      </w:pPr>
    </w:p>
    <w:p>
      <w:pPr>
        <w:ind w:left="660" w:right="22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negatively affect our results of operations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anticipated synergies;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disrupt our ongoing business, divert resources, increase our expenses and distract our management;</w:t>
      </w:r>
    </w:p>
    <w:p>
      <w:pPr>
        <w:spacing w:after="0" w:line="117"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a delay or reduction of customer purchases for both us and the company acquired due to customer uncertainty about continuity and effectiveness of service from either company and we may experience increased customer churn with respect to the company acquired;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challenges integrating the employees of the acquired company into our company culture;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international transactions, we may face additional challenges related to the integration of operations across different cultures and languages and the economic, political and regulatory risks associated with specific countries;</w:t>
      </w:r>
    </w:p>
    <w:p>
      <w:pPr>
        <w:spacing w:after="0" w:line="5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sell any acquired products or increase adoption or usage of acquired products, or increase spend by acquired customers;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to pay for acquisitions would limit other potential uses for our cash;</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debt to fund any acquisitions, such debt may subject us to material restrictions on our ability to conduct our business, including financial maintenance covenants; and</w:t>
      </w:r>
    </w:p>
    <w:p>
      <w:pPr>
        <w:spacing w:after="0" w:line="5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a significant amount of equity securities in connection with future acquisitions, existing stockholders may be diluted and earnings per share may decrease.</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occurrence of any of these risks could have an adverse effect on our business, results of operations and financial condition.</w:t>
      </w:r>
    </w:p>
    <w:p>
      <w:pPr>
        <w:spacing w:after="0" w:line="16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non-marketable securities, including partial or complete loss of invested capital. Significant changes in the fair value of our private investment portfolio could negatively impact our financial results.</w:t>
      </w:r>
    </w:p>
    <w:p>
      <w:pPr>
        <w:spacing w:after="0" w:line="105"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We have non-marketable equity securities in privately-held companies. The financial success of our investments in any privately-held company is typically dependent on a liquidity event, such as a public offering, acquisition or other favorable market event reflecting appreciation to the cost of our initial investment. In addition, valuations of privately-held companies are inherently complex due to the lack of readily available market data.</w:t>
      </w:r>
    </w:p>
    <w:p>
      <w:pPr>
        <w:spacing w:after="0" w:line="122"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We record all fair value adjustments of our non-marketable securities through the consolidated statements of operations. As a result, we may experience additional volatility to our statements of operations due to the valuation and timing of observable price changes or impairments of our non-marketable securities. Our ability to mitigate this volatility in any given period may be impacted by our contractual obligations to hold securities for a set period of time. All of our investments, especially our non-marketable securities,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anti-bribery, anti-corruption and anti-money laundering laws could subject us to penalties and other adverse consequences.</w:t>
      </w:r>
    </w:p>
    <w:p>
      <w:pPr>
        <w:spacing w:after="0" w:line="175"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(the “FCPA”), the U.S. Travel Act, the U.K. Bribery Act (the “Bribery Act”) and other anti-corruption, anti-bribery and anti-money laundering laws in various jurisdictions around the world. The FCPA, Bribery Act and similar applicable laws generally prohibit companies,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state-owned or affiliated entities and other third parties where we may be held liable for the corrupt or other illegal activities of these third-party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third-party intermediaries, agents, or business partners do not adhere to our policies, procedures, or internal controls, we are committed to taking appropriate remedial action. In the event that we believe or have reason to believe that our directors, officers, employees, third-party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management. Any violation of the FCPA, Bribery Act, or other applicable anti-bribery, anti-corruption laws and anti-money laundering laws could result in whistleblower complaints, adverse media coverage, investigations, loss of export privileges, severe criminal or civil sanctions, fines and penalties or suspension or debarment from U.S. government contracts, all of which may have a material adverse effect on our reputation, business, operating results and prospects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162" w:lineRule="exact"/>
        <w:rPr>
          <w:sz w:val="20"/>
          <w:szCs w:val="20"/>
          <w:color w:val="auto"/>
        </w:rPr>
      </w:pPr>
    </w:p>
    <w:p>
      <w:pPr>
        <w:ind w:right="100" w:firstLine="486"/>
        <w:spacing w:after="0" w:line="237" w:lineRule="auto"/>
        <w:rPr>
          <w:sz w:val="20"/>
          <w:szCs w:val="20"/>
          <w:color w:val="auto"/>
        </w:rPr>
      </w:pPr>
      <w:r>
        <w:rPr>
          <w:rFonts w:ascii="Times New Roman" w:cs="Times New Roman" w:eastAsia="Times New Roman" w:hAnsi="Times New Roman"/>
          <w:sz w:val="18"/>
          <w:szCs w:val="18"/>
          <w:color w:val="auto"/>
        </w:rPr>
        <w:t>Generally accepted accounting principles in the United States (“GAAP”), are subject to interpretation by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SEC proposals on climate-related disclosures may require us to update our accounting or operational policies, processes, or systems to reflect new or amended financial reporting standards. Such changes may adversely affect our business, financial condition and operating results.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17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Notes to Unaudited Condensed Consolidated Financial Statements included in Part I, Item 1 of this Quarterly Report on Form 10-Q.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and Unaudited Condensed Consolidated Financial Statements include those related to revenue recognition, allowances for doubtful accounts, the incremental borrowing rate related to our lease liabilities, stock-based compensation, fair value of the liability component of the convertible debt, fair value of common stock and redeemable convertible preferred stock warrants prior to the initial public offering, legal contingencies, fair value of acquired intangible assets and goodwill, useful lives of acquired intangible assets and property and equipment and accounting for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3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05"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the rules and regulations of the applicable listing standards of the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26"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35"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w:t>
      </w:r>
    </w:p>
    <w:p>
      <w:pPr>
        <w:spacing w:after="0" w:line="133"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In addition, we are required to have our independent registered public accounting firm issue an opinion on the effectiveness of our internal control over financial reporting on an annual basis. During the evaluation and testing process, if we identify one or more material weaknesses in our internal control over financial reporting, we will be unable to assert that our internal control over financial reporting is effective. If we are unable to assert that our internal control over financial reporting is effective, or if our independent registered public accounting firm is unable to express an opinion on the effectiveness of our internal control over financial reporting, we could lose investor confidence in the accuracy and completeness of our financial reports, which could have an adverse effect on our business and results of operations and could cause a decline in the price of our common stock and we may be subject to investigation or sanctions by the SEC.</w:t>
      </w:r>
    </w:p>
    <w:p>
      <w:pPr>
        <w:spacing w:after="0" w:line="13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10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including the need to develop new features or otherwise enhance our database software, improve our operating infrastructure or acquire businesses and technologies. Accordingly, we may need to secure additional capital through equity or debt financings. If we raise additional capital, our existing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that are favorable to us, if at all.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spacing w:after="0" w:line="130"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multinational organization with a distributed workforce facing increasingly complex tax issues in many jurisdictions, and we could be obligated to pay additional taxes in various jurisdictions.</w:t>
      </w:r>
    </w:p>
    <w:p>
      <w:pPr>
        <w:spacing w:after="0" w:line="91" w:lineRule="exact"/>
        <w:rPr>
          <w:sz w:val="20"/>
          <w:szCs w:val="20"/>
          <w:color w:val="auto"/>
        </w:rPr>
      </w:pPr>
    </w:p>
    <w:p>
      <w:pPr>
        <w:ind w:firstLine="486"/>
        <w:spacing w:after="0" w:line="237" w:lineRule="auto"/>
        <w:rPr>
          <w:sz w:val="20"/>
          <w:szCs w:val="20"/>
          <w:color w:val="auto"/>
        </w:rPr>
      </w:pPr>
      <w:r>
        <w:rPr>
          <w:rFonts w:ascii="Times New Roman" w:cs="Times New Roman" w:eastAsia="Times New Roman" w:hAnsi="Times New Roman"/>
          <w:sz w:val="18"/>
          <w:szCs w:val="18"/>
          <w:color w:val="auto"/>
        </w:rPr>
        <w:t>As a multinational organization, we may be subject to taxation in several jurisdictions around the world with increasingly new and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Additionally, both the COVID-19 pandemic and new flexible work policies have increased and are likely to continue to increase the complexity of our payroll tax practices and may lead to challenges with our payments to tax authorities. Furthermore, authorities in the many jurisdictions in which we operate or have employees could review our tax returns and impose additional tax, interest and penalties and the authorities could claim that various withholding requirements apply to us or our subsidiaries or assert that benefits of certain tax treaties are not available to us or our subsidiaries, any of which could have a material impact on us and the results of our operations.</w:t>
      </w:r>
    </w:p>
    <w:p>
      <w:pPr>
        <w:spacing w:after="0" w:line="22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enactment of legislation implementing changes in U.S. taxation of international business activities or the adoption of other tax reform policies could materially impact our financial position and results of operations.</w:t>
      </w:r>
    </w:p>
    <w:p>
      <w:pPr>
        <w:spacing w:after="0" w:line="105"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the expansion of our international business activities, any changes in the U.S. taxation of such activities may impact our evidence supporting a full valuation allowance or increase our worldwide effective tax rate and adversely affect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Potential tax reform globally and in the United States may result in significant changes to U.S. federal income taxation law, including changes to the U.S. federal income taxation of corporations (including ours) and/or changes to the U.S. federal income taxation of stockholders in U.S. corporations, including investors in our common stock. For example, the U.S. Tax Cuts and Jobs Act of 2017 (the “Act”) was enacted on December 22, 2017 and significantly revised the U.S. corporate income tax law. Additional significant changes to U.S. federal corporate tax law were made by the Coronavirus Aid, Relief, and Economic Security Act, and the recently enacted Inflation Reduction Act. We continue to monitor the progression of new global and U.S. legislation impact on our effective tax rate. We are currently unable to predict whether any future changes will occur and, if so, the impact of such changes, including on the U.S. federal income tax considerations relating to the purchase, ownership and disposition of our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175" w:lineRule="exact"/>
        <w:rPr>
          <w:sz w:val="20"/>
          <w:szCs w:val="20"/>
          <w:color w:val="auto"/>
        </w:rPr>
      </w:pPr>
    </w:p>
    <w:p>
      <w:pPr>
        <w:ind w:right="100" w:firstLine="486"/>
        <w:spacing w:after="0" w:line="273" w:lineRule="auto"/>
        <w:rPr>
          <w:sz w:val="20"/>
          <w:szCs w:val="20"/>
          <w:color w:val="auto"/>
        </w:rPr>
      </w:pPr>
      <w:r>
        <w:rPr>
          <w:rFonts w:ascii="Times New Roman" w:cs="Times New Roman" w:eastAsia="Times New Roman" w:hAnsi="Times New Roman"/>
          <w:sz w:val="17"/>
          <w:szCs w:val="17"/>
          <w:color w:val="auto"/>
        </w:rPr>
        <w:t>As of January 31, 2022, we had net operating loss (“NOL”) carryforwards for U.S. federal and state, Irish and U.K. income tax purposes. A lack of future taxable income would adversely affect our ability to utilize these NOLs before they expire. In general, under Section 382 of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w:t>
      </w:r>
    </w:p>
    <w:p>
      <w:pPr>
        <w:spacing w:after="0" w:line="117"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For these reasons, we may not be able to utilize a material portion of the NOLs reflected on our balance sheet, even if we attain profitability, which could potentially result in increased future tax liability to us and could adversely affect our results of operations and financial condition.</w:t>
      </w:r>
    </w:p>
    <w:p>
      <w:pPr>
        <w:spacing w:after="0" w:line="10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05"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color w:val="auto"/>
        </w:rPr>
        <w:t>We do not collect sales and use, value added or similar taxes in all jurisdictions in which we have sales and we believe that such taxes are not applicable to our products and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end-customers for the past amounts and we may be required to collect such taxes in the future. If we are unsuccessful in collecting such taxes from our end-customers, we could be held liable for such costs. Such tax assessments, penalties and interest, or future requirements may adversely affect our results of operations.</w:t>
      </w:r>
    </w:p>
    <w:p>
      <w:pPr>
        <w:spacing w:after="0" w:line="12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05"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Our offerings are subject to U.S. export controls and we incorporate encryption technology into certain of our offerings. These encryption offerings and the underlying technology may be exported outside of the United States only with the required export authorizations, including by license.</w:t>
      </w:r>
    </w:p>
    <w:p>
      <w:pPr>
        <w:spacing w:after="0" w:line="10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Furthermore, our activities are subject to the economic sanctions laws and regulations by the U.S. and other jurisdictions that prohibit the shipment of certain products and services without the required export authorizations or export to countries, governments and persons targeted by the sanctions. While we take precautions to prevent our offerings from being exported in violation of these laws, including obtaining authorizations for our encryption offerings, implementing IP address blocking and screenings against U.S. Government and international lists of restricted and prohibited persons, we cannot guarantee that the precautions we take will prevent violations of export control and sanctions laws.</w:t>
      </w:r>
    </w:p>
    <w:p>
      <w:pPr>
        <w:spacing w:after="0" w:line="1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compliance requirements in our channel partner agreements. Complying with export control and sanctions regulations for a particular sale may be time-consuming and may result in the delay or loss of sales opportunities.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If we fail to comply with U.S. and other sanctions and export control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2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Also, various countries, in addition to the United States, regulate the import, export and sale of certain encryption and other technology, including permitting and licensing requirements and have enacted laws that could limit our ability to distribute our offerings or could limit our customers’ ability to implement our offerings in those countries. Changes in our offerings or future changes in export and import regulations may create delays in the introduction of our offerings in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or change in the countries, governments, persons or technologies targeted by such regulations, could result in decreased use of our offerings by, or in our decreased ability to export or sell our offerings to, existing or potential customers with international operations. Any decreased use of our offerings or limitation on our ability to export or sell our offerings would likely adversely affect our business operations and financial results.</w:t>
      </w:r>
    </w:p>
    <w:p>
      <w:pPr>
        <w:spacing w:after="0" w:line="13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floods, pandemics and public health emergencies and other natural catastrophic events and to interruption by man-made problems such as power disruptions, computer viruses, security breaches or terrorism.</w:t>
      </w:r>
    </w:p>
    <w:p>
      <w:pPr>
        <w:spacing w:after="0" w:line="10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As of October 31, 2022, we have customers in over 100 countries and employees in over 25 countries. A significant natural disaster or man-made problem, such as an earthquake, fire, flood, an act of terrorism, the regional or global outbreak of a contagious disease, such as the COVID-19 pandemic, or other catastrophic event occurring in any of these locations, could adversely affect our business, results of operations and financial condition. Further, if a natural disaster or man-made problem were to affect data centers used by our cloud infrastructure service providers this could adversely affect the ability of our customers to use our products. In addition, natural disasters, regional or global outbreaks of contagious diseases and acts of terrorism could cause disruptions in our or our customers’ businesses, national economies or the world economy as a whole. Moreover, these types of events could negatively impact consumer and business spending in the impacted regions or depending upon the severity, globally, which could adversely impact our operating results. For example, the extent to which the COVID-19 pandemic may continue to impact our business is uncertain; however, we continue to monitor its effect.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38"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addition, as computer malware, viruses and computer hacking, fraudulent use attempts and phishing attacks have become more prevalent, we face increased risk from these activities to maintain the performance, reliability, security and availability of our subscription offerings and related services and technical infrastructure to the satisfaction of our customers, which may harm our reputation and our ability to retain existing customers and attract new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our environmental, social, and governance activities and disclosures</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jc w:val="both"/>
        <w:ind w:right="80" w:firstLine="486"/>
        <w:spacing w:after="0"/>
        <w:rPr>
          <w:sz w:val="20"/>
          <w:szCs w:val="20"/>
          <w:color w:val="auto"/>
        </w:rPr>
      </w:pPr>
      <w:r>
        <w:rPr>
          <w:rFonts w:ascii="Times New Roman" w:cs="Times New Roman" w:eastAsia="Times New Roman" w:hAnsi="Times New Roman"/>
          <w:sz w:val="18"/>
          <w:szCs w:val="18"/>
          <w:color w:val="auto"/>
        </w:rPr>
        <w:t>We are in the process of developing our sustainability initiatives. The implementation of such initiatives may require considerable investment and if these initiatives are not perceived to be adequate, or if the positions we take (or choose not to take) on social and ethical issues are unpopular with some of our employees, partners, or with our customers or potential customers, our reputation could be harmed, which could negatively impact our ability to attract or retain employees, partners or customers.</w:t>
      </w:r>
    </w:p>
    <w:p>
      <w:pPr>
        <w:spacing w:after="0" w:line="22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Additionally, there can be no assurance that our reporting frameworks and principles will be in compliance with any new environmental and social laws and regulations that may be promulgated in the United States and elsewhere, and the costs of changing any of our current practices to comply with any new legal and regulatory requirements in the United States and elsewhere may be substantial. Furthermore, industry and market practices may further develop to become even more robust than what is required under any new laws and regulations, and we may have to expend significant efforts and resources to keep up with market trends and stay competitive among our peers.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has been and is likely to continue to be volatile, which could cause the value of our common stock to decline.</w:t>
      </w:r>
    </w:p>
    <w:p>
      <w:pPr>
        <w:spacing w:after="0" w:line="175"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Technology stocks have historically experienced high levels of volatility. The trading price of our common has been and is likely to continue to be volatile. Factors that could cause fluctuations in the trading price of our common stock include the following:</w:t>
      </w:r>
    </w:p>
    <w:p>
      <w:pPr>
        <w:spacing w:after="0" w:line="10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results of operations meet the expectations of securities analysts or investors;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technologies, commercial relationships, acquisitions or other events by us or our competitors;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our product and future product offerings and releases;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personnel;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shares or the size of our public float;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actual or future expectations of investors or securities analysts;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 involving our software;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foreign countries or both;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catastrophic events in our domestic and foreign markets;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“flash crashes,” “freeze flashes” or other glitches that disrupt trading on the securities exchange on which we are listed.</w:t>
      </w:r>
    </w:p>
    <w:p>
      <w:pPr>
        <w:spacing w:after="0" w:line="17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spacing w:after="0" w:line="12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and future operating results, which would cause our stock price to decline.</w:t>
      </w:r>
    </w:p>
    <w:p>
      <w:pPr>
        <w:spacing w:after="0" w:line="105" w:lineRule="exact"/>
        <w:rPr>
          <w:sz w:val="20"/>
          <w:szCs w:val="20"/>
          <w:color w:val="auto"/>
        </w:rPr>
      </w:pPr>
    </w:p>
    <w:p>
      <w:pPr>
        <w:ind w:right="120" w:firstLine="486"/>
        <w:spacing w:after="0" w:line="253" w:lineRule="auto"/>
        <w:rPr>
          <w:sz w:val="20"/>
          <w:szCs w:val="20"/>
          <w:color w:val="auto"/>
        </w:rPr>
      </w:pPr>
      <w:r>
        <w:rPr>
          <w:rFonts w:ascii="Times New Roman" w:cs="Times New Roman" w:eastAsia="Times New Roman" w:hAnsi="Times New Roman"/>
          <w:sz w:val="18"/>
          <w:szCs w:val="18"/>
          <w:color w:val="auto"/>
        </w:rPr>
        <w:t>We release earnings guidance in our quarterly and annual earnings conference calls, quarterly and annual earnings releases, or otherwise, regarding our future performance that represents our management’s estimates as of the date of release. This guidance includes forward-looking statements based on projections prepared by our management. Projections are based upon a number of assumptions and estimates that, while presented with numerical specificity, are inherently subject to significant business, economic and competitive uncertainties and contingencies on our business, many of which are beyond our control and are based upon specific assumptions with respect to future business decisions, some of which will change. Some of those key assumptions relate to the impact of the COVID-19 pandemic and the macroeconomic environment, which are inherently difficult to predict.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conditions caused by the COVID-19 pandemic, the ongoing geopolitical instability resulting from the conflict between Russia and Ukraine, severely diminished liquidity and credit availability, declines in consumer confidence, declines in economic growth, increases in unemployment rates, increases</w:t>
      </w: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inflation rates, higher interest rates and uncertainty about economic stability, any of which or combination thereof could materially and adversely affect our business and future operating results. Furthermore, if we make downward revisions of our previously announced guidance, if we withdraw our previously announced guidance, or if our publicly announced guidance of future operating results fails to meet expectations of securities analysts, investors or other interested parties, the price of our common stock would decline.</w:t>
      </w:r>
    </w:p>
    <w:p>
      <w:pPr>
        <w:spacing w:after="0" w:line="20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26"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Any failure to successfully implement our operating strategy or the occurrence of any of the events or circumstances set forth in this “Risk Factors” section in this report could result in the actual operating results being different from our guidance, and the differences may be adverse and material.</w:t>
      </w:r>
    </w:p>
    <w:p>
      <w:pPr>
        <w:spacing w:after="0" w:line="10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0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for the foreseeable future.</w:t>
      </w:r>
    </w:p>
    <w:p>
      <w:pPr>
        <w:spacing w:after="0" w:line="175"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dividends on our capital stock. We intend to retain any earnings to finance the operation and expansion of our business and we do not anticipate paying any dividends in the foreseeable future. As a result, investors in our common stock may only receive a return if the market price of our common stock increases.</w:t>
      </w:r>
    </w:p>
    <w:p>
      <w:pPr>
        <w:spacing w:after="0" w:line="11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105" w:lineRule="exact"/>
        <w:rPr>
          <w:sz w:val="20"/>
          <w:szCs w:val="20"/>
          <w:color w:val="auto"/>
        </w:rPr>
      </w:pPr>
    </w:p>
    <w:p>
      <w:pPr>
        <w:ind w:right="140" w:firstLine="486"/>
        <w:spacing w:after="0" w:line="253"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the Dodd-Frank Wall Street Reform and Consumer Protection Act, the listing requirements of the Nasdaq and other applicable securities rules and regulations. Our management and other personnel devote a substantial amount of time to compliance with these requirements. Moreover, these laws, regulations and standards are subject to varying interpretations and their application in practice may evolve over time as regulatory and governing bodies issue revisions to, or new interpretations of, these public company requirements. Such changes could result in continuing uncertainty regarding compliance matters and higher legal and financial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40"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Being a public company under these rules and regulations has made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executive officers or members of our Board of Directors, particularly to serve on our audit and compensation committees.</w:t>
      </w:r>
    </w:p>
    <w:p>
      <w:pPr>
        <w:spacing w:after="0" w:line="126" w:lineRule="exact"/>
        <w:rPr>
          <w:sz w:val="20"/>
          <w:szCs w:val="20"/>
          <w:color w:val="auto"/>
        </w:rPr>
      </w:pPr>
    </w:p>
    <w:p>
      <w:pPr>
        <w:ind w:right="20" w:firstLine="486"/>
        <w:spacing w:after="0" w:line="281" w:lineRule="auto"/>
        <w:rPr>
          <w:sz w:val="20"/>
          <w:szCs w:val="20"/>
          <w:color w:val="auto"/>
        </w:rPr>
      </w:pPr>
      <w:r>
        <w:rPr>
          <w:rFonts w:ascii="Times New Roman" w:cs="Times New Roman" w:eastAsia="Times New Roman" w:hAnsi="Times New Roman"/>
          <w:sz w:val="17"/>
          <w:szCs w:val="17"/>
          <w:color w:val="auto"/>
        </w:rPr>
        <w:t>As a result of the disclosures within our filings with the SEC, information about our business and our financial condition is available to competitors and other third parties, which may result in threatened or actual litigation, including by competitors and other third parties. If such claims are successful, our business and results of operations could be adversely affected. Even if the claims do not result in litigation or are resolved in our favor, these claims and the time and resources necessary to resolve them, could divert the resources of our management and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2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0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171"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w:t>
      </w:r>
      <w:r>
        <w:rPr>
          <w:rFonts w:ascii="Times New Roman" w:cs="Times New Roman" w:eastAsia="Times New Roman" w:hAnsi="Times New Roman"/>
          <w:sz w:val="18"/>
          <w:szCs w:val="18"/>
          <w:color w:val="212529"/>
        </w:rPr>
        <w:t>While the Delaware courts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and there can be no assurance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w:t>
      </w:r>
    </w:p>
    <w:p>
      <w:pPr>
        <w:spacing w:after="0" w:line="12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corporate charter and bylaws contain anti-takeover provisions that could delay or discourage takeover attempts that stockholders may consider favorable.</w:t>
      </w:r>
    </w:p>
    <w:p>
      <w:pPr>
        <w:spacing w:after="0" w:line="105"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122" w:lineRule="exact"/>
        <w:rPr>
          <w:sz w:val="20"/>
          <w:szCs w:val="20"/>
          <w:color w:val="auto"/>
        </w:rPr>
      </w:pPr>
    </w:p>
    <w:p>
      <w:pPr>
        <w:ind w:left="660" w:right="4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jc w:val="both"/>
        <w:ind w:left="660" w:right="560" w:hanging="328"/>
        <w:spacing w:after="0" w:line="312" w:lineRule="auto"/>
        <w:tabs>
          <w:tab w:leader="none" w:pos="6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31" w:lineRule="exact"/>
        <w:rPr>
          <w:rFonts w:ascii="Times New Roman" w:cs="Times New Roman" w:eastAsia="Times New Roman" w:hAnsi="Times New Roman"/>
          <w:sz w:val="17"/>
          <w:szCs w:val="17"/>
          <w:color w:val="auto"/>
        </w:rPr>
      </w:pPr>
    </w:p>
    <w:p>
      <w:pPr>
        <w:ind w:left="660" w:right="7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53"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our Board of Directors, the chairperson of our Board of Directors or our chief executive officer, which limitations could delay the ability of our stockholders to force consideration of a proposal or to take action, including the removal of directors;</w:t>
      </w:r>
    </w:p>
    <w:p>
      <w:pPr>
        <w:spacing w:after="0" w:line="6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affirmative vote of holders of a majority of the voting power of all of the then outstanding shares of the voting stock to amend the provisions of our amended and restated certificate of incorporation relating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to the management of our business (including our classified board structure) or certain provisions of our amended and restated bylaws, which may inhibit the ability of an acquirer to effect such amendments to facilitate an unsolicited takeover attempt;</w:t>
      </w:r>
    </w:p>
    <w:p>
      <w:pPr>
        <w:spacing w:after="0" w:line="54" w:lineRule="exact"/>
        <w:rPr>
          <w:sz w:val="20"/>
          <w:szCs w:val="20"/>
          <w:color w:val="auto"/>
        </w:rPr>
      </w:pPr>
    </w:p>
    <w:p>
      <w:pPr>
        <w:ind w:left="660" w:right="60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amend our bylaws, which may allow our Board of Directors to take additional actions to prevent an unsolicited takeover and inhibit the ability of an acquirer to amend our bylaws to facilitate an unsolicited takeover attempt; and</w:t>
      </w:r>
    </w:p>
    <w:p>
      <w:pPr>
        <w:spacing w:after="0" w:line="53"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22"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Outstanding Notes</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 significant amount of debt and may in the future incur additional indebtedness. We may not have sufficient cash flow from our business to make payments on our substantial debt when due.</w:t>
      </w:r>
    </w:p>
    <w:p>
      <w:pPr>
        <w:spacing w:after="0" w:line="10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June and July 2018, we issued $300.0 million aggregate principal amount of 0.75% convertible senior notes due 2024 (the “2024 Notes”), which were redeemed on December 3, 2021, in a private placement and in January 2020, we issued $1.15 billion aggregate principal amount of 0.25% convertible senior notes due 2026 (the “2026 Notes” and, together with the 2024 Notes, the “Notes”) in a private placement and concurrently repurchased for cash approximately $210.0 million of the aggregate principal amount of the 2024 Notes.</w:t>
      </w:r>
    </w:p>
    <w:p>
      <w:pPr>
        <w:spacing w:after="0" w:line="126"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We may be required to use a substantial portion of our cash flows from operations to pay interest and principal on our indebtedness. Our ability to make scheduled payments of the principal of, to pay interest on or to refinance our indebtedness, including the 2026 Notes, depends on our future performance, which is subject to economic, financial, competitive and other factors beyond our control. Such payments will reduce the funds available to us for working capital, capital expenditures and other corporate purposes and limit our ability to obtain additional financing for working capital, capital expenditures, expansion plans and other investments, which may in turn limit our ability to implement our business strategy, heighten our vulnerability to downturns in our business, the industry, or in the general economy, limit our flexibility in planning for, or reacting to, changes in our business and the industry and prevent us from taking advantage of business opportunities as they arise. Our business may not be able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We may not be able to engage in any of these activities or engage in these activities on desirable terms, which could result in a default on our debt obligations.</w:t>
      </w:r>
    </w:p>
    <w:p>
      <w:pPr>
        <w:spacing w:after="0" w:line="138"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addition, we and our subsidiaries may incur substantial additional debt in the future, subject to the restrictions contained in our future debt agreements, some of which may be secured debt. We are not restricted under the terms of the indentures governing the 2026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Notes that could have the effect of diminishing our ability to make payments on the Notes when due. Additionally, weakness and volatility in capital markets and the economy, in general or as a result of macroeconomic conditions such as rising inflation, could limit our access to capital markets and increase our costs of borrowing.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2026 Notes, if triggered, may adversely affect our financial condition and operating results.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event the conditional conversion feature of the 2026 Notes is triggered, holders of the 2026 Notes will be entitled to convert their 2026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In addition, even if holders of 2026 Notes do not elect to convert their 2026 Notes, we could be required under applicable accounting rules to reclassify all or a portion of the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p>
      <w:pPr>
        <w:ind w:left="33"/>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33"/>
        <w:spacing w:after="0"/>
        <w:rPr>
          <w:sz w:val="20"/>
          <w:szCs w:val="20"/>
          <w:color w:val="auto"/>
        </w:rPr>
      </w:pPr>
      <w:r>
        <w:rPr>
          <w:rFonts w:ascii="Times New Roman" w:cs="Times New Roman" w:eastAsia="Times New Roman" w:hAnsi="Times New Roman"/>
          <w:sz w:val="18"/>
          <w:szCs w:val="18"/>
          <w:color w:val="auto"/>
        </w:rPr>
        <w:t>outstanding principal of the 2026 Notes as a current rather than long-term liability, which would result in a material reduction of our net working capital.</w:t>
      </w:r>
    </w:p>
    <w:p>
      <w:pPr>
        <w:spacing w:after="0" w:line="171" w:lineRule="exact"/>
        <w:rPr>
          <w:sz w:val="20"/>
          <w:szCs w:val="20"/>
          <w:color w:val="auto"/>
        </w:rPr>
      </w:pPr>
    </w:p>
    <w:p>
      <w:pPr>
        <w:ind w:left="33" w:firstLine="486"/>
        <w:spacing w:after="0" w:line="258" w:lineRule="auto"/>
        <w:rPr>
          <w:sz w:val="20"/>
          <w:szCs w:val="20"/>
          <w:color w:val="auto"/>
        </w:rPr>
      </w:pPr>
      <w:r>
        <w:rPr>
          <w:rFonts w:ascii="Times New Roman" w:cs="Times New Roman" w:eastAsia="Times New Roman" w:hAnsi="Times New Roman"/>
          <w:sz w:val="18"/>
          <w:szCs w:val="18"/>
          <w:color w:val="auto"/>
        </w:rPr>
        <w:t>The conditional conversion feature of the 2026 Notes was triggered during the three months ended October 31, 2022, as the last reported sale price of our common stock was more than or equal to 130% of the applicable conversion price for each series of Notes for at least 20 trading days in the period of 30 consecutive trading days ending on October 31, 2022 (the last trading day of the fiscal quarter). Therefore, the 2026 Notes are currently convertible at the option of the holders thereof, in whole or in part, from November 1, 2022 through January 31, 2023. Whether the 2026 Notes will be convertible following such fiscal quarter will depend on the continued satisfaction of this condition or another conversion condition in the future.</w:t>
      </w:r>
    </w:p>
    <w:p>
      <w:pPr>
        <w:spacing w:after="0" w:line="129" w:lineRule="exact"/>
        <w:rPr>
          <w:sz w:val="20"/>
          <w:szCs w:val="20"/>
          <w:color w:val="auto"/>
        </w:rPr>
      </w:pPr>
    </w:p>
    <w:p>
      <w:pPr>
        <w:jc w:val="both"/>
        <w:ind w:left="33" w:right="80" w:firstLine="486"/>
        <w:spacing w:after="0" w:line="266" w:lineRule="auto"/>
        <w:rPr>
          <w:sz w:val="20"/>
          <w:szCs w:val="20"/>
          <w:color w:val="auto"/>
        </w:rPr>
      </w:pPr>
      <w:r>
        <w:rPr>
          <w:rFonts w:ascii="Times New Roman" w:cs="Times New Roman" w:eastAsia="Times New Roman" w:hAnsi="Times New Roman"/>
          <w:sz w:val="18"/>
          <w:szCs w:val="18"/>
          <w:color w:val="auto"/>
        </w:rPr>
        <w:t>Upon conversion of the 2026 Notes, unless we elect to deliver solely shares of our common stock to settle such conversion (other than paying cash in lieu of delivering any fractional share), we will be required to make cash payments in respect of the 2026 Notes being converted, which could adversely affect our liquidity.</w:t>
      </w:r>
    </w:p>
    <w:p>
      <w:pPr>
        <w:spacing w:after="0" w:line="118" w:lineRule="exact"/>
        <w:rPr>
          <w:sz w:val="20"/>
          <w:szCs w:val="20"/>
          <w:color w:val="auto"/>
        </w:rPr>
      </w:pPr>
    </w:p>
    <w:p>
      <w:pPr>
        <w:ind w:left="33"/>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2026 Notes and our common stock.</w:t>
      </w:r>
    </w:p>
    <w:p>
      <w:pPr>
        <w:spacing w:after="0" w:line="175" w:lineRule="exact"/>
        <w:rPr>
          <w:sz w:val="20"/>
          <w:szCs w:val="20"/>
          <w:color w:val="auto"/>
        </w:rPr>
      </w:pPr>
    </w:p>
    <w:p>
      <w:pPr>
        <w:ind w:left="33" w:right="220" w:firstLine="486"/>
        <w:spacing w:after="0" w:line="277" w:lineRule="auto"/>
        <w:rPr>
          <w:sz w:val="20"/>
          <w:szCs w:val="20"/>
          <w:color w:val="auto"/>
        </w:rPr>
      </w:pPr>
      <w:r>
        <w:rPr>
          <w:rFonts w:ascii="Times New Roman" w:cs="Times New Roman" w:eastAsia="Times New Roman" w:hAnsi="Times New Roman"/>
          <w:sz w:val="17"/>
          <w:szCs w:val="17"/>
          <w:color w:val="auto"/>
        </w:rPr>
        <w:t>In connection with the pricing of the 2026 Notes, we entered into privately negotiated capped call transactions with certain counterparties. The capped call transactions cover, subject to customary adjustments, the number of shares of our common stock initially underlying the 2026 Notes. The capped call transactions are expected to offset the potential dilution to our common stock upon any conversion of the 2026 Notes. In connection with establishing their initial hedges of the capped call transactions, the counterparties or their respective affiliates entered into various derivative transactions with respect to our common stock concurrently with or shortly after the pricing of the 2026 Notes, including with certain investors in the 2026 Notes.</w:t>
      </w:r>
    </w:p>
    <w:p>
      <w:pPr>
        <w:spacing w:after="0" w:line="114" w:lineRule="exact"/>
        <w:rPr>
          <w:sz w:val="20"/>
          <w:szCs w:val="20"/>
          <w:color w:val="auto"/>
        </w:rPr>
      </w:pPr>
    </w:p>
    <w:p>
      <w:pPr>
        <w:ind w:left="33" w:right="60" w:firstLine="486"/>
        <w:spacing w:after="0" w:line="255" w:lineRule="auto"/>
        <w:rPr>
          <w:sz w:val="20"/>
          <w:szCs w:val="20"/>
          <w:color w:val="auto"/>
        </w:rPr>
      </w:pPr>
      <w:r>
        <w:rPr>
          <w:rFonts w:ascii="Times New Roman" w:cs="Times New Roman" w:eastAsia="Times New Roman" w:hAnsi="Times New Roman"/>
          <w:sz w:val="18"/>
          <w:szCs w:val="18"/>
          <w:color w:val="auto"/>
        </w:rPr>
        <w:t>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2026 Notes (and are likely to do so on each exercise date of the capped call transactions, which are scheduled to occur during the observation period relating to any conversion of the 2026 Notes on or after October 15, 2025), or following any termination of any portion of the capped call transactions in connection with any repurchase, redemption or early conversions of the 2026 Notes or otherwise. This activity could also cause or avoid an increase or a decrease in the market price of our common stock. We do not make any representation or prediction as to the direction or magnitude of any potential effect that the transactions described above may have on the price of shares of our common stock.</w:t>
      </w:r>
    </w:p>
    <w:p>
      <w:pPr>
        <w:spacing w:after="0" w:line="378" w:lineRule="exact"/>
        <w:rPr>
          <w:sz w:val="20"/>
          <w:szCs w:val="20"/>
          <w:color w:val="auto"/>
        </w:rPr>
      </w:pPr>
    </w:p>
    <w:p>
      <w:pPr>
        <w:ind w:left="73"/>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175" w:lineRule="exact"/>
        <w:rPr>
          <w:sz w:val="20"/>
          <w:szCs w:val="20"/>
          <w:color w:val="auto"/>
        </w:rPr>
      </w:pPr>
    </w:p>
    <w:p>
      <w:pPr>
        <w:ind w:left="533" w:right="7180" w:hanging="492"/>
        <w:spacing w:after="0" w:line="438" w:lineRule="auto"/>
        <w:tabs>
          <w:tab w:leader="none" w:pos="526"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 Sales of Unregistered Equity Securities </w:t>
      </w:r>
      <w:r>
        <w:rPr>
          <w:rFonts w:ascii="Times New Roman" w:cs="Times New Roman" w:eastAsia="Times New Roman" w:hAnsi="Times New Roman"/>
          <w:sz w:val="18"/>
          <w:szCs w:val="18"/>
          <w:color w:val="auto"/>
        </w:rPr>
        <w:t>None.</w:t>
      </w:r>
    </w:p>
    <w:p>
      <w:pPr>
        <w:ind w:left="533" w:right="9520" w:hanging="492"/>
        <w:spacing w:after="0" w:line="438" w:lineRule="auto"/>
        <w:tabs>
          <w:tab w:leader="none" w:pos="523"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w:t>
      </w:r>
      <w:r>
        <w:rPr>
          <w:rFonts w:ascii="Times New Roman" w:cs="Times New Roman" w:eastAsia="Times New Roman" w:hAnsi="Times New Roman"/>
          <w:sz w:val="18"/>
          <w:szCs w:val="18"/>
          <w:color w:val="auto"/>
        </w:rPr>
        <w:t>None.</w:t>
      </w:r>
    </w:p>
    <w:p>
      <w:pPr>
        <w:ind w:left="493" w:hanging="493"/>
        <w:spacing w:after="0"/>
        <w:tabs>
          <w:tab w:leader="none" w:pos="493"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ind w:left="533"/>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ind w:left="33"/>
        <w:spacing w:after="0"/>
        <w:rPr>
          <w:sz w:val="20"/>
          <w:szCs w:val="20"/>
          <w:color w:val="auto"/>
        </w:rPr>
      </w:pPr>
      <w:r>
        <w:rPr>
          <w:rFonts w:ascii="Times New Roman" w:cs="Times New Roman" w:eastAsia="Times New Roman" w:hAnsi="Times New Roman"/>
          <w:sz w:val="22"/>
          <w:szCs w:val="22"/>
          <w:b w:val="1"/>
          <w:bCs w:val="1"/>
          <w:color w:val="auto"/>
        </w:rPr>
        <w:t>ITEM 3. DEFAULTS UPON SENIOR SECURITIES.</w:t>
      </w:r>
    </w:p>
    <w:p>
      <w:pPr>
        <w:spacing w:after="0" w:line="165" w:lineRule="exact"/>
        <w:rPr>
          <w:sz w:val="20"/>
          <w:szCs w:val="20"/>
          <w:color w:val="auto"/>
        </w:rPr>
      </w:pPr>
    </w:p>
    <w:p>
      <w:pPr>
        <w:ind w:left="493"/>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33"/>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79" w:lineRule="exact"/>
        <w:rPr>
          <w:sz w:val="20"/>
          <w:szCs w:val="20"/>
          <w:color w:val="auto"/>
        </w:rPr>
      </w:pPr>
    </w:p>
    <w:p>
      <w:pPr>
        <w:ind w:left="493"/>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175895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53"/>
          </w:cols>
          <w:pgMar w:left="287" w:top="130"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right"/>
        <w:ind w:right="379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OTHER INFORMATION.</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540" w:type="dxa"/>
            <w:vAlign w:val="bottom"/>
            <w:gridSpan w:val="4"/>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09"/>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540" w:type="dxa"/>
            <w:vAlign w:val="bottom"/>
            <w:gridSpan w:val="4"/>
            <w:vMerge w:val="continue"/>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80" w:type="dxa"/>
            <w:vAlign w:val="bottom"/>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4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8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File No.</w:t>
            </w:r>
          </w:p>
        </w:tc>
        <w:tc>
          <w:tcPr>
            <w:tcW w:w="760" w:type="dxa"/>
            <w:vAlign w:val="bottom"/>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5140" w:type="dxa"/>
            <w:vAlign w:val="bottom"/>
            <w:gridSpan w:val="12"/>
            <w:vMerge w:val="continue"/>
          </w:tcPr>
          <w:p>
            <w:pPr>
              <w:spacing w:after="0"/>
              <w:rPr>
                <w:sz w:val="8"/>
                <w:szCs w:val="8"/>
                <w:color w:val="auto"/>
              </w:rPr>
            </w:pPr>
          </w:p>
        </w:tc>
        <w:tc>
          <w:tcPr>
            <w:tcW w:w="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80" w:type="dxa"/>
            <w:vAlign w:val="bottom"/>
            <w:tcBorders>
              <w:bottom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Amended and Restated Certificate of Incorporation of Registrant</w:t>
              </w:r>
            </w:hyperlink>
          </w:p>
        </w:tc>
        <w:tc>
          <w:tcPr>
            <w:tcW w:w="460" w:type="dxa"/>
            <w:vAlign w:val="bottom"/>
            <w:gridSpan w:val="8"/>
          </w:tcPr>
          <w:p>
            <w:pPr>
              <w:spacing w:after="0"/>
              <w:rPr>
                <w:sz w:val="19"/>
                <w:szCs w:val="19"/>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001-38240</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10/25/2017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2"/>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Certificate of Retirement</w:t>
              </w:r>
            </w:hyperlink>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001-38240</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6/16/2020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Amended and Restated Bylaws of Registrant</w:t>
              </w:r>
            </w:hyperlink>
          </w:p>
        </w:tc>
        <w:tc>
          <w:tcPr>
            <w:tcW w:w="1900" w:type="dxa"/>
            <w:vAlign w:val="bottom"/>
            <w:gridSpan w:val="9"/>
          </w:tcPr>
          <w:p>
            <w:pPr>
              <w:spacing w:after="0"/>
              <w:rPr>
                <w:sz w:val="22"/>
                <w:szCs w:val="22"/>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333-220557</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3.4</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9/21/2017</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w:t>
            </w:r>
          </w:p>
        </w:tc>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14(a) and 15d-14(a) under the Securities Exchange Act of 1934, as</w:t>
            </w:r>
          </w:p>
        </w:tc>
        <w:tc>
          <w:tcPr>
            <w:tcW w:w="20" w:type="dxa"/>
            <w:vAlign w:val="bottom"/>
            <w:tcBorders>
              <w:bottom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w:t>
            </w:r>
          </w:p>
        </w:tc>
        <w:tc>
          <w:tcPr>
            <w:tcW w:w="180" w:type="dxa"/>
            <w:vAlign w:val="bottom"/>
            <w:tcBorders>
              <w:top w:val="single" w:sz="8" w:color="0000FF"/>
            </w:tcBorders>
            <w:gridSpan w:val="3"/>
          </w:tcPr>
          <w:p>
            <w:pPr>
              <w:spacing w:after="0"/>
              <w:rPr>
                <w:sz w:val="22"/>
                <w:szCs w:val="22"/>
                <w:color w:val="auto"/>
              </w:rPr>
            </w:pPr>
          </w:p>
        </w:tc>
        <w:tc>
          <w:tcPr>
            <w:tcW w:w="200" w:type="dxa"/>
            <w:vAlign w:val="bottom"/>
            <w:gridSpan w:val="2"/>
          </w:tcPr>
          <w:p>
            <w:pPr>
              <w:spacing w:after="0"/>
              <w:rPr>
                <w:sz w:val="22"/>
                <w:szCs w:val="22"/>
                <w:color w:val="auto"/>
              </w:rPr>
            </w:pPr>
          </w:p>
        </w:tc>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tcBorders>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9"/>
              </w:rPr>
              <w:t>14(a) and 15d-14(a) under the Securities Exchange Act of 1934, as</w:t>
            </w:r>
          </w:p>
        </w:tc>
        <w:tc>
          <w:tcPr>
            <w:tcW w:w="320" w:type="dxa"/>
            <w:vAlign w:val="bottom"/>
            <w:gridSpan w:val="3"/>
          </w:tcPr>
          <w:p>
            <w:pPr>
              <w:spacing w:after="0"/>
              <w:rPr>
                <w:sz w:val="13"/>
                <w:szCs w:val="13"/>
                <w:color w:val="auto"/>
              </w:rPr>
            </w:pPr>
          </w:p>
        </w:tc>
        <w:tc>
          <w:tcPr>
            <w:tcW w:w="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200" w:type="dxa"/>
            <w:vAlign w:val="bottom"/>
            <w:gridSpan w:val="2"/>
          </w:tcPr>
          <w:p>
            <w:pPr>
              <w:spacing w:after="0"/>
              <w:rPr>
                <w:sz w:val="22"/>
                <w:szCs w:val="22"/>
                <w:color w:val="auto"/>
              </w:rPr>
            </w:pPr>
          </w:p>
        </w:tc>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 of the Sarbanes</w:t>
            </w:r>
          </w:p>
        </w:tc>
        <w:tc>
          <w:tcPr>
            <w:tcW w:w="400" w:type="dxa"/>
            <w:vAlign w:val="bottom"/>
            <w:gridSpan w:val="6"/>
          </w:tcPr>
          <w:p>
            <w:pPr>
              <w:jc w:val="right"/>
              <w:ind w:right="320"/>
              <w:spacing w:after="0" w:line="156" w:lineRule="exact"/>
              <w:rPr>
                <w:sz w:val="20"/>
                <w:szCs w:val="20"/>
                <w:color w:val="auto"/>
              </w:rPr>
            </w:pPr>
            <w:r>
              <w:rPr>
                <w:rFonts w:ascii="Times New Roman" w:cs="Times New Roman" w:eastAsia="Times New Roman" w:hAnsi="Times New Roman"/>
                <w:sz w:val="18"/>
                <w:szCs w:val="18"/>
                <w:color w:val="0000FF"/>
                <w:w w:val="99"/>
              </w:rPr>
              <w:t>-</w:t>
            </w:r>
          </w:p>
        </w:tc>
        <w:tc>
          <w:tcPr>
            <w:tcW w:w="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3460" w:type="dxa"/>
            <w:vAlign w:val="bottom"/>
            <w:tcBorders>
              <w:top w:val="single" w:sz="8" w:color="0000FF"/>
            </w:tcBorders>
            <w:gridSpan w:val="8"/>
          </w:tcPr>
          <w:p>
            <w:pPr>
              <w:spacing w:after="0"/>
              <w:rPr>
                <w:sz w:val="14"/>
                <w:szCs w:val="14"/>
                <w:color w:val="auto"/>
              </w:rPr>
            </w:pPr>
          </w:p>
        </w:tc>
        <w:tc>
          <w:tcPr>
            <w:tcW w:w="320" w:type="dxa"/>
            <w:vAlign w:val="bottom"/>
            <w:gridSpan w:val="3"/>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8"/>
              </w:rPr>
              <w:t>Section 1350, as Adopted Pursuant to Section 906 of the Sarbanes</w:t>
            </w:r>
          </w:p>
        </w:tc>
        <w:tc>
          <w:tcPr>
            <w:tcW w:w="440" w:type="dxa"/>
            <w:vAlign w:val="bottom"/>
            <w:gridSpan w:val="7"/>
          </w:tcPr>
          <w:p>
            <w:pPr>
              <w:jc w:val="right"/>
              <w:ind w:right="320"/>
              <w:spacing w:after="0" w:line="156" w:lineRule="exact"/>
              <w:rPr>
                <w:sz w:val="20"/>
                <w:szCs w:val="20"/>
                <w:color w:val="auto"/>
              </w:rPr>
            </w:pPr>
            <w:r>
              <w:rPr>
                <w:rFonts w:ascii="Times New Roman" w:cs="Times New Roman" w:eastAsia="Times New Roman" w:hAnsi="Times New Roman"/>
                <w:sz w:val="18"/>
                <w:szCs w:val="18"/>
                <w:color w:val="0000FF"/>
              </w:rPr>
              <w:t>-</w:t>
            </w:r>
          </w:p>
        </w:tc>
        <w:tc>
          <w:tcPr>
            <w:tcW w:w="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3460" w:type="dxa"/>
            <w:vAlign w:val="bottom"/>
            <w:tcBorders>
              <w:top w:val="single" w:sz="8" w:color="0000FF"/>
            </w:tcBorders>
            <w:gridSpan w:val="8"/>
          </w:tcPr>
          <w:p>
            <w:pPr>
              <w:spacing w:after="0"/>
              <w:rPr>
                <w:sz w:val="14"/>
                <w:szCs w:val="14"/>
                <w:color w:val="auto"/>
              </w:rPr>
            </w:pPr>
          </w:p>
        </w:tc>
        <w:tc>
          <w:tcPr>
            <w:tcW w:w="320" w:type="dxa"/>
            <w:vAlign w:val="bottom"/>
            <w:gridSpan w:val="3"/>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100" w:right="6320" w:hanging="1074"/>
        <w:spacing w:after="0" w:line="237" w:lineRule="auto"/>
        <w:tabs>
          <w:tab w:leader="none" w:pos="1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31" w:lineRule="exact"/>
        <w:rPr>
          <w:rFonts w:ascii="Times New Roman" w:cs="Times New Roman" w:eastAsia="Times New Roman" w:hAnsi="Times New Roman"/>
          <w:sz w:val="18"/>
          <w:szCs w:val="18"/>
          <w:color w:val="auto"/>
        </w:rPr>
      </w:pPr>
    </w:p>
    <w:p>
      <w:pPr>
        <w:ind w:left="1100" w:right="60" w:hanging="657"/>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134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6240" w:type="dxa"/>
            <w:vAlign w:val="bottom"/>
            <w:gridSpan w:val="3"/>
          </w:tcPr>
          <w:p>
            <w:pPr>
              <w:ind w:left="1060"/>
              <w:spacing w:after="0"/>
              <w:rPr>
                <w:sz w:val="20"/>
                <w:szCs w:val="20"/>
                <w:color w:val="auto"/>
              </w:rPr>
            </w:pPr>
            <w:r>
              <w:rPr>
                <w:rFonts w:ascii="Times New Roman" w:cs="Times New Roman" w:eastAsia="Times New Roman" w:hAnsi="Times New Roman"/>
                <w:sz w:val="18"/>
                <w:szCs w:val="18"/>
                <w:b w:val="1"/>
                <w:bCs w:val="1"/>
                <w:color w:val="auto"/>
              </w:rPr>
              <w:t>MONGODB, INC.</w:t>
            </w:r>
          </w:p>
        </w:tc>
      </w:tr>
      <w:tr>
        <w:trPr>
          <w:trHeight w:val="90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8, 2022</w:t>
            </w:r>
          </w:p>
        </w:tc>
        <w:tc>
          <w:tcPr>
            <w:tcW w:w="21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Dev Ittycheria</w:t>
            </w:r>
          </w:p>
        </w:tc>
      </w:tr>
      <w:tr>
        <w:trPr>
          <w:trHeight w:val="264"/>
        </w:trPr>
        <w:tc>
          <w:tcPr>
            <w:tcW w:w="28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Dev Ittycheria</w:t>
            </w:r>
          </w:p>
        </w:tc>
      </w:tr>
      <w:tr>
        <w:trPr>
          <w:trHeight w:val="270"/>
        </w:trPr>
        <w:tc>
          <w:tcPr>
            <w:tcW w:w="28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28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1026"/>
        </w:trPr>
        <w:tc>
          <w:tcPr>
            <w:tcW w:w="2820" w:type="dxa"/>
            <w:vAlign w:val="bottom"/>
          </w:tcPr>
          <w:p>
            <w:pPr>
              <w:spacing w:after="0"/>
              <w:rPr>
                <w:sz w:val="24"/>
                <w:szCs w:val="24"/>
                <w:color w:val="auto"/>
              </w:rPr>
            </w:pPr>
          </w:p>
        </w:tc>
        <w:tc>
          <w:tcPr>
            <w:tcW w:w="21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Michael Gordon</w:t>
            </w:r>
          </w:p>
        </w:tc>
      </w:tr>
      <w:tr>
        <w:trPr>
          <w:trHeight w:val="263"/>
        </w:trPr>
        <w:tc>
          <w:tcPr>
            <w:tcW w:w="28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Michael Gordon</w:t>
            </w:r>
          </w:p>
        </w:tc>
      </w:tr>
      <w:tr>
        <w:trPr>
          <w:trHeight w:val="270"/>
        </w:trPr>
        <w:tc>
          <w:tcPr>
            <w:tcW w:w="28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Operating Officer and Chief Financial Officer</w:t>
            </w:r>
          </w:p>
        </w:tc>
      </w:tr>
      <w:tr>
        <w:trPr>
          <w:trHeight w:val="270"/>
        </w:trPr>
        <w:tc>
          <w:tcPr>
            <w:tcW w:w="28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30"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Dev Ittycheria, certify that:</w:t>
      </w:r>
    </w:p>
    <w:p>
      <w:pPr>
        <w:spacing w:after="0" w:line="25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MongoDB, Inc. (the “registrant”);</w:t>
      </w:r>
    </w:p>
    <w:p>
      <w:pPr>
        <w:spacing w:after="0" w:line="36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6"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0"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1040"/>
        <w:spacing w:after="0"/>
        <w:tabs>
          <w:tab w:leader="none" w:pos="5800" w:val="left"/>
          <w:tab w:leader="none" w:pos="7020" w:val="left"/>
        </w:tabs>
        <w:rPr>
          <w:sz w:val="20"/>
          <w:szCs w:val="20"/>
          <w:color w:val="auto"/>
        </w:rPr>
      </w:pPr>
      <w:r>
        <w:rPr>
          <w:rFonts w:ascii="Times New Roman" w:cs="Times New Roman" w:eastAsia="Times New Roman" w:hAnsi="Times New Roman"/>
          <w:sz w:val="18"/>
          <w:szCs w:val="18"/>
          <w:color w:val="auto"/>
        </w:rPr>
        <w:t>Date: December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24860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9" w:lineRule="exact"/>
        <w:rPr>
          <w:sz w:val="20"/>
          <w:szCs w:val="20"/>
          <w:color w:val="auto"/>
        </w:rPr>
      </w:pPr>
    </w:p>
    <w:p>
      <w:pPr>
        <w:ind w:left="6340"/>
        <w:spacing w:after="0"/>
        <w:tabs>
          <w:tab w:leader="none" w:pos="702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Dev Ittycheria</w:t>
      </w:r>
    </w:p>
    <w:p>
      <w:pPr>
        <w:spacing w:after="0" w:line="63" w:lineRule="exact"/>
        <w:rPr>
          <w:sz w:val="20"/>
          <w:szCs w:val="20"/>
          <w:color w:val="auto"/>
        </w:rPr>
      </w:pPr>
    </w:p>
    <w:p>
      <w:pPr>
        <w:ind w:left="6340"/>
        <w:spacing w:after="0"/>
        <w:tabs>
          <w:tab w:leader="none" w:pos="702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President and Chief Executive Officer</w:t>
      </w:r>
    </w:p>
    <w:p>
      <w:pPr>
        <w:spacing w:after="0" w:line="65"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Gordon, certify that:</w:t>
      </w:r>
    </w:p>
    <w:p>
      <w:pPr>
        <w:spacing w:after="0" w:line="25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MongoDB, Inc. (the “registrant”);</w:t>
      </w:r>
    </w:p>
    <w:p>
      <w:pPr>
        <w:spacing w:after="0" w:line="36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6"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0"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1040"/>
        <w:spacing w:after="0"/>
        <w:tabs>
          <w:tab w:leader="none" w:pos="4980" w:val="left"/>
          <w:tab w:leader="none" w:pos="6200" w:val="left"/>
        </w:tabs>
        <w:rPr>
          <w:sz w:val="20"/>
          <w:szCs w:val="20"/>
          <w:color w:val="auto"/>
        </w:rPr>
      </w:pPr>
      <w:r>
        <w:rPr>
          <w:rFonts w:ascii="Times New Roman" w:cs="Times New Roman" w:eastAsia="Times New Roman" w:hAnsi="Times New Roman"/>
          <w:sz w:val="18"/>
          <w:szCs w:val="18"/>
          <w:color w:val="auto"/>
        </w:rPr>
        <w:t>Date: December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17145</wp:posOffset>
            </wp:positionV>
            <wp:extent cx="30086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9" w:lineRule="exact"/>
        <w:rPr>
          <w:sz w:val="20"/>
          <w:szCs w:val="20"/>
          <w:color w:val="auto"/>
        </w:rPr>
      </w:pPr>
    </w:p>
    <w:p>
      <w:pPr>
        <w:ind w:left="552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7"/>
          <w:szCs w:val="17"/>
          <w:color w:val="auto"/>
        </w:rPr>
        <w:t>Michael Gordon</w:t>
      </w:r>
    </w:p>
    <w:p>
      <w:pPr>
        <w:spacing w:after="0" w:line="63" w:lineRule="exact"/>
        <w:rPr>
          <w:sz w:val="20"/>
          <w:szCs w:val="20"/>
          <w:color w:val="auto"/>
        </w:rPr>
      </w:pPr>
    </w:p>
    <w:p>
      <w:pPr>
        <w:ind w:left="552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Operating Officer and Chief Financial Officer</w:t>
      </w:r>
    </w:p>
    <w:p>
      <w:pPr>
        <w:spacing w:after="0" w:line="6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 Dev Ittycheria, certify, pursuant to 18 U.S.C. Section 1350, as adopted pursuant to Section 906 of the Sarbanes-Oxley Act of 2002, that the Quarterly Report on Form 10-Q of MongoDB, Inc. for the period ended October 31, 2022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60"/>
        <w:spacing w:after="0"/>
        <w:tabs>
          <w:tab w:leader="none" w:pos="5780" w:val="left"/>
          <w:tab w:leader="none" w:pos="7000" w:val="left"/>
        </w:tabs>
        <w:rPr>
          <w:sz w:val="20"/>
          <w:szCs w:val="20"/>
          <w:color w:val="auto"/>
        </w:rPr>
      </w:pPr>
      <w:r>
        <w:rPr>
          <w:rFonts w:ascii="Times New Roman" w:cs="Times New Roman" w:eastAsia="Times New Roman" w:hAnsi="Times New Roman"/>
          <w:sz w:val="18"/>
          <w:szCs w:val="18"/>
          <w:color w:val="auto"/>
        </w:rPr>
        <w:t>Date: December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24860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9" w:lineRule="exact"/>
        <w:rPr>
          <w:sz w:val="20"/>
          <w:szCs w:val="20"/>
          <w:color w:val="auto"/>
        </w:rPr>
      </w:pPr>
    </w:p>
    <w:p>
      <w:pPr>
        <w:ind w:left="6320"/>
        <w:spacing w:after="0"/>
        <w:tabs>
          <w:tab w:leader="none" w:pos="70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Dev Ittycheria</w:t>
      </w:r>
    </w:p>
    <w:p>
      <w:pPr>
        <w:spacing w:after="0" w:line="63" w:lineRule="exact"/>
        <w:rPr>
          <w:sz w:val="20"/>
          <w:szCs w:val="20"/>
          <w:color w:val="auto"/>
        </w:rPr>
      </w:pPr>
    </w:p>
    <w:p>
      <w:pPr>
        <w:ind w:left="6320"/>
        <w:spacing w:after="0"/>
        <w:tabs>
          <w:tab w:leader="none" w:pos="70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President and Chief Executive Officer</w:t>
      </w:r>
    </w:p>
    <w:p>
      <w:pPr>
        <w:spacing w:after="0" w:line="65"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both"/>
        <w:ind w:right="28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117"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 Michael Gordon, certify, pursuant to 18 U.S.C. Section 1350, as adopted pursuant to Section 906 of the Sarbanes-Oxley Act of 2002, that the Quarterly Report on Form 10-Q of MongoDB, Inc. for the period ended October 31, 2022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40"/>
        <w:spacing w:after="0"/>
        <w:tabs>
          <w:tab w:leader="none" w:pos="4980" w:val="left"/>
          <w:tab w:leader="none" w:pos="6200" w:val="left"/>
        </w:tabs>
        <w:rPr>
          <w:sz w:val="20"/>
          <w:szCs w:val="20"/>
          <w:color w:val="auto"/>
        </w:rPr>
      </w:pPr>
      <w:r>
        <w:rPr>
          <w:rFonts w:ascii="Times New Roman" w:cs="Times New Roman" w:eastAsia="Times New Roman" w:hAnsi="Times New Roman"/>
          <w:sz w:val="18"/>
          <w:szCs w:val="18"/>
          <w:color w:val="auto"/>
        </w:rPr>
        <w:t>Date: December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17145</wp:posOffset>
            </wp:positionV>
            <wp:extent cx="30086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9" w:lineRule="exact"/>
        <w:rPr>
          <w:sz w:val="20"/>
          <w:szCs w:val="20"/>
          <w:color w:val="auto"/>
        </w:rPr>
      </w:pPr>
    </w:p>
    <w:p>
      <w:pPr>
        <w:ind w:left="552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7"/>
          <w:szCs w:val="17"/>
          <w:color w:val="auto"/>
        </w:rPr>
        <w:t>Michael Gordon</w:t>
      </w:r>
    </w:p>
    <w:p>
      <w:pPr>
        <w:spacing w:after="0" w:line="63" w:lineRule="exact"/>
        <w:rPr>
          <w:sz w:val="20"/>
          <w:szCs w:val="20"/>
          <w:color w:val="auto"/>
        </w:rPr>
      </w:pPr>
    </w:p>
    <w:p>
      <w:pPr>
        <w:ind w:left="552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Operating Officer and Chief Financial Officer</w:t>
      </w:r>
    </w:p>
    <w:p>
      <w:pPr>
        <w:spacing w:after="0" w:line="6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both"/>
        <w:ind w:right="28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lowerLetter"/>
      <w:start w:val="1"/>
    </w:lvl>
    <w:lvl w:ilvl="1">
      <w:lvlJc w:val="left"/>
      <w:lvlText w:val="(%2)"/>
      <w:numFmt w:val="lowerLetter"/>
      <w:start w:val="1"/>
    </w:lvl>
  </w:abstractNum>
  <w:abstractNum w:abstractNumId="17">
    <w:nsid w:val="257130A3"/>
    <w:multiLevelType w:val="hybridMultilevel"/>
    <w:lvl w:ilvl="0">
      <w:lvlJc w:val="left"/>
      <w:lvlText w:val="(%1)"/>
      <w:numFmt w:val="lowerLetter"/>
      <w:start w:val="3"/>
    </w:lvl>
    <w:lvl w:ilvl="1">
      <w:lvlJc w:val="left"/>
      <w:lvlText w:val="%2"/>
      <w:numFmt w:val="lowerLetter"/>
      <w:start w:val="1"/>
    </w:lvl>
  </w:abstractNum>
  <w:abstractNum w:abstractNumId="18">
    <w:nsid w:val="62BBD95A"/>
    <w:multiLevelType w:val="hybridMultilevel"/>
    <w:lvl w:ilvl="0">
      <w:lvlJc w:val="left"/>
      <w:lvlText w:val="%1"/>
      <w:numFmt w:val="decimal"/>
      <w:start w:val="104"/>
    </w:lvl>
    <w:lvl w:ilvl="1">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36" Type="http://schemas.openxmlformats.org/officeDocument/2006/relationships/hyperlink" Target="http://www.sec.gov/Archives/edgar/data/1441816/000110465917063753/a17-24439_1ex3d1.htm" TargetMode="External"/><Relationship Id="rId137" Type="http://schemas.openxmlformats.org/officeDocument/2006/relationships/hyperlink" Target="http://www.sec.gov/Archives/edgar/data/1441816/000144181620000114/mdb-certificateofretir.htm" TargetMode="External"/><Relationship Id="rId138" Type="http://schemas.openxmlformats.org/officeDocument/2006/relationships/hyperlink" Target="http://www.sec.gov/Archives/edgar/data/1441816/000104746917006014/a2233365zex-3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2022-12-08T16:17:17Z</dcterms:created>
  <dcterms:modified xsi:type="dcterms:W3CDTF">2022-12-08T16:17:17Z</dcterms:modified>
</cp:coreProperties>
</file>