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3937635</wp:posOffset>
            </wp:positionH>
            <wp:positionV relativeFrom="paragraph">
              <wp:posOffset>-19050</wp:posOffset>
            </wp:positionV>
            <wp:extent cx="2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3" w:lineRule="exact"/>
        <w:rPr>
          <w:sz w:val="24"/>
          <w:szCs w:val="24"/>
          <w:color w:val="auto"/>
        </w:rPr>
      </w:pPr>
    </w:p>
    <w:p>
      <w:pPr>
        <w:spacing w:after="0" w:line="207" w:lineRule="exact"/>
        <w:tabs>
          <w:tab w:leader="none" w:pos="18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919" w:firstLine="8"/>
        <w:spacing w:after="0" w:line="21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4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780" w:hanging="673"/>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780" w:hanging="673"/>
        <w:spacing w:after="0"/>
        <w:tabs>
          <w:tab w:leader="none" w:pos="7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6591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706120</wp:posOffset>
            </wp:positionV>
            <wp:extent cx="270002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7000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MongoDB, Inc.</w:t>
      </w:r>
    </w:p>
    <w:p>
      <w:pPr>
        <w:spacing w:after="0" w:line="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To Be Held on June 30, 2026 at 10:00 a.m. Eastern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MongoDB, Inc.:</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it is our pleasure to invite you to attend the 2026 annual meeting of stockholders of MongoDB, Inc., a Delaware corporation.</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meeting will be held virtually, via live webcast at </w:t>
      </w:r>
      <w:r>
        <w:rPr>
          <w:rFonts w:ascii="Times New Roman" w:cs="Times New Roman" w:eastAsia="Times New Roman" w:hAnsi="Times New Roman"/>
          <w:sz w:val="18"/>
          <w:szCs w:val="18"/>
          <w:i w:val="1"/>
          <w:iCs w:val="1"/>
          <w:color w:val="auto"/>
        </w:rPr>
        <w:t>www.virtualshareholdermeeting.com/MDB2026</w:t>
      </w:r>
      <w:r>
        <w:rPr>
          <w:rFonts w:ascii="Times New Roman" w:cs="Times New Roman" w:eastAsia="Times New Roman" w:hAnsi="Times New Roman"/>
          <w:sz w:val="18"/>
          <w:szCs w:val="18"/>
          <w:color w:val="auto"/>
        </w:rPr>
        <w:t>, originating from New York, New York, on Tuesday, June 30, 2026 at 10:00 a.m. Eastern Time. We believe hosting a virtual meeting enables expanded access for our stockholders, improved communication and cost savings, which in turn lead to increased stockholder attendance and participation from locations around the world. Stockholders attending the virtual meeting will be afforded the same rights and opportunities to participate as they would at an in-person meeting. We encourage you to attend online and participate. The record date for the meeting is May 1, 2026. Only stockholders of record at the close of business on that date may vote at the meeting or any adjournment thereof.</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meeting, we urge you to vote by proxy to ensure your vote is counted.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meeting will be held for the following purposes:</w:t>
      </w:r>
    </w:p>
    <w:p>
      <w:pPr>
        <w:spacing w:after="0" w:line="117"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Archana Agrawal, Hope Cochran and Dwight Merriman, each to serve until our annual meeting of stockholders in 2029;</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registered public accounting firm for our fiscal year ending January 31, 2027;</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eliminate supermajority vote requirements;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adjournments or postponements thereof.</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materials accompanying this notice.</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of Proxy Materials is being mailed, and the attached proxy statement is being made available, to our stockholders beginning on or about May 19, 2026.</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and the management team, thank you for your investment and interest in 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7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43180</wp:posOffset>
            </wp:positionV>
            <wp:extent cx="74549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54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554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Andrew Stephens</w:t>
            </w:r>
          </w:p>
        </w:tc>
      </w:tr>
      <w:tr>
        <w:trPr>
          <w:trHeight w:val="270"/>
        </w:trPr>
        <w:tc>
          <w:tcPr>
            <w:tcW w:w="4100" w:type="dxa"/>
            <w:vAlign w:val="bottom"/>
          </w:tcPr>
          <w:p>
            <w:pPr>
              <w:spacing w:after="0"/>
              <w:rPr>
                <w:sz w:val="23"/>
                <w:szCs w:val="23"/>
                <w:color w:val="auto"/>
              </w:rPr>
            </w:pPr>
          </w:p>
        </w:tc>
        <w:tc>
          <w:tcPr>
            <w:tcW w:w="5540" w:type="dxa"/>
            <w:vAlign w:val="bottom"/>
          </w:tcPr>
          <w:p>
            <w:pPr>
              <w:ind w:left="3100"/>
              <w:spacing w:after="0"/>
              <w:rPr>
                <w:sz w:val="20"/>
                <w:szCs w:val="20"/>
                <w:color w:val="auto"/>
              </w:rPr>
            </w:pPr>
            <w:r>
              <w:rPr>
                <w:rFonts w:ascii="Times New Roman" w:cs="Times New Roman" w:eastAsia="Times New Roman" w:hAnsi="Times New Roman"/>
                <w:sz w:val="18"/>
                <w:szCs w:val="18"/>
                <w:color w:val="auto"/>
                <w:w w:val="98"/>
              </w:rPr>
              <w:t>Chief Legal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b w:val="1"/>
          <w:bCs w:val="1"/>
          <w:color w:val="auto"/>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broker, bank or other similar organization and you wish to vote during the meeting, you must follow the instructions from such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Questions and Answers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7400" w:type="dxa"/>
            <w:vAlign w:val="bottom"/>
            <w:gridSpan w:val="7"/>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80" w:type="dxa"/>
            <w:vAlign w:val="bottom"/>
            <w:gridSpan w:val="5"/>
          </w:tcPr>
          <w:p>
            <w:pPr>
              <w:spacing w:after="0"/>
              <w:rPr>
                <w:sz w:val="21"/>
                <w:szCs w:val="21"/>
                <w:color w:val="auto"/>
              </w:rPr>
            </w:pPr>
          </w:p>
        </w:tc>
        <w:tc>
          <w:tcPr>
            <w:tcW w:w="7400" w:type="dxa"/>
            <w:vAlign w:val="bottom"/>
            <w:gridSpan w:val="7"/>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50"/>
        </w:trPr>
        <w:tc>
          <w:tcPr>
            <w:tcW w:w="47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Information Regarding Director Nominees and Current Directors</w:t>
            </w:r>
          </w:p>
        </w:tc>
        <w:tc>
          <w:tcPr>
            <w:tcW w:w="6040" w:type="dxa"/>
            <w:vAlign w:val="bottom"/>
            <w:gridSpan w:val="6"/>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50"/>
        </w:trPr>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904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50"/>
        </w:trPr>
        <w:tc>
          <w:tcPr>
            <w:tcW w:w="10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2 – Approval, on a Non-binding Advisory Basis, of the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50"/>
        </w:trPr>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6840" w:type="dxa"/>
            <w:vAlign w:val="bottom"/>
            <w:tcBorders>
              <w:top w:val="single" w:sz="8" w:color="0000FF"/>
            </w:tcBorders>
            <w:gridSpan w:val="14"/>
          </w:tcPr>
          <w:p>
            <w:pPr>
              <w:spacing w:after="0"/>
              <w:rPr>
                <w:sz w:val="21"/>
                <w:szCs w:val="21"/>
                <w:color w:val="auto"/>
              </w:rPr>
            </w:pPr>
          </w:p>
        </w:tc>
        <w:tc>
          <w:tcPr>
            <w:tcW w:w="254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50"/>
        </w:trPr>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920" w:type="dxa"/>
            <w:vAlign w:val="bottom"/>
            <w:gridSpan w:val="14"/>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50"/>
        </w:trPr>
        <w:tc>
          <w:tcPr>
            <w:tcW w:w="10740" w:type="dxa"/>
            <w:vAlign w:val="bottom"/>
            <w:gridSpan w:val="21"/>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Discussion and Analysis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740" w:type="dxa"/>
            <w:vAlign w:val="bottom"/>
            <w:gridSpan w:val="21"/>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Compensation Committee Report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740" w:type="dxa"/>
            <w:vAlign w:val="bottom"/>
            <w:gridSpan w:val="21"/>
          </w:tcPr>
          <w:p>
            <w:pPr>
              <w:ind w:lef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Executive Compensation Tables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
        </w:trPr>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CEO Pay Ratio</w:t>
            </w:r>
          </w:p>
        </w:tc>
        <w:tc>
          <w:tcPr>
            <w:tcW w:w="9620" w:type="dxa"/>
            <w:vAlign w:val="bottom"/>
            <w:gridSpan w:val="18"/>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50"/>
        </w:trPr>
        <w:tc>
          <w:tcPr>
            <w:tcW w:w="10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8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900" w:type="dxa"/>
            <w:vAlign w:val="bottom"/>
            <w:gridSpan w:val="9"/>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72</w:t>
            </w:r>
          </w:p>
        </w:tc>
      </w:tr>
      <w:tr>
        <w:trPr>
          <w:trHeight w:val="250"/>
        </w:trPr>
        <w:tc>
          <w:tcPr>
            <w:tcW w:w="6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3 – Ratification of Selection of Independent Registered Public Accounting Firm</w:t>
            </w:r>
          </w:p>
        </w:tc>
        <w:tc>
          <w:tcPr>
            <w:tcW w:w="4300" w:type="dxa"/>
            <w:vAlign w:val="bottom"/>
            <w:gridSpan w:val="4"/>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73</w:t>
            </w:r>
          </w:p>
        </w:tc>
      </w:tr>
      <w:tr>
        <w:trPr>
          <w:trHeight w:val="250"/>
        </w:trPr>
        <w:tc>
          <w:tcPr>
            <w:tcW w:w="10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4 – Approval of an Amendment to our Amended and Restated Certificate of Incorporation to Eliminate Supermajority Vote Requirements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75</w:t>
            </w:r>
          </w:p>
        </w:tc>
      </w:tr>
      <w:tr>
        <w:trPr>
          <w:trHeight w:val="250"/>
        </w:trPr>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8800" w:type="dxa"/>
            <w:vAlign w:val="bottom"/>
            <w:tcBorders>
              <w:top w:val="single" w:sz="8" w:color="0000FF"/>
            </w:tcBorders>
            <w:gridSpan w:val="14"/>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77</w:t>
            </w:r>
          </w:p>
        </w:tc>
      </w:tr>
      <w:tr>
        <w:trPr>
          <w:trHeight w:val="250"/>
        </w:trPr>
        <w:tc>
          <w:tcPr>
            <w:tcW w:w="10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78</w:t>
            </w:r>
          </w:p>
        </w:tc>
      </w:tr>
      <w:tr>
        <w:trPr>
          <w:trHeight w:val="250"/>
        </w:trPr>
        <w:tc>
          <w:tcPr>
            <w:tcW w:w="24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21"/>
                <w:szCs w:val="21"/>
                <w:color w:val="auto"/>
              </w:rPr>
            </w:pPr>
          </w:p>
        </w:tc>
        <w:tc>
          <w:tcPr>
            <w:tcW w:w="5860" w:type="dxa"/>
            <w:vAlign w:val="bottom"/>
            <w:gridSpan w:val="5"/>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80</w:t>
            </w:r>
          </w:p>
        </w:tc>
      </w:tr>
      <w:tr>
        <w:trPr>
          <w:trHeight w:val="250"/>
        </w:trPr>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9720" w:type="dxa"/>
            <w:vAlign w:val="bottom"/>
            <w:gridSpan w:val="19"/>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81</w:t>
            </w:r>
          </w:p>
        </w:tc>
      </w:tr>
      <w:tr>
        <w:trPr>
          <w:trHeight w:val="250"/>
        </w:trPr>
        <w:tc>
          <w:tcPr>
            <w:tcW w:w="82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Annex A: Certificate of Amendment of the Amended and Restated Certificate of Incorporation of MongoDB, Inc.</w:t>
            </w:r>
          </w:p>
        </w:tc>
        <w:tc>
          <w:tcPr>
            <w:tcW w:w="2520" w:type="dxa"/>
            <w:vAlign w:val="bottom"/>
            <w:gridSpan w:val="2"/>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3"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MongoDB,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1633 Broadway, 38th Floor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2026 Annual Meeting of Stockholders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30, 2026 at 10:00 a.m. Eastern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is soliciting your proxy to vote at the 2026 annual meeting of stockholders of MongoDB, Inc., a Delaware corporation, to be held virtually, via live webcast at </w:t>
      </w:r>
      <w:r>
        <w:rPr>
          <w:rFonts w:ascii="Times New Roman" w:cs="Times New Roman" w:eastAsia="Times New Roman" w:hAnsi="Times New Roman"/>
          <w:sz w:val="18"/>
          <w:szCs w:val="18"/>
          <w:i w:val="1"/>
          <w:iCs w:val="1"/>
          <w:color w:val="auto"/>
        </w:rPr>
        <w:t>www.virtualshareholdermeeting.com/MDB2026</w:t>
      </w:r>
      <w:r>
        <w:rPr>
          <w:rFonts w:ascii="Times New Roman" w:cs="Times New Roman" w:eastAsia="Times New Roman" w:hAnsi="Times New Roman"/>
          <w:sz w:val="18"/>
          <w:szCs w:val="18"/>
          <w:color w:val="auto"/>
        </w:rPr>
        <w:t>, originating from New York, New York, on Tuesday, June 30, 2026, at 10:00 a.m. Eastern Time, and any adjournment or postponement thereof. We believe that hosting a virtual meeting enables participation by more of our stockholders, while lowering the cost of conducting the meeting. Stockholders attending the virtual meeting will be afforded the same rights and opportunities to participate as they would at an in-person meeting.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meeting, we have elected to furnish our proxy materials, including this proxy statement and our Annual Report on Form 10-K for the fiscal year ended January 31, 2026 (the “Annual Report”), to our stockholders primarily via the internet. On or about May 19, 2026, we intend to mail to our 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proxy materials on the internet to help reduce the environmental impact and cost of our annual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1, 2026, will be entitled to vote at the meeting. On this record date, there were 80,499,934 shares of common stock outstanding and entitled to vote (the “common stock”). Each holder of common stock will have the right to one vote per share of common stock. A list of stockholders entitled to vote at the meeting will be available for examination during normal business hours by any stockholder for any purpose germane to the meeting for ten days before the meeting at our address above. For instructions on how to attend the virtual annual meeting, please see page 2 of this proxy statement.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proxy statement, we refer to MongoDB, Inc. as “MongoDB,” “we” or “us” and the board of directors of MongoDB as “our board of directors.” The Annual Report, which contains consolidated financial statements as of and for the fiscal year ended January 31, 2026, accompanies this proxy statement. You also may obtain a copy of the Annual Report without charge by writing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About these Proxy Materials and Voting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(“SEC”), we have elected to provide access to our proxy materials over the internet. Accordingly, we have sent you the Notice because our board of directors is soliciting your proxy to vote at the 2026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May 19, 2026 to all stockholders of record entitled to vote at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be hosting the meeting via live webcast only. Any stockholder can attend the virtual annual meeting live online at </w:t>
      </w:r>
      <w:r>
        <w:rPr>
          <w:rFonts w:ascii="Times New Roman" w:cs="Times New Roman" w:eastAsia="Times New Roman" w:hAnsi="Times New Roman"/>
          <w:sz w:val="18"/>
          <w:szCs w:val="18"/>
          <w:i w:val="1"/>
          <w:iCs w:val="1"/>
          <w:color w:val="auto"/>
        </w:rPr>
        <w:t>www.virtualshareholdermeeting.com/MDB2026</w:t>
      </w:r>
      <w:r>
        <w:rPr>
          <w:rFonts w:ascii="Times New Roman" w:cs="Times New Roman" w:eastAsia="Times New Roman" w:hAnsi="Times New Roman"/>
          <w:sz w:val="18"/>
          <w:szCs w:val="18"/>
          <w:color w:val="auto"/>
        </w:rPr>
        <w:t>. The meeting will start at 10:00 a.m. Eastern Time on June 30, 2026. Stockholders attending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will be afforded the same rights and opportunities to participate as they would at an in-person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similar organization if you hold your shares of common stock in “street name.” Instructions on how to attend and participate online are available at </w:t>
      </w:r>
      <w:r>
        <w:rPr>
          <w:rFonts w:ascii="Times New Roman" w:cs="Times New Roman" w:eastAsia="Times New Roman" w:hAnsi="Times New Roman"/>
          <w:sz w:val="18"/>
          <w:szCs w:val="18"/>
          <w:i w:val="1"/>
          <w:iCs w:val="1"/>
          <w:color w:val="auto"/>
        </w:rPr>
        <w:t>www.virtualshareholdermeeting.com/MDB2026</w:t>
      </w:r>
      <w:r>
        <w:rPr>
          <w:rFonts w:ascii="Times New Roman" w:cs="Times New Roman" w:eastAsia="Times New Roman" w:hAnsi="Times New Roman"/>
          <w:sz w:val="18"/>
          <w:szCs w:val="18"/>
          <w:color w:val="auto"/>
        </w:rPr>
        <w:t>. We recommend that you log in a few minutes before 10:00 a.m. Eastern time on June 30, 2026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logged in when the meeting starts. The webcast will open 15 minutes before the start of the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for the annual meeting and their proxy holders may submit questions or comments. You will be able to submit your question or comment during the meeting by logging in to </w:t>
      </w:r>
      <w:r>
        <w:rPr>
          <w:rFonts w:ascii="Times New Roman" w:cs="Times New Roman" w:eastAsia="Times New Roman" w:hAnsi="Times New Roman"/>
          <w:sz w:val="18"/>
          <w:szCs w:val="18"/>
          <w:i w:val="1"/>
          <w:iCs w:val="1"/>
          <w:color w:val="auto"/>
        </w:rPr>
        <w:t>www.virtualshareholdermeeting.com/MDB2026</w:t>
      </w:r>
      <w:r>
        <w:rPr>
          <w:rFonts w:ascii="Times New Roman" w:cs="Times New Roman" w:eastAsia="Times New Roman" w:hAnsi="Times New Roman"/>
          <w:sz w:val="18"/>
          <w:szCs w:val="18"/>
          <w:color w:val="auto"/>
        </w:rPr>
        <w:t xml:space="preserve"> using your control number and typing your question in the designated box in the annual meeting portal.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meeting when you login prior to its start. These rules of conduct will include the following guidelines:</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meeting and their proxy holders may submit questions or comments.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and comments may be submitted electronically through the annual meeting portal during the meeting.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must be directed to Chirantan J. Desai, our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meeting and/or our business.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related to material non-public information about the Company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number of questions submitted and the time allotted, we may not be able to answer all questions during the Annual Meeting.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Annual Meeting is prohibited and all recordings are deemed property of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any technical difficulties and we are unable to proceed with the meeting, MongoDB may adjourn, recess or expedite the meeting, or take such other actions that MongoDB determines are appropriate in light of the circumstances.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meeting participants.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 xml:space="preserve">www.virtualshareholdermeeting.com/MDB2026 </w:t>
      </w:r>
      <w:r>
        <w:rPr>
          <w:rFonts w:ascii="Times New Roman" w:cs="Times New Roman" w:eastAsia="Times New Roman" w:hAnsi="Times New Roman"/>
          <w:sz w:val="18"/>
          <w:szCs w:val="18"/>
          <w:color w:val="auto"/>
        </w:rPr>
        <w:t>or at</w:t>
      </w:r>
      <w:r>
        <w:rPr>
          <w:rFonts w:ascii="Times New Roman" w:cs="Times New Roman" w:eastAsia="Times New Roman" w:hAnsi="Times New Roman"/>
          <w:sz w:val="18"/>
          <w:szCs w:val="18"/>
          <w:i w:val="1"/>
          <w:iCs w:val="1"/>
          <w:color w:val="auto"/>
        </w:rPr>
        <w:t xml:space="preserve"> www.proxyvote.com</w:t>
      </w:r>
      <w:r>
        <w:rPr>
          <w:rFonts w:ascii="Times New Roman" w:cs="Times New Roman" w:eastAsia="Times New Roman" w:hAnsi="Times New Roman"/>
          <w:sz w:val="18"/>
          <w:szCs w:val="18"/>
          <w:color w:val="auto"/>
        </w:rPr>
        <w:t>. Technical support will be available starting at 9:45 a.m. Eastern Time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May 1, 2026, will be entitled to vote at the meeting. On this record date, there were 80,499,934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on May 1, 2026, your shares were registered directly in your name with our transfer agent, Equiniti Trust Company, LLC, then you are a stockholder of record. As a stockholder of record, you may vote online during the meeting or vote by proxy. Whether or not you plan to attend the meeting, we urge you to vote by proxy to ensure your vote is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May 1,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similar organization regarding how to vote the shares in your account. You are also invited to attend the virtual annual meeting. Since you are not the stockholder of record, you may vote your shares online during the meeting only by following the instructions from your broker, bank or other similar organization.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three Class III directors, each to serve until our annual meeting of stockholders in 2029;</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Ratification of the selection of PricewaterhouseCoopers LLP as our independent registered public accounting firm for the fiscal year ending January 31, 2027;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Approval of an amendment to our Amended and Restated Certificate of Incorporation to eliminate supermajority vote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you may vote (a) online during the meeting, or (b) in advance of the meeting by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spacing w:after="0" w:line="174" w:lineRule="exact"/>
        <w:rPr>
          <w:sz w:val="20"/>
          <w:szCs w:val="20"/>
          <w:color w:val="auto"/>
        </w:rPr>
      </w:pPr>
    </w:p>
    <w:p>
      <w:pPr>
        <w:ind w:left="980" w:hanging="324"/>
        <w:spacing w:after="0" w:line="284"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during the meeting, follow the provided instructions to join the meeting at </w:t>
      </w:r>
      <w:r>
        <w:rPr>
          <w:rFonts w:ascii="Times New Roman" w:cs="Times New Roman" w:eastAsia="Times New Roman" w:hAnsi="Times New Roman"/>
          <w:sz w:val="18"/>
          <w:szCs w:val="18"/>
          <w:i w:val="1"/>
          <w:iCs w:val="1"/>
          <w:color w:val="auto"/>
        </w:rPr>
        <w:t>www.virtualshareholdermeeting.com/MDB2026,</w:t>
      </w:r>
      <w:r>
        <w:rPr>
          <w:rFonts w:ascii="Times New Roman" w:cs="Times New Roman" w:eastAsia="Times New Roman" w:hAnsi="Times New Roman"/>
          <w:sz w:val="18"/>
          <w:szCs w:val="18"/>
          <w:color w:val="auto"/>
        </w:rPr>
        <w:t xml:space="preserve"> starting at 10:00 a.m. Eastern Time on June 30, 2026. The webcast will open 15 minutes before the start of the meeting.</w:t>
      </w:r>
    </w:p>
    <w:p>
      <w:pPr>
        <w:spacing w:after="0" w:line="50" w:lineRule="exact"/>
        <w:rPr>
          <w:rFonts w:ascii="Times New Roman" w:cs="Times New Roman" w:eastAsia="Times New Roman" w:hAnsi="Times New Roman"/>
          <w:sz w:val="18"/>
          <w:szCs w:val="18"/>
          <w:b w:val="1"/>
          <w:bCs w:val="1"/>
          <w:color w:val="auto"/>
        </w:rPr>
      </w:pPr>
    </w:p>
    <w:p>
      <w:pPr>
        <w:ind w:left="980" w:hanging="324"/>
        <w:spacing w:after="0" w:line="284"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vote online before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asked to provide the company number and control number from the Notice or the printed proxy card. Your internet vote must be received by 11:59 p.m., Eastern Time on June 29, 2026 to be counted.</w:t>
      </w:r>
    </w:p>
    <w:p>
      <w:pPr>
        <w:spacing w:after="0" w:line="52"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vote by telephone before the meeting, call 1-800-690-6903. You will be asked to provide the company number and control number from the Notice or the printed proxy card. Your telephone vote must be received by 11:59 p.m., Eastern Time on June 29, 2026 to be counted.</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before the meeting, simply complete, sign and date the proxy card that you may request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similar organization, you should receive voting instructions from that organization rather than from us. Simply follow the voting instructions to ensure that your vote is counted. To vote online during the meeting, you must follow the instructions from your broker, bank or other similar organization.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Internet voting is provided to allow you to vote your shares online, with procedures designed to ensure the authenticity and correctness of your voting instructions. Please be aware that you must bear any costs associated with your internet access.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my vote after submitting my proxy?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Yes. If you are a record holder of shares, you may revoke, subject to the voting deadlines above, your proxy using one of the following ways: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 at 499 Hamilton Ave, Palo Alto, CA 94301, Attention: Secretary.</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online during the meeting. Simply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held by your broker, bank or other similar organization, you should follow the instructions provided by such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online during the meeting, or in advance of the meeting through the internet, by telephone or by completing your proxy card, your shares will not be voted.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similar organization how to vote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Accordingly, your broker or nominee may not vote your shares on any proposal other than Proposal 3 without your instructions. Your broker or nominee may only vote your shares on Proposal 3 (Ratification of Auditors) in the absence of your instruction.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instruct your bank, broker or other similar organization to ensure that your vote will be counted.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but do not make specific choices, your shares will be voted in accordance with the recommendations of our board of directors as follows:</w:t>
      </w:r>
    </w:p>
    <w:p>
      <w:pPr>
        <w:spacing w:after="0" w:line="11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nominees for Class III director;</w:t>
      </w:r>
    </w:p>
    <w:p>
      <w:pPr>
        <w:spacing w:after="0" w:line="18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PricewaterhouseCoopers LLP as our independent registered public accounting firm for our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January 31, 2027; and</w:t>
      </w:r>
    </w:p>
    <w:p>
      <w:pPr>
        <w:spacing w:after="0" w:line="11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our Amended and Restated Certificate of Incorporation to eliminate supermajority vote requirements.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will have the right to one vote per share of common stock. Cumulative voting is not permitted with respect to the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98" w:lineRule="exact"/>
        <w:rPr>
          <w:sz w:val="20"/>
          <w:szCs w:val="20"/>
          <w:color w:val="auto"/>
        </w:rPr>
      </w:pPr>
    </w:p>
    <w:p>
      <w:pPr>
        <w:jc w:val="both"/>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Directors</w:t>
      </w:r>
      <w:r>
        <w:rPr>
          <w:rFonts w:ascii="Times New Roman" w:cs="Times New Roman" w:eastAsia="Times New Roman" w:hAnsi="Times New Roman"/>
          <w:sz w:val="18"/>
          <w:szCs w:val="18"/>
          <w:color w:val="auto"/>
        </w:rPr>
        <w:t>: Each director is elected by a plurality of the votes of the holders of shares of common stock present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virtual attendance) or represented by proxy and entitled to vote generally on the election of directors. The three nominees for Class III directors that receive the highest number of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votes will be elected.</w:t>
      </w:r>
    </w:p>
    <w:p>
      <w:pPr>
        <w:spacing w:after="0" w:line="130"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Advisory Vote on the Compensation of our Named Executive Officers</w:t>
      </w:r>
      <w:r>
        <w:rPr>
          <w:rFonts w:ascii="Times New Roman" w:cs="Times New Roman" w:eastAsia="Times New Roman" w:hAnsi="Times New Roman"/>
          <w:sz w:val="18"/>
          <w:szCs w:val="18"/>
          <w:color w:val="auto"/>
        </w:rPr>
        <w:t>: This proposal, commonly referred to as the “say-on-pay” vote, must receive the affirmative vote of the holders of a majority in voting power of the shares of our common stock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14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Ratification of Auditors</w:t>
      </w:r>
      <w:r>
        <w:rPr>
          <w:rFonts w:ascii="Times New Roman" w:cs="Times New Roman" w:eastAsia="Times New Roman" w:hAnsi="Times New Roman"/>
          <w:sz w:val="18"/>
          <w:szCs w:val="18"/>
          <w:color w:val="auto"/>
        </w:rPr>
        <w:t>: The ratification of the selection of our independent registered public accounting firm must receive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the holders of a majority in voting power of the shares of our common stock present at the meeting (by virtual attendance) or represented by proxy and entitled to vote on</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proposal.</w:t>
      </w:r>
    </w:p>
    <w:p>
      <w:pPr>
        <w:spacing w:after="0" w:line="181" w:lineRule="exact"/>
        <w:rPr>
          <w:sz w:val="20"/>
          <w:szCs w:val="20"/>
          <w:color w:val="auto"/>
        </w:rPr>
      </w:pPr>
    </w:p>
    <w:p>
      <w:pPr>
        <w:jc w:val="both"/>
        <w:ind w:left="980" w:hanging="324"/>
        <w:spacing w:after="0" w:line="26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 Approval of Charter</w:t>
      </w:r>
      <w:r>
        <w:rPr>
          <w:rFonts w:ascii="Times New Roman" w:cs="Times New Roman" w:eastAsia="Times New Roman" w:hAnsi="Times New Roman"/>
          <w:sz w:val="18"/>
          <w:szCs w:val="18"/>
          <w:color w:val="auto"/>
        </w:rPr>
        <w:t>: The approval of an amendment to our Amended and Restated Certificate of Incorporation to eliminate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supermajority vote requirements must receive the affirmative vote of the holders of a majority of the outstanding shares of our common stock entitled to vote on the proposal.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broker non-votes, abstentions and votes withheld treated?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Broker non-votes will be considered present and entitled to vote at the meeting and will be counted in determining whether or not a quorum is present. Please instruct your broker so your vote can be counted. With respect to Proposals 1 and 2, broker non-votes will have no effect. With respect to Proposal 4, broker non-votes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Abstentions will be counted in determining whether or not a quorum is present. With respect to Proposal 1, withhold votes will have no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Proposals 2, 3 and 4, abstentions will have the same effect as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organizations for the cost of forwarding proxy materials to beneficial owners. We engaged Alliance Advisors to assist us with our stockholder engagement process, and we expect to pay them an estimated fee of $29,800, plus reasonable out-of-pocket expenses if they assist us in soliciting proxies. We may also reimburse brokerage firms, banks and other agents for the cost of forwarding proxy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instructions on the Notices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or nomination must (i) satisfy conditions set forth in SEC regulations under Rule 14a-8 regarding the inclusion of stockholder proposals in company-sponsored proxy materials and (ii) be submitted in writing by January 19, 2027, to our Secretary at 499 Hamilton Ave, Palo Alto, CA 94301, Attention: Secretary; provided that, if the date of next year’s meeting is earlier than May 31, 2027, or later than July 30, 2027, the deadline will be a reasonable time before we begin to print and send our proxy materials for next year’s meeting. If you wish to nominate a director or submit a proposal that you do not desire to be included in next year’s proxy materials, in accordance with our amended and restated bylaws, you must do so between March 2, 2027 and April 1, 2027; provided that if the date of that annual meeting of stockholders is earlier than May 31, 2027 or later than July 30, 2027,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stockholder or group of stockholders that has owned at least three percent of the Company’s common stock continuously for at least three years and satisfies certain eligibility, procedural and disclosure requirements set forth in the Company’s amended and restated bylaws, may nominate and include in our proxy materials for the annual meeting certain director candidates, which must be submitted no earlier than December 20, 2026 and no later than January 19,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advise you to review our amended and restated bylaws, which contain additional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 majority of the voting power of the outstanding shares of common stock entitled to vote at the meeting are present at the meeting (by virtual attendance) or represented by proxy.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Instructions to “withhold” authority to vote in the election of directors, abstentions and broker non-votes will be counted as present for determining whether the quorum requirement has been met. If there is no quorum, the meeting may be adjourned, either by the chairperson of the meeting or by the vote of the holders of a majority of the voting power of the shares represented thereat.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preliminary voting results will be announced during the meeting. In addition, final voting results will be published in a current report on Form 8-K that we expect to file within four business days after the meeting.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Our board of directors is responsible for advancing the interests of our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 the framework for the governance of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good corporate governance promotes the long-term interests of our stockholders, strengthens board and management accountability and leads to better business performance. To achieve these benefits, we maintain the following strong corporate governance practices:</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board committee members;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out of ten current directors are independent under the applicable rules and regulations of the SEC and the listing requirements and rules of the Nasdaq;</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Chairperson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risk oversight;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our executive officers and non-employee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evaluations;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for our board of directors, officers and employees;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containing hedging and pledging prohibitions, except for case-by-case exceptions for employees who are not officers or directors, as approved by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vote;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access" rights to allow stockholders meeting certain ownership requirements to nominate and include in the Company's proxy statement the greater of two director candidates or 20% of the total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class of stock with equal voting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poison pill adopted;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excessive tax gross ups and limited executive perquisites; and</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our fiscal year 2026, our board of directors attended greater than 75% of meetings of the board of directors and committees of which he or she was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(the “Nasdaq”). Under the listing requirements and rules of the Nasdaq, independent directors must comprise a majority of our board of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Our board of directors has determined that Mses. Agrawal, Cochran and Lewnes, and Messrs. Botha, D’Souza, Hazard, Killalea and Merriman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Messrs. Desai and Ittycheria are not independent due to their current and former positions as executive officers of MongoDB,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of directors considered the applicable Nasdaq rules and the current and prior relationships that each non-employee director has with our company and all other facts and circumstances our board of directors deemed relevant in determining their independence, including their beneficial ownership of our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an appropriate meeting schedule for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President and Chief Executive Officer to develop and approve meeting agendas for our board of directors;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President and Chief Executive Officer feedback on the quality, quantity and timeliness of the information provided to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agenda and moderate executive sessions of the independent members of our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 over meetings of our board of directors when the President and Chief Executive Officer is not present or when our board of directors’ or President and Chief Executive Officer’s performance is discussed;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principal liaison between the independent members of our board of directors and the President and Chief Executive Officer;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meetings of the independent directors as appropriate;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for consultation and direct communication with stockholders as deemed appropriate;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other duties as our board of directors may determine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believes that the current board leadership structure, coupled with a strong emphasis on board independence, provides effective independent oversight of management and also allows the board of directors, led by Mr. Killalea, to partner with Mr. Desai during his transition into the President and Chief Executive Officer role. Non-employee directors and management sometimes have different perspectives and roles in strategy development. Our non-employee directors bring experience, oversight and expertise from outside of our company, while Mr. Desai brings innovative industry-specific experience and expertise gained from his executive roles.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also believes its approach to risk oversight, as more fully discussed below in “Risk Oversight,” helps ensure that the board of directors is able to effectively perform its risk oversight responsibilities under various leadership structures.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further promote strong board leadership and corporate governance, we conduct annual self-evaluations of our board of directors and committees, which are overseen by our nominating and corporate governance committee. Our nominating and corporate governance committee also oversees a self-assessment of each individual director whose term of office ends in any given year prior to nominating such director for re-election.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Risk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and committed to, the oversight of our long-term strategic plan and significant enterprise-wide risks. In carrying out this responsibility, our board of directors applies an enterprise-wide approach to risk management. This approach is designed to support organizational objectives, such as short- and long-term strategic objectives and enhancement of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reviewing our business is an integral aspect of its assessment of management’s tolerance for risk and also its determination of what constitutes an appropriate level of risk.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our board of directors addresses the primary risks associated with our business including, for example, strategic planning, liquidity risk, organizational risk and operational risk. Our board of directors appreciates the evolving nature of our business and industry and is actively involved with monitoring new threats and risks as they emerge.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Risk Oversight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establish other standing committees to facilitate the management of our business. For example, in May 2024, following our nominating and corporate governance committee's recommendation, our board of directors established a standing security committee dedicated to the oversight of cyber security and physical security.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regularly reviews information regarding our operational, financial, legal, data security and strategic risks. Additionally, senior risk management personnel attend quarterly meetings of our board of directors, provide presentations on operations including significant risks, and are available to address any questions or concerns raised by our board of directors.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particular, our audit committee has the responsibility to consider and discuss our major financial risk exposures and the steps our management has taken to monitor and mitigate these exposures, including guidelines and policies to govern the process by which risk assessment and management is undertaken. Our audit committee also monitors compliance with legal and regulatory requirements. Our audit committee further oversees initiatives related to our Enterprise Risk Management program. In addition, among other matters, management provides our audit committee periodic reports on our compliance programs and investment policy and practices.</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security committee is responsible for ensuring that management has processes in place designed to identify and assess both cybersecurity and physical security risks to which we are exposed and to implement processes and programs designed to manage security risks, including mitigation and remediation of security threats and incidents. The security committee also oversees and assesses adequacy of our business continuity systems in protecting us against physical security or cybersecurity threats, as well as the development and monitoring of the integrity of our information systems and controls to ensure compliance with applicable laws and regulations.</w:t>
      </w:r>
    </w:p>
    <w:p>
      <w:pPr>
        <w:spacing w:after="0" w:line="1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assesses and monitors whether any of our compensation policies and programs has the potential to encourage excessive risk-taking. The compensation committee also oversees risks relating to the recruiting and retention of our executive officers and our broader compensation philosophy.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board of directors' succession risks.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Oversight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and security committee appreciate the rapidly evolving nature of threats presented by cybersecurity incidents and are committed to the prevention, timely detection and mitigation of the effects of such incidents on MongoDB. Accordingly, the security committee receives regular updates on cybersecurity and physical security threats to our business and mitigation processes.</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 quarterly basis, the security committee meets with senior management to perform more in-depth reviews of our cybersecurity programs, as well as relevant cybersecurity risks and mitigation strategies. Ahead of each such quarterly meeting, senior management and our information security team prepare and provide cybersecurity reports that cover, among other topics, developments in cybersecurity and updates to the Company's cybersecurity programs and mitigation strategies, legislative developments affecting our information security program, and notable security incidents and investigations. The security committee subsequently reports material cybersecurity matters to our full board of directors. In addition, our management follows a risk-based escalation process to notify the security committee outside of the regular reporting cycle when they identify an emerging cybersecurity risk.</w:t>
      </w:r>
    </w:p>
    <w:p>
      <w:pPr>
        <w:spacing w:after="0" w:line="147" w:lineRule="exact"/>
        <w:rPr>
          <w:sz w:val="20"/>
          <w:szCs w:val="20"/>
          <w:color w:val="auto"/>
        </w:rPr>
      </w:pPr>
    </w:p>
    <w:p>
      <w:pPr>
        <w:ind w:right="1520" w:firstLine="648"/>
        <w:spacing w:after="0" w:line="461" w:lineRule="auto"/>
        <w:rPr>
          <w:sz w:val="20"/>
          <w:szCs w:val="20"/>
          <w:color w:val="auto"/>
        </w:rPr>
      </w:pPr>
      <w:r>
        <w:rPr>
          <w:rFonts w:ascii="Times New Roman" w:cs="Times New Roman" w:eastAsia="Times New Roman" w:hAnsi="Times New Roman"/>
          <w:sz w:val="18"/>
          <w:szCs w:val="18"/>
          <w:color w:val="auto"/>
        </w:rPr>
        <w:t xml:space="preserve">To date, we have not experienced a cybersecurity event that had a material impact on our financial performance or operations. </w:t>
      </w:r>
      <w:r>
        <w:rPr>
          <w:rFonts w:ascii="Times New Roman" w:cs="Times New Roman" w:eastAsia="Times New Roman" w:hAnsi="Times New Roman"/>
          <w:sz w:val="18"/>
          <w:szCs w:val="18"/>
          <w:b w:val="1"/>
          <w:bCs w:val="1"/>
          <w:i w:val="1"/>
          <w:iCs w:val="1"/>
          <w:color w:val="auto"/>
        </w:rPr>
        <w:t>Enterprise Risk Management Program Oversight</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scope of our Enterprise Risk Management ("ERM") program includes the assessment and management of a broad range of our compliance, strategic, operational and financial risks. Throughout the year, members of a cross-functional team within the company conduct risk data collection, surveys, and interviews of company experts, leaders, and specialists. Together with the internal audit team, identified risks are then analyzed, categorized by topic (compliance, strategic, operational, reputational or financial) and timeframe (existing or emerging) and reported to management. For certain key risks, management action plans, whether current or planned, to mitigate identified risks are evaluated and updated as necessary. Quarterly, management presents and discusses the key risks identified in the ERM process with the audit committee, soliciting input from our directors on the steps taken to mitigate risks and plans for additional mitigation in the quarter ahead.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meets periodically during the year to review significant developments affecting us and to act on matters requiring the approval of our board of directors. Our board of directors met seven times during our last fiscal year, and each of our current directors attended greater than 75% of the aggregate number of meetings of the board of directors and of the committees on which he or she served, held during the portion of the last fiscal year for which he or she was a director or committee member. We encourage our directors and nominees for director to attend our annual meeting of stockholders. Seven of our nine then-current directors attended our 2025 annual meeting of stockholders.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security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1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Committee Membership as of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156845</wp:posOffset>
            </wp:positionV>
            <wp:extent cx="54178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90"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0" w:type="dxa"/>
            <w:vAlign w:val="bottom"/>
          </w:tcPr>
          <w:p>
            <w:pPr>
              <w:spacing w:after="0"/>
              <w:rPr>
                <w:sz w:val="1"/>
                <w:szCs w:val="1"/>
                <w:color w:val="auto"/>
              </w:rPr>
            </w:pPr>
          </w:p>
        </w:tc>
      </w:tr>
      <w:tr>
        <w:trPr>
          <w:trHeight w:val="148"/>
        </w:trPr>
        <w:tc>
          <w:tcPr>
            <w:tcW w:w="24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9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ind w:left="19"/>
              <w:spacing w:after="0" w:line="240" w:lineRule="exact"/>
              <w:rPr>
                <w:sz w:val="20"/>
                <w:szCs w:val="20"/>
                <w:color w:val="auto"/>
              </w:rPr>
            </w:pPr>
            <w:r>
              <w:rPr>
                <w:rFonts w:ascii="Wingdings" w:cs="Wingdings" w:eastAsia="Wingdings" w:hAnsi="Wingdings"/>
                <w:sz w:val="22"/>
                <w:szCs w:val="22"/>
                <w:b w:val="1"/>
                <w:bCs w:val="1"/>
                <w:color w:val="auto"/>
              </w:rPr>
              <w:t>ü</w:t>
            </w:r>
          </w:p>
        </w:tc>
        <w:tc>
          <w:tcPr>
            <w:tcW w:w="2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960" w:type="dxa"/>
            <w:vAlign w:val="bottom"/>
            <w:tcBorders>
              <w:top w:val="single" w:sz="8" w:color="auto"/>
            </w:tcBorders>
          </w:tcPr>
          <w:p>
            <w:pPr>
              <w:jc w:val="center"/>
              <w:ind w:right="41"/>
              <w:spacing w:after="0" w:line="240" w:lineRule="exact"/>
              <w:rPr>
                <w:sz w:val="20"/>
                <w:szCs w:val="20"/>
                <w:color w:val="auto"/>
              </w:rPr>
            </w:pPr>
            <w:r>
              <w:rPr>
                <w:rFonts w:ascii="Wingdings" w:cs="Wingdings" w:eastAsia="Wingdings" w:hAnsi="Wingdings"/>
                <w:sz w:val="22"/>
                <w:szCs w:val="22"/>
                <w:b w:val="1"/>
                <w:bCs w:val="1"/>
                <w:color w:val="auto"/>
              </w:rPr>
              <w:t>ü</w:t>
            </w:r>
          </w:p>
        </w:tc>
        <w:tc>
          <w:tcPr>
            <w:tcW w:w="16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9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Chirantan Desai</w:t>
            </w:r>
          </w:p>
        </w:tc>
        <w:tc>
          <w:tcPr>
            <w:tcW w:w="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9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240" w:type="dxa"/>
            <w:vAlign w:val="bottom"/>
            <w:shd w:val="clear" w:color="auto" w:fill="CCEEFF"/>
          </w:tcPr>
          <w:p>
            <w:pPr>
              <w:jc w:val="center"/>
              <w:spacing w:after="0"/>
              <w:rPr>
                <w:sz w:val="20"/>
                <w:szCs w:val="20"/>
                <w:color w:val="auto"/>
              </w:rPr>
            </w:pPr>
            <w:r>
              <w:rPr>
                <w:rFonts w:ascii="Wingdings" w:cs="Wingdings" w:eastAsia="Wingdings" w:hAnsi="Wingdings"/>
                <w:sz w:val="22"/>
                <w:szCs w:val="22"/>
                <w:b w:val="1"/>
                <w:bCs w:val="1"/>
                <w:color w:val="auto"/>
              </w:rPr>
              <w:t>ü</w:t>
            </w: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shd w:val="clear" w:color="auto" w:fill="CCEEFF"/>
          </w:tcPr>
          <w:p>
            <w:pPr>
              <w:spacing w:after="0"/>
              <w:rPr>
                <w:sz w:val="5"/>
                <w:szCs w:val="5"/>
                <w:color w:val="auto"/>
              </w:rPr>
            </w:pPr>
          </w:p>
        </w:tc>
        <w:tc>
          <w:tcPr>
            <w:tcW w:w="224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960" w:type="dxa"/>
            <w:vAlign w:val="bottom"/>
          </w:tcPr>
          <w:p>
            <w:pPr>
              <w:jc w:val="center"/>
              <w:ind w:right="41"/>
              <w:spacing w:after="0"/>
              <w:rPr>
                <w:sz w:val="20"/>
                <w:szCs w:val="20"/>
                <w:color w:val="auto"/>
              </w:rPr>
            </w:pPr>
            <w:r>
              <w:rPr>
                <w:rFonts w:ascii="Wingdings" w:cs="Wingdings" w:eastAsia="Wingdings" w:hAnsi="Wingdings"/>
                <w:sz w:val="22"/>
                <w:szCs w:val="22"/>
                <w:b w:val="1"/>
                <w:bCs w:val="1"/>
                <w:color w:val="222222"/>
              </w:rPr>
              <w:t>ü</w:t>
            </w:r>
          </w:p>
        </w:tc>
        <w:tc>
          <w:tcPr>
            <w:tcW w:w="1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20" w:type="dxa"/>
            <w:vAlign w:val="bottom"/>
          </w:tcPr>
          <w:p>
            <w:pPr>
              <w:jc w:val="center"/>
              <w:ind w:right="19"/>
              <w:spacing w:after="0"/>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68"/>
        </w:trPr>
        <w:tc>
          <w:tcPr>
            <w:tcW w:w="2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9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960" w:type="dxa"/>
            <w:vAlign w:val="bottom"/>
          </w:tcPr>
          <w:p>
            <w:pPr>
              <w:spacing w:after="0"/>
              <w:rPr>
                <w:sz w:val="24"/>
                <w:szCs w:val="24"/>
                <w:color w:val="auto"/>
              </w:rPr>
            </w:pPr>
          </w:p>
        </w:tc>
        <w:tc>
          <w:tcPr>
            <w:tcW w:w="1680" w:type="dxa"/>
            <w:vAlign w:val="bottom"/>
          </w:tcPr>
          <w:p>
            <w:pPr>
              <w:jc w:val="center"/>
              <w:ind w:left="19"/>
              <w:spacing w:after="0"/>
              <w:rPr>
                <w:sz w:val="20"/>
                <w:szCs w:val="20"/>
                <w:color w:val="auto"/>
              </w:rPr>
            </w:pPr>
            <w:r>
              <w:rPr>
                <w:rFonts w:ascii="Wingdings" w:cs="Wingdings" w:eastAsia="Wingdings" w:hAnsi="Wingdings"/>
                <w:sz w:val="22"/>
                <w:szCs w:val="22"/>
                <w:b w:val="1"/>
                <w:bCs w:val="1"/>
                <w:color w:val="222222"/>
              </w:rPr>
              <w:t>ü</w:t>
            </w:r>
          </w:p>
        </w:tc>
        <w:tc>
          <w:tcPr>
            <w:tcW w:w="2240" w:type="dxa"/>
            <w:vAlign w:val="bottom"/>
          </w:tcPr>
          <w:p>
            <w:pPr>
              <w:jc w:val="center"/>
              <w:spacing w:after="0"/>
              <w:rPr>
                <w:sz w:val="20"/>
                <w:szCs w:val="20"/>
                <w:color w:val="auto"/>
              </w:rPr>
            </w:pPr>
            <w:r>
              <w:rPr>
                <w:rFonts w:ascii="Wingdings" w:cs="Wingdings" w:eastAsia="Wingdings" w:hAnsi="Wingdings"/>
                <w:sz w:val="22"/>
                <w:szCs w:val="22"/>
                <w:b w:val="1"/>
                <w:bCs w:val="1"/>
                <w:color w:val="222222"/>
              </w:rPr>
              <w:t>ü</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9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ind w:left="19"/>
              <w:spacing w:after="0" w:line="240" w:lineRule="exact"/>
              <w:rPr>
                <w:sz w:val="20"/>
                <w:szCs w:val="20"/>
                <w:color w:val="auto"/>
              </w:rPr>
            </w:pPr>
            <w:r>
              <w:rPr>
                <w:rFonts w:ascii="Wingdings" w:cs="Wingdings" w:eastAsia="Wingdings" w:hAnsi="Wingdings"/>
                <w:sz w:val="22"/>
                <w:szCs w:val="22"/>
                <w:b w:val="1"/>
                <w:bCs w:val="1"/>
                <w:color w:val="222222"/>
              </w:rPr>
              <w:t>ü</w:t>
            </w:r>
          </w:p>
        </w:tc>
        <w:tc>
          <w:tcPr>
            <w:tcW w:w="2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right="19"/>
              <w:spacing w:after="0" w:line="240" w:lineRule="exact"/>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240"/>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9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center"/>
              <w:ind w:right="19"/>
              <w:spacing w:after="0" w:line="240" w:lineRule="exact"/>
              <w:rPr>
                <w:sz w:val="20"/>
                <w:szCs w:val="20"/>
                <w:color w:val="auto"/>
              </w:rPr>
            </w:pPr>
            <w:r>
              <w:rPr>
                <w:rFonts w:ascii="Wingdings" w:cs="Wingdings" w:eastAsia="Wingdings" w:hAnsi="Wingdings"/>
                <w:sz w:val="22"/>
                <w:szCs w:val="22"/>
                <w:b w:val="1"/>
                <w:bCs w:val="1"/>
                <w:color w:val="auto"/>
              </w:rPr>
              <w:t>ü</w:t>
            </w: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FY2026 Meetings</w:t>
            </w:r>
          </w:p>
        </w:tc>
        <w:tc>
          <w:tcPr>
            <w:tcW w:w="960" w:type="dxa"/>
            <w:vAlign w:val="bottom"/>
            <w:tcBorders>
              <w:bottom w:val="single" w:sz="8" w:color="auto"/>
            </w:tcBorders>
            <w:shd w:val="clear" w:color="auto" w:fill="CCEEFF"/>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7</w:t>
            </w:r>
          </w:p>
        </w:tc>
        <w:tc>
          <w:tcPr>
            <w:tcW w:w="168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22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-1842770</wp:posOffset>
            </wp:positionV>
            <wp:extent cx="1714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-1405255</wp:posOffset>
            </wp:positionV>
            <wp:extent cx="1714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-1165225</wp:posOffset>
            </wp:positionV>
            <wp:extent cx="1714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-762635</wp:posOffset>
            </wp:positionV>
            <wp:extent cx="1714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68580</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Chairperson</w:t>
      </w:r>
    </w:p>
    <w:p>
      <w:pPr>
        <w:spacing w:after="0" w:line="94" w:lineRule="exact"/>
        <w:rPr>
          <w:sz w:val="20"/>
          <w:szCs w:val="20"/>
          <w:color w:val="auto"/>
        </w:rPr>
      </w:pPr>
    </w:p>
    <w:p>
      <w:pPr>
        <w:ind w:left="500" w:hanging="440"/>
        <w:spacing w:after="0"/>
        <w:tabs>
          <w:tab w:leader="none" w:pos="500" w:val="left"/>
        </w:tabs>
        <w:numPr>
          <w:ilvl w:val="0"/>
          <w:numId w:val="15"/>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Member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may also act by unanimous written consent in lieu of a formal meeting from time to time. The agenda for each meeting is usually developed by the chairperson of the audit committee, in consultation with management.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 systems of internal control and financial statement audits;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organization and performance of our internal audit function;</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relevant elements of our enterprise risk management program;</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environmental, social and governance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Mses. Agrawal and Lewnes and Messrs. D’Souza and Killalea. The chair of our compensation committee is Mr. D’Souza.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Mses. Agrawal and Lewnes and Messrs. D’Souza and Killalea are independent under Nasdaq listing standards and are “non-employee directors” as defined in Rule 16b-3 promulgated under the Exchange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76" w:lineRule="exact"/>
        <w:rPr>
          <w:sz w:val="20"/>
          <w:szCs w:val="20"/>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performance goals and objectives for our Chief Executive Officer and other executive officers, taking into account the policies of the compensation committee;</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disclosures in the section titled “Compensation Discussion and Analysis” of this proxy statement;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compensatory arrangements of our executive officers and other senior management;</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implementation and effectiveness of our human capital strategies, initiatives and programs relating to our culture, talent, recruitment, retention and employee engagement;</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amending, terminating and administering incentive compensation and stock and equity incentive plans and other benefit programs;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at least quarterly and with greater frequency as necessary. The compensation committee may also act by unanimous written consent in lieu of a formal meeting from time to time. The agenda for each meeting is usually developed by the chairperson of the compensation committee, in consultation with management. The compensation committee may also meet in executive session on an ad hoc basis.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certain factors prescribed by the SEC and the Nasdaq, that bear upon the adviser’s independence; however, there is no requirement that any adviser be independent.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periodically throughout the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Mses. Agrawal or Lewnes or Messrs. D’Souza or Killalea, the members of the compensation committee, is currently one of our officers or employees or has at any time been one of our officers or employees or has had any relationship requiring disclosure under Item 404 of Regulations S-K.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may also act by unanimous written consent in lieu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formal meeting from time to time. The agenda for each meeting is usually developed by the chairperson of the nominating and corporate governance committee, in consultation with management.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performance of our board of directors, including committees of the board of directors;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other committees of the board of directors to oversee ESG matters, including required reports or disclosures related to ESG matters;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directors and orientation of new directors; and</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making recommendations to our board of directors regarding our Corporate Governance Guidelines and related corporate governance matters.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demonstrating excellence in his or her field, having the ability to exercise sound business judgment and having the commitment to rigorously represent the long-term interests of our stockholders. These minimum qualifications may be modified from time to time. The committee typically considers potential conflicts of interest, director independence, background, age, skills and such other factors as it deems appropriate, given the current needs of our board of directors and the company, to maintain a balance of knowledge, experience and capability.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stockholder recommendations of director candidates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499 Hamilton Ave, Palo Alto, CA 94301 at least 120 days prior to the anniversary date of the mailing of our proxy statement for the last annual meeting of stockholders.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may nominate directors by submitting names and other information required by applicable law and our amended and restated bylaws. Each submission must include, among other things, the name, age, business address and residence address of the proposed candidate, the principal occupation or employment of the proposed candidate, details of the proposed candidate’s ownership of our common stock, a description of the proposed candidate’s business experience for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least the last five years, and a description of the proposed candidate’s qualifications as a director. Any such submission must be accompanied by the written consent of the proposed candidate to be named as a nominee and to serve as a director if elected. If you wish to nominate a director that you do not desire to be included in next year’s proxy materials, in accordance with our amended and restated bylaws, you must do so between March 2, 2027 and April 1, 2027; provided that if the date of that annual meeting of stockholders is earlier than May 31, 2027 or later than July 30, 2027, you must give the required notice not earlier than the 120th day prior to the meeting date and not later than the 90th day prior to the meeting date or, if later, the 10th day following the day on which public disclosure of that meeting date is first made.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A stockholder or group of stockholders that has owned at least three percent of the Company's common stock continuously for at least three years and satisfies certain eligibility, procedural and disclosure requirements set forth in the Company's amended and restated bylaws, may nominate and include in our proxy materials for the annual meeting certain director candidates. You should refer to our amended and restated bylaws for a complete description of the required procedures for nominating a candidate to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security committee consists of Messrs. Killalea, Hazard and Merriman, and Ms. Lewnes. The chair of our security committee is Mr. Killalea. Each member of the security committee is independent, is a non-employee director and is free from any relationship that would interfere with the exercise of his or her independent judgment, as determined by the board of directors in accordance with the applicable Nasdaq listing standards. The security committee meets at least quarterly and with greater frequency as necessary. The security committee may also act by unanimous written consent in lieu of a formal meeting from time to time. The agenda for each meeting is usually developed by the chairperson of the security committee, in consultation with management.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security committee include:</w:t>
      </w:r>
    </w:p>
    <w:p>
      <w:pPr>
        <w:spacing w:after="0" w:line="225" w:lineRule="exact"/>
        <w:rPr>
          <w:sz w:val="20"/>
          <w:szCs w:val="20"/>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at least annually, our assessment of risks related to physical security and cybersecurity threats and our management and mitigation of physical security threats, physical security incidents, cybersecurity threats and cybersecurity incidents;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any major physical security and cybersecurity incidents that have occurred and steps that have been taken to mitigate against reoccurrence;</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effectiveness of our risk management and data security programs measured against our cybersecurity threat landscape, including the following program components: cybersecurity risk monitoring, effectiveness testing, integrity of information security systems and controls and adequacy of resources, security awareness training and cybersecurity insurance coverage;</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regulations, as well as key legislative and regulatory developments, that could materially impact our cybersecurity risk exposure;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integrity of our information systems, processes, policies and controls to ensure compliance;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effectiveness of our business continuity plan and cybersecurity incident response plan, including disclosure, investigation, remediation and post-incident security measures;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physical security and cybersecurity risk systems against industry benchmarks and best practices, and make recommendations on enhancements;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information security planning and resources to manage changes in our cybersecurity threat landscape and assessing the potential impact of cybersecurity risk on our business, operations and reputation.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Matrix</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board of directors is comprised of a diverse group of highly qualified leaders in their respective fields. All of our directors have senior leadership experience at large public and private companies and have significant and diverse management experience. We believe the skills, qualities, attributes and experience of our directors provide us with a range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perspectives to effectively represent the best interests of our stockholders. The chart below summarizes our directors’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40575" cy="2203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220345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Skills Matrix (as of May 8,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60" w:type="dxa"/>
            <w:vAlign w:val="bottom"/>
            <w:tcBorders>
              <w:top w:val="single" w:sz="8" w:color="auto"/>
              <w:right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54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Cybersecurity,</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Sales,</w:t>
            </w:r>
          </w:p>
        </w:tc>
        <w:tc>
          <w:tcPr>
            <w:tcW w:w="130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4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Information</w:t>
            </w:r>
          </w:p>
        </w:tc>
        <w:tc>
          <w:tcPr>
            <w:tcW w:w="14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Senior</w:t>
            </w:r>
          </w:p>
        </w:tc>
        <w:tc>
          <w:tcPr>
            <w:tcW w:w="120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Risk</w:t>
            </w:r>
          </w:p>
        </w:tc>
        <w:tc>
          <w:tcPr>
            <w:tcW w:w="12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Finance or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60" w:type="dxa"/>
            <w:vAlign w:val="bottom"/>
            <w:tcBorders>
              <w:right w:val="single" w:sz="8" w:color="auto"/>
            </w:tcBorders>
            <w:vMerge w:val="restart"/>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Technology</w:t>
            </w:r>
          </w:p>
        </w:tc>
        <w:tc>
          <w:tcPr>
            <w:tcW w:w="154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Markets or</w:t>
            </w:r>
          </w:p>
        </w:tc>
        <w:tc>
          <w:tcPr>
            <w:tcW w:w="13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1400" w:type="dxa"/>
            <w:vAlign w:val="bottom"/>
            <w:tcBorders>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6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Security or</w:t>
            </w:r>
          </w:p>
        </w:tc>
        <w:tc>
          <w:tcPr>
            <w:tcW w:w="142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Leadership</w:t>
            </w:r>
          </w:p>
        </w:tc>
        <w:tc>
          <w:tcPr>
            <w:tcW w:w="120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Management</w:t>
            </w:r>
          </w:p>
        </w:tc>
        <w:tc>
          <w:tcPr>
            <w:tcW w:w="12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Accounting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8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3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Boards</w:t>
            </w:r>
          </w:p>
        </w:tc>
        <w:tc>
          <w:tcPr>
            <w:tcW w:w="1400" w:type="dxa"/>
            <w:vAlign w:val="bottom"/>
            <w:tcBorders>
              <w:right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Privacy</w:t>
            </w:r>
          </w:p>
        </w:tc>
        <w:tc>
          <w:tcPr>
            <w:tcW w:w="142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8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Archana Agrawal</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Roelof Botha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Hope Cochran</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Chirantan Desai</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Francisco D'Souza</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Charles M. Hazard</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 Ittycheria</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Tom Killalea</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 Lewnes</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00" w:type="dxa"/>
            <w:vAlign w:val="bottom"/>
            <w:tcBorders>
              <w:bottom w:val="single" w:sz="8" w:color="auto"/>
              <w:right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Dwight Merriman</w:t>
            </w:r>
          </w:p>
        </w:tc>
        <w:tc>
          <w:tcPr>
            <w:tcW w:w="12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54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4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Wingdings" w:cs="Wingdings" w:eastAsia="Wingdings" w:hAnsi="Wingdings"/>
                <w:sz w:val="18"/>
                <w:szCs w:val="18"/>
                <w:b w:val="1"/>
                <w:bCs w:val="1"/>
                <w:color w:val="auto"/>
              </w:rPr>
              <w:t>ü</w:t>
            </w:r>
          </w:p>
        </w:tc>
        <w:tc>
          <w:tcPr>
            <w:tcW w:w="12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transactions, since the beginning of our last fiscal year, to which we have been a participant, in which the amount involved exceeded or will exceed $120,000 and in which any of our directors, executive officers or holders of more than five percent (5%) of our common stock, or any member of the immediate family of the foregoing persons,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holders of more than five percent (5%) of our common stock,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an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There were no related person transactions in fiscal year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Corporate Governance Guidelines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 Conduct and Ethics, applicable amendments thereto and waivers thereof, and our Corporate Governance Guidelines are available in the “Corporate Governance” section of our investor relations website at </w:t>
      </w:r>
      <w:r>
        <w:rPr>
          <w:rFonts w:ascii="Times New Roman" w:cs="Times New Roman" w:eastAsia="Times New Roman" w:hAnsi="Times New Roman"/>
          <w:sz w:val="18"/>
          <w:szCs w:val="18"/>
          <w:i w:val="1"/>
          <w:iCs w:val="1"/>
          <w:color w:val="auto"/>
        </w:rPr>
        <w:t>investors.mongodb.com.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9"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or interested parties who wish to communicate with our board of directors or with an individual director may do so by mail to our board of directors or the individual director, care of our Secretary at 499 Hamilton Ave, Palo Alto, CA 94301, Attention: Secretary. The communication should indicate that it contains a stockholder or interested 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innovate and scale, we also aim to ensure that our success is sustainable. While our management is responsible for developing our overall strategic plan, our board of directors retains oversight authority and has an enterprise-wide approach to ESG and risk management, designed to support the achievement of organizational objectives, including strategic objectives, improving long-term organizational performance, and enhancing stockholder value.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ESG governance framework, formalized in fiscal year 2024, drives the integration of sustainability and social impact across MongoDB. This structure is anchored by our ESG Steering Committee, which provides strategic oversight and is led by our Chief Legal Officer as executive sponsor. The ESG Steering Committee is supported by the ESG Operating Group and ESG Working Group, ensuring a cross-functional flow of expertise. Membership includes senior leaders from key disciplines—including Human Resources, Engineering, Finance, Cybersecurity, and Investor Relations—ensuring that ESG considerations are embedded into our core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45020" cy="2065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020" cy="20656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Oversight</w:t>
            </w:r>
          </w:p>
        </w:tc>
        <w:tc>
          <w:tcPr>
            <w:tcW w:w="2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Board of Directors &amp; Board</w:t>
            </w:r>
          </w:p>
        </w:tc>
        <w:tc>
          <w:tcPr>
            <w:tcW w:w="28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Oversee the implementation of our</w:t>
            </w:r>
          </w:p>
        </w:tc>
        <w:tc>
          <w:tcPr>
            <w:tcW w:w="41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mission, vision, and values across all aspects of our</w:t>
            </w:r>
          </w:p>
        </w:tc>
        <w:tc>
          <w:tcPr>
            <w:tcW w:w="0" w:type="dxa"/>
            <w:vAlign w:val="bottom"/>
          </w:tcPr>
          <w:p>
            <w:pPr>
              <w:spacing w:after="0"/>
              <w:rPr>
                <w:sz w:val="1"/>
                <w:szCs w:val="1"/>
                <w:color w:val="auto"/>
              </w:rPr>
            </w:pPr>
          </w:p>
        </w:tc>
      </w:tr>
      <w:tr>
        <w:trPr>
          <w:trHeight w:val="81"/>
        </w:trPr>
        <w:tc>
          <w:tcPr>
            <w:tcW w:w="196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282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Company. Review significant ESG</w:t>
            </w:r>
          </w:p>
        </w:tc>
        <w:tc>
          <w:tcPr>
            <w:tcW w:w="4180" w:type="dxa"/>
            <w:vAlign w:val="bottom"/>
            <w:vMerge w:val="restart"/>
          </w:tcPr>
          <w:p>
            <w:pPr>
              <w:jc w:val="right"/>
              <w:spacing w:after="0" w:line="184" w:lineRule="exact"/>
              <w:rPr>
                <w:sz w:val="20"/>
                <w:szCs w:val="20"/>
                <w:color w:val="auto"/>
              </w:rPr>
            </w:pPr>
            <w:r>
              <w:rPr>
                <w:rFonts w:ascii="Times New Roman" w:cs="Times New Roman" w:eastAsia="Times New Roman" w:hAnsi="Times New Roman"/>
                <w:sz w:val="18"/>
                <w:szCs w:val="18"/>
                <w:color w:val="auto"/>
              </w:rPr>
              <w:t>goals, risks, opportunities, achievements, and strategy,</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Committees</w:t>
            </w:r>
          </w:p>
        </w:tc>
        <w:tc>
          <w:tcPr>
            <w:tcW w:w="2820" w:type="dxa"/>
            <w:vAlign w:val="bottom"/>
            <w:vMerge w:val="continue"/>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96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including climate, sustainability, employee health and safety and human capital management.</w:t>
            </w:r>
          </w:p>
        </w:tc>
        <w:tc>
          <w:tcPr>
            <w:tcW w:w="0" w:type="dxa"/>
            <w:vAlign w:val="bottom"/>
          </w:tcPr>
          <w:p>
            <w:pPr>
              <w:spacing w:after="0"/>
              <w:rPr>
                <w:sz w:val="1"/>
                <w:szCs w:val="1"/>
                <w:color w:val="auto"/>
              </w:rPr>
            </w:pPr>
          </w:p>
        </w:tc>
      </w:tr>
      <w:tr>
        <w:trPr>
          <w:trHeight w:val="103"/>
        </w:trPr>
        <w:tc>
          <w:tcPr>
            <w:tcW w:w="19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Executive Team</w:t>
            </w:r>
          </w:p>
        </w:tc>
        <w:tc>
          <w:tcPr>
            <w:tcW w:w="7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Integrates ESG into the overall business strategy and risk management process. Collaborates</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with the board to implement ESG strategies, monitor performance, and ensure alignment with</w:t>
            </w: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2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our overall strategic goals.</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6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700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Strategizes and advises the Executive Team on sustainability initiatives and collaborative</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ESG Steering Committee</w:t>
            </w: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efforts on key areas of focus. Measures progress through updates from our Chief Legal Officer</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7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and other members of the ESG Steering Committee.</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7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ESG Operating Group</w:t>
            </w:r>
          </w:p>
        </w:tc>
        <w:tc>
          <w:tcPr>
            <w:tcW w:w="7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Executes  strategic  initiatives  supporting  the  Company's  focus  on  ESG-related  issues.</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7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Responsible for the day-to-day progress of ESG initiatives developed by the ESG Working</w:t>
            </w: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2280" w:type="dxa"/>
            <w:vAlign w:val="bottom"/>
          </w:tcPr>
          <w:p>
            <w:pPr>
              <w:spacing w:after="0"/>
              <w:rPr>
                <w:sz w:val="20"/>
                <w:szCs w:val="20"/>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7000" w:type="dxa"/>
            <w:vAlign w:val="bottom"/>
            <w:gridSpan w:val="2"/>
            <w:vMerge w:val="restart"/>
          </w:tcPr>
          <w:p>
            <w:pPr>
              <w:ind w:left="100"/>
              <w:spacing w:after="0" w:line="189" w:lineRule="exact"/>
              <w:rPr>
                <w:sz w:val="20"/>
                <w:szCs w:val="20"/>
                <w:color w:val="auto"/>
              </w:rPr>
            </w:pPr>
            <w:r>
              <w:rPr>
                <w:rFonts w:ascii="Times New Roman" w:cs="Times New Roman" w:eastAsia="Times New Roman" w:hAnsi="Times New Roman"/>
                <w:sz w:val="18"/>
                <w:szCs w:val="18"/>
                <w:color w:val="auto"/>
              </w:rPr>
              <w:t>Maintains enterprise sustainability and ESG strategies through consistent monitoring of</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ESG Working Group</w:t>
            </w:r>
          </w:p>
        </w:tc>
        <w:tc>
          <w:tcPr>
            <w:tcW w:w="7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7000" w:type="dxa"/>
            <w:vAlign w:val="bottom"/>
            <w:gridSpan w:val="2"/>
          </w:tcPr>
          <w:p>
            <w:pPr>
              <w:ind w:left="100"/>
              <w:spacing w:after="0" w:line="204" w:lineRule="exact"/>
              <w:rPr>
                <w:sz w:val="20"/>
                <w:szCs w:val="20"/>
                <w:color w:val="auto"/>
              </w:rPr>
            </w:pPr>
            <w:r>
              <w:rPr>
                <w:rFonts w:ascii="Times New Roman" w:cs="Times New Roman" w:eastAsia="Times New Roman" w:hAnsi="Times New Roman"/>
                <w:sz w:val="18"/>
                <w:szCs w:val="18"/>
                <w:color w:val="auto"/>
              </w:rPr>
              <w:t>MongoDB  initiatives,  developments  in  regulations,  reporting  standards  and  stakeholder</w:t>
            </w: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18"/>
          <w:szCs w:val="18"/>
          <w:color w:val="auto"/>
        </w:rPr>
        <w:t>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Framework</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that corporate governance and responsibility help advance the long-term interests of our company and stockholders. As a part of its primary duty to oversee corporate strategy, our board of directors also oversees how environmental and social issues may impact the long-term interests of stockholders and stakeholders. We champion the idea that corporate responsibility is part of every employee’s job, as we believe that achieving operational excellence is intrinsically tied to how responsibly we run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ESG strategy and reporting are informed by analysis of:</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stockholder base, as well as prospective investors, to identify key sustainability issues emphasized by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feedback from employees to help determine which sustainability topics have the greatest impact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customers, suppliers and partners to identify market or industry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to identify sustainability policies, principles and practices of our peer companies and the best disclosure practices related to each;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factors evaluated by the most influential rating agencies issuing ESG scores.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MongoDB Leadership Commitment, offer competitive compensation and benefits, support the health and well-being of our employees, and create an environment that supports high performance and growth for all our employees.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January 31, 2026, we had a total of 5,636 employees, including 2,927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 in these locations as required. We have not experienced any work stoppages and we consider our relations with our employees to be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culture is critical to our success and has delivered tangible financial and operational benefits for our customers, our employees and our stockholders. Our culture is grounded in the MongoDB Leadership Commitment framework which states that all employees at MongoDB are keepers of our culture and expected to do three things to be successful: deliver the right outcomes for our customers (what we do), live our values in everything we do (why we do it), and engage with each other as leaders (how we do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Values</w:t>
      </w:r>
    </w:p>
    <w:p>
      <w:pPr>
        <w:spacing w:after="0" w:line="225" w:lineRule="exact"/>
        <w:rPr>
          <w:sz w:val="20"/>
          <w:szCs w:val="20"/>
          <w:color w:val="auto"/>
        </w:rPr>
      </w:pPr>
    </w:p>
    <w:p>
      <w:pPr>
        <w:ind w:left="980" w:right="20" w:hanging="324"/>
        <w:spacing w:after="0" w:line="28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Think big, go far. </w:t>
      </w:r>
      <w:r>
        <w:rPr>
          <w:rFonts w:ascii="Times New Roman" w:cs="Times New Roman" w:eastAsia="Times New Roman" w:hAnsi="Times New Roman"/>
          <w:sz w:val="18"/>
          <w:szCs w:val="18"/>
          <w:color w:val="auto"/>
        </w:rPr>
        <w:t>We are big dreamers with a passion for creativity. We eagerly pursue new opportunities and markets through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disruption. We have a pioneering spirit—always ready to forge new paths and take smart risks.</w:t>
      </w:r>
    </w:p>
    <w:p>
      <w:pPr>
        <w:spacing w:after="0" w:line="14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together. </w:t>
      </w:r>
      <w:r>
        <w:rPr>
          <w:rFonts w:ascii="Times New Roman" w:cs="Times New Roman" w:eastAsia="Times New Roman" w:hAnsi="Times New Roman"/>
          <w:sz w:val="18"/>
          <w:szCs w:val="18"/>
          <w:color w:val="auto"/>
        </w:rPr>
        <w:t>We achieve amazing things by connecting and leveraging the diversity of perspectives, skills, experiences and backgrounds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entire organization. We place the interests of the company over any individual or team. We discuss things thoroughly, but prioritize commitment over consensus.</w:t>
      </w:r>
    </w:p>
    <w:p>
      <w:pPr>
        <w:spacing w:after="0" w:line="143" w:lineRule="exact"/>
        <w:rPr>
          <w:rFonts w:ascii="Times New Roman" w:cs="Times New Roman" w:eastAsia="Times New Roman" w:hAnsi="Times New Roman"/>
          <w:sz w:val="18"/>
          <w:szCs w:val="18"/>
          <w:color w:val="auto"/>
        </w:rPr>
      </w:pPr>
    </w:p>
    <w:p>
      <w:pPr>
        <w:jc w:val="both"/>
        <w:ind w:left="980" w:right="20" w:hanging="324"/>
        <w:spacing w:after="0" w:line="268"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Embrace the power of differences. </w:t>
      </w:r>
      <w:r>
        <w:rPr>
          <w:rFonts w:ascii="Times New Roman" w:cs="Times New Roman" w:eastAsia="Times New Roman" w:hAnsi="Times New Roman"/>
          <w:sz w:val="18"/>
          <w:szCs w:val="18"/>
          <w:color w:val="auto"/>
        </w:rPr>
        <w:t>We commit to creating a culture of belonging, where people of different origins, backgrounds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feel valued and heard. This is cultivated by learning from and respecting each other’s similarities and differences. We approach conversations with positive intent and believe that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value the perspective we bring to the table. We recognize that a diverse workforce is the best way to broaden our perspectives, foster innovation and enable a sustainable competitive advantage.</w:t>
      </w:r>
    </w:p>
    <w:p>
      <w:pPr>
        <w:spacing w:after="0" w:line="144" w:lineRule="exact"/>
        <w:rPr>
          <w:sz w:val="20"/>
          <w:szCs w:val="20"/>
          <w:color w:val="auto"/>
        </w:rPr>
      </w:pPr>
    </w:p>
    <w:p>
      <w:pPr>
        <w:ind w:left="980" w:hanging="324"/>
        <w:spacing w:after="0" w:line="28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Make it matter. </w:t>
      </w:r>
      <w:r>
        <w:rPr>
          <w:rFonts w:ascii="Times New Roman" w:cs="Times New Roman" w:eastAsia="Times New Roman" w:hAnsi="Times New Roman"/>
          <w:sz w:val="18"/>
          <w:szCs w:val="18"/>
          <w:color w:val="auto"/>
        </w:rPr>
        <w:t>We are relentless in our pursuit of meaningful impact. We think strategically and are clear on what we are and are not trying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do. We accomplish an amazing amount of important work and we are obsessed with delivering on our commitments.</w:t>
      </w:r>
    </w:p>
    <w:p>
      <w:pPr>
        <w:spacing w:after="0" w:line="127"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 intellectually honest. </w:t>
      </w:r>
      <w:r>
        <w:rPr>
          <w:rFonts w:ascii="Times New Roman" w:cs="Times New Roman" w:eastAsia="Times New Roman" w:hAnsi="Times New Roman"/>
          <w:sz w:val="18"/>
          <w:szCs w:val="18"/>
          <w:color w:val="auto"/>
        </w:rPr>
        <w:t>We embrace reality. We apply high-quality thinking and rigor and operate with transparency. We have courage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convictions, but work hard to ensure biases or personal beliefs do not get in the way of finding the best solution.</w:t>
      </w:r>
    </w:p>
    <w:p>
      <w:pPr>
        <w:spacing w:after="0" w:line="14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 what you do. </w:t>
      </w:r>
      <w:r>
        <w:rPr>
          <w:rFonts w:ascii="Times New Roman" w:cs="Times New Roman" w:eastAsia="Times New Roman" w:hAnsi="Times New Roman"/>
          <w:sz w:val="18"/>
          <w:szCs w:val="18"/>
          <w:color w:val="auto"/>
        </w:rPr>
        <w:t>We take ownership and are accountable for everything that we do. We empower and we are empowered to make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happen and balance independence with interdependence. We demand excellence from ourselves. We each play our own part in making MongoDB a great place to work.</w:t>
      </w:r>
    </w:p>
    <w:p>
      <w:pPr>
        <w:spacing w:after="0" w:line="16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continuing to embed the MongoDB Leadership Commitment, and therefore our Values, into all aspects of the employee lifecycle from recruiting to performance management to leadership development and more to build a high performance and inclusive culture.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&amp; Leadership Development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w:t>
      </w:r>
    </w:p>
    <w:p>
      <w:pPr>
        <w:jc w:val="both"/>
        <w:ind w:firstLine="8"/>
        <w:spacing w:after="0" w:line="252" w:lineRule="auto"/>
        <w:tabs>
          <w:tab w:leader="none" w:pos="1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growing company, we add and expand roles 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(including our named executive officers)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cash and equity compensation, we offer employees a wide array of benefits designed to be aligned with local reward practices and to be competitive with those offered by companies that we compete with for talent. In the United States, these include health (medical, dental and vision) insurance, paid time off, 401(k) retirement plan benefits and additional resources to support employees' overall well-being. While the philosophy around our benefits is the same worldwide, specific benefits may vary by country due to local regulations and preferences.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three-year average annual burn rate from fiscal year 2024 through fiscal year 2026 has been 3.57%, compared to our three-year average annual burn rate of 3.23% from fiscal year 2023 through fiscal year 2025, and well below the evergreen share replenishment factor of 5.0% of common shares outstanding. We determine our “burn rate” by dividing equity awards granted during the fiscal year by the weighted average number of shares outstanding over such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seeking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it relates to employee well-being, we offer a range of benefits under our four pillars of well-being:</w:t>
      </w:r>
    </w:p>
    <w:p>
      <w:pPr>
        <w:spacing w:after="0" w:line="208" w:lineRule="exact"/>
        <w:rPr>
          <w:sz w:val="20"/>
          <w:szCs w:val="20"/>
          <w:color w:val="auto"/>
        </w:rPr>
      </w:pPr>
    </w:p>
    <w:p>
      <w:pPr>
        <w:jc w:val="both"/>
        <w:ind w:left="660" w:hanging="328"/>
        <w:spacing w:after="0" w:line="26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Physical well-being. </w:t>
      </w:r>
      <w:r>
        <w:rPr>
          <w:rFonts w:ascii="Times New Roman" w:cs="Times New Roman" w:eastAsia="Times New Roman" w:hAnsi="Times New Roman"/>
          <w:sz w:val="18"/>
          <w:szCs w:val="18"/>
          <w:color w:val="auto"/>
        </w:rPr>
        <w:t>We offer our employees access to comprehensive and competitive medical coverage in local markets, often covering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well-being. </w:t>
      </w:r>
      <w:r>
        <w:rPr>
          <w:rFonts w:ascii="Times New Roman" w:cs="Times New Roman" w:eastAsia="Times New Roman" w:hAnsi="Times New Roman"/>
          <w:sz w:val="18"/>
          <w:szCs w:val="18"/>
          <w:color w:val="auto"/>
        </w:rPr>
        <w:t>We believe that financial security is an enabler of creativity and productivity, which is why we offer retirement saving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for our employees, including a 401(k) employer matching program, as well as benefits such as life insurance, disability insurance, critical illness and accident coverage.</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Emotional well-being. </w:t>
      </w:r>
      <w:r>
        <w:rPr>
          <w:rFonts w:ascii="Times New Roman" w:cs="Times New Roman" w:eastAsia="Times New Roman" w:hAnsi="Times New Roman"/>
          <w:sz w:val="18"/>
          <w:szCs w:val="18"/>
          <w:color w:val="auto"/>
        </w:rPr>
        <w:t>Our employees and their families have 24-hour access to our Employee Assistance Program (“EAP”). Our EAP offers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Family well-being. </w:t>
      </w:r>
      <w:r>
        <w:rPr>
          <w:rFonts w:ascii="Times New Roman" w:cs="Times New Roman" w:eastAsia="Times New Roman" w:hAnsi="Times New Roman"/>
          <w:sz w:val="18"/>
          <w:szCs w:val="18"/>
          <w:color w:val="auto"/>
        </w:rPr>
        <w:t>We provide global fertility benefits to our employees and their partners, including fertility care, adoption and surrogacy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also have access to personalized guidance to parents and caregivers, offering a full spectrum of family support for those with children of all 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deterioration and work with their teams to determine actionable steps based on survey results. The results also drive organization-wide focus areas and commitments focused on leadership, culture and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Environmental sustainability is an important consideration in how MongoDB operates. We recognize a responsibility to understand and reduce our impact where we can, from product design to office selection. As we continue to grow, we are working to embed sustainable practices into our business and to be transparent about both our progress and the challenges that remain.</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disclosed our carbon footprint and updated our net-zero carbon target to 2050, aligning with science-based standards and our long-term growth trajectory. Our goal is to reduce 90% of our absolute emissions across all scopes and offset the remaining residual emissions through high-quality carbon removal credits. We are also committed to being 100% powered by renewables by the end of 2026. This target entails reducing our Scope 2 electricity emissions to zero through thoughtful sourcing of Renewable Energy Credits or on-site renewables. We have made significant progress, reaching 80% renewable power for our offices, and are on track to achieve 100% by the end of April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demonstrating our commitment to advancing sustainability include:</w:t>
      </w:r>
    </w:p>
    <w:p>
      <w:pPr>
        <w:spacing w:after="0" w:line="212" w:lineRule="exact"/>
        <w:rPr>
          <w:sz w:val="20"/>
          <w:szCs w:val="20"/>
          <w:color w:val="auto"/>
        </w:rPr>
      </w:pPr>
    </w:p>
    <w:p>
      <w:pPr>
        <w:ind w:left="1300" w:hanging="320"/>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our first double materiality assessment to identify and prioritize the ESG topics most significant to our business and stakeholders.</w:t>
      </w:r>
    </w:p>
    <w:p>
      <w:pPr>
        <w:spacing w:after="0" w:line="16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Climate Transition Plan, outlining a clear pathway to achieve our net-zero by 2050 goal through a 90% emissions reduction.</w:t>
      </w:r>
    </w:p>
    <w:p>
      <w:pPr>
        <w:spacing w:after="0" w:line="148"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renewable energy strategy through a hybrid approach combining Virtual Power Purchase Agreements ("VPPA") and Renewable Energy Certificates to accelerate progress toward 100% renewable operations.</w:t>
      </w:r>
    </w:p>
    <w:p>
      <w:pPr>
        <w:spacing w:after="0" w:line="175" w:lineRule="exact"/>
        <w:rPr>
          <w:rFonts w:ascii="Times New Roman" w:cs="Times New Roman" w:eastAsia="Times New Roman" w:hAnsi="Times New Roman"/>
          <w:sz w:val="18"/>
          <w:szCs w:val="18"/>
          <w:color w:val="auto"/>
        </w:rPr>
      </w:pPr>
    </w:p>
    <w:p>
      <w:pPr>
        <w:ind w:left="1300" w:hanging="320"/>
        <w:spacing w:after="0" w:line="232" w:lineRule="exact"/>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long-term VPPA in India, installing two rooftop solar systems on industrial facilities, one projected to avoid 750 tCO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/year while creating local jobs, and another enabling a facility to reduce its reliance on diesel generation.</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 CDP score of B, reflecting stronger climate disclosure and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EcoVadis sustainability rating to 60, demonstrating progress in ESG practices.</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third-party verification of our emissions data in accordance with ISO 14064.</w:t>
      </w:r>
    </w:p>
    <w:p>
      <w:pPr>
        <w:spacing w:after="0" w:line="21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our renewable energy procurement into new regions, including Australia, the United Kingdom, Denmark, France, and Spain.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divided into three classes. 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ten members divided into the three classes as follows:</w:t>
      </w:r>
    </w:p>
    <w:p>
      <w:pPr>
        <w:spacing w:after="0" w:line="117" w:lineRule="exact"/>
        <w:rPr>
          <w:sz w:val="20"/>
          <w:szCs w:val="20"/>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Roelof Botha, Chirantan Desai, Dev Ittycheria and Ann Lewnes, whose terms will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Francisco D’Souza, Charles M. Hazard, Jr. and Tom Killalea, whose terms will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Archana Agrawal, Hope Cochran and Dwight Merriman, whose terms will expire at the upcoming annual meeting of stockholders.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nominated Mses. Agrawal and Cochran and Mr. Merriman, each of whom is currently a director of MongoDB, for re-election to serve as Class III directors.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Mses. Agrawal and Cochran and Mr. Merriman, has agreed to stand for reelection at the meeting. Our management has no reason to believe that any nominee will be unable to serve. If elected at the meeting, each of these nominees would serve until the annual meeting of stockholders to be held in 2029 and until his or her successor has been duly elected, or if sooner, until the director’s death, resignation or removal.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an array of perspectives, skills, experiences and backgrounds add to the overall diversity and viewpoints of the board of directors and that the current board of directors embodies the breadth of backgrounds and experience necessary for a balanced and effective board.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Class III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-157480</wp:posOffset>
            </wp:positionV>
            <wp:extent cx="707199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719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INFORMATION REGARDING DIRECTOR NOMINEES AND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current nominees and our other directors who will continue in office after the meeting, their ages and position/office held with us as of the date of this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9"/>
        </w:trPr>
        <w:tc>
          <w:tcPr>
            <w:tcW w:w="1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Class I directors, nominees for election at the 2027 Annual Meeting of Stockholders</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Director and former President and Chief Executive Officer</w:t>
            </w:r>
          </w:p>
        </w:tc>
      </w:tr>
      <w:tr>
        <w:trPr>
          <w:trHeight w:val="225"/>
        </w:trPr>
        <w:tc>
          <w:tcPr>
            <w:tcW w:w="3080" w:type="dxa"/>
            <w:vAlign w:val="bottom"/>
            <w:shd w:val="clear" w:color="auto" w:fill="CCEEFF"/>
          </w:tcPr>
          <w:p>
            <w:pPr>
              <w:ind w:left="60"/>
              <w:spacing w:after="0" w:line="224"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(3)(7)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Chirantan Desai</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5"/>
        </w:trPr>
        <w:tc>
          <w:tcPr>
            <w:tcW w:w="11240" w:type="dxa"/>
            <w:vAlign w:val="bottom"/>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Class II directors whose terms expire at the 2028 Annual Meeting of Stockholders</w:t>
            </w:r>
          </w:p>
        </w:tc>
      </w:tr>
      <w:tr>
        <w:trPr>
          <w:trHeight w:val="229"/>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(3)(4)(5)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0"/>
        </w:trPr>
        <w:tc>
          <w:tcPr>
            <w:tcW w:w="30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(1)(5)(6)(7)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3080" w:type="dxa"/>
            <w:vAlign w:val="bottom"/>
          </w:tcPr>
          <w:p>
            <w:pPr>
              <w:ind w:left="60"/>
              <w:spacing w:after="0" w:line="234"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(3)(5)(8)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of the Board</w:t>
            </w:r>
          </w:p>
        </w:tc>
      </w:tr>
      <w:tr>
        <w:trPr>
          <w:trHeight w:val="229"/>
        </w:trPr>
        <w:tc>
          <w:tcPr>
            <w:tcW w:w="11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Class III directors whose terms expire at the 2026 Annual Meeting of Stockholders</w:t>
            </w:r>
          </w:p>
        </w:tc>
      </w:tr>
      <w:tr>
        <w:trPr>
          <w:trHeight w:val="230"/>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(1)(2)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9"/>
        </w:trPr>
        <w:tc>
          <w:tcPr>
            <w:tcW w:w="30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7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Co-Founder and Director</w:t>
            </w:r>
          </w:p>
        </w:tc>
      </w:tr>
    </w:tbl>
    <w:p>
      <w:pPr>
        <w:spacing w:after="0" w:line="104"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Audit Committee Member</w:t>
      </w:r>
    </w:p>
    <w:p>
      <w:pPr>
        <w:spacing w:after="0" w:line="3" w:lineRule="exact"/>
        <w:rPr>
          <w:rFonts w:ascii="Times New Roman" w:cs="Times New Roman" w:eastAsia="Times New Roman" w:hAnsi="Times New Roman"/>
          <w:sz w:val="23"/>
          <w:szCs w:val="23"/>
          <w:color w:val="auto"/>
          <w:vertAlign w:val="superscript"/>
        </w:rPr>
      </w:pP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Audit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Compensation Committee Member</w:t>
      </w: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Compensation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Member</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Nominating and Corporate Governance Committee Chairperson</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Security Committee Member</w:t>
      </w:r>
    </w:p>
    <w:p>
      <w:pPr>
        <w:ind w:left="280" w:hanging="272"/>
        <w:spacing w:after="0" w:line="189"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Security Committee Chairperson</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2026 Annual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Archana Agrawal </w:t>
      </w:r>
      <w:r>
        <w:rPr>
          <w:rFonts w:ascii="Times New Roman" w:cs="Times New Roman" w:eastAsia="Times New Roman" w:hAnsi="Times New Roman"/>
          <w:sz w:val="18"/>
          <w:szCs w:val="18"/>
          <w:color w:val="auto"/>
        </w:rPr>
        <w:t>has served as a member of our board of directors since August 2019. Ms. Agrawal is currently the President of Intercom,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messaging software company, and has served in this capacity since December 2023. Ms. Agrawal served as the Chief Marketing Officer of Formagrid, Inc. d/b/a Airtable, a cloud collaboration company from March 2020 to December 2023. She served on the board of Zendesk, Inc., a public software development company from July 2020 to November 2022. Previously, Ms. Agrawal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Ms. Agrawal has a combined 19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Hope Cochran </w:t>
      </w:r>
      <w:r>
        <w:rPr>
          <w:rFonts w:ascii="Times New Roman" w:cs="Times New Roman" w:eastAsia="Times New Roman" w:hAnsi="Times New Roman"/>
          <w:sz w:val="18"/>
          <w:szCs w:val="18"/>
          <w:color w:val="auto"/>
        </w:rPr>
        <w:t>has served as a member of our board of directors since December 2016. Ms. Cochran is currently a Venture Partner at Madrona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 Group, a position she has held since 2017. From September 2013 to June 2016, Ms. Cochran served as the Chief Financial Officer of the public gaming company King Digital Entertainment plc ("King Digital"),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contract resources software company that she founded. Ms. Cochran has served on the Board of Directors of Hasbro, Inc., a public toy and entertainment company, since June 2016, and is chairperson of Hasbro's audit committee and a member of its finance committee. She has also served on the Board of Directors of New Relic, Inc., a public software analytics company from 2018 to 2023 and was the lead independent director and a member of its audit committee.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Dwight Merriman</w:t>
      </w:r>
      <w:r>
        <w:rPr>
          <w:rFonts w:ascii="Times New Roman" w:cs="Times New Roman" w:eastAsia="Times New Roman" w:hAnsi="Times New Roman"/>
          <w:sz w:val="18"/>
          <w:szCs w:val="18"/>
          <w:color w:val="auto"/>
        </w:rPr>
        <w:t>, one of our co-founders, has served as a member of our board of directors since July 2020. Prior to joining our board,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employed as an advisor to MongoDB. In 1995, he co-founded DoubleClick and served as its Chief Technology Officer for 10 years. He is also a co-founder of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Roelof Botha </w:t>
      </w:r>
      <w:r>
        <w:rPr>
          <w:rFonts w:ascii="Times New Roman" w:cs="Times New Roman" w:eastAsia="Times New Roman" w:hAnsi="Times New Roman"/>
          <w:sz w:val="18"/>
          <w:szCs w:val="18"/>
          <w:color w:val="auto"/>
        </w:rPr>
        <w:t>has served as a member of our board of directors since December 2013. Since January 2003, Mr. Botha has served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at Sequoia Capital, a venture capital firm, including as a Managing Member of Sequoia Capital Operations, LLC. From March 2000 to January 2003, Mr. Botha served in various positions at PayPal, Inc., a public online payments company, including as Chief Financial Officer. Mr. Botha has served on the board of directors of Natera, Inc., a public genetic testing company, since 2007, and is a member of its nominating and governance committee; on the board of directors of Block, Inc., a public provider of payments, financial and marketing services, since 2011, and is a member of its audit and risk committee and its compensation committee; on the board of directors of Unity Software, Inc., a public video game software development company, since 2009, and is a member of its audit committee. He also currently serves on the board of directors of a number of privately-held companies. Mr. Botha previously served on board of directors of 23andMe, Inc., a personal genetics company from September 2017 to September 2024, on the board of Eventbrite, a public global platform for live experiences from October 2009 to June 2022, and on the board of directors of Bird Global, Inc., a public electric vehicle ridesharing company from May 2018 to December 2022.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Chirantan J. Desai </w:t>
      </w:r>
      <w:r>
        <w:rPr>
          <w:rFonts w:ascii="Times New Roman" w:cs="Times New Roman" w:eastAsia="Times New Roman" w:hAnsi="Times New Roman"/>
          <w:sz w:val="18"/>
          <w:szCs w:val="18"/>
          <w:color w:val="auto"/>
        </w:rPr>
        <w:t>has served as our President and Chief Executive Officer and as a member of our board of directors since November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his appointment with the Company, Mr. Desai served as President of Product and Engineering of Cloudflare, Inc. from October 2024. Previous to that, Mr. Desai served at ServiceNow, Inc. as President and Chief Operating Officer from January 2023 to July 2024, Chief Operating Officer from January 2022 to January 2023, and Chief Product and Engineering Officer from December 2016 to January 2022. Before ServiceNow, Inc., Mr. Desai served in various roles at EMC Corporation from September 2013 to December 2016, including as the President of the Emerging Technologies Division from September 2014 to December 2016. Prior to joining EMC Corporation, Mr. Desai held several executive roles at Symantec Corporation from November 2004 to September 2013, where he ran Information Management and Enterprise Security product lines. Mr. Desai began his career with Oracle Corporation and was a key member of the team that launched Oracle’s first cloud service. Mr. Desai served on the board of Zebra Technologies from December 2015 through May 2023 and was a member of its compensation committee. Mr. Desai holds a Master’s degree in Computer Science and an MBA degree from the University of Illinois at Urbana-Champaign. We believe that Mr. Desai is qualified to serve on our board of directors because of his experience building and leading high growth businesses, his prior and current service on the boards of multiple public companies and his expertise and insight into corporate matters as our current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Dev Ittycheria </w:t>
      </w:r>
      <w:r>
        <w:rPr>
          <w:rFonts w:ascii="Times New Roman" w:cs="Times New Roman" w:eastAsia="Times New Roman" w:hAnsi="Times New Roman"/>
          <w:sz w:val="18"/>
          <w:szCs w:val="18"/>
          <w:color w:val="auto"/>
        </w:rPr>
        <w:t>served as our President and Chief Executive Officer from September 2014 to November 2025. He has been a member of our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since September 2014. Prior to 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from January 2010 to August 2014; Athenahealth, Inc., a public cloud-based services company from June 2010 to February 2019; AppDynamics, Inc., a private software company from March 2011 until its acquisition by Cisco Systems, Inc. in March 2017; DataRobot, Inc., a private software company from December 2021 to March 2024; and Altimeter Growth Corporation, a blank-check company formed by an affiliate of technology focused investment firm Altimeter Capital Management, LP from October 2020 to December 2021. Mr. Ittycheria received his B.S. in Electrical Engineering from Rutgers University. We believe that Mr. Ittycheria is qualified to serve on our board of directors because of his experience building and leading high growth businesses, his prior and current service on the boards of multiple public companies and his expertise and insight into corporate matters as our former President and Chief Executive Officer.</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Ann Lewnes </w:t>
      </w:r>
      <w:r>
        <w:rPr>
          <w:rFonts w:ascii="Times New Roman" w:cs="Times New Roman" w:eastAsia="Times New Roman" w:hAnsi="Times New Roman"/>
          <w:sz w:val="18"/>
          <w:szCs w:val="18"/>
          <w:color w:val="auto"/>
        </w:rPr>
        <w:t>has served as a member of our board of directors since December 2023. Ms. Lewnes has significant leadership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branding, advertising, direct-to-consumer e-commerce, digital marketing, and corporate strategy. She brings leadership experience in driving transformative growth and global demand at large public companies, as well as experience serving on both public and non-profit boards. Ms. Lewnes served on the Board of Directors of Mattel, Inc., a public toy and entertainment company, from February 2015 to February 2024 and chaired Mattel's Governance and Social Responsibility Committee and was a member of its Executive Committee. From November 2006 to March 2023, Ms. Lewnes served as Adobe Inc.'s Chief Marketing Officer and Executive Vice President of Corporate Strategy and Development. Previously, Ms. Lewnes was at Intel Corporation where she served as their Vice President of Marketing. She currently serves on the board of directors of the Sundance Institute. Ms. Lewnes served as vice chair of the Board of Trustees of Lehigh University from 2021 to May 2025. She received her B.A. in International Relations and Journalism from Lehigh University. We believe that Ms. Lewnes is qualified to serve on our board of directors as she offers valuable insights obtained through her extensive business and marketing experience, particularly at technology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2028 Annual Meeting of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Francisco D’Souza </w:t>
      </w:r>
      <w:r>
        <w:rPr>
          <w:rFonts w:ascii="Times New Roman" w:cs="Times New Roman" w:eastAsia="Times New Roman" w:hAnsi="Times New Roman"/>
          <w:sz w:val="18"/>
          <w:szCs w:val="18"/>
          <w:color w:val="auto"/>
        </w:rPr>
        <w:t>has served as a member of our board of directors since November 2019. Mr. D'Souza is Managing Partner and Co-Founder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 Partners, a position he has held since November 2019. He co-founded Cognizant Technology 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on the board of directors of General Electric Company from February 2013 to May 2023 and on the board of directors of Cognizant from January 2007 to March 2020 and as its Vice Chairman from June 2018 to March 2020. Mr. D’Souza serves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Charles M. Hazard, Jr. </w:t>
      </w:r>
      <w:r>
        <w:rPr>
          <w:rFonts w:ascii="Times New Roman" w:cs="Times New Roman" w:eastAsia="Times New Roman" w:hAnsi="Times New Roman"/>
          <w:sz w:val="18"/>
          <w:szCs w:val="18"/>
          <w:color w:val="auto"/>
        </w:rPr>
        <w:t>has served as a member of our board of directors since October 2009. Mr. Hazard is a co-founder and has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of Flybridge Capital Partners, a venture capital firm, since May 2002. He currently represents Flybridge Capital Partners on the boards of directors of a number of privately 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Tom Killalea </w:t>
      </w:r>
      <w:r>
        <w:rPr>
          <w:rFonts w:ascii="Times New Roman" w:cs="Times New Roman" w:eastAsia="Times New Roman" w:hAnsi="Times New Roman"/>
          <w:sz w:val="18"/>
          <w:szCs w:val="18"/>
          <w:color w:val="auto"/>
        </w:rPr>
        <w:t>has served as a member of our board of directors since December 2015 and as the chairperson of the board of directors since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He has been an advisor to technology-driven companies since November 2014. Formerly at Amazon for 16 years, Mr. Killalea was Amazon's first Chief Information Security Officer, led the infrastructure and distributed systems team, and led the Kindle Content Ecosystem. Mr. Killalea currently serves on the board of directors of Akamai Technologies, Inc., a public technology company that provides cloud services for delivering content and business applications over the internet, Capital One Financial Corp., a public bank holding company, and Satellogic, Inc., a public earth observation company. Previously, he was a Director of Carbon Black, Inc. from April 2017 until its acquisition by VMware, Inc. in October 2019, and Xoom Corporation from March 2015 until its acquisition by PayPal, Inc. in November 2015. He serves on the editorial board of Association for Computing Machinery Queue. He holds a B.Ed. in Education from the National University of Ireland, and a B.S. in Computer Science from Trinity College in Dublin. We believe that Mr. Killalea is qualified to serve on our board of directors based on his deep expertise in product development, digital innovation, customer experience,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independent compensation consultant, Semler Brossy Consulting Group, LLC (“Semler Brossy”).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our non-employee directors receive annual cash retainers for their service on our board of directors and its committees. These cash retainers may be paid in cash or in fully vested shares of our common stock at the election of the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our non-employee directors are eligible to receive the following cash fees for service on our board of directors and its committees,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428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Annual Cash Retainer ($)</w:t>
            </w:r>
            <w:r>
              <w:rPr>
                <w:rFonts w:ascii="Times New Roman" w:cs="Times New Roman" w:eastAsia="Times New Roman" w:hAnsi="Times New Roman"/>
                <w:sz w:val="23"/>
                <w:szCs w:val="23"/>
                <w:color w:val="auto"/>
                <w:vertAlign w:val="superscript"/>
              </w:rPr>
              <w:t>(1)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4280" w:type="dxa"/>
            <w:vAlign w:val="bottom"/>
            <w:shd w:val="clear" w:color="auto" w:fill="CCEEFF"/>
          </w:tcPr>
          <w:p>
            <w:pPr>
              <w:spacing w:after="0"/>
              <w:rPr>
                <w:sz w:val="19"/>
                <w:szCs w:val="19"/>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Chairperson Retainer</w:t>
            </w:r>
          </w:p>
        </w:tc>
        <w:tc>
          <w:tcPr>
            <w:tcW w:w="428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225"/>
        </w:trPr>
        <w:tc>
          <w:tcPr>
            <w:tcW w:w="3700" w:type="dxa"/>
            <w:vAlign w:val="bottom"/>
            <w:shd w:val="clear" w:color="auto" w:fill="CCEEFF"/>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3700" w:type="dxa"/>
            <w:vAlign w:val="bottom"/>
            <w:shd w:val="clear" w:color="auto" w:fill="CCEEFF"/>
          </w:tcPr>
          <w:p>
            <w:pPr>
              <w:spacing w:after="0"/>
              <w:rPr>
                <w:sz w:val="20"/>
                <w:szCs w:val="20"/>
                <w:color w:val="auto"/>
              </w:rPr>
            </w:pPr>
          </w:p>
        </w:tc>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Non-Chair Committee Retainer</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r>
      <w:tr>
        <w:trPr>
          <w:trHeight w:val="230"/>
        </w:trPr>
        <w:tc>
          <w:tcPr>
            <w:tcW w:w="37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r>
        <w:trPr>
          <w:trHeight w:val="234"/>
        </w:trPr>
        <w:tc>
          <w:tcPr>
            <w:tcW w:w="37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r>
    </w:tbl>
    <w:p>
      <w:pPr>
        <w:spacing w:after="0" w:line="72" w:lineRule="exact"/>
        <w:rPr>
          <w:sz w:val="20"/>
          <w:szCs w:val="20"/>
          <w:color w:val="auto"/>
        </w:rPr>
      </w:pPr>
    </w:p>
    <w:p>
      <w:pPr>
        <w:ind w:left="340" w:hanging="332"/>
        <w:spacing w:after="0" w:line="205" w:lineRule="auto"/>
        <w:tabs>
          <w:tab w:leader="none" w:pos="3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If the relevant director elects to be paid in fully vested shares of our common stock, the number of shares granted to each such director will be based on the volume-weighted average trading price (“VWAP”) of our common stock on the Nasdaq for the 30 trading days immediately prior to the grant date.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any reasonable expenses incurred in connection with attending our board of directors and committee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our non-employee director compensation program, for fiscal year 2026, our non-employee directors were eligible to receive restricted stock unit (“RSU”) awards for their service on our board of directors, which such number of shares underlying the RSU award granted to each director is based on the VWAP of our common stock on the Nasdaq for the 30 trading days immediately prior to the grant date, as follows:</w:t>
      </w:r>
    </w:p>
    <w:p>
      <w:pPr>
        <w:spacing w:after="0" w:line="172" w:lineRule="exact"/>
        <w:rPr>
          <w:sz w:val="20"/>
          <w:szCs w:val="20"/>
          <w:color w:val="auto"/>
        </w:rPr>
      </w:pPr>
    </w:p>
    <w:p>
      <w:pPr>
        <w:jc w:val="both"/>
        <w:ind w:left="980" w:hanging="324"/>
        <w:spacing w:after="0" w:line="26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Equity Grant</w:t>
      </w:r>
      <w:r>
        <w:rPr>
          <w:rFonts w:ascii="Times New Roman" w:cs="Times New Roman" w:eastAsia="Times New Roman" w:hAnsi="Times New Roman"/>
          <w:sz w:val="18"/>
          <w:szCs w:val="18"/>
          <w:color w:val="auto"/>
        </w:rPr>
        <w:t>. Each newly elected non-employee director was eligible to receive an initial RSU award (the “Initial Grant”).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non-employee directors were eligible to receive a number of shares equal in value to $460,000, an increase from $430,000 in fiscal year 2025. The shares underlying the Initial Grant vest in a series of three equal annual installments on each anniversary of the grant date, subject to the director’s continued service through each vesting date. We may, in our discretion, settle an Initial Grant in cash.</w:t>
      </w:r>
    </w:p>
    <w:p>
      <w:pPr>
        <w:spacing w:after="0" w:line="68"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Equity Grant</w:t>
      </w:r>
      <w:r>
        <w:rPr>
          <w:rFonts w:ascii="Times New Roman" w:cs="Times New Roman" w:eastAsia="Times New Roman" w:hAnsi="Times New Roman"/>
          <w:sz w:val="18"/>
          <w:szCs w:val="18"/>
          <w:color w:val="auto"/>
        </w:rPr>
        <w:t>. On the date of our annual meeting of stockholders, each incumbent, non-employee director is eligible to receive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award (the “Annual Grant”). Incumbent non-employee directors were eligible to receive a number of shares equal in value to $230,000, an increase from $215,000 in fiscal year 2025. The shares underlying each Annual Grant vest on the earlier of (a) the first anniversary of the grant date and (b) our next annual meeting of stockholders, subject to the director’s continued service through such date. Newly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elected directors will not be granted an Annual Grant during their first year of service. We may, in our discretion, settle an Annual Grant in cash.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termination of a director’s service on our board of directors in connection with a change in control (as defined in our 2016 Equity Incentive Plan (the “2016 Plan”)), any unvested shares underlying the Initial Grant and/or the Annual Grant, as applicable, will fully vest as of the effective date of such termination.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of our non-employee directors for the fiscal year ended January 31, 2026. Mr. Desai serves as our President and Chief Executive Officer in addition to serving as a director and does not receive any additional compensation for his service as a director, and, accordingly, he is not included in the table below. Our former President and Chief Executive Officer, Mr. Ittycheria, likewise served as a director while serving as President and Chief Executive Officer, and will continue to do so until his resignation from the board of directors becomes effective November 9, 2026, unless otherwise extended, in accordance with the terms of his Advisory Services Agreement with the Company dated as of October 29, 2025 (the "Advisory Agreement"). Mr. Ittycheria did not receive, and continues not to receive, any additional compensation for his service as a director, and, accordingly, he is also not included in the table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5"/>
        </w:trPr>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Fees Earned or Paid in Cash ($)</w:t>
            </w:r>
            <w:r>
              <w:rPr>
                <w:rFonts w:ascii="Times New Roman" w:cs="Times New Roman" w:eastAsia="Times New Roman" w:hAnsi="Times New Roman"/>
                <w:sz w:val="23"/>
                <w:szCs w:val="23"/>
                <w:b w:val="1"/>
                <w:bCs w:val="1"/>
                <w:color w:val="auto"/>
                <w:w w:val="98"/>
                <w:vertAlign w:val="superscript"/>
              </w:rPr>
              <w:t>(1)</w:t>
            </w:r>
          </w:p>
        </w:tc>
        <w:tc>
          <w:tcPr>
            <w:tcW w:w="26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6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47,500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284,789</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50,000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287,289</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65,000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302,289</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59,000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296,289</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64,000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301,289</w:t>
            </w:r>
          </w:p>
        </w:tc>
      </w:tr>
      <w:tr>
        <w:trPr>
          <w:trHeight w:val="27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81,500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318,789</w:t>
            </w: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37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51,500</w:t>
            </w:r>
          </w:p>
        </w:tc>
        <w:tc>
          <w:tcPr>
            <w:tcW w:w="26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288,789</w:t>
            </w:r>
          </w:p>
        </w:tc>
      </w:tr>
      <w:tr>
        <w:trPr>
          <w:trHeight w:val="3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37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44,000</w:t>
            </w:r>
          </w:p>
        </w:tc>
        <w:tc>
          <w:tcPr>
            <w:tcW w:w="26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4"/>
              </w:rPr>
              <w:t>237,289</w:t>
            </w:r>
            <w:r>
              <w:rPr>
                <w:rFonts w:ascii="Times New Roman" w:cs="Times New Roman" w:eastAsia="Times New Roman" w:hAnsi="Times New Roman"/>
                <w:sz w:val="23"/>
                <w:szCs w:val="23"/>
                <w:color w:val="auto"/>
                <w:w w:val="94"/>
                <w:vertAlign w:val="superscript"/>
              </w:rPr>
              <w:t>(2)</w:t>
            </w: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281,289</w:t>
            </w:r>
          </w:p>
        </w:tc>
      </w:tr>
    </w:tbl>
    <w:p>
      <w:pPr>
        <w:spacing w:after="0" w:line="125" w:lineRule="exact"/>
        <w:rPr>
          <w:sz w:val="20"/>
          <w:szCs w:val="20"/>
          <w:color w:val="auto"/>
        </w:rPr>
      </w:pPr>
    </w:p>
    <w:p>
      <w:pPr>
        <w:jc w:val="both"/>
        <w:ind w:left="340" w:hanging="332"/>
        <w:spacing w:after="0" w:line="239" w:lineRule="auto"/>
        <w:tabs>
          <w:tab w:leader="none" w:pos="326"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amounts in this column reflect the annual cash fees to which each non-employee director is entitled under our non-employee director compensation program for the fiscal year ended January 31, 2026. Our board of directors has determined that each of our non-employee directors has the option to have such cash fees be paid in the form of cash or in fully vested shares of our common stock. For the fiscal year ended January 31, 2026, several directors elected to be paid in shares. The fees earned during the first half of the fiscal year were paid in cash or, at the election of the non-employee director, shares of common stock on June 30, 2025. Each of Mses. Agrawal, Cochran and Lewnes, and Messrs. Botha, D'Souza and Hazard elected to be paid in shares of common stock for fees earned during the first half of the fiscal year ended January 31, 2026. The grant date fair value of such shares was calculated in accordance with FASB Accounting Standards Codification Topic 718 (“ASC 718”) based on the closing stock price of our common stock on the grant date. The fees earned during the second half of the fiscal year will be paid in cash or shares of common stock, at the non-employee director’s election, on June 30, 2026, the date of our 2026 annual meeting of stockholders. The number of shares of common stock granted to such director will be based on the VWAP of our common stock on the Nasdaq for the 30 trading days immediately prior to the grant date.</w:t>
      </w:r>
    </w:p>
    <w:p>
      <w:pPr>
        <w:spacing w:after="0" w:line="99" w:lineRule="exact"/>
        <w:rPr>
          <w:rFonts w:ascii="Times New Roman" w:cs="Times New Roman" w:eastAsia="Times New Roman" w:hAnsi="Times New Roman"/>
          <w:sz w:val="23"/>
          <w:szCs w:val="23"/>
          <w:color w:val="auto"/>
          <w:vertAlign w:val="superscript"/>
        </w:rPr>
      </w:pPr>
    </w:p>
    <w:p>
      <w:pPr>
        <w:jc w:val="both"/>
        <w:ind w:left="340" w:hanging="332"/>
        <w:spacing w:after="0"/>
        <w:tabs>
          <w:tab w:leader="none" w:pos="32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the aggregate grant date fair value of RSUs granted on June 30, 2025, to each non-employee director eligible to receive an Annual Grant under the terms of our non-employee director compensation program and the 2016 Plan. The grant date fair value was computed in accordance with ASC 718 based on the closing stock price on the grant date. The assumptions used in calculating the grant date fair value of the RSUs reported in this column are set forth in Note 11 to our Consolidated Financial Statements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the aggregate number of unvested RSUs held by each non-employee director as of January 31, 2026 and (b) the aggregate number of options held by each non-employee director as of January 31,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1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Total RSUs Held</w:t>
            </w:r>
          </w:p>
        </w:tc>
        <w:tc>
          <w:tcPr>
            <w:tcW w:w="38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Total Options Held</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Archana Agrawal</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Roelof Botha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Hope Cochran</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7,833</w:t>
            </w: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Francisco D'Souza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 Hazard, Jr.</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Lewnes</w:t>
            </w:r>
          </w:p>
        </w:tc>
        <w:tc>
          <w:tcPr>
            <w:tcW w:w="41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1,513</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Dwight Merriman</w:t>
            </w:r>
          </w:p>
        </w:tc>
        <w:tc>
          <w:tcPr>
            <w:tcW w:w="4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1,130</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Director Compensation</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2026, the compensation committee engaged its compensation consultant, Semler Brossy, to review the design and competitiveness of our director compensation program. Based on the findings of the assessment, and pursuant to the recommendation of the compensation committee, the board of directors approved the following changes to the compensation for non-employee directors to better align the program with our peer group median and structure, effective as of our 2026 annual meeting of stockholders: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7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FY2026 Fee or Equity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FY2027 Fee or Equity</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vMerge w:val="continue"/>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37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Chairperson Retainer</w:t>
            </w:r>
          </w:p>
        </w:tc>
        <w:tc>
          <w:tcPr>
            <w:tcW w:w="37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60,000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30,000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Non-Chair Committee Retainer</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12,000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Equity Grant</w:t>
            </w:r>
          </w:p>
        </w:tc>
        <w:tc>
          <w:tcPr>
            <w:tcW w:w="376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460,000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Equity Grant</w:t>
            </w:r>
          </w:p>
        </w:tc>
        <w:tc>
          <w:tcPr>
            <w:tcW w:w="37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230,000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Ownership Guidelines</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 All of our current non-employee directors satisfy the ownership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580"/>
        <w:spacing w:after="0" w:line="287" w:lineRule="auto"/>
        <w:rPr>
          <w:sz w:val="20"/>
          <w:szCs w:val="20"/>
          <w:color w:val="auto"/>
        </w:rPr>
      </w:pPr>
      <w:r>
        <w:rPr>
          <w:rFonts w:ascii="Times New Roman" w:cs="Times New Roman" w:eastAsia="Times New Roman" w:hAnsi="Times New Roman"/>
          <w:sz w:val="27"/>
          <w:szCs w:val="27"/>
          <w:b w:val="1"/>
          <w:bCs w:val="1"/>
          <w:color w:val="auto"/>
        </w:rPr>
        <w:t>PROPOSAL 2 –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and “Executive Compensation Tables”).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198" w:lineRule="exact"/>
        <w:rPr>
          <w:sz w:val="20"/>
          <w:szCs w:val="20"/>
          <w:color w:val="auto"/>
        </w:rPr>
      </w:pPr>
    </w:p>
    <w:p>
      <w:pPr>
        <w:jc w:val="both"/>
        <w:ind w:left="1300" w:right="640"/>
        <w:spacing w:after="0" w:line="261"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Company’s named executive officers, as disclosed in the Company’s proxy statement for the 2026 annual meeting of stockholders, pursuant to the compensation disclosure rules of the Securities and Exchange Commission, including the Compensation Discussion and Analysis, the compensation tables and the accompanying narrative.”</w:t>
      </w:r>
    </w:p>
    <w:p>
      <w:pPr>
        <w:spacing w:after="0" w:line="16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203"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the non-binding resolution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information for our named executive officers, as of the date of this proxy statement: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70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Position/Office Held With MongoDB</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p>
        </w:tc>
        <w:tc>
          <w:tcPr>
            <w:tcW w:w="246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55</w:t>
            </w:r>
          </w:p>
        </w:tc>
        <w:tc>
          <w:tcPr>
            <w:tcW w:w="6700" w:type="dxa"/>
            <w:vAlign w:val="bottom"/>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Berry</w:t>
            </w:r>
          </w:p>
        </w:tc>
        <w:tc>
          <w:tcPr>
            <w:tcW w:w="24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63</w:t>
            </w:r>
          </w:p>
        </w:tc>
        <w:tc>
          <w:tcPr>
            <w:tcW w:w="67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Biographical information for Chirantan Desai is included above with the director biographies under the caption “Information Regarding Director Nominees and Current Directors.”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Michael Berry </w:t>
      </w:r>
      <w:r>
        <w:rPr>
          <w:rFonts w:ascii="Times New Roman" w:cs="Times New Roman" w:eastAsia="Times New Roman" w:hAnsi="Times New Roman"/>
          <w:sz w:val="18"/>
          <w:szCs w:val="18"/>
          <w:color w:val="auto"/>
        </w:rPr>
        <w:t>has served as our Chief Financial Officer since May 2025. Prior to joining us, Mr. Berry served as the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Financial Officer of NetApp, Inc. from March 2020 through May 2025. Previous to that, Mr. Berry served as Executive Vice President and Chief Financial Officer of McAfee from February 2017 to March 2020. Mr. Berry was previously employed by FireEye, Inc., where he served as Executive Vice President, Chief Financial Officer and Chief Operating Officer. Prior to FireEye, Mr. Berry served as Executive Vice President and Chief Financial Officer of Informatica Corporation from November 2014 to September 2015. Prior to that, Mr. Berry was Executive Vice President and Chief Financial Officer of IO Data Centers, LLC, now Iron Mountain Inc; SolarWinds, Inc. and i2 Technologies, Inc. and served in a variety of other operational and finance positions. Mr. Berry has served on the board of Rapid7, Inc. since November 2012 and is the chair of its audit committee. Mr. Berry has notified Rapid7, Inc., that he will not run for re-election at the company's upcoming annual stockholder meeting. Mr. Berry has served on the board of Calix, Inc., a public cloud and appliance based platform and managed services company, since May 2025 and is a member of the audit and the strategic committees. Mr. Berry was appointed to the board of HubSpot, Inc., a public cloud-based CRM platform and customer platform, in April 2026, where he is a member of the audit committee and is expected to become chair of the audit committee on June 30, 2026. Mr. Berry holds a Bachelor of Arts in Finance from Augsburg University and a Master of Business Administration in Finance from the University of St. Thomas.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our executive compensation program for the fiscal year ended January 31, 2026. It also provides an overview of our compensation philosophy and objectives, our process for setting executive compensation and how the compensation committee arrived at the specific compensation decisions for our named executive officers for the fiscal year ended January 31, 2026, including the key factors considered.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January 31, 2026 were:</w:t>
      </w:r>
    </w:p>
    <w:p>
      <w:pPr>
        <w:spacing w:after="0" w:line="185" w:lineRule="exact"/>
        <w:rPr>
          <w:sz w:val="20"/>
          <w:szCs w:val="20"/>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Chirantan J. Desai, President and Chief Executive Officer;</w:t>
      </w:r>
      <w:r>
        <w:rPr>
          <w:rFonts w:ascii="Times New Roman" w:cs="Times New Roman" w:eastAsia="Times New Roman" w:hAnsi="Times New Roman"/>
          <w:sz w:val="23"/>
          <w:szCs w:val="23"/>
          <w:color w:val="auto"/>
          <w:vertAlign w:val="superscript"/>
        </w:rPr>
        <w:t>(1)</w:t>
      </w:r>
    </w:p>
    <w:p>
      <w:pPr>
        <w:spacing w:after="0" w:line="13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 Ittycheria, Former President and Chief Executive Officer;</w:t>
      </w:r>
      <w:r>
        <w:rPr>
          <w:rFonts w:ascii="Times New Roman" w:cs="Times New Roman" w:eastAsia="Times New Roman" w:hAnsi="Times New Roman"/>
          <w:sz w:val="23"/>
          <w:szCs w:val="23"/>
          <w:color w:val="auto"/>
          <w:vertAlign w:val="superscript"/>
        </w:rPr>
        <w:t>(1)</w:t>
      </w:r>
    </w:p>
    <w:p>
      <w:pPr>
        <w:spacing w:after="0" w:line="1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Berry, Chief Financial Officer;</w:t>
      </w:r>
      <w:r>
        <w:rPr>
          <w:rFonts w:ascii="Times New Roman" w:cs="Times New Roman" w:eastAsia="Times New Roman" w:hAnsi="Times New Roman"/>
          <w:sz w:val="23"/>
          <w:szCs w:val="23"/>
          <w:color w:val="auto"/>
          <w:vertAlign w:val="superscript"/>
        </w:rPr>
        <w:t>(2)</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Srdjan Tanjga, Former Interim Chief Financial Officer;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and</w:t>
      </w:r>
    </w:p>
    <w:p>
      <w:pPr>
        <w:spacing w:after="0" w:line="13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Pech, Former President of Field Operations.</w:t>
      </w:r>
      <w:r>
        <w:rPr>
          <w:rFonts w:ascii="Times New Roman" w:cs="Times New Roman" w:eastAsia="Times New Roman" w:hAnsi="Times New Roman"/>
          <w:sz w:val="23"/>
          <w:szCs w:val="23"/>
          <w:color w:val="auto"/>
          <w:vertAlign w:val="superscript"/>
        </w:rPr>
        <w:t>(3)</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11"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November 9, 2025, Mr. Ittycheria resigned as Chief Executive Officer and, effective November 10, 2025, was succeeded by Mr. Desai, who was also appointed as a member of our board of directors. Pursuant to his Advisory Agreement, Mr. Ittycheria will continue to serve on our board of directors through November 9, 2026 (unless otherwise extended) as well as serve as an advisor to Mr. Desai and the rest of our executive team.</w:t>
      </w:r>
    </w:p>
    <w:p>
      <w:pPr>
        <w:spacing w:after="0" w:line="163"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269"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Tanjga served as Interim Chief Financial Officer from February 1, 2025 until his resignation on May 8, 2025. Mr. Berry succeeded Mr. Tanjga as Chief Financial Officer effective May 27, 2025.</w:t>
      </w:r>
    </w:p>
    <w:p>
      <w:pPr>
        <w:spacing w:after="0" w:line="132" w:lineRule="exact"/>
        <w:rPr>
          <w:rFonts w:ascii="Times New Roman" w:cs="Times New Roman" w:eastAsia="Times New Roman" w:hAnsi="Times New Roman"/>
          <w:sz w:val="19"/>
          <w:szCs w:val="19"/>
          <w:color w:val="auto"/>
          <w:vertAlign w:val="superscript"/>
        </w:rPr>
      </w:pPr>
    </w:p>
    <w:p>
      <w:pPr>
        <w:ind w:left="300" w:hanging="292"/>
        <w:spacing w:after="0"/>
        <w:tabs>
          <w:tab w:leader="none" w:pos="3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 served as the President of Field Operations until his resignation effective as of April 15,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Business Highlights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foundation of our platform is the world’s leading, modern general purpose database. Built on our unique document-based architecture, our database is designed to handle unstructured data and meet the needs of organizations for performance, scalability, flexibility and reliability while maintaining the strengths of relational databases.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more naturally, making it easy and intuitive for developers to rapidly and cost-effectively build, modernize, deploy and maintain applications, thereby increasing the pace of innovation within an organization. Our customers can run our database in any environment, depending on their operational requirements: fully managed as a service or self-managed in the cloud, on-premises or in a hybrid environment.</w:t>
      </w:r>
    </w:p>
    <w:p>
      <w:pPr>
        <w:spacing w:after="0" w:line="16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Atlas </w:t>
      </w:r>
      <w:r>
        <w:rPr>
          <w:rFonts w:ascii="Times New Roman" w:cs="Times New Roman" w:eastAsia="Times New Roman" w:hAnsi="Times New Roman"/>
          <w:sz w:val="18"/>
          <w:szCs w:val="18"/>
          <w:color w:val="auto"/>
        </w:rPr>
        <w:t>is our managed multi-cloud database-as-a-service (“DBaaS”) offering that includes an integrated set of database and related services. Built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resilience, scale, and security, Atlas is available in more than 130 regions worldwide across all three major cloud providers (Amazon Web Services, Google Cloud Platform and Microsoft Azure), enabling our</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to leverage the benefits of different cloud platforms for different use cases with broader geographic reach and helping them avoid infrastructure vendor lock-in.</w:t>
      </w:r>
    </w:p>
    <w:p>
      <w:pPr>
        <w:spacing w:after="0" w:line="14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Enterprise Advanced </w:t>
      </w:r>
      <w:r>
        <w:rPr>
          <w:rFonts w:ascii="Times New Roman" w:cs="Times New Roman" w:eastAsia="Times New Roman" w:hAnsi="Times New Roman"/>
          <w:sz w:val="18"/>
          <w:szCs w:val="18"/>
          <w:color w:val="auto"/>
        </w:rPr>
        <w:t>is our proprietary self-managed commercial offering for enterprise customers that can run in the cloud, on-premises or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hybrid environment.</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Some of the platform capabilities include:</w:t>
      </w:r>
    </w:p>
    <w:p>
      <w:pPr>
        <w:spacing w:after="0" w:line="158" w:lineRule="exact"/>
        <w:rPr>
          <w:sz w:val="20"/>
          <w:szCs w:val="20"/>
          <w:color w:val="auto"/>
        </w:rPr>
      </w:pPr>
    </w:p>
    <w:p>
      <w:pPr>
        <w:jc w:val="both"/>
        <w:ind w:left="660" w:hanging="328"/>
        <w:spacing w:after="0" w:line="268"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Search</w:t>
      </w:r>
      <w:r>
        <w:rPr>
          <w:rFonts w:ascii="Times New Roman" w:cs="Times New Roman" w:eastAsia="Times New Roman" w:hAnsi="Times New Roman"/>
          <w:sz w:val="18"/>
          <w:szCs w:val="18"/>
          <w:color w:val="auto"/>
        </w:rPr>
        <w:t>. Extends the developer interface for working with the database to seamlessly implement relevance-based search operations, simplifying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of rich search experiences in applications. It also eliminates the need to run a separate search engine alongside the database and maintains the sync between the two systems.</w:t>
      </w:r>
    </w:p>
    <w:p>
      <w:pPr>
        <w:spacing w:after="0" w:line="197"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Vector search</w:t>
      </w:r>
      <w:r>
        <w:rPr>
          <w:rFonts w:ascii="Times New Roman" w:cs="Times New Roman" w:eastAsia="Times New Roman" w:hAnsi="Times New Roman"/>
          <w:sz w:val="18"/>
          <w:szCs w:val="18"/>
          <w:color w:val="auto"/>
        </w:rPr>
        <w:t>. Enables customers to easily and securely use pre-trained foundation models to leverage their own proprietary, up-to-date data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accurate and trustworthy AI applications. Atlas Vector Search allows the integration of an operational database and vector search in a unified, fully managed platform.</w:t>
      </w:r>
    </w:p>
    <w:p>
      <w:pPr>
        <w:spacing w:after="0" w:line="157"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and reranking models</w:t>
      </w:r>
      <w:r>
        <w:rPr>
          <w:rFonts w:ascii="Times New Roman" w:cs="Times New Roman" w:eastAsia="Times New Roman" w:hAnsi="Times New Roman"/>
          <w:sz w:val="18"/>
          <w:szCs w:val="18"/>
          <w:color w:val="auto"/>
        </w:rPr>
        <w:t>. In February 2025, we acquired all outstanding shares of Voyage AI Innovations, Inc. (“Voyage AI”),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pioneer in state-of-the-art embedding and reranking models that power next-generation AI applications. These models improve the accuracy of data retrieval and reduce the risk of AI hallucinations, which has been a primary factor limiting generative AI adoption. Integrating Voyage AI’s technology with MongoDB’s data platform capabilities will enable organizations to confidently, cost effectively, and securely build trustworthy, AI powered applications that deliver more accurate and reliable results at scale.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market for our offerings is large and growing. According to the International Data Corporation’s Worldwide Database Management Systems Software Forecast, 2025-2029, the worldwide Database Management Software market was $93 billion in 2024, growing to approximately $169 billion in 2029. This represents a 13% five-year compound annual growth rate. Over the last two years, a number of companies launched code assistant tools, which leverage generative AI to help developers write and test their code faster, thereby accelerating application development. We believe this acceleration in application development will further benefit the data management software market, by increasing the volume of new software and demand for scalable, flexible data platforms to manage the resulting growth of data.</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2026 Performance Summary</w:t>
      </w:r>
    </w:p>
    <w:p>
      <w:pPr>
        <w:spacing w:after="0" w:line="185" w:lineRule="exact"/>
        <w:rPr>
          <w:sz w:val="20"/>
          <w:szCs w:val="20"/>
          <w:color w:val="auto"/>
        </w:rPr>
      </w:pPr>
    </w:p>
    <w:p>
      <w:pPr>
        <w:ind w:left="98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Total revenue was $2.46 billion for the full year fiscal 2026, an increase of 23% year-over-year. Subscription revenue was $2.39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an increase of 23% year-over-year, and services revenue was $77.8 million, an increase of 24% year-over-year.</w:t>
      </w:r>
    </w:p>
    <w:p>
      <w:pPr>
        <w:spacing w:after="0" w:line="127"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Gross profit was $1.77 billion for the full year fiscal 2026, representing a 72% gross margin compared to 73% in the year-ago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w:t>
      </w:r>
    </w:p>
    <w:p>
      <w:pPr>
        <w:spacing w:after="0" w:line="11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Loss from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from operations was $137.0 million for the full year fiscal 2026, compared to a loss from operations of $216.1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year-ago period.</w:t>
      </w:r>
    </w:p>
    <w:p>
      <w:pPr>
        <w:spacing w:after="0" w:line="11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color w:val="auto"/>
        </w:rPr>
        <w:t>. Net loss was $71.2 million, or $0.88 per share, based on 81.2 million weighted-average shares outstanding, for the full year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This compares to a net loss of $129.1 million, or $1.73 per share in the the year-ago period, based on 74.6 million weighted-average shares outstanding, for the full year fiscal 2025.</w:t>
      </w:r>
    </w:p>
    <w:p>
      <w:pPr>
        <w:spacing w:after="0" w:line="143"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Flow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 ended January 31, 2026, MongoDB generated $505.1 million of cash from operations compared to $150.2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of cash from operations in the year-ago period.</w:t>
      </w:r>
    </w:p>
    <w:p>
      <w:pPr>
        <w:spacing w:after="0" w:line="114"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Customers</w:t>
      </w:r>
      <w:r>
        <w:rPr>
          <w:rFonts w:ascii="Times New Roman" w:cs="Times New Roman" w:eastAsia="Times New Roman" w:hAnsi="Times New Roman"/>
          <w:sz w:val="18"/>
          <w:szCs w:val="18"/>
          <w:color w:val="auto"/>
        </w:rPr>
        <w:t>. As of January 31, 2026, we had over 62,500 customers across a wide range of industries and in over 100 countries,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54,500 customers in the year-ago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Leadership Transitions in Fiscal Year 2026</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2025, we appointed Mr. Desai as our President and Chief Executive Officer to succeed Mr. Ittycheria, who continues to serve as an advisor and on our board of directors pursuant to his Advisory Agreement with the Company. The board of directors regularly engages in succession planning, including conducting annual reviews at the full board level, to evaluate both short- and long-term leadership needs and to identify and develop potential internal and external candidates. As part of this ongoing process, the board of directors conducted a comprehensive CEO search supported by an executive search firm to identify a next-generation leader with deep experience in cloud infrastructure, AI, enterprise software, and product innovation— someone equipped to guide the Company on its continued journey towards durable, profitable growth.</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ultimately selected Mr. Desai based on his over 25 years of experience pioneering innovative technology solutions in cloud infrastructure, enterprise software, cybersecurity, AI, and large-scale SaaS platforms. Most recently, Mr. Desai served as President of Product and Engineering at Cloudflare, where he drove product strategy and execution during a period of strong revenue growth and stock performance for the company. Prior to Cloudflare, Mr. Desai served as President and Chief Operating Officer at ServiceNow, where he helped organically scale the company from $1.5 billion to over $10 billion in annualized revenue. Mr. Desai has also previously held executive roles at EMC and Symantec, and he began his career with Oracle as a key member of the team that launched the company's first cloud service.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carried out several other transitions in our executive leadership team in fiscal year 2026. In February 2025, Mr. Tanjga was appointed Interim Chief Financial Officer and served until his resignation in May 2025. Mr. Berry was appointed to succeed Mr. Tanjga as Chief Financial Officer in May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Package for our New Chief Executive Officer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developing a compensation package for Mr. Desai in connection with his appointment as Chief Executive Officer, our board of directors and compensation committee gave careful consideration to the compensation structure that was reasonable and necessary to incentivize Mr. Desai to assume the role and drive the achievement of our strategic objectives. Our board of directors and compensation committee considered the critical nature of the role and the extremely competitive environment for public company chief executive officers in our industry, as well as Mr. Desai's qualifications and demonstrated impact. Mr. Desai's equity awards were designed to (i) incentivize the re-acceleration of growth of our business in an increasingly competitive market being disrupted by AI and other emerging technologies, (ii) encourage long-term value creation for our stockholders and (iii) compensate him for certain unvested equity awards that he forfeited upon his departure from Cloudflare, his prior employer, in connection with his decision to join MongoDB. Our board of directors and compensation committee partnered with Semler Brossy, our independent compensation consultant, to structure a compensation package that we believe aligns with such incentives.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our President and Chief Executive Officer, Mr. Desai entered into an offer letter containing the principal terms and conditions of his employment. The offer letter provides for, among other things, (i) an annual base salary of $500,000; (ii) an annual target bonus opportunity of 70% of his annual base salary pursuant to our bonus plan; (iii) a sign-on bonus of $2,500,000 in cash, with the payment schedule described below; and (iv) other equity awards described below.</w:t>
      </w:r>
    </w:p>
    <w:p>
      <w:pPr>
        <w:spacing w:after="0" w:line="14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Sign-On Cash Bonus. </w:t>
      </w:r>
      <w:r>
        <w:rPr>
          <w:rFonts w:ascii="Times New Roman" w:cs="Times New Roman" w:eastAsia="Times New Roman" w:hAnsi="Times New Roman"/>
          <w:sz w:val="18"/>
          <w:szCs w:val="18"/>
          <w:color w:val="auto"/>
        </w:rPr>
        <w:t>50% of the $2,500,000 is payable following six months of continuous service and the remaining 50% is payable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twelve months of continuous service. As of January 31, 2026, neither payment had vested. The sign-on cash bonus was awarded to offset equity forfeited by Mr. Desai in connection with his departure from his prior employer.</w:t>
      </w:r>
    </w:p>
    <w:p>
      <w:pPr>
        <w:spacing w:after="0" w:line="15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Sign-On RSU Award. </w:t>
      </w:r>
      <w:r>
        <w:rPr>
          <w:rFonts w:ascii="Times New Roman" w:cs="Times New Roman" w:eastAsia="Times New Roman" w:hAnsi="Times New Roman"/>
          <w:sz w:val="18"/>
          <w:szCs w:val="18"/>
          <w:color w:val="auto"/>
        </w:rPr>
        <w:t>Mr. Desai received an award of RSUs with a target award value of $15,000,000, totaling 44,096 RSUs, subject to 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two years in eight equal quarterly installments after the first quarter following the vesting start date and standard continuous service requirements. As of January 31, 2026, none of Mr. Desai's RSUs have vested. The RSUs will also be subject to a one-year holding period following each applicable vesting date. The number of RSUs was determined based on a target dollar value, calculated using the closing stock price of the Company’s common stock on the Nasdaq on October 27, 2025. The sign-on RSU award was granted to offset equity forfeited by Mr. Desai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his departure from his prior employer, to induce him to join MongoDB and to create long-term alignment with our stockholders.</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Sign-On PSU Award. </w:t>
      </w:r>
      <w:r>
        <w:rPr>
          <w:rFonts w:ascii="Times New Roman" w:cs="Times New Roman" w:eastAsia="Times New Roman" w:hAnsi="Times New Roman"/>
          <w:sz w:val="18"/>
          <w:szCs w:val="18"/>
          <w:color w:val="auto"/>
        </w:rPr>
        <w:t>Mr. Desai received a performance-based equity award ("PSU") with a target award value (100%) of $17,500,000,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 price targets described below. Mr. Desai is eligible to earn up to 200% of the PSU award upon achievement of the maximum attainment threshold indicated below. The PSU award intends to promote stockholder value creation by tying Mr. Desai’s payout to sustained, meaningful stock price appreciation over a performance period of up to five years. Because Mr. Desai will not realize value from the PSU award unless our stockholders also experience substantial value creation, the award directly aligns his compensation with stockholder interests. The PSU award further incentivizes significant and sustained performance, with vesting only occurring at stock price targets significantly above our current stock price (as shown in the table below) and only if the 60-day average stock price equals or exceeds the applicable thresholds, as described below. The sign-on PSU award was granted to offset equity forfeited by Mr. Desai in connection with his departure from his prior employer, to induce him to join MongoDB and as a meaningful performance incentive to drive value creation for our stockholders.</w:t>
      </w:r>
    </w:p>
    <w:p>
      <w:pPr>
        <w:spacing w:after="0" w:line="1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PSU award is divided into four attainment thresholds that each require achievement of a stock price as set forth in the table below. Attainment thresholds will be met if the 60-consecutive trading day average of our stock price equals or exceeds the applicable stock price threshold at the end of the trading day (the "Attainment Date") within five years of Mr. Desai's employment start date. Based on the attainment threshold achieved, Mr. Desai will be eligible to receive the corresponding percentage of PSUs. The PSUs will vest on the corresponding date below or the Attainment Date, whichever is later.</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 Price Threshold</w:t>
            </w:r>
          </w:p>
        </w:tc>
        <w:tc>
          <w:tcPr>
            <w:tcW w:w="24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23"/>
                <w:szCs w:val="23"/>
                <w:b w:val="1"/>
                <w:bCs w:val="1"/>
                <w:color w:val="auto"/>
                <w:vertAlign w:val="superscript"/>
              </w:rPr>
              <w:t>(2)</w:t>
            </w:r>
          </w:p>
        </w:tc>
        <w:tc>
          <w:tcPr>
            <w:tcW w:w="26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Percent of Target</w:t>
            </w:r>
          </w:p>
        </w:tc>
        <w:tc>
          <w:tcPr>
            <w:tcW w:w="32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Total Potential Number of PSUs</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43"/>
        </w:trPr>
        <w:tc>
          <w:tcPr>
            <w:tcW w:w="2220" w:type="dxa"/>
            <w:vAlign w:val="bottom"/>
            <w:tcBorders>
              <w:bottom w:val="single" w:sz="8" w:color="auto"/>
            </w:tcBorders>
          </w:tcPr>
          <w:p>
            <w:pPr>
              <w:jc w:val="center"/>
              <w:ind w:right="330"/>
              <w:spacing w:after="0" w:line="243"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(1)</w:t>
            </w:r>
          </w:p>
        </w:tc>
        <w:tc>
          <w:tcPr>
            <w:tcW w:w="2440" w:type="dxa"/>
            <w:vAlign w:val="bottom"/>
            <w:tcBorders>
              <w:bottom w:val="single" w:sz="8" w:color="auto"/>
            </w:tcBorders>
            <w:vMerge w:val="continue"/>
          </w:tcPr>
          <w:p>
            <w:pPr>
              <w:spacing w:after="0"/>
              <w:rPr>
                <w:sz w:val="21"/>
                <w:szCs w:val="21"/>
                <w:color w:val="auto"/>
              </w:rPr>
            </w:pPr>
          </w:p>
        </w:tc>
        <w:tc>
          <w:tcPr>
            <w:tcW w:w="2660" w:type="dxa"/>
            <w:vAlign w:val="bottom"/>
            <w:tcBorders>
              <w:bottom w:val="single" w:sz="8" w:color="auto"/>
            </w:tcBorders>
            <w:vMerge w:val="continue"/>
          </w:tcPr>
          <w:p>
            <w:pPr>
              <w:spacing w:after="0"/>
              <w:rPr>
                <w:sz w:val="21"/>
                <w:szCs w:val="21"/>
                <w:color w:val="auto"/>
              </w:rPr>
            </w:pPr>
          </w:p>
        </w:tc>
        <w:tc>
          <w:tcPr>
            <w:tcW w:w="3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375</w:t>
            </w:r>
          </w:p>
        </w:tc>
        <w:tc>
          <w:tcPr>
            <w:tcW w:w="2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January 1, 2027</w:t>
            </w:r>
          </w:p>
        </w:tc>
        <w:tc>
          <w:tcPr>
            <w:tcW w:w="26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100%</w:t>
            </w:r>
          </w:p>
        </w:tc>
        <w:tc>
          <w:tcPr>
            <w:tcW w:w="32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51,445</w:t>
            </w:r>
          </w:p>
        </w:tc>
        <w:tc>
          <w:tcPr>
            <w:tcW w:w="0" w:type="dxa"/>
            <w:vAlign w:val="bottom"/>
          </w:tcPr>
          <w:p>
            <w:pPr>
              <w:spacing w:after="0"/>
              <w:rPr>
                <w:sz w:val="1"/>
                <w:szCs w:val="1"/>
                <w:color w:val="auto"/>
              </w:rPr>
            </w:pPr>
          </w:p>
        </w:tc>
      </w:tr>
      <w:tr>
        <w:trPr>
          <w:trHeight w:val="229"/>
        </w:trPr>
        <w:tc>
          <w:tcPr>
            <w:tcW w:w="22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400</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January 1, 2028</w:t>
            </w:r>
          </w:p>
        </w:tc>
        <w:tc>
          <w:tcPr>
            <w:tcW w:w="26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125%</w:t>
            </w:r>
          </w:p>
        </w:tc>
        <w:tc>
          <w:tcPr>
            <w:tcW w:w="32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64,306</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475</w:t>
            </w:r>
          </w:p>
        </w:tc>
        <w:tc>
          <w:tcPr>
            <w:tcW w:w="2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January 1, 2029</w:t>
            </w:r>
          </w:p>
        </w:tc>
        <w:tc>
          <w:tcPr>
            <w:tcW w:w="266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150%</w:t>
            </w:r>
          </w:p>
        </w:tc>
        <w:tc>
          <w:tcPr>
            <w:tcW w:w="32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77,167</w:t>
            </w:r>
          </w:p>
        </w:tc>
        <w:tc>
          <w:tcPr>
            <w:tcW w:w="0" w:type="dxa"/>
            <w:vAlign w:val="bottom"/>
          </w:tcPr>
          <w:p>
            <w:pPr>
              <w:spacing w:after="0"/>
              <w:rPr>
                <w:sz w:val="1"/>
                <w:szCs w:val="1"/>
                <w:color w:val="auto"/>
              </w:rPr>
            </w:pPr>
          </w:p>
        </w:tc>
      </w:tr>
      <w:tr>
        <w:trPr>
          <w:trHeight w:val="234"/>
        </w:trPr>
        <w:tc>
          <w:tcPr>
            <w:tcW w:w="22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600</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January 1, 2029</w:t>
            </w:r>
          </w:p>
        </w:tc>
        <w:tc>
          <w:tcPr>
            <w:tcW w:w="26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200%</w:t>
            </w:r>
          </w:p>
        </w:tc>
        <w:tc>
          <w:tcPr>
            <w:tcW w:w="32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102,890</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 price threshold will be attained if the 60-consecutive trading day average equals or exceeds the applicable stock price threshold.</w:t>
      </w:r>
    </w:p>
    <w:p>
      <w:pPr>
        <w:spacing w:after="0" w:line="81" w:lineRule="exact"/>
        <w:rPr>
          <w:rFonts w:ascii="Times New Roman" w:cs="Times New Roman" w:eastAsia="Times New Roman" w:hAnsi="Times New Roman"/>
          <w:sz w:val="19"/>
          <w:szCs w:val="19"/>
          <w:color w:val="auto"/>
          <w:vertAlign w:val="superscript"/>
        </w:rPr>
      </w:pPr>
    </w:p>
    <w:p>
      <w:pPr>
        <w:ind w:left="340" w:hanging="332"/>
        <w:spacing w:after="0" w:line="302" w:lineRule="auto"/>
        <w:tabs>
          <w:tab w:leader="none" w:pos="277"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PSUs will vest on the applicable vesting date or the Attainment Date, whichever is later, subject to Mr. Desai's continued service with us through each applicable vesting date or, if later, the applicable Attainment Date. Any PSUs that have not yet vested on or before November 9, 2030 shall be forfeited in full and no payout shall be made.</w:t>
      </w:r>
    </w:p>
    <w:p>
      <w:pPr>
        <w:spacing w:after="0" w:line="53" w:lineRule="exact"/>
        <w:rPr>
          <w:rFonts w:ascii="Times New Roman" w:cs="Times New Roman" w:eastAsia="Times New Roman" w:hAnsi="Times New Roman"/>
          <w:sz w:val="9"/>
          <w:szCs w:val="9"/>
          <w:color w:val="auto"/>
        </w:rPr>
      </w:pPr>
    </w:p>
    <w:p>
      <w:pPr>
        <w:ind w:left="340" w:hanging="332"/>
        <w:spacing w:after="0" w:line="230" w:lineRule="auto"/>
        <w:tabs>
          <w:tab w:leader="none" w:pos="218"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total number of PSUs that may vest. At each vesting date, the number of PSUs that vest will be net of any previously vested PSUs. The number of PSUs was determined based on a target dollar value of $17,500,000, calculated using the closing share price of the Company’s common stock on the Nasdaq on October 27,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Package for our New Chief Financial Officer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Mr. Tanjga's resignation, our board of directors appointed Mr. Berry as Chief Financial Officer in May 2025. In connection with his appointment, Mr. Berry entered into an offer letter containing the principal terms and conditions of his employment. The offer letter provides for, among other things, (i) an annual base salary of $350,000; (ii) an annual target bonus opportunity of 65% of his annual base salary pursuant to our bonus plan; and (iii) the RSU awards described below.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Sign-On RSU Awards. </w:t>
      </w:r>
      <w:r>
        <w:rPr>
          <w:rFonts w:ascii="Times New Roman" w:cs="Times New Roman" w:eastAsia="Times New Roman" w:hAnsi="Times New Roman"/>
          <w:sz w:val="18"/>
          <w:szCs w:val="18"/>
          <w:color w:val="auto"/>
        </w:rPr>
        <w:t>Mr. Berry received two RSU awards in connection with his appointment as Chief Financial Officer: a new hire grant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 award value of $9,000,000, totaling 50,802 RSUs, and a sign-on bonus grant with a target award value of $3,000,000, totaling 16,934 RSUs. Each of the RSU awards will vest over four years, with 25% of the RSUs vesting on the 12-month anniversary of the vesting start date, and the balance vesting in equal quarterly installments, in each case, subject to continuous service on each applicable vesting date. The number of RSUs was determined based on a target dollar value, using the VWAP of our common stock on the Nasdaq for the 30-trading days immediately prior to the grant date of May 27, 2025. The sign-on RSU awards were granted to offset equity forfeited by Mr. Berry in connection with his departure from his prior employer and to induce him to join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Summary</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achieve the key objectives of our executive compensation program and drive our pay-for-performance culture without incentivizing undue risk taking, the compensation committee employs the following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p>
      <w:pPr>
        <w:spacing w:after="0" w:line="71"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0" w:lineRule="exact"/>
        <w:rPr>
          <w:sz w:val="20"/>
          <w:szCs w:val="20"/>
          <w:color w:val="auto"/>
        </w:rPr>
      </w:pPr>
    </w:p>
    <w:p>
      <w:pPr>
        <w:spacing w:after="0" w:line="289"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220"/>
        <w:spacing w:after="0"/>
        <w:rPr>
          <w:sz w:val="20"/>
          <w:szCs w:val="20"/>
          <w:color w:val="auto"/>
        </w:rPr>
      </w:pPr>
      <w:r>
        <w:rPr>
          <w:rFonts w:ascii="Webdings" w:cs="Webdings" w:eastAsia="Webdings" w:hAnsi="Webdings"/>
          <w:sz w:val="28"/>
          <w:szCs w:val="28"/>
          <w:b w:val="1"/>
          <w:bCs w:val="1"/>
          <w:color w:val="auto"/>
        </w:rPr>
        <w:t>a</w:t>
      </w:r>
    </w:p>
    <w:p>
      <w:pPr>
        <w:spacing w:after="0" w:line="314"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118"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138"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-147955</wp:posOffset>
            </wp:positionV>
            <wp:extent cx="113030" cy="125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030" cy="125730"/>
                    </a:xfrm>
                    <a:prstGeom prst="rect">
                      <a:avLst/>
                    </a:prstGeom>
                    <a:noFill/>
                  </pic:spPr>
                </pic:pic>
              </a:graphicData>
            </a:graphic>
          </wp:anchor>
        </w:drawing>
      </w:r>
    </w:p>
    <w:p>
      <w:pPr>
        <w:spacing w:after="0" w:line="118" w:lineRule="exact"/>
        <w:rPr>
          <w:sz w:val="20"/>
          <w:szCs w:val="20"/>
          <w:color w:val="auto"/>
        </w:rPr>
      </w:pPr>
    </w:p>
    <w:p>
      <w:pPr>
        <w:ind w:left="220"/>
        <w:spacing w:after="0"/>
        <w:rPr>
          <w:sz w:val="20"/>
          <w:szCs w:val="20"/>
          <w:color w:val="auto"/>
        </w:rPr>
      </w:pPr>
      <w:r>
        <w:rPr>
          <w:rFonts w:ascii="Webdings" w:cs="Webdings" w:eastAsia="Webdings" w:hAnsi="Webdings"/>
          <w:sz w:val="28"/>
          <w:szCs w:val="28"/>
          <w:b w:val="1"/>
          <w:bCs w:val="1"/>
          <w:color w:val="auto"/>
        </w:rPr>
        <w:t>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 for Performance</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Tie 100% of executive annual bonus pay to company performance using annual corporate objectives</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selected for their ability to drive operational and financial performance. Provide 50% of the target</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value of long-term equity incentive compensation under our annual long-term incentive program in the</w:t>
            </w:r>
          </w:p>
        </w:tc>
        <w:tc>
          <w:tcPr>
            <w:tcW w:w="0" w:type="dxa"/>
            <w:vAlign w:val="bottom"/>
          </w:tcPr>
          <w:p>
            <w:pPr>
              <w:spacing w:after="0"/>
              <w:rPr>
                <w:sz w:val="1"/>
                <w:szCs w:val="1"/>
                <w:color w:val="auto"/>
              </w:rPr>
            </w:pPr>
          </w:p>
        </w:tc>
      </w:t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Short- and Long-Term</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performance stock units.</w:t>
            </w:r>
          </w:p>
        </w:tc>
        <w:tc>
          <w:tcPr>
            <w:tcW w:w="0" w:type="dxa"/>
            <w:vAlign w:val="bottom"/>
          </w:tcPr>
          <w:p>
            <w:pPr>
              <w:spacing w:after="0"/>
              <w:rPr>
                <w:sz w:val="1"/>
                <w:szCs w:val="1"/>
                <w:color w:val="auto"/>
              </w:rPr>
            </w:pPr>
          </w:p>
        </w:tc>
      </w:tr>
      <w:tr>
        <w:trPr>
          <w:trHeight w:val="185"/>
        </w:trPr>
        <w:tc>
          <w:tcPr>
            <w:tcW w:w="2740" w:type="dxa"/>
            <w:vAlign w:val="bottom"/>
            <w:vMerge w:val="continue"/>
          </w:tcPr>
          <w:p>
            <w:pPr>
              <w:spacing w:after="0"/>
              <w:rPr>
                <w:sz w:val="16"/>
                <w:szCs w:val="16"/>
                <w:color w:val="auto"/>
              </w:rPr>
            </w:pPr>
          </w:p>
        </w:tc>
        <w:tc>
          <w:tcPr>
            <w:tcW w:w="7740" w:type="dxa"/>
            <w:vAlign w:val="bottom"/>
          </w:tcPr>
          <w:p>
            <w:pPr>
              <w:ind w:left="320"/>
              <w:spacing w:after="0" w:line="185" w:lineRule="exact"/>
              <w:rPr>
                <w:sz w:val="20"/>
                <w:szCs w:val="20"/>
                <w:color w:val="auto"/>
              </w:rPr>
            </w:pPr>
            <w:r>
              <w:rPr>
                <w:rFonts w:ascii="Times New Roman" w:cs="Times New Roman" w:eastAsia="Times New Roman" w:hAnsi="Times New Roman"/>
                <w:sz w:val="18"/>
                <w:szCs w:val="18"/>
                <w:color w:val="auto"/>
                <w:w w:val="99"/>
              </w:rPr>
              <w:t>The allocation of incentives among the short-term incentive plan and the long-term incentive plan does</w:t>
            </w:r>
          </w:p>
        </w:tc>
        <w:tc>
          <w:tcPr>
            <w:tcW w:w="0" w:type="dxa"/>
            <w:vAlign w:val="bottom"/>
          </w:tcPr>
          <w:p>
            <w:pPr>
              <w:spacing w:after="0"/>
              <w:rPr>
                <w:sz w:val="1"/>
                <w:szCs w:val="1"/>
                <w:color w:val="auto"/>
              </w:rPr>
            </w:pPr>
          </w:p>
        </w:tc>
      </w:tr>
      <w:tr>
        <w:trPr>
          <w:trHeight w:val="184"/>
        </w:trPr>
        <w:tc>
          <w:tcPr>
            <w:tcW w:w="27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not over-emphasize short-term performance at the expense of achieving long-term goals. For fiscal</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year 2026, 94.5% of our former Chief Executive Officer’s total reported compensation, 99.6% of our</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current Chief Executive Officer's total reported compensation and an average of 91.8% of the total</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9"/>
              </w:rPr>
              <w:t>reported executive compensation for our other named executive officers (excluding Mr. Tanjga) was in</w:t>
            </w:r>
          </w:p>
        </w:tc>
        <w:tc>
          <w:tcPr>
            <w:tcW w:w="0" w:type="dxa"/>
            <w:vAlign w:val="bottom"/>
          </w:tcPr>
          <w:p>
            <w:pPr>
              <w:spacing w:after="0"/>
              <w:rPr>
                <w:sz w:val="1"/>
                <w:szCs w:val="1"/>
                <w:color w:val="auto"/>
              </w:rPr>
            </w:pPr>
          </w:p>
        </w:tc>
      </w:tr>
      <w:tr>
        <w:trPr>
          <w:trHeight w:val="221"/>
        </w:trPr>
        <w:tc>
          <w:tcPr>
            <w:tcW w:w="27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form of long-term equity incentive awards.</w:t>
            </w:r>
          </w:p>
        </w:tc>
        <w:tc>
          <w:tcPr>
            <w:tcW w:w="0" w:type="dxa"/>
            <w:vAlign w:val="bottom"/>
          </w:tcPr>
          <w:p>
            <w:pPr>
              <w:spacing w:after="0"/>
              <w:rPr>
                <w:sz w:val="1"/>
                <w:szCs w:val="1"/>
                <w:color w:val="auto"/>
              </w:rPr>
            </w:pPr>
          </w:p>
        </w:tc>
      </w:tr>
      <w:tr>
        <w:trPr>
          <w:trHeight w:val="189"/>
        </w:trPr>
        <w:tc>
          <w:tcPr>
            <w:tcW w:w="104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Multi-Year Vesting Periods for Long-  </w:t>
            </w:r>
            <w:r>
              <w:rPr>
                <w:rFonts w:ascii="Times New Roman" w:cs="Times New Roman" w:eastAsia="Times New Roman" w:hAnsi="Times New Roman"/>
                <w:sz w:val="18"/>
                <w:szCs w:val="18"/>
                <w:color w:val="auto"/>
              </w:rPr>
              <w:t>Multi-year vesting periods for awards strongly align our executive officers’ interests with those of our</w:t>
            </w:r>
          </w:p>
        </w:tc>
        <w:tc>
          <w:tcPr>
            <w:tcW w:w="0" w:type="dxa"/>
            <w:vAlign w:val="bottom"/>
          </w:tcPr>
          <w:p>
            <w:pPr>
              <w:spacing w:after="0"/>
              <w:rPr>
                <w:sz w:val="1"/>
                <w:szCs w:val="1"/>
                <w:color w:val="auto"/>
              </w:rPr>
            </w:pPr>
          </w:p>
        </w:tc>
      </w:tr>
      <w:tr>
        <w:trPr>
          <w:trHeight w:val="184"/>
        </w:trPr>
        <w:tc>
          <w:tcPr>
            <w:tcW w:w="27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Term Compensation</w:t>
            </w: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stockholders by providing a continuing financial incentive to maximize long-term value for our</w:t>
            </w:r>
          </w:p>
        </w:tc>
        <w:tc>
          <w:tcPr>
            <w:tcW w:w="0" w:type="dxa"/>
            <w:vAlign w:val="bottom"/>
          </w:tcPr>
          <w:p>
            <w:pPr>
              <w:spacing w:after="0"/>
              <w:rPr>
                <w:sz w:val="1"/>
                <w:szCs w:val="1"/>
                <w:color w:val="auto"/>
              </w:rPr>
            </w:pPr>
          </w:p>
        </w:tc>
      </w:t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Mitigation of Risk</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stockholders and by encouraging our executive officers to remain in our long-term employ.</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Our executive compensation program has provisions to mitigate undue risk, including caps on the</w:t>
            </w:r>
          </w:p>
        </w:tc>
        <w:tc>
          <w:tcPr>
            <w:tcW w:w="0" w:type="dxa"/>
            <w:vAlign w:val="bottom"/>
          </w:tcPr>
          <w:p>
            <w:pPr>
              <w:spacing w:after="0"/>
              <w:rPr>
                <w:sz w:val="1"/>
                <w:szCs w:val="1"/>
                <w:color w:val="auto"/>
              </w:rPr>
            </w:pPr>
          </w:p>
        </w:tc>
      </w:tr>
      <w:tr>
        <w:trPr>
          <w:trHeight w:val="229"/>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Clawback Policies</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maximum level of payouts, clawback provisions and multiple performance metrics.</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We maintain two clawback policies: one mandates recoupment of covered executive officers'</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incentive-based compensation in case of an accounting restatement due to material noncompliance</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with financial reporting requirements under U.S. securities laws under Rule 10D-1 of the Dodd-Frank</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77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Wall Street Reform and Consumer Protection Act of 2010 (the “Dodd-Frank Act”), and the other</w:t>
            </w: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77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9"/>
              </w:rPr>
              <w:t>authorizes the board of directors to recoup bonus, incentive, or equity-based compensation from any of</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77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our current or former executive officers who engaged in misconduct (as described below), including in</w:t>
            </w:r>
          </w:p>
        </w:tc>
        <w:tc>
          <w:tcPr>
            <w:tcW w:w="0" w:type="dxa"/>
            <w:vAlign w:val="bottom"/>
          </w:tcPr>
          <w:p>
            <w:pPr>
              <w:spacing w:after="0"/>
              <w:rPr>
                <w:sz w:val="1"/>
                <w:szCs w:val="1"/>
                <w:color w:val="auto"/>
              </w:rPr>
            </w:pPr>
          </w:p>
        </w:tc>
      </w:t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events unrelated to financial restatements.</w:t>
            </w:r>
          </w:p>
        </w:tc>
        <w:tc>
          <w:tcPr>
            <w:tcW w:w="0" w:type="dxa"/>
            <w:vAlign w:val="bottom"/>
          </w:tcPr>
          <w:p>
            <w:pPr>
              <w:spacing w:after="0"/>
              <w:rPr>
                <w:sz w:val="1"/>
                <w:szCs w:val="1"/>
                <w:color w:val="auto"/>
              </w:rPr>
            </w:pPr>
          </w:p>
        </w:tc>
      </w:tr>
      <w:tr>
        <w:trPr>
          <w:trHeight w:val="189"/>
        </w:trPr>
        <w:tc>
          <w:tcPr>
            <w:tcW w:w="2740" w:type="dxa"/>
            <w:vAlign w:val="bottom"/>
            <w:vMerge w:val="continue"/>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Executive officers are expected to acquire and maintain a certain level of ownership interest, in order</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emphasize long-term performance and to promote alignment with 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-1739900</wp:posOffset>
            </wp:positionV>
            <wp:extent cx="713232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-1096645</wp:posOffset>
            </wp:positionV>
            <wp:extent cx="7132320" cy="831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3185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0</wp:posOffset>
            </wp:positionV>
            <wp:extent cx="7132320" cy="266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302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Engage an Independent Compensation</w:t>
            </w:r>
          </w:p>
        </w:tc>
        <w:tc>
          <w:tcPr>
            <w:tcW w:w="732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Our fully independent compensation committee retains an independent compensation consultant on</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matters pertaining to executive and non-employee director pay and governance.</w:t>
            </w:r>
          </w:p>
        </w:tc>
        <w:tc>
          <w:tcPr>
            <w:tcW w:w="0" w:type="dxa"/>
            <w:vAlign w:val="bottom"/>
          </w:tcPr>
          <w:p>
            <w:pPr>
              <w:spacing w:after="0"/>
              <w:rPr>
                <w:sz w:val="1"/>
                <w:szCs w:val="1"/>
                <w:color w:val="auto"/>
              </w:rPr>
            </w:pPr>
          </w:p>
        </w:tc>
      </w:tr>
      <w:tr>
        <w:trPr>
          <w:trHeight w:val="193"/>
        </w:trPr>
        <w:tc>
          <w:tcPr>
            <w:tcW w:w="302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Regularly Review Share Utilization</w:t>
            </w:r>
          </w:p>
        </w:tc>
        <w:tc>
          <w:tcPr>
            <w:tcW w:w="7320" w:type="dxa"/>
            <w:vAlign w:val="bottom"/>
          </w:tcPr>
          <w:p>
            <w:pPr>
              <w:ind w:left="40"/>
              <w:spacing w:after="0" w:line="193" w:lineRule="exact"/>
              <w:rPr>
                <w:sz w:val="20"/>
                <w:szCs w:val="20"/>
                <w:color w:val="auto"/>
              </w:rPr>
            </w:pPr>
            <w:r>
              <w:rPr>
                <w:rFonts w:ascii="Times New Roman" w:cs="Times New Roman" w:eastAsia="Times New Roman" w:hAnsi="Times New Roman"/>
                <w:sz w:val="18"/>
                <w:szCs w:val="18"/>
                <w:color w:val="auto"/>
              </w:rPr>
              <w:t>Management and the Board regularly evaluate share utilization levels by reviewing the cost and</w:t>
            </w:r>
          </w:p>
        </w:tc>
        <w:tc>
          <w:tcPr>
            <w:tcW w:w="0" w:type="dxa"/>
            <w:vAlign w:val="bottom"/>
          </w:tcPr>
          <w:p>
            <w:pPr>
              <w:spacing w:after="0"/>
              <w:rPr>
                <w:sz w:val="1"/>
                <w:szCs w:val="1"/>
                <w:color w:val="auto"/>
              </w:rPr>
            </w:pPr>
          </w:p>
        </w:tc>
      </w:tr>
      <w:tr>
        <w:trPr>
          <w:trHeight w:val="229"/>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Annual Say on Pay</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impact of stock compensation.</w:t>
            </w:r>
          </w:p>
        </w:tc>
        <w:tc>
          <w:tcPr>
            <w:tcW w:w="0" w:type="dxa"/>
            <w:vAlign w:val="bottom"/>
          </w:tcPr>
          <w:p>
            <w:pPr>
              <w:spacing w:after="0"/>
              <w:rPr>
                <w:sz w:val="1"/>
                <w:szCs w:val="1"/>
                <w:color w:val="auto"/>
              </w:rPr>
            </w:pPr>
          </w:p>
        </w:tc>
      </w:tr>
      <w:tr>
        <w:trPr>
          <w:trHeight w:val="189"/>
        </w:trPr>
        <w:tc>
          <w:tcPr>
            <w:tcW w:w="3020" w:type="dxa"/>
            <w:vAlign w:val="bottom"/>
            <w:vMerge w:val="continue"/>
          </w:tcPr>
          <w:p>
            <w:pPr>
              <w:spacing w:after="0"/>
              <w:rPr>
                <w:sz w:val="16"/>
                <w:szCs w:val="16"/>
                <w:color w:val="auto"/>
              </w:rPr>
            </w:pPr>
          </w:p>
        </w:tc>
        <w:tc>
          <w:tcPr>
            <w:tcW w:w="73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We conduct an annual say-on-pay advisory vote. At our 2025 Annual Meeting of Stockholders,</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73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w w:val="99"/>
              </w:rPr>
              <w:t>approximately 82% of the votes cast on the say-on-pay proposal were in favor of the fiscal year 2025</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-379730</wp:posOffset>
            </wp:positionV>
            <wp:extent cx="7132320"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240"/>
            <w:col w:w="10480"/>
          </w:cols>
          <w:pgMar w:left="320" w:top="3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top w:val="single" w:sz="8" w:color="auto"/>
            </w:tcBorders>
            <w:shd w:val="clear" w:color="auto" w:fill="CCEEFF"/>
          </w:tcPr>
          <w:p>
            <w:pPr>
              <w:ind w:left="280"/>
              <w:spacing w:after="0"/>
              <w:rPr>
                <w:sz w:val="20"/>
                <w:szCs w:val="20"/>
                <w:color w:val="auto"/>
              </w:rPr>
            </w:pPr>
            <w:r>
              <w:rPr>
                <w:rFonts w:ascii="Webdings" w:cs="Webdings" w:eastAsia="Webdings" w:hAnsi="Webdings"/>
                <w:sz w:val="18"/>
                <w:szCs w:val="18"/>
                <w:b w:val="1"/>
                <w:bCs w:val="1"/>
                <w:color w:val="auto"/>
                <w:highlight w:val="black"/>
              </w:rPr>
              <w:t>r</w:t>
            </w:r>
          </w:p>
        </w:tc>
        <w:tc>
          <w:tcPr>
            <w:tcW w:w="2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Excessive Tax Gross-Ups</w:t>
            </w:r>
          </w:p>
        </w:tc>
        <w:tc>
          <w:tcPr>
            <w:tcW w:w="76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 do not have any arrangements with our executive officers providing excessive tax gross-ups.</w:t>
            </w:r>
          </w:p>
        </w:tc>
      </w:tr>
      <w:tr>
        <w:trPr>
          <w:trHeight w:val="176"/>
        </w:trPr>
        <w:tc>
          <w:tcPr>
            <w:tcW w:w="600" w:type="dxa"/>
            <w:vAlign w:val="bottom"/>
          </w:tcPr>
          <w:p>
            <w:pPr>
              <w:ind w:left="280"/>
              <w:spacing w:after="0" w:line="176" w:lineRule="exact"/>
              <w:rPr>
                <w:sz w:val="20"/>
                <w:szCs w:val="20"/>
                <w:color w:val="auto"/>
              </w:rPr>
            </w:pPr>
            <w:r>
              <w:rPr>
                <w:rFonts w:ascii="Webdings" w:cs="Webdings" w:eastAsia="Webdings" w:hAnsi="Webdings"/>
                <w:sz w:val="18"/>
                <w:szCs w:val="18"/>
                <w:b w:val="1"/>
                <w:bCs w:val="1"/>
                <w:color w:val="auto"/>
                <w:highlight w:val="black"/>
              </w:rPr>
              <w:t>r</w:t>
            </w:r>
          </w:p>
        </w:tc>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Excessive Executive Perquisites</w:t>
            </w:r>
          </w:p>
        </w:tc>
        <w:tc>
          <w:tcPr>
            <w:tcW w:w="7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We generally do not provide executive fringe benefits or perquisites such as car allowances to our</w:t>
            </w:r>
          </w:p>
        </w:tc>
      </w:tr>
      <w:tr>
        <w:trPr>
          <w:trHeight w:val="184"/>
        </w:trPr>
        <w:tc>
          <w:tcPr>
            <w:tcW w:w="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6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executives, other than certain services related to cybersecurity, which we consider to be in our best</w:t>
            </w:r>
          </w:p>
        </w:tc>
      </w:tr>
      <w:tr>
        <w:trPr>
          <w:trHeight w:val="234"/>
        </w:trPr>
        <w:tc>
          <w:tcPr>
            <w:tcW w:w="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r>
      <w:tr>
        <w:trPr>
          <w:trHeight w:val="176"/>
        </w:trPr>
        <w:tc>
          <w:tcPr>
            <w:tcW w:w="600" w:type="dxa"/>
            <w:vAlign w:val="bottom"/>
            <w:shd w:val="clear" w:color="auto" w:fill="CCEEFF"/>
          </w:tcPr>
          <w:p>
            <w:pPr>
              <w:ind w:left="280"/>
              <w:spacing w:after="0" w:line="176" w:lineRule="exact"/>
              <w:rPr>
                <w:sz w:val="20"/>
                <w:szCs w:val="20"/>
                <w:color w:val="auto"/>
              </w:rPr>
            </w:pPr>
            <w:r>
              <w:rPr>
                <w:rFonts w:ascii="Webdings" w:cs="Webdings" w:eastAsia="Webdings" w:hAnsi="Webdings"/>
                <w:sz w:val="18"/>
                <w:szCs w:val="18"/>
                <w:b w:val="1"/>
                <w:bCs w:val="1"/>
                <w:color w:val="auto"/>
                <w:highlight w:val="black"/>
              </w:rPr>
              <w:t>r</w:t>
            </w:r>
          </w:p>
        </w:tc>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Hedging or Pledging of MongoDB</w:t>
            </w:r>
          </w:p>
        </w:tc>
        <w:tc>
          <w:tcPr>
            <w:tcW w:w="76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We prohibit hedging and pledging of MongoDB securities by our employees, directors and</w:t>
            </w:r>
          </w:p>
        </w:tc>
      </w:tr>
      <w:tr>
        <w:trPr>
          <w:trHeight w:val="184"/>
        </w:trPr>
        <w:tc>
          <w:tcPr>
            <w:tcW w:w="600" w:type="dxa"/>
            <w:vAlign w:val="bottom"/>
            <w:shd w:val="clear" w:color="auto" w:fill="CCEEFF"/>
          </w:tcPr>
          <w:p>
            <w:pPr>
              <w:spacing w:after="0"/>
              <w:rPr>
                <w:sz w:val="16"/>
                <w:szCs w:val="16"/>
                <w:color w:val="auto"/>
              </w:rPr>
            </w:pPr>
          </w:p>
        </w:tc>
        <w:tc>
          <w:tcPr>
            <w:tcW w:w="29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76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consultants, except for case-by-case exceptions for employees who are not executive officers or</w:t>
            </w:r>
          </w:p>
        </w:tc>
      </w:tr>
      <w:tr>
        <w:trPr>
          <w:trHeight w:val="234"/>
        </w:trPr>
        <w:tc>
          <w:tcPr>
            <w:tcW w:w="60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directors, as approved by our board of directors.</w:t>
            </w:r>
          </w:p>
        </w:tc>
      </w:tr>
    </w:tbl>
    <w:p>
      <w:pPr>
        <w:ind w:left="740" w:hanging="464"/>
        <w:spacing w:after="0"/>
        <w:tabs>
          <w:tab w:leader="none" w:pos="740" w:val="left"/>
        </w:tabs>
        <w:numPr>
          <w:ilvl w:val="0"/>
          <w:numId w:val="36"/>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Single-trigger vesting upon change in  </w:t>
      </w:r>
      <w:r>
        <w:rPr>
          <w:rFonts w:ascii="Times New Roman" w:cs="Times New Roman" w:eastAsia="Times New Roman" w:hAnsi="Times New Roman"/>
          <w:sz w:val="18"/>
          <w:szCs w:val="18"/>
          <w:color w:val="auto"/>
        </w:rPr>
        <w:t>If there is a change in control, outstanding equity will vest only if there is a termination of</w:t>
      </w:r>
    </w:p>
    <w:p>
      <w:pPr>
        <w:sectPr>
          <w:pgSz w:w="11900" w:h="16838" w:orient="portrait"/>
          <w:cols w:equalWidth="0" w:num="1">
            <w:col w:w="11240"/>
          </w:cols>
          <w:pgMar w:left="320" w:top="369" w:right="339" w:bottom="1440" w:gutter="0" w:footer="0" w:header="0"/>
        </w:sectPr>
      </w:pP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control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employment following such change in control (a “double trigger”). A change in control alone will not trigger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635</wp:posOffset>
            </wp:positionV>
            <wp:extent cx="7132320" cy="266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80" w:space="720"/>
            <w:col w:w="7440"/>
          </w:cols>
          <w:pgMar w:left="320" w:top="369" w:right="339" w:bottom="1440" w:gutter="0" w:footer="0" w:header="0"/>
          <w:type w:val="continuous"/>
        </w:sectPr>
      </w:pPr>
    </w:p>
    <w:p>
      <w:pPr>
        <w:ind w:left="740" w:right="2120" w:hanging="464"/>
        <w:spacing w:after="0" w:line="234" w:lineRule="auto"/>
        <w:tabs>
          <w:tab w:leader="none" w:pos="740" w:val="left"/>
        </w:tabs>
        <w:numPr>
          <w:ilvl w:val="0"/>
          <w:numId w:val="37"/>
        </w:numPr>
        <w:rPr>
          <w:rFonts w:ascii="Webdings" w:cs="Webdings" w:eastAsia="Webdings" w:hAnsi="Webdings"/>
          <w:sz w:val="18"/>
          <w:szCs w:val="18"/>
          <w:b w:val="1"/>
          <w:bCs w:val="1"/>
          <w:color w:val="auto"/>
          <w:highlight w:val="black"/>
        </w:rPr>
      </w:pPr>
      <w:r>
        <w:rPr>
          <w:rFonts w:ascii="Times New Roman" w:cs="Times New Roman" w:eastAsia="Times New Roman" w:hAnsi="Times New Roman"/>
          <w:sz w:val="18"/>
          <w:szCs w:val="18"/>
          <w:b w:val="1"/>
          <w:bCs w:val="1"/>
          <w:color w:val="auto"/>
        </w:rPr>
        <w:t xml:space="preserve">Supplemental executive retirement and </w:t>
      </w:r>
      <w:r>
        <w:rPr>
          <w:rFonts w:ascii="Times New Roman" w:cs="Times New Roman" w:eastAsia="Times New Roman" w:hAnsi="Times New Roman"/>
          <w:sz w:val="18"/>
          <w:szCs w:val="18"/>
          <w:color w:val="auto"/>
        </w:rPr>
        <w:t>We do not provide supplemental executive retirement or pension benefits.</w:t>
      </w:r>
      <w:r>
        <w:rPr>
          <w:rFonts w:ascii="Times New Roman" w:cs="Times New Roman" w:eastAsia="Times New Roman" w:hAnsi="Times New Roman"/>
          <w:sz w:val="18"/>
          <w:szCs w:val="18"/>
          <w:b w:val="1"/>
          <w:bCs w:val="1"/>
          <w:color w:val="auto"/>
        </w:rPr>
        <w:t xml:space="preserve"> pension benefits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Stockholder Engagement</w:t>
      </w:r>
    </w:p>
    <w:p>
      <w:pPr>
        <w:spacing w:after="0" w:line="1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appreciate and value the views and insights of our stockholders. We believe that ongoing engagement builds mutual trust and alignment with our stockholders and is essential to our long-term success.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Legal and Investor Relations teams, with participation by our People and Sustainability leaders, annually meet with our stockholders. We regularly communicate topics discussed with stockholders and stockholder feedback to senior management, which in turn is discussed with our board of directors. We believe that our approach to engaging directly and openly with our stockholders drives increased corporate accountability, improves decision making, and ultimately helps create sustainable long-term value for our stakeholders.</w:t>
      </w:r>
    </w:p>
    <w:p>
      <w:pPr>
        <w:spacing w:after="0" w:line="15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fiscal year 2026, we reached out to stockholders owning approximately 40% of our outstanding stock (based on ownership levels as of September 30, 2025) and held conversations with stockholders owning an aggregate of approximately 11% of our outstanding stock. Through this outreach, we solicited feedback on our executive compensation practices and corporate governance, and provided updates on our culture, sustainability and AI initiatives.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Responsiveness to Stockholder Feedback</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proven track record of evolving our practices based on the dialogue we maintain with our investors. Recent enhancements include:</w:t>
      </w:r>
    </w:p>
    <w:p>
      <w:pPr>
        <w:spacing w:after="0" w:line="208" w:lineRule="exact"/>
        <w:rPr>
          <w:sz w:val="20"/>
          <w:szCs w:val="20"/>
          <w:color w:val="auto"/>
        </w:rPr>
      </w:pPr>
    </w:p>
    <w:p>
      <w:pPr>
        <w:jc w:val="both"/>
        <w:ind w:left="660" w:hanging="328"/>
        <w:spacing w:after="0" w:line="25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Enhanced Executive Compensation Disclosures</w:t>
      </w:r>
      <w:r>
        <w:rPr>
          <w:rFonts w:ascii="Times New Roman" w:cs="Times New Roman" w:eastAsia="Times New Roman" w:hAnsi="Times New Roman"/>
          <w:sz w:val="18"/>
          <w:szCs w:val="18"/>
          <w:color w:val="auto"/>
        </w:rPr>
        <w:t>: In this proxy statement, we expanded our executive-compensation disclosures to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greater backwards looking information of incentive program targets and actual outcomes. This expansion continues to build upon our updates in the fiscal year 2024 proxy statement, when, again in response to stockholder feedback requesting greater disclosure on named executive officer compensation calculations, we added tables indicating attainment levels of company performance metrics used to determine named executive officer compensation.</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Implementation of Proxy Access</w:t>
      </w:r>
      <w:r>
        <w:rPr>
          <w:rFonts w:ascii="Times New Roman" w:cs="Times New Roman" w:eastAsia="Times New Roman" w:hAnsi="Times New Roman"/>
          <w:sz w:val="18"/>
          <w:szCs w:val="18"/>
          <w:color w:val="auto"/>
        </w:rPr>
        <w:t>: In February 2026, following feedback from our stockholders regarding enhanced avenues for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the board of directors — upon recommendation from the nominating and corporate governance committee — approved amendments to our amended and restated bylaws to implement "proxy access." These provisions allow a stockholder, or group of up to 20 stockholders, owning at least 3% of our common stock continuously for at least three years, to nominate and include in our proxy materials director nominees constituting up to two directors or 20% of the Board (whichever is greater), provided certain requirements are met.</w:t>
      </w:r>
    </w:p>
    <w:p>
      <w:pPr>
        <w:spacing w:after="0" w:line="15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Enhanced Board Disclosures</w:t>
      </w:r>
      <w:r>
        <w:rPr>
          <w:rFonts w:ascii="Times New Roman" w:cs="Times New Roman" w:eastAsia="Times New Roman" w:hAnsi="Times New Roman"/>
          <w:sz w:val="18"/>
          <w:szCs w:val="18"/>
          <w:color w:val="auto"/>
        </w:rPr>
        <w:t>: Based on investor requests for greater transparency, we added a board of directors skills matrix (beginning in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2023) and introduced detailed tables indicating attainment levels of company performance metrics (beginning in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Going forward, we will continue to maintain an active dialogue with our stockholders to evaluate feedback on issues of importance to them.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Say-on-Pay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2025 Say-on-Pay Vote</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last year’s annual meeting of stockholders, approximately 82%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Say-on-Pay Frequency</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Consistent with our stockholders' recommendation at our 2025 annual meeting that we solicit a say-on-pay vote on an annual basis, we will again hold a say-on-pay vote at our upcoming annual meeting. We believe an annual “say-on-pay” vote will best reinforce our desire to communicate with our stockholders and allow them to regularly express a view on our compensation policies and practices. A “say-on-frequency” vote is required every six years, and as such, our next say-on-frequency vote will be in 2031.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Philosophy</w:t>
      </w:r>
    </w:p>
    <w:p>
      <w:pPr>
        <w:spacing w:after="0" w:line="2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spacing w:after="0" w:line="16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incentivize and retain a highly skilled team of executives who contribute to our long-term success;</w:t>
      </w:r>
    </w:p>
    <w:p>
      <w:pPr>
        <w:spacing w:after="0" w:line="21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to our executive officers that are competitive and reward the achievement of our financial, operational and strategic objectives;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align our executive officers’ interests with the interests of our stockholders by focusing on long-term equity incentives that correlate with the growth of sustainable long-term value for our stockholders. The emphasis on long-term incentive compensation is illustrated in the following pay mix charts.</w:t>
      </w:r>
    </w:p>
    <w:p>
      <w:pPr>
        <w:spacing w:after="0" w:line="199"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FY 2026 Current CEO Pay Mix</w:t>
      </w:r>
      <w:r>
        <w:rPr>
          <w:sz w:val="20"/>
          <w:szCs w:val="20"/>
          <w:color w:val="auto"/>
        </w:rPr>
        <w:tab/>
      </w:r>
      <w:r>
        <w:rPr>
          <w:rFonts w:ascii="Times New Roman" w:cs="Times New Roman" w:eastAsia="Times New Roman" w:hAnsi="Times New Roman"/>
          <w:sz w:val="18"/>
          <w:szCs w:val="18"/>
          <w:b w:val="1"/>
          <w:bCs w:val="1"/>
          <w:color w:val="auto"/>
        </w:rPr>
        <w:t>FY 2026 Former CEO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26580" cy="2425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658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FY 2026 Pay Mix - Other NEOs</w:t>
      </w:r>
      <w:r>
        <w:rPr>
          <w:rFonts w:ascii="Times New Roman" w:cs="Times New Roman" w:eastAsia="Times New Roman" w:hAnsi="Times New Roman"/>
          <w:sz w:val="23"/>
          <w:szCs w:val="23"/>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394710" cy="2425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9471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hanging="332"/>
        <w:spacing w:after="0" w:line="302" w:lineRule="auto"/>
        <w:tabs>
          <w:tab w:leader="none" w:pos="318"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Desai's sign-on cash bonus is excluded from this table since neither cash payment vested in fiscal year 2026 and such sign-on cash bonus reflects a one-time occurrence unrelated to our existing compensation practices.</w:t>
      </w:r>
    </w:p>
    <w:p>
      <w:pPr>
        <w:spacing w:after="0" w:line="53" w:lineRule="exact"/>
        <w:rPr>
          <w:rFonts w:ascii="Times New Roman" w:cs="Times New Roman" w:eastAsia="Times New Roman" w:hAnsi="Times New Roman"/>
          <w:sz w:val="9"/>
          <w:szCs w:val="9"/>
          <w:color w:val="auto"/>
        </w:rPr>
      </w:pPr>
    </w:p>
    <w:p>
      <w:pPr>
        <w:ind w:left="340" w:right="140" w:hanging="332"/>
        <w:spacing w:after="0" w:line="230" w:lineRule="auto"/>
        <w:tabs>
          <w:tab w:leader="none" w:pos="305"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Messrs. Desai and Berry, "Long Term Incentives" includes their sign-on equity awards, which are described in the section above titled "Executive Leadership Transitions in Fiscal Year 2026".</w:t>
      </w:r>
    </w:p>
    <w:p>
      <w:pPr>
        <w:spacing w:after="0" w:line="95"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Data excludes Mr. Tanjga, who resigned from MongoDB on May 8, 2025.</w:t>
      </w:r>
    </w:p>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Process for Setting Executive Compensation</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r>
        <w:rPr>
          <w:rFonts w:ascii="Times New Roman" w:cs="Times New Roman" w:eastAsia="Times New Roman" w:hAnsi="Times New Roman"/>
          <w:sz w:val="18"/>
          <w:szCs w:val="18"/>
          <w:color w:val="auto"/>
        </w:rPr>
        <w:t>. Compensation decisions for our named executive officers are determined by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establishing, approving and adjusting compensation arrangements for our named executive officers and for reviewing and approving performance goals and objectives relevant to these compensation arrangements, and considering factors related to the performance of MongoDB. For additional information about the compensation committee, see the section titled “Board of Directors and Corporate Governance–Board Committees–Compensation Committee.”</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Generally, the compensation committee’s process for determining executive compensation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determines any adjustments to his compensation as well as awards to be granted, taking into account the board of directors' evaluation of the Chief Executive Officer’s performance. For all executives and directors, as part of its deliberations, the compensation committee may review and consider, as appropriate, materials such as financial reports and projections, operational data, executive and director stock ownership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compensation consultant.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to obtain, at the expense of MongoDB, advice and assistance from its own advisors as it considers necessary or appropriate in the performance of its duties. For the fiscal year ended January 31, 2026, the compensation committee retained Semler Brossy to review and assess our executive compensation practices relative to market compensation practices and to provide market compensation data. For additional information on this engagement, see the section below titled "Role of the Compensation Consultant."</w:t>
      </w:r>
    </w:p>
    <w:p>
      <w:pPr>
        <w:spacing w:after="0" w:line="14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r>
        <w:rPr>
          <w:rFonts w:ascii="Times New Roman" w:cs="Times New Roman" w:eastAsia="Times New Roman" w:hAnsi="Times New Roman"/>
          <w:sz w:val="18"/>
          <w:szCs w:val="18"/>
          <w:color w:val="auto"/>
        </w:rPr>
        <w:t>. For fiscal year 2026, the scope of the compensation consultant's engagement for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included:</w:t>
      </w:r>
    </w:p>
    <w:p>
      <w:pPr>
        <w:spacing w:after="0" w:line="145" w:lineRule="exact"/>
        <w:rPr>
          <w:sz w:val="20"/>
          <w:szCs w:val="20"/>
          <w:color w:val="auto"/>
        </w:rPr>
      </w:pPr>
    </w:p>
    <w:p>
      <w:pPr>
        <w:ind w:left="98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materials prepared for the compensation committee by management relative to fiscal year 2026 compensation for the named executive officers;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compensation committee on executive compensation trends;</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market equity compensation practices, including the proportion of our total shares outstanding used for annual employee long-term incentive compensation awards (our “burn rate”) and the potential voting power dilution to our stockholders (our “overhang”);</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market data and analysis to assist the compensation committee in setting target compensation for named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developing and reviewing the compensation peer group used for fiscal year 2026 executive compensation benchmarking;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our non-employee director compensation program;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current incentive design structures against market incentive design structures;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other ad hoc matters throughout the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Semler Brossy reviewed and provided input on the Compensation Discussion and Analysis section of this proxy statement. In retaining Semler Brossy, the compensation committee considered the six factors set forth in Rule 10C-1(b)(4)(i) through (vi) of the Exchange Act. After review of information provided by each of the members of the compensation committee as well as information provided by Semler Brossy, the compensation committee determined that there were no conflicts of interest raised by their work with the compensation committee.</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Role of Chief Executive Officer</w:t>
      </w:r>
      <w:r>
        <w:rPr>
          <w:rFonts w:ascii="Times New Roman" w:cs="Times New Roman" w:eastAsia="Times New Roman" w:hAnsi="Times New Roman"/>
          <w:sz w:val="18"/>
          <w:szCs w:val="18"/>
          <w:color w:val="auto"/>
        </w:rPr>
        <w:t>. In discharging its responsibilities, the compensation committee works with members of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discusses these recommendations and proposals with our Chief Executive Officer and considers them as one factor in determining the compensation for our executive officers. Our Chief Executive Officer recuses himself from all deliberations and recommendations regarding his own compensation.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also delegated limited authority to the Chief Executive Officer to make equity grants to certain employees who are not executive officers.</w:t>
      </w:r>
    </w:p>
    <w:p>
      <w:pPr>
        <w:spacing w:after="0" w:line="144"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Competitive Market Data</w:t>
      </w:r>
      <w:r>
        <w:rPr>
          <w:rFonts w:ascii="Times New Roman" w:cs="Times New Roman" w:eastAsia="Times New Roman" w:hAnsi="Times New Roman"/>
          <w:sz w:val="18"/>
          <w:szCs w:val="18"/>
          <w:color w:val="auto"/>
        </w:rPr>
        <w:t>. Our compensation committee believes that it is important when making its compensation decisions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informed as to the current practices of comparable public companies and companies with which we compete for top talent. This compensation peer group consists of technology companies and is determined based on several factors, including industry classification and company size based on metrics such as revenue, market capitalization and headcount along with other qualitative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2025, the compensation committee, in consultation with Semler Brossy, reviewed the companies in our peer group to determine if adjustments were necessary based on strategic and company size alignment. As a result of this review, the compensation committee approved the following 15-company peer group for purposes of fiscal year 2026 compensation decisions: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ANSYS [ANSS]</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DocuSign [DOCU]</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Samsara [IOT]</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Cloudflare [NET]</w:t>
            </w:r>
          </w:p>
        </w:tc>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Dynatrace [DT]</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Snowflake [SNOW]</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Confluent [CFLT]</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Elastic N.V. [ESTC]</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Trade Desk [TTD]</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Crowdstrike [CRWD]</w:t>
            </w:r>
          </w:p>
        </w:tc>
        <w:tc>
          <w:tcPr>
            <w:tcW w:w="36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HubSpot [HUBS]</w:t>
            </w:r>
          </w:p>
        </w:tc>
        <w:tc>
          <w:tcPr>
            <w:tcW w:w="48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Unity Software [U]</w:t>
            </w: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Datadog [DDOG]</w:t>
            </w:r>
          </w:p>
        </w:tc>
        <w:tc>
          <w:tcPr>
            <w:tcW w:w="3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Okta [OKTA]</w:t>
            </w:r>
          </w:p>
        </w:tc>
        <w:tc>
          <w:tcPr>
            <w:tcW w:w="48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Zscaler [ZS]</w:t>
            </w:r>
          </w:p>
        </w:tc>
      </w:tr>
    </w:tbl>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previewed in our proxy for fiscal year 2025, we removed Five9 due to its smaller market capitalization and removed New Relic as their compensation data became outdated following closure of its acquisition transaction. We added Samsara and Confluent given their comparable financial scales and relevant business dynamics. At the time of the compensation committee's approval of this peer group, relative to the companies in this peer group, MongoDB was at the 33rd percentile in terms of revenue and at the 40th percentile in terms of market capitalization.</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referred to compensation data from this peer group in the first quarter of fiscal year 2026 to assist with the determination of compensation for our directors and executive officers. In addition, the compensation committee used survey data from a 2024 technology industry executive compensation survey to evaluate the competitive market when formulating its recommendation for the total direct compensation packages for our executive officers, including base salary, target bonus, and long-term incentive compensation opportunities. This survey provides compensation market intelligence and is widely used within the technology industry.</w:t>
      </w:r>
    </w:p>
    <w:p>
      <w:pPr>
        <w:spacing w:after="0" w:line="1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reviews the compensation peer group at least annually to make adjustments to its composition if warranted, taking into account changes in both our business and the businesses of the companies in the peer group. In the third quarter of fiscal year 2026, the compensation committee made further adjustments to the peer group for purposes of fiscal year 2027 compensation determinations by removing Crowdstrike due to its larger market capitalization relative to MongoDB's, removing ANSYS as its compensation data became outdated following its acquisition transaction and adding Nutanix and Twilio given comparable financial scales and relevant business dynamics. At the time of the compensation committee's approval of this peer group, relative to the companies in this peer group, MongoDB was at the 39th percentile in terms of revenue and at the 41st percentile in terms of market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 Program Components for FY2026</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Named executive officer compensation awarded in the fiscal year ended January 31, 2026 consisted of the following components.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r>
              <w:rPr>
                <w:rFonts w:ascii="Times New Roman" w:cs="Times New Roman" w:eastAsia="Times New Roman" w:hAnsi="Times New Roman"/>
                <w:sz w:val="23"/>
                <w:szCs w:val="23"/>
                <w:b w:val="1"/>
                <w:bCs w:val="1"/>
                <w:color w:val="auto"/>
                <w:vertAlign w:val="superscript"/>
              </w:rPr>
              <w:t>(1)</w:t>
            </w:r>
          </w:p>
        </w:tc>
        <w:tc>
          <w:tcPr>
            <w:tcW w:w="3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How Payout is Determined</w:t>
            </w:r>
          </w:p>
        </w:tc>
        <w:tc>
          <w:tcPr>
            <w:tcW w:w="2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3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Base Salary</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Compensation committee determines salary;</w:t>
            </w:r>
          </w:p>
        </w:tc>
        <w:tc>
          <w:tcPr>
            <w:tcW w:w="21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Provides compensation at a level</w:t>
            </w:r>
          </w:p>
        </w:tc>
        <w:tc>
          <w:tcPr>
            <w:tcW w:w="0" w:type="dxa"/>
            <w:vAlign w:val="bottom"/>
          </w:tcPr>
          <w:p>
            <w:pPr>
              <w:spacing w:after="0"/>
              <w:rPr>
                <w:sz w:val="1"/>
                <w:szCs w:val="1"/>
                <w:color w:val="auto"/>
              </w:rPr>
            </w:pPr>
          </w:p>
        </w:tc>
      </w:tr>
      <w:tr>
        <w:trPr>
          <w:trHeight w:val="182"/>
        </w:trPr>
        <w:tc>
          <w:tcPr>
            <w:tcW w:w="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Fixed</w:t>
            </w:r>
          </w:p>
        </w:tc>
        <w:tc>
          <w:tcPr>
            <w:tcW w:w="3420" w:type="dxa"/>
            <w:vAlign w:val="bottom"/>
            <w:gridSpan w:val="2"/>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considers competitive market information,</w:t>
            </w:r>
          </w:p>
        </w:tc>
        <w:tc>
          <w:tcPr>
            <w:tcW w:w="21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consistent with competitive practices</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cash</w:t>
            </w:r>
          </w:p>
        </w:tc>
        <w:tc>
          <w:tcPr>
            <w:tcW w:w="34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retention, performance, criticality of role</w:t>
            </w:r>
          </w:p>
        </w:tc>
        <w:tc>
          <w:tcPr>
            <w:tcW w:w="21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Reflects role, responsibilities, skills,</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potential impact</w:t>
            </w:r>
          </w:p>
        </w:tc>
        <w:tc>
          <w:tcPr>
            <w:tcW w:w="2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experience and performance</w:t>
            </w:r>
          </w:p>
        </w:tc>
        <w:tc>
          <w:tcPr>
            <w:tcW w:w="0" w:type="dxa"/>
            <w:vAlign w:val="bottom"/>
          </w:tcPr>
          <w:p>
            <w:pPr>
              <w:spacing w:after="0"/>
              <w:rPr>
                <w:sz w:val="1"/>
                <w:szCs w:val="1"/>
                <w:color w:val="auto"/>
              </w:rPr>
            </w:pPr>
          </w:p>
        </w:tc>
      </w:tr>
      <w:tr>
        <w:trPr>
          <w:trHeight w:val="181"/>
        </w:trPr>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Performance-Based</w:t>
            </w:r>
          </w:p>
        </w:tc>
        <w:tc>
          <w:tcPr>
            <w:tcW w:w="34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Compensation committee determines</w:t>
            </w:r>
          </w:p>
        </w:tc>
        <w:tc>
          <w:tcPr>
            <w:tcW w:w="218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Net New ARR</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Non-</w:t>
            </w:r>
          </w:p>
        </w:tc>
        <w:tc>
          <w:tcPr>
            <w:tcW w:w="2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Motivates and rewards executives for</w:t>
            </w: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Bonus</w:t>
            </w:r>
          </w:p>
        </w:tc>
        <w:tc>
          <w:tcPr>
            <w:tcW w:w="34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8"/>
                <w:szCs w:val="18"/>
                <w:color w:val="auto"/>
              </w:rPr>
              <w:t>executive bonus; considers performance</w:t>
            </w:r>
          </w:p>
        </w:tc>
        <w:tc>
          <w:tcPr>
            <w:tcW w:w="218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GAAP Operating Income</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7"/>
                <w:szCs w:val="17"/>
                <w:color w:val="auto"/>
              </w:rPr>
              <w: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achievement of annual goals</w:t>
            </w:r>
          </w:p>
        </w:tc>
        <w:tc>
          <w:tcPr>
            <w:tcW w:w="0" w:type="dxa"/>
            <w:vAlign w:val="bottom"/>
          </w:tcPr>
          <w:p>
            <w:pPr>
              <w:spacing w:after="0"/>
              <w:rPr>
                <w:sz w:val="1"/>
                <w:szCs w:val="1"/>
                <w:color w:val="auto"/>
              </w:rPr>
            </w:pPr>
          </w:p>
        </w:tc>
      </w:tr>
      <w:tr>
        <w:trPr>
          <w:trHeight w:val="176"/>
        </w:trPr>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34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against pre-established goals, with</w:t>
            </w:r>
          </w:p>
        </w:tc>
        <w:tc>
          <w:tcPr>
            <w:tcW w:w="21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and Revenue</w:t>
            </w:r>
          </w:p>
        </w:tc>
        <w:tc>
          <w:tcPr>
            <w:tcW w:w="200" w:type="dxa"/>
            <w:vAlign w:val="bottom"/>
            <w:vMerge w:val="continue"/>
          </w:tcPr>
          <w:p>
            <w:pPr>
              <w:spacing w:after="0"/>
              <w:rPr>
                <w:sz w:val="15"/>
                <w:szCs w:val="15"/>
                <w:color w:val="auto"/>
              </w:rPr>
            </w:pPr>
          </w:p>
        </w:tc>
        <w:tc>
          <w:tcPr>
            <w:tcW w:w="3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82"/>
        </w:trPr>
        <w:tc>
          <w:tcPr>
            <w:tcW w:w="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Paid in cash or in equity</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discretion to reduce executive bonus payout</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interests by linking pay to performance</w:t>
            </w: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19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i w:val="1"/>
                <w:iCs w:val="1"/>
                <w:color w:val="auto"/>
              </w:rPr>
              <w:t>pursuant to our Senior</w:t>
            </w:r>
          </w:p>
        </w:tc>
        <w:tc>
          <w:tcPr>
            <w:tcW w:w="342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color w:val="auto"/>
              </w:rPr>
              <w:t>amounts</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Leadership Equity Bonus</w:t>
            </w:r>
          </w:p>
        </w:tc>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Program</w:t>
            </w:r>
          </w:p>
        </w:tc>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Long-Term Equity Incentives •</w:t>
            </w: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For RSUs: Compensation committee</w:t>
            </w:r>
          </w:p>
        </w:tc>
        <w:tc>
          <w:tcPr>
            <w:tcW w:w="218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6"/>
                <w:szCs w:val="16"/>
                <w:color w:val="auto"/>
              </w:rPr>
              <w:t>For PSUs: ARR Growth</w:t>
            </w:r>
            <w:r>
              <w:rPr>
                <w:rFonts w:ascii="Times New Roman" w:cs="Times New Roman" w:eastAsia="Times New Roman" w:hAnsi="Times New Roman"/>
                <w:sz w:val="20"/>
                <w:szCs w:val="20"/>
                <w:color w:val="auto"/>
                <w:vertAlign w:val="superscript"/>
              </w:rPr>
              <w:t>(4)</w:t>
            </w:r>
          </w:p>
        </w:tc>
        <w:tc>
          <w:tcPr>
            <w:tcW w:w="20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Serves a retention function</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i w:val="1"/>
                <w:iCs w:val="1"/>
                <w:color w:val="auto"/>
              </w:rPr>
              <w:t>Variable</w:t>
            </w: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determines amounts and terms of RSU</w:t>
            </w:r>
          </w:p>
        </w:tc>
        <w:tc>
          <w:tcPr>
            <w:tcW w:w="21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and Operating Cash Flow</w:t>
            </w:r>
            <w:r>
              <w:rPr>
                <w:rFonts w:ascii="Times New Roman" w:cs="Times New Roman" w:eastAsia="Times New Roman" w:hAnsi="Times New Roman"/>
                <w:sz w:val="21"/>
                <w:szCs w:val="21"/>
                <w:color w:val="auto"/>
                <w:vertAlign w:val="superscript"/>
              </w:rPr>
              <w:t>(5)</w:t>
            </w:r>
          </w:p>
        </w:tc>
        <w:tc>
          <w:tcPr>
            <w:tcW w:w="200" w:type="dxa"/>
            <w:vAlign w:val="bottom"/>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w:t>
            </w:r>
          </w:p>
        </w:tc>
        <w:tc>
          <w:tcPr>
            <w:tcW w:w="32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color w:val="auto"/>
              </w:rPr>
              <w:t>Aligns management and stockholder</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9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Paid in stock</w:t>
            </w:r>
          </w:p>
        </w:tc>
        <w:tc>
          <w:tcPr>
            <w:tcW w:w="2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grants for executive officers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interests by facilitating management</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318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For PSUs: Compensation committee</w:t>
            </w: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ownership, linking pay to performance (for</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determines amounts and considers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PSUs) and tying value of award at vesting</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performance against pre-established goals,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to stock price at vesting</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with discretion to reduce executive bonus</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payout amounts</w:t>
            </w:r>
          </w:p>
        </w:tc>
        <w:tc>
          <w:tcPr>
            <w:tcW w:w="2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230" w:lineRule="auto"/>
        <w:tabs>
          <w:tab w:leader="none" w:pos="305"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section titled "Executive Compensation—Executive Leadership Transitions in Fiscal Year 2026" for non-standard award elements granted in connection with the appointment of our new named executive officers in fiscal year 2026.</w:t>
      </w:r>
    </w:p>
    <w:p>
      <w:pPr>
        <w:spacing w:after="0" w:line="81" w:lineRule="exact"/>
        <w:rPr>
          <w:rFonts w:ascii="Times New Roman" w:cs="Times New Roman" w:eastAsia="Times New Roman" w:hAnsi="Times New Roman"/>
          <w:sz w:val="19"/>
          <w:szCs w:val="19"/>
          <w:color w:val="auto"/>
          <w:vertAlign w:val="superscript"/>
        </w:rPr>
      </w:pPr>
    </w:p>
    <w:p>
      <w:pPr>
        <w:ind w:left="300" w:hanging="292"/>
        <w:spacing w:after="0"/>
        <w:tabs>
          <w:tab w:leader="none" w:pos="30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definition of Net New ARR in the section titled "Executive Compensation—Annual Performance-Based Bonus Program".</w:t>
      </w:r>
    </w:p>
    <w:p>
      <w:pPr>
        <w:spacing w:after="0" w:line="12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definition of Non-GAAP Operating Income in the section titled "Executive Compensation—Annual Performance-Based Bonus Program".</w:t>
      </w:r>
    </w:p>
    <w:p>
      <w:pPr>
        <w:spacing w:after="0" w:line="92" w:lineRule="exact"/>
        <w:rPr>
          <w:rFonts w:ascii="Times New Roman" w:cs="Times New Roman" w:eastAsia="Times New Roman" w:hAnsi="Times New Roman"/>
          <w:sz w:val="9"/>
          <w:szCs w:val="9"/>
          <w:color w:val="auto"/>
        </w:rPr>
      </w:pPr>
    </w:p>
    <w:p>
      <w:pPr>
        <w:ind w:left="280" w:hanging="272"/>
        <w:spacing w:after="0"/>
        <w:tabs>
          <w:tab w:leader="none" w:pos="2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of ARR Growth in the section titled "Executive Compensation—Long-Term Equity Incentives—Performance Stock Units".</w:t>
      </w:r>
    </w:p>
    <w:p>
      <w:pPr>
        <w:spacing w:after="0" w:line="65" w:lineRule="exact"/>
        <w:rPr>
          <w:rFonts w:ascii="Times New Roman" w:cs="Times New Roman" w:eastAsia="Times New Roman" w:hAnsi="Times New Roman"/>
          <w:sz w:val="19"/>
          <w:szCs w:val="19"/>
          <w:color w:val="auto"/>
          <w:vertAlign w:val="superscript"/>
        </w:rPr>
      </w:pPr>
    </w:p>
    <w:p>
      <w:pPr>
        <w:ind w:left="280" w:hanging="272"/>
        <w:spacing w:after="0"/>
        <w:tabs>
          <w:tab w:leader="none" w:pos="2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of Operating Cash Flow in the section titled "Executive Compensation—Long-Term Equity Incentives—Performance Stock Units".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a position relative to the competitive market information. Base salaries are reviewed by our compensation committee annually and are adjusted from time-to-time as deemed appropriate.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fiscal year 2026, there were no adjustments to annual base salaries for any of our named executive officers. Set forth below are the base salaries for each of the named executive officers for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0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2025 Base Salary ($)</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2026 Base Salary ($)</w:t>
            </w: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p>
        </w:tc>
        <w:tc>
          <w:tcPr>
            <w:tcW w:w="40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500,000</w:t>
            </w:r>
            <w:r>
              <w:rPr>
                <w:rFonts w:ascii="Times New Roman" w:cs="Times New Roman" w:eastAsia="Times New Roman" w:hAnsi="Times New Roman"/>
                <w:sz w:val="23"/>
                <w:szCs w:val="23"/>
                <w:color w:val="auto"/>
                <w:w w:val="94"/>
                <w:vertAlign w:val="superscript"/>
              </w:rPr>
              <w:t>(1)</w:t>
            </w:r>
          </w:p>
        </w:tc>
      </w:tr>
      <w:tr>
        <w:trPr>
          <w:trHeight w:val="230"/>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500,000</w:t>
            </w:r>
          </w:p>
        </w:tc>
        <w:tc>
          <w:tcPr>
            <w:tcW w:w="36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500,000</w:t>
            </w:r>
            <w:r>
              <w:rPr>
                <w:rFonts w:ascii="Times New Roman" w:cs="Times New Roman" w:eastAsia="Times New Roman" w:hAnsi="Times New Roman"/>
                <w:sz w:val="23"/>
                <w:szCs w:val="23"/>
                <w:color w:val="auto"/>
                <w:w w:val="94"/>
                <w:vertAlign w:val="superscript"/>
              </w:rPr>
              <w:t>(2)</w:t>
            </w:r>
          </w:p>
        </w:tc>
      </w:tr>
      <w:tr>
        <w:trPr>
          <w:trHeight w:val="270"/>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Berry</w:t>
            </w:r>
          </w:p>
        </w:tc>
        <w:tc>
          <w:tcPr>
            <w:tcW w:w="40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350,000</w:t>
            </w:r>
            <w:r>
              <w:rPr>
                <w:rFonts w:ascii="Times New Roman" w:cs="Times New Roman" w:eastAsia="Times New Roman" w:hAnsi="Times New Roman"/>
                <w:sz w:val="23"/>
                <w:szCs w:val="23"/>
                <w:color w:val="auto"/>
                <w:w w:val="94"/>
                <w:vertAlign w:val="superscript"/>
              </w:rPr>
              <w:t>(3)</w:t>
            </w:r>
          </w:p>
        </w:tc>
      </w:tr>
      <w:tr>
        <w:trPr>
          <w:trHeight w:val="270"/>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Srdjan Tanjga</w:t>
            </w:r>
          </w:p>
        </w:tc>
        <w:tc>
          <w:tcPr>
            <w:tcW w:w="4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384,800</w:t>
            </w:r>
            <w:r>
              <w:rPr>
                <w:rFonts w:ascii="Times New Roman" w:cs="Times New Roman" w:eastAsia="Times New Roman" w:hAnsi="Times New Roman"/>
                <w:sz w:val="23"/>
                <w:szCs w:val="23"/>
                <w:color w:val="auto"/>
                <w:w w:val="94"/>
                <w:vertAlign w:val="superscript"/>
              </w:rPr>
              <w:t>(4)</w:t>
            </w:r>
          </w:p>
        </w:tc>
      </w:tr>
      <w:tr>
        <w:trPr>
          <w:trHeight w:val="229"/>
        </w:trPr>
        <w:tc>
          <w:tcPr>
            <w:tcW w:w="35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Cedric Pech</w:t>
            </w:r>
            <w:r>
              <w:rPr>
                <w:rFonts w:ascii="Times New Roman" w:cs="Times New Roman" w:eastAsia="Times New Roman" w:hAnsi="Times New Roman"/>
                <w:sz w:val="23"/>
                <w:szCs w:val="23"/>
                <w:color w:val="auto"/>
                <w:vertAlign w:val="superscript"/>
              </w:rPr>
              <w:t>(5)</w:t>
            </w:r>
          </w:p>
        </w:tc>
        <w:tc>
          <w:tcPr>
            <w:tcW w:w="4080" w:type="dxa"/>
            <w:vAlign w:val="bottom"/>
            <w:shd w:val="clear" w:color="auto" w:fill="CCEEFF"/>
          </w:tcPr>
          <w:p>
            <w:pPr>
              <w:jc w:val="center"/>
              <w:ind w:left="350"/>
              <w:spacing w:after="0" w:line="230" w:lineRule="exact"/>
              <w:rPr>
                <w:sz w:val="20"/>
                <w:szCs w:val="20"/>
                <w:color w:val="auto"/>
              </w:rPr>
            </w:pPr>
            <w:r>
              <w:rPr>
                <w:rFonts w:ascii="Times New Roman" w:cs="Times New Roman" w:eastAsia="Times New Roman" w:hAnsi="Times New Roman"/>
                <w:sz w:val="18"/>
                <w:szCs w:val="18"/>
                <w:color w:val="auto"/>
                <w:w w:val="94"/>
              </w:rPr>
              <w:t>302,500</w:t>
            </w:r>
            <w:r>
              <w:rPr>
                <w:rFonts w:ascii="Times New Roman" w:cs="Times New Roman" w:eastAsia="Times New Roman" w:hAnsi="Times New Roman"/>
                <w:sz w:val="23"/>
                <w:szCs w:val="23"/>
                <w:color w:val="auto"/>
                <w:w w:val="94"/>
                <w:vertAlign w:val="superscript"/>
              </w:rPr>
              <w:t>(6)</w:t>
            </w:r>
          </w:p>
        </w:tc>
        <w:tc>
          <w:tcPr>
            <w:tcW w:w="36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357,500</w:t>
            </w:r>
            <w:r>
              <w:rPr>
                <w:rFonts w:ascii="Times New Roman" w:cs="Times New Roman" w:eastAsia="Times New Roman" w:hAnsi="Times New Roman"/>
                <w:sz w:val="23"/>
                <w:szCs w:val="23"/>
                <w:color w:val="auto"/>
                <w:w w:val="94"/>
                <w:vertAlign w:val="superscript"/>
              </w:rPr>
              <w:t>(7)</w:t>
            </w:r>
          </w:p>
        </w:tc>
      </w:tr>
    </w:tbl>
    <w:p>
      <w:pPr>
        <w:spacing w:after="0" w:line="58"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Mr. Desai's annualized base salary as of the date of his appointment as Chief Executive Officer effective November 10, 2025.</w:t>
      </w:r>
    </w:p>
    <w:p>
      <w:pPr>
        <w:spacing w:after="0" w:line="122" w:lineRule="exact"/>
        <w:rPr>
          <w:rFonts w:ascii="Times New Roman" w:cs="Times New Roman" w:eastAsia="Times New Roman" w:hAnsi="Times New Roman"/>
          <w:sz w:val="9"/>
          <w:szCs w:val="9"/>
          <w:color w:val="auto"/>
        </w:rPr>
      </w:pPr>
    </w:p>
    <w:p>
      <w:pPr>
        <w:ind w:left="340" w:hanging="332"/>
        <w:spacing w:after="0" w:line="239" w:lineRule="auto"/>
        <w:tabs>
          <w:tab w:leader="none" w:pos="285"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Mr. Ittycheria's annualized base salary prior to his resignation as Chief Executive Officer effective November 9, 2025. Mr. Ittycheria remains employed as an advisor pursuant to his Advisory Agreement and, as such, he will receive an annual salary of $100,000. For additional information on this agreement, see the section below titled "Executive Compensation– Employment, Severance and Change in Control Agreements–Offer Letters and Employment Agreements."</w:t>
      </w:r>
    </w:p>
    <w:p>
      <w:pPr>
        <w:spacing w:after="0" w:line="66"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Mr. Berry's annualized base salary as of the date of his appointment as Chief Financial Officer effective May 27, 2025.</w:t>
      </w:r>
    </w:p>
    <w:p>
      <w:pPr>
        <w:spacing w:after="0" w:line="81"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Mr. Tanjga's annualized base salary during his tenure as Interim Chief Financial Officer from February 1, 2025 through May 8, 2025.</w:t>
      </w:r>
    </w:p>
    <w:p>
      <w:pPr>
        <w:spacing w:after="0" w:line="9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April 15, 2026, Mr. Pech resigned from his position as President of Field Operations.</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28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base salary is paid in Swiss Francs (CHF) and, for purposes of this table, is converted into U.S. dollars based on the exchange rate as of January 31, 2025 of 1.10 CHF to the U.S. Dollar.</w:t>
      </w:r>
    </w:p>
    <w:p>
      <w:pPr>
        <w:spacing w:after="0" w:line="81" w:lineRule="exact"/>
        <w:rPr>
          <w:rFonts w:ascii="Times New Roman" w:cs="Times New Roman" w:eastAsia="Times New Roman" w:hAnsi="Times New Roman"/>
          <w:sz w:val="19"/>
          <w:szCs w:val="19"/>
          <w:color w:val="auto"/>
          <w:vertAlign w:val="superscript"/>
        </w:rPr>
      </w:pPr>
    </w:p>
    <w:p>
      <w:pPr>
        <w:ind w:left="340" w:hanging="332"/>
        <w:spacing w:after="0" w:line="302" w:lineRule="auto"/>
        <w:tabs>
          <w:tab w:leader="none" w:pos="289"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Pech’s base salary is paid in Swiss Francs (CHF) and, for the purposes of the table, is converted into U.S. dollars based on the exchange rate as of January 31, 2026 of 1.30 CHF to the U.S. dollar.</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actual base salary amounts paid to our named executive officers for fiscal year 2026 are set forth in the “Summary Compensation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Bonus Program</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annual performance-based bonus program for named executive officers provides incentive compensation that is specifically designed to motivate our named executive officers to achieve pre-established company-wide priorities set by the board of directors and to reward them for results and achievements in a given year. The annual target bonus opportunities for our named executive officers are determined by the compensation committee in the first quarter of each fiscal year and expressed as a percentage of their annual base salary, with the potential bonus opportunity generally commensurate with each executive’s role and responsibilities. The bonus program is paid out in cash.</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the interim nature of Mr. Tanjga's appointment, Mr. Tanjga was enrolled in our Management by Objectives Plan ("MBO Plan"), which we offer to eligible employees, and not in our annual performance-based bonus program for named executive officers.</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Target Award Opportunities</w:t>
      </w:r>
      <w:r>
        <w:rPr>
          <w:rFonts w:ascii="Times New Roman" w:cs="Times New Roman" w:eastAsia="Times New Roman" w:hAnsi="Times New Roman"/>
          <w:sz w:val="18"/>
          <w:szCs w:val="18"/>
          <w:color w:val="auto"/>
        </w:rPr>
        <w:t>. In fiscal year 2026, there were no adjustments to target bonus opportunities for any of our named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target annual performance-based bonus award opportunities for Messrs. Ittycheria, Tanjga and Pech were determined by the compensation committee in the first quarter of fiscal year 2026, and at hire for Messrs. Desai and Berry, and are expressed as a percentage of their annual base salary,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FY2026 Target Bonus Opportunity (%)</w:t>
            </w:r>
          </w:p>
        </w:tc>
        <w:tc>
          <w:tcPr>
            <w:tcW w:w="4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FY2026 Target Bonus Opportunity ($)</w:t>
            </w: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p>
        </w:tc>
        <w:tc>
          <w:tcPr>
            <w:tcW w:w="4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r>
      <w:tr>
        <w:trPr>
          <w:trHeight w:val="230"/>
        </w:trPr>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41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286,848</w:t>
            </w:r>
            <w:r>
              <w:rPr>
                <w:rFonts w:ascii="Times New Roman" w:cs="Times New Roman" w:eastAsia="Times New Roman" w:hAnsi="Times New Roman"/>
                <w:sz w:val="23"/>
                <w:szCs w:val="23"/>
                <w:color w:val="auto"/>
                <w:w w:val="94"/>
                <w:vertAlign w:val="superscript"/>
              </w:rPr>
              <w:t>(1)</w:t>
            </w:r>
          </w:p>
        </w:tc>
      </w:tr>
      <w:tr>
        <w:trPr>
          <w:trHeight w:val="230"/>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Berry</w:t>
            </w:r>
          </w:p>
        </w:tc>
        <w:tc>
          <w:tcPr>
            <w:tcW w:w="4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4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227,500</w:t>
            </w:r>
          </w:p>
        </w:tc>
      </w:tr>
      <w:tr>
        <w:trPr>
          <w:trHeight w:val="270"/>
        </w:trPr>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(2)</w:t>
            </w:r>
          </w:p>
        </w:tc>
        <w:tc>
          <w:tcPr>
            <w:tcW w:w="4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30</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115,440</w:t>
            </w:r>
          </w:p>
        </w:tc>
      </w:tr>
      <w:tr>
        <w:trPr>
          <w:trHeight w:val="230"/>
        </w:trPr>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41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500,500</w:t>
            </w:r>
            <w:r>
              <w:rPr>
                <w:rFonts w:ascii="Times New Roman" w:cs="Times New Roman" w:eastAsia="Times New Roman" w:hAnsi="Times New Roman"/>
                <w:sz w:val="23"/>
                <w:szCs w:val="23"/>
                <w:color w:val="auto"/>
                <w:w w:val="94"/>
                <w:vertAlign w:val="superscript"/>
              </w:rPr>
              <w:t>(3)</w:t>
            </w:r>
          </w:p>
        </w:tc>
      </w:tr>
    </w:tbl>
    <w:p>
      <w:pPr>
        <w:spacing w:after="0" w:line="274" w:lineRule="exact"/>
        <w:rPr>
          <w:sz w:val="20"/>
          <w:szCs w:val="20"/>
          <w:color w:val="auto"/>
        </w:rPr>
      </w:pPr>
    </w:p>
    <w:p>
      <w:pPr>
        <w:ind w:left="340" w:hanging="332"/>
        <w:spacing w:after="0" w:line="221" w:lineRule="auto"/>
        <w:tabs>
          <w:tab w:leader="none" w:pos="305"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 prorated target bonus opportunity amount, reflecting Mr. Ittycheria's salary change effective November 10, 2025. For additional information about this salary change, see the section below titled "Executive Compensation–Employment, Severance and Change in Control Agreements–Offer Letters and Employment Agreements."</w:t>
      </w:r>
    </w:p>
    <w:p>
      <w:pPr>
        <w:spacing w:after="0" w:line="96"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Mr. Tanjga's bonus opportunities pursuant to our MBO Plan.</w:t>
      </w:r>
    </w:p>
    <w:p>
      <w:pPr>
        <w:spacing w:after="0" w:line="122" w:lineRule="exact"/>
        <w:rPr>
          <w:rFonts w:ascii="Times New Roman" w:cs="Times New Roman" w:eastAsia="Times New Roman" w:hAnsi="Times New Roman"/>
          <w:sz w:val="9"/>
          <w:szCs w:val="9"/>
          <w:color w:val="auto"/>
        </w:rPr>
      </w:pPr>
    </w:p>
    <w:p>
      <w:pPr>
        <w:ind w:left="340" w:hanging="332"/>
        <w:spacing w:after="0"/>
        <w:tabs>
          <w:tab w:leader="none" w:pos="289"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bonus is paid in Swiss Francs (CHF) and, for the purposes of the table, is converted into U.S. dollars based on the exchange rate as of January 31, 2026 of 1.30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Executive Bonus Goal Setting</w:t>
      </w:r>
      <w:r>
        <w:rPr>
          <w:rFonts w:ascii="Times New Roman" w:cs="Times New Roman" w:eastAsia="Times New Roman" w:hAnsi="Times New Roman"/>
          <w:sz w:val="18"/>
          <w:szCs w:val="18"/>
          <w:color w:val="auto"/>
        </w:rPr>
        <w:t>. The compensation committee approved the performance metrics and their relative weighting for fiscal year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bonus awards in the first quarter of fiscal year 2026. The targets against which performance is measured are generated through our annual budget and strategic planning process, which was reviewed with our board of directors and finalized in the first quarter of fiscal year 2026. For fiscal year 2026, the compensation committee again determined that the performance goals for our named executive officers would be comprised entirely of corporate performance goals. The compensation committee believes that these goals represent rigorous objectives for our named executive officers and align with stockholder interests.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diagram below illustrates the mechanics of our annual performance-based 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760720" cy="942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6072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Unlike our annual performance-based program for named executive officers, our MBO Plan bases annual bonuses on both the company's overall performance and the individual's performance. The MBO Plan uses the same performance goals, weighting, and similar performance accelerators and decelerators as our annual performance-based program. Mr. Tanjga's bonus would have been based on the overall company goal attainment, as described in this section, weighted at 75%, and his individual performance as set by his manager, weighted at 25%. Mr. Tanjga's maximum potential payout is (i) 120% of target with respect to his corporate performance (ii) and 130% of target for his individual performance goal.</w:t>
      </w:r>
    </w:p>
    <w:p>
      <w:pPr>
        <w:spacing w:after="0" w:line="1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executive bonus program, no bonus is payable under a particular performance goal if achievement falls below the performance thresholds indicated below. If, however, Net New ARR, Non-GAAP Operating Income or Revenue is achieved at or above the threshold value or percentage indicated below, the payout with respect to those measures is between 40% and 200% of the target bonus.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fiscal year 2027, the compensation committee determined that our company's financial performance was equal to 117%, 198% and 104% of Net New ARR, Non-GAAP Operating Income and Revenue targets for fiscal year 2026, respectively. As a result, the weighted payout for fiscal year 2026 applicable to our named executive officers was equal to 146.34% of target.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020" w:type="dxa"/>
            <w:vAlign w:val="bottom"/>
          </w:tcPr>
          <w:p>
            <w:pPr>
              <w:spacing w:after="0"/>
              <w:rPr>
                <w:sz w:val="18"/>
                <w:szCs w:val="18"/>
                <w:color w:val="auto"/>
              </w:rPr>
            </w:pP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Payout</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40" w:type="dxa"/>
            <w:vAlign w:val="bottom"/>
            <w:vMerge w:val="continue"/>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3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Performance  Weighting   (40%-70%</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(100%</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(200%</w:t>
            </w:r>
          </w:p>
        </w:tc>
        <w:tc>
          <w:tcPr>
            <w:tcW w:w="1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Impact (%)</w:t>
            </w:r>
          </w:p>
        </w:tc>
        <w:tc>
          <w:tcPr>
            <w:tcW w:w="9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auto"/>
            </w:tcBorders>
          </w:tcPr>
          <w:p>
            <w:pPr>
              <w:ind w:left="440"/>
              <w:spacing w:after="0" w:line="162" w:lineRule="exact"/>
              <w:rPr>
                <w:sz w:val="20"/>
                <w:szCs w:val="20"/>
                <w:color w:val="auto"/>
              </w:rPr>
            </w:pPr>
            <w:r>
              <w:rPr>
                <w:rFonts w:ascii="Times New Roman" w:cs="Times New Roman" w:eastAsia="Times New Roman" w:hAnsi="Times New Roman"/>
                <w:sz w:val="18"/>
                <w:szCs w:val="18"/>
                <w:b w:val="1"/>
                <w:bCs w:val="1"/>
                <w:color w:val="auto"/>
              </w:rPr>
              <w:t>Goal</w:t>
            </w:r>
          </w:p>
        </w:tc>
        <w:tc>
          <w:tcPr>
            <w:tcW w:w="840" w:type="dxa"/>
            <w:vAlign w:val="bottom"/>
            <w:tcBorders>
              <w:bottom w:val="single" w:sz="8" w:color="auto"/>
            </w:tcBorders>
          </w:tcPr>
          <w:p>
            <w:pPr>
              <w:jc w:val="center"/>
              <w:ind w:left="50"/>
              <w:spacing w:after="0" w:line="162"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60" w:type="dxa"/>
            <w:vAlign w:val="bottom"/>
            <w:tcBorders>
              <w:bottom w:val="single" w:sz="8" w:color="auto"/>
            </w:tcBorders>
          </w:tcPr>
          <w:p>
            <w:pPr>
              <w:jc w:val="center"/>
              <w:ind w:left="33"/>
              <w:spacing w:after="0" w:line="162" w:lineRule="exact"/>
              <w:rPr>
                <w:sz w:val="20"/>
                <w:szCs w:val="20"/>
                <w:color w:val="auto"/>
              </w:rPr>
            </w:pPr>
            <w:r>
              <w:rPr>
                <w:rFonts w:ascii="Times New Roman" w:cs="Times New Roman" w:eastAsia="Times New Roman" w:hAnsi="Times New Roman"/>
                <w:sz w:val="14"/>
                <w:szCs w:val="14"/>
                <w:b w:val="1"/>
                <w:bCs w:val="1"/>
                <w:color w:val="auto"/>
              </w:rPr>
              <w:t>Payout</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w:t>
            </w:r>
          </w:p>
        </w:tc>
        <w:tc>
          <w:tcPr>
            <w:tcW w:w="11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Payout) ($)</w:t>
            </w:r>
            <w:r>
              <w:rPr>
                <w:rFonts w:ascii="Times New Roman" w:cs="Times New Roman" w:eastAsia="Times New Roman" w:hAnsi="Times New Roman"/>
                <w:sz w:val="18"/>
                <w:szCs w:val="18"/>
                <w:b w:val="1"/>
                <w:bCs w:val="1"/>
                <w:color w:val="auto"/>
                <w:vertAlign w:val="superscript"/>
              </w:rPr>
              <w:t>(2)</w:t>
            </w:r>
          </w:p>
        </w:tc>
        <w:tc>
          <w:tcPr>
            <w:tcW w:w="11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Payout) ($)</w:t>
            </w:r>
            <w:r>
              <w:rPr>
                <w:rFonts w:ascii="Times New Roman" w:cs="Times New Roman" w:eastAsia="Times New Roman" w:hAnsi="Times New Roman"/>
                <w:sz w:val="18"/>
                <w:szCs w:val="18"/>
                <w:b w:val="1"/>
                <w:bCs w:val="1"/>
                <w:color w:val="auto"/>
                <w:vertAlign w:val="superscript"/>
              </w:rPr>
              <w:t>(2)</w:t>
            </w:r>
          </w:p>
        </w:tc>
        <w:tc>
          <w:tcPr>
            <w:tcW w:w="11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940" w:type="dxa"/>
            <w:vAlign w:val="bottom"/>
            <w:tcBorders>
              <w:bottom w:val="single" w:sz="8" w:color="auto"/>
            </w:tcBorders>
          </w:tcPr>
          <w:p>
            <w:pPr>
              <w:jc w:val="right"/>
              <w:ind w:right="23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4"/>
        </w:trPr>
        <w:tc>
          <w:tcPr>
            <w:tcW w:w="12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Net New</w:t>
            </w:r>
          </w:p>
        </w:tc>
        <w:tc>
          <w:tcPr>
            <w:tcW w:w="8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3"/>
                <w:szCs w:val="23"/>
                <w:color w:val="auto"/>
                <w:vertAlign w:val="superscript"/>
              </w:rPr>
              <w:t>(4)</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35</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6"/>
              </w:rPr>
              <w:t>334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446</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48.87</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Non-GAAP</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146.34</w:t>
            </w:r>
          </w:p>
        </w:tc>
        <w:tc>
          <w:tcPr>
            <w:tcW w:w="0" w:type="dxa"/>
            <w:vAlign w:val="bottom"/>
          </w:tcPr>
          <w:p>
            <w:pPr>
              <w:spacing w:after="0"/>
              <w:rPr>
                <w:sz w:val="1"/>
                <w:szCs w:val="1"/>
                <w:color w:val="auto"/>
              </w:rPr>
            </w:pPr>
          </w:p>
        </w:tc>
      </w:tr>
      <w:tr>
        <w:trPr>
          <w:trHeight w:val="140"/>
        </w:trPr>
        <w:tc>
          <w:tcPr>
            <w:tcW w:w="122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Operating</w:t>
            </w:r>
          </w:p>
        </w:tc>
        <w:tc>
          <w:tcPr>
            <w:tcW w:w="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220" w:type="dxa"/>
            <w:vAlign w:val="bottom"/>
            <w:vMerge w:val="continue"/>
          </w:tcPr>
          <w:p>
            <w:pPr>
              <w:spacing w:after="0"/>
              <w:rPr>
                <w:sz w:val="3"/>
                <w:szCs w:val="3"/>
                <w:color w:val="auto"/>
              </w:rPr>
            </w:pPr>
          </w:p>
        </w:tc>
        <w:tc>
          <w:tcPr>
            <w:tcW w:w="84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30</w:t>
            </w:r>
          </w:p>
        </w:tc>
        <w:tc>
          <w:tcPr>
            <w:tcW w:w="1260" w:type="dxa"/>
            <w:vAlign w:val="bottom"/>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w w:val="96"/>
              </w:rPr>
              <w:t>130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230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430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456</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3"/>
                <w:szCs w:val="23"/>
                <w:color w:val="auto"/>
                <w:vertAlign w:val="superscript"/>
              </w:rPr>
              <w:t>(5)</w:t>
            </w:r>
          </w:p>
        </w:tc>
        <w:tc>
          <w:tcPr>
            <w:tcW w:w="8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35</w:t>
            </w:r>
          </w:p>
        </w:tc>
        <w:tc>
          <w:tcPr>
            <w:tcW w:w="12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2,063</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37.47</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Threshold payout for Net New ARR, Non-GAAP Operating Income, and Revenue was 40%, 50% and 70%, respectively. Amounts are in $MM.</w:t>
      </w:r>
    </w:p>
    <w:p>
      <w:pPr>
        <w:spacing w:after="0" w:line="65"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are in $MM.</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33" w:lineRule="auto"/>
        <w:tabs>
          <w:tab w:leader="none" w:pos="282"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purposes of calculating the bonus payout amount, when the executive’s attainment exceeds the target performance, accelerators are triggered in order to reward the higher-than-expected performance, while decelerators are applied if the actual results are lower than the performance target. Potential payout is capped at 200% and ranges between 0-200% of the executive’s target bonus opportunity (after applying the decelerator/accelerator factor). Actual payouts for fiscal year 2026 are included in this section under the heading "FY2026 Bonus Payouts".</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39" w:lineRule="auto"/>
        <w:tabs>
          <w:tab w:leader="none" w:pos="289"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New ARR is defined as the net change of annualized recurring revenue ("ARR") over a given time period. ARR includes the revenue we expect to receive from our customers over the following 12 months based on contractual commitments and, in the case of customers to whom MongoDB Atlas was sold, through our direct sales force and channel partners, by annualizing the prior 90 days of their actual consumption of MongoDB Atlas, assuming no increases or reductions in their subscriptions or usage. ARR excludes professional services.</w:t>
      </w:r>
    </w:p>
    <w:p>
      <w:pPr>
        <w:spacing w:after="0" w:line="83" w:lineRule="exact"/>
        <w:rPr>
          <w:sz w:val="20"/>
          <w:szCs w:val="20"/>
          <w:color w:val="auto"/>
        </w:rPr>
      </w:pPr>
    </w:p>
    <w:p>
      <w:pPr>
        <w:ind w:left="340" w:right="20" w:hanging="332"/>
        <w:spacing w:after="0" w:line="302" w:lineRule="auto"/>
        <w:tabs>
          <w:tab w:leader="none" w:pos="257"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Non-GAAP income from operations ("Non-GAAP Operating Income") is defined as GAAP operating income adjusted for stock-based compensation expense and amortization of intangible assets and post-combination compensation expense associated with prior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FY2026 Bonus Payouts</w:t>
      </w:r>
      <w:r>
        <w:rPr>
          <w:rFonts w:ascii="Times New Roman" w:cs="Times New Roman" w:eastAsia="Times New Roman" w:hAnsi="Times New Roman"/>
          <w:sz w:val="18"/>
          <w:szCs w:val="18"/>
          <w:color w:val="auto"/>
        </w:rPr>
        <w:t>. For our named executive officers, the compensation committee generally considers and approves actual performance-based bonus award payments for the first half of the fiscal year at their first meeting following July 31 of that fiscal year, and considers and approves actual performance-based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Conversely, in the event the amounts determined and paid for the first half of the fiscal year are subsequently determined to be higher than the amounts earned based on full year performance, such excess amounts may be deducted from the year-end payouts at the compensation committee’s discretion.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2025, the compensation committee reviewed proposed payouts for the first half of fiscal year 2026 for our named executive officers and concluded that while achievement of the corporate performance goals for the first half of fiscal year 2026 was determined to be 121.58% of target, it was prudent to provide payouts for the first half of fiscal year 2026 at 100% and true up, as necessary, at the end of fiscal year 2026. In February 2026, achievement of the corporate performance goals for fiscal year 2026 for these named executive officers was determined to be 136.5% of target, which, due to accelerators, resulted in a 146.34% payout. The compensation committee reviewed and approved the bonus payments to these executives for fiscal year 2026, as set forth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FY2026 Bonus –</w:t>
            </w:r>
          </w:p>
        </w:tc>
        <w:tc>
          <w:tcPr>
            <w:tcW w:w="1880" w:type="dxa"/>
            <w:vAlign w:val="bottom"/>
          </w:tcPr>
          <w:p>
            <w:pPr>
              <w:spacing w:after="0"/>
              <w:rPr>
                <w:sz w:val="17"/>
                <w:szCs w:val="17"/>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94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FY2026 Target</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FY2026 Target Bonus</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 Annual Bonus</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8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189"/>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4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Opportunity</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Earned</w:t>
            </w:r>
          </w:p>
        </w:tc>
        <w:tc>
          <w:tcPr>
            <w:tcW w:w="1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(as a % of Target</w:t>
            </w: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70</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146.34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114,133</w:t>
            </w:r>
          </w:p>
        </w:tc>
        <w:tc>
          <w:tcPr>
            <w:tcW w:w="164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32.61</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229"/>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70</w:t>
            </w:r>
          </w:p>
        </w:tc>
        <w:tc>
          <w:tcPr>
            <w:tcW w:w="18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286,848</w:t>
            </w:r>
            <w:r>
              <w:rPr>
                <w:rFonts w:ascii="Times New Roman" w:cs="Times New Roman" w:eastAsia="Times New Roman" w:hAnsi="Times New Roman"/>
                <w:sz w:val="23"/>
                <w:szCs w:val="23"/>
                <w:color w:val="auto"/>
                <w:w w:val="94"/>
                <w:vertAlign w:val="superscript"/>
              </w:rPr>
              <w:t>(2)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146.34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419,787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146.34</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Berry</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227,500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146.34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226,581</w:t>
            </w:r>
          </w:p>
        </w:tc>
        <w:tc>
          <w:tcPr>
            <w:tcW w:w="164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99.60</w:t>
            </w:r>
            <w:r>
              <w:rPr>
                <w:rFonts w:ascii="Times New Roman" w:cs="Times New Roman" w:eastAsia="Times New Roman" w:hAnsi="Times New Roman"/>
                <w:sz w:val="23"/>
                <w:szCs w:val="23"/>
                <w:color w:val="auto"/>
                <w:w w:val="92"/>
                <w:vertAlign w:val="superscript"/>
              </w:rPr>
              <w:t>(3)</w:t>
            </w:r>
          </w:p>
        </w:tc>
        <w:tc>
          <w:tcPr>
            <w:tcW w:w="0" w:type="dxa"/>
            <w:vAlign w:val="bottom"/>
          </w:tcPr>
          <w:p>
            <w:pPr>
              <w:spacing w:after="0"/>
              <w:rPr>
                <w:sz w:val="1"/>
                <w:szCs w:val="1"/>
                <w:color w:val="auto"/>
              </w:rPr>
            </w:pPr>
          </w:p>
        </w:tc>
      </w:tr>
      <w:tr>
        <w:trPr>
          <w:trHeight w:val="270"/>
        </w:trPr>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(4)</w:t>
            </w:r>
          </w:p>
        </w:tc>
        <w:tc>
          <w:tcPr>
            <w:tcW w:w="1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30</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115,440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114.77</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Cedric Pech</w:t>
            </w:r>
          </w:p>
        </w:tc>
        <w:tc>
          <w:tcPr>
            <w:tcW w:w="194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140</w:t>
            </w:r>
          </w:p>
        </w:tc>
        <w:tc>
          <w:tcPr>
            <w:tcW w:w="18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500,500</w:t>
            </w:r>
            <w:r>
              <w:rPr>
                <w:rFonts w:ascii="Times New Roman" w:cs="Times New Roman" w:eastAsia="Times New Roman" w:hAnsi="Times New Roman"/>
                <w:sz w:val="23"/>
                <w:szCs w:val="23"/>
                <w:color w:val="auto"/>
                <w:w w:val="94"/>
                <w:vertAlign w:val="superscript"/>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146.34</w:t>
            </w:r>
          </w:p>
        </w:tc>
        <w:tc>
          <w:tcPr>
            <w:tcW w:w="18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732,456</w:t>
            </w:r>
            <w:r>
              <w:rPr>
                <w:rFonts w:ascii="Times New Roman" w:cs="Times New Roman" w:eastAsia="Times New Roman" w:hAnsi="Times New Roman"/>
                <w:sz w:val="23"/>
                <w:szCs w:val="23"/>
                <w:color w:val="auto"/>
                <w:w w:val="94"/>
                <w:vertAlign w:val="superscript"/>
              </w:rPr>
              <w:t>(5)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146.34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21" w:lineRule="auto"/>
        <w:tabs>
          <w:tab w:leader="none" w:pos="285"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Desai's actual annual bonus was prorated from 146.34% to 32.61% of his target bonus based on his time in his role during the performance period (November 10, 2025 through January 31, 2026) during the fiscal year 2026 performance period ending on January 31, 2026.</w:t>
      </w:r>
    </w:p>
    <w:p>
      <w:pPr>
        <w:spacing w:after="0" w:line="96" w:lineRule="exact"/>
        <w:rPr>
          <w:rFonts w:ascii="Times New Roman" w:cs="Times New Roman" w:eastAsia="Times New Roman" w:hAnsi="Times New Roman"/>
          <w:sz w:val="19"/>
          <w:szCs w:val="19"/>
          <w:color w:val="auto"/>
          <w:vertAlign w:val="superscript"/>
        </w:rPr>
      </w:pPr>
    </w:p>
    <w:p>
      <w:pPr>
        <w:jc w:val="both"/>
        <w:ind w:left="340" w:hanging="332"/>
        <w:spacing w:after="0" w:line="281" w:lineRule="auto"/>
        <w:tabs>
          <w:tab w:leader="none" w:pos="307"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described above in the section above titled "Executive Compensation–Executive Compensation Program Components for FY2026–Annual Performance-Based Bonus Program–Target Award Opportunities", this reflects a prorated target bonus opportunity amount. Mr. Ittycheria was paid in performance stock units in lieu of cash, pursuant to the Senior Leadership Equity Bonus Program described below.</w:t>
      </w:r>
    </w:p>
    <w:p>
      <w:pPr>
        <w:spacing w:after="0" w:line="69" w:lineRule="exact"/>
        <w:rPr>
          <w:rFonts w:ascii="Times New Roman" w:cs="Times New Roman" w:eastAsia="Times New Roman" w:hAnsi="Times New Roman"/>
          <w:sz w:val="9"/>
          <w:szCs w:val="9"/>
          <w:color w:val="auto"/>
        </w:rPr>
      </w:pPr>
    </w:p>
    <w:p>
      <w:pPr>
        <w:ind w:left="340" w:hanging="332"/>
        <w:spacing w:after="0" w:line="221" w:lineRule="auto"/>
        <w:tabs>
          <w:tab w:leader="none" w:pos="304"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Berry's actual bonus was prorated from 146.34% to 99.60% of his target bonus based on his time in his role during the performance period (May 27, 2025 through January 31, 2026) during the fiscal year 2026 performance period ending on January 31, 2026.</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75" w:lineRule="auto"/>
        <w:tabs>
          <w:tab w:leader="none" w:pos="285"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Tanjga resigned effective May 8, 2025 and thus was ineligible for the August 2025 and February 2026 bonus payout dates. Because Mr. Tanjga participated in our MBO plan during his service as Interim Chief Financial Officer from February 1, 2025 until his resignation, rather than in our executive bonus plan, his corporate performance achievement percentage reflects the distinct metrics and weightings applicable under the MBO Plan, as described above in the section titled "Executive Compensation—Executive Compensation Program Components for FY2026—Annual Performance-Based Bonus Program—Target Award Opportunities".</w:t>
      </w:r>
    </w:p>
    <w:p>
      <w:pPr>
        <w:spacing w:after="0" w:line="58" w:lineRule="exact"/>
        <w:rPr>
          <w:rFonts w:ascii="Times New Roman" w:cs="Times New Roman" w:eastAsia="Times New Roman" w:hAnsi="Times New Roman"/>
          <w:sz w:val="9"/>
          <w:szCs w:val="9"/>
          <w:color w:val="auto"/>
        </w:rPr>
      </w:pPr>
    </w:p>
    <w:p>
      <w:pPr>
        <w:ind w:left="340" w:right="20" w:hanging="332"/>
        <w:spacing w:after="0" w:line="302" w:lineRule="auto"/>
        <w:tabs>
          <w:tab w:leader="none" w:pos="281"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Pech’s cash bonus is set and paid in Swiss Francs (CHF) and, for the purposes of the table, is converted into U.S. dollars based on the exchange rate as of January 31, 2026 of 1.30 CHF to the U.S. dollar.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Leadership Equity Bonus Program. </w:t>
      </w:r>
      <w:r>
        <w:rPr>
          <w:rFonts w:ascii="Times New Roman" w:cs="Times New Roman" w:eastAsia="Times New Roman" w:hAnsi="Times New Roman"/>
          <w:sz w:val="18"/>
          <w:szCs w:val="18"/>
          <w:color w:val="auto"/>
        </w:rPr>
        <w:t>Under the Senior Leadership Equity Bonus Program, certain senior executives, including our named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could elect, at the beginning of the fiscal year, to have their target performance-based bonus award structured as a stock-settled award (the “bonus stock award”) in the form described below, rather than being paid in cash. Under the terms of the program, senior executives who elect to receive their target annual incentive award as a bonus stock award will receive a performance stock unit award that vests in two installments following the determinations of the award's achievement of performance for the first half and second half of the fiscal year. The target grant date value of the bonus stock awards received by participants in the program is equal to 100% of the target cash bonus exchanged, without premium, calculated based on the closing price of our common stock on a date shortly prior to the grant date. The bonus stock awards for fiscal year 2026 were granted on March 15, 2025.</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fiscal year 2027, our compensation committee determined to discontinue the program effective fiscal year 2027; therefore, no further grants under this program shall be made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Mr. Ittycheria and Mr. Tanjga elected to participate in the program with respect to their fiscal year 2026 bonus awards; however, Mr. Tanjga left before any of his shares vested and therefore forfeited his award.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are the details of the bonus stock awards issued to Mr. Ittycheria and Mr. Tanjga pursuant to the program.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Number of Shares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Earned under</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32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FY2026 Target Bonus Opportunity</w:t>
            </w:r>
          </w:p>
        </w:tc>
        <w:tc>
          <w:tcPr>
            <w:tcW w:w="2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Under FY2026 Bonus</w:t>
            </w: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280" w:type="dxa"/>
            <w:vAlign w:val="bottom"/>
            <w:vMerge w:val="continue"/>
          </w:tcPr>
          <w:p>
            <w:pPr>
              <w:spacing w:after="0"/>
              <w:rPr>
                <w:sz w:val="16"/>
                <w:szCs w:val="16"/>
                <w:color w:val="auto"/>
              </w:rPr>
            </w:pPr>
          </w:p>
        </w:tc>
        <w:tc>
          <w:tcPr>
            <w:tcW w:w="2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 Awards in Lieu of Cash</w:t>
            </w:r>
          </w:p>
        </w:tc>
        <w:tc>
          <w:tcPr>
            <w:tcW w:w="2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Bonus Stock Awards in Lieu of</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32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7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4"/>
              </w:rPr>
              <w:t>Bonus</w:t>
            </w:r>
            <w:r>
              <w:rPr>
                <w:rFonts w:ascii="Times New Roman" w:cs="Times New Roman" w:eastAsia="Times New Roman" w:hAnsi="Times New Roman"/>
                <w:sz w:val="23"/>
                <w:szCs w:val="23"/>
                <w:b w:val="1"/>
                <w:bCs w:val="1"/>
                <w:color w:val="auto"/>
                <w:w w:val="94"/>
                <w:vertAlign w:val="superscript"/>
              </w:rPr>
              <w:t>(1)</w:t>
            </w:r>
          </w:p>
        </w:tc>
        <w:tc>
          <w:tcPr>
            <w:tcW w:w="28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Cash Payout</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(3)</w:t>
            </w:r>
          </w:p>
        </w:tc>
        <w:tc>
          <w:tcPr>
            <w:tcW w:w="32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286,848</w:t>
            </w:r>
          </w:p>
        </w:tc>
        <w:tc>
          <w:tcPr>
            <w:tcW w:w="27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1,463</w:t>
            </w:r>
          </w:p>
        </w:tc>
        <w:tc>
          <w:tcPr>
            <w:tcW w:w="284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33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(4)</w:t>
            </w:r>
          </w:p>
        </w:tc>
        <w:tc>
          <w:tcPr>
            <w:tcW w:w="3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5"/>
              </w:rPr>
              <w:t>115,440</w:t>
            </w:r>
          </w:p>
        </w:tc>
        <w:tc>
          <w:tcPr>
            <w:tcW w:w="270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589</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both"/>
        <w:ind w:left="340" w:hanging="332"/>
        <w:spacing w:after="0" w:line="233" w:lineRule="auto"/>
        <w:tabs>
          <w:tab w:leader="none" w:pos="308"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target number of performance stock units to be awarded was determined by dividing the named executive officer's target bonus opportunity by $196.12, the closing stock price as of March 12, 2025. The value shown here may differ from the grant date fair value shown in the applicable compensation tables because of the accounting methodology required in those tables in accordance with Financial Accounting Standards Board ("FASB") Accounting Standards Codification ("ASC") Topic 718.</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286"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Consistent with the cash bonus program, the executive may vest in up to 200% of the target number of shares underlying the bonus stock award, including the effect of the accelerators. For Mr. Ittycheria, 2,141 shares underlying the bonus stock award vested for fiscal year 2026.</w:t>
      </w:r>
    </w:p>
    <w:p>
      <w:pPr>
        <w:spacing w:after="0" w:line="95" w:lineRule="exact"/>
        <w:rPr>
          <w:rFonts w:ascii="Times New Roman" w:cs="Times New Roman" w:eastAsia="Times New Roman" w:hAnsi="Times New Roman"/>
          <w:sz w:val="19"/>
          <w:szCs w:val="19"/>
          <w:color w:val="auto"/>
          <w:vertAlign w:val="superscript"/>
        </w:rPr>
      </w:pPr>
    </w:p>
    <w:p>
      <w:pPr>
        <w:jc w:val="both"/>
        <w:ind w:left="340" w:hanging="332"/>
        <w:spacing w:after="0" w:line="233" w:lineRule="auto"/>
        <w:tabs>
          <w:tab w:leader="none" w:pos="301"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Mr. Ittycheria, our compensation committee originally approved a target bonus amount of $350,000 and a corresponding target number of shares of 1,785; however these figures were prorated to reflect Mr. Ittycheria's salary change effective November 10, 2025. For additional information about Mr. Ittycheria's salary change, see the section below titled "Executive Compensation–Employment, Severance and Change in Control Agreements–Offer Letters and Employment Agreements."</w:t>
      </w:r>
    </w:p>
    <w:p>
      <w:pPr>
        <w:spacing w:after="0" w:line="66"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Tanjga resigned effective May 8, 2025 and thus was ineligible for the August 2025 and February 2026 payout dates.</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performance-based bonus award payments made to our named executive officers for fiscal year 2026 are set forth in the “Summary Compensation Table”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Long-term incentive compensation in the form of equity awards is an important tool for us to attract industry leaders of the highest caliber and to retain them for the long term. We provide long-term incentive compensation to ensure that a significant portion of named executive officer compensation is tied to our long-term results and increases in stockholder value. The majority of our named executive officers’ target total direct compensation opportunity in fiscal year 2026 was provided in the form of long-term equity awards.</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approves long term equity incentive compensation to our named executive officers consisting of RSUs and PSUs. The target value of long-term equity awards under our annual long-term incentive program is weighted 50% in the form of PSUs and 50% in the form of RSUs. The RSUs vest subject to service requirements while PSUs are earned contingent upon achievement of ARR Growth and Operating Cash Flow performance targets and vest subject to service requirements.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compensation committee grants some or all of our executive officers time-vesting RSUs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 philosophy of more heavily weighting equity compensation over cash compensation, individual performance, competitive factors including competition for technology executives, peer group data, the size and value of unvested and outstanding equity compensation already held by each executive officer, the total annual target cash compensation opportunity for each named executive officer and retention objectives. The compensation committee independently determines the long-term incentive awards for the Chief Executive Officer.</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RSU is the economic equivalent of one share of our common stock and is settled in shares of our common stock. Since the value of the RSU awards increases with any increase in the value of the underlying shares, they serve as an incentive that aligns the interests of our executive officers with the long-term interests of our stockholders. In addition, because they are subject to a multi-year vesting requirement, RSU awards serve our retention objectives since our executive officers generally must remain continuously employed by us through the applicable vesting dates to fully earn these awards. Unlike stock options, RSUs have real economic value when they vest even if the market price of our common stock declines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 stays flat, thus delivering more predictable and durable value to our executive officers. Additionally, because of their “full value” nature, RSU awards deliver the desired grant date fair value using a lesser number of shares than an equivalent stock option, thereby enabling us to reduce the dilutive impact of our long-term incentive award mix and to use our equity compensation resources more efficiently.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standard annual RSU awards granted to our named executive officers during fiscal year 2026, as approved by the compensation committee.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Mr. Ittycheria's and Mr. Pech's regular four-year vesting schedule described below, 10,159 of Mr. Ittycheria's RSUs have vested and 5,362 of Mr. Pech's RSUs have vested as of the date of this proxy statement. Mr. Ittycheria's RSUs will continue to vest until October 2, 2026 in connection with his Advisory Agreement, and the remaining 16,086 of Mr. Pech's shares were forfeited in connection with his Separation Agreement, effective February 27, 2026 ("Separation Agreement"). For more information, please see the section titled “Executive Compensation—Employment, Severance and Change in Control Agreements—Offer Letters and Employment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42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4220" w:type="dxa"/>
            <w:vAlign w:val="bottom"/>
            <w:vMerge w:val="continue"/>
          </w:tcPr>
          <w:p>
            <w:pPr>
              <w:spacing w:after="0"/>
              <w:rPr>
                <w:sz w:val="15"/>
                <w:szCs w:val="15"/>
                <w:color w:val="auto"/>
              </w:rPr>
            </w:pP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76"/>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22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RSUs</w:t>
            </w:r>
          </w:p>
        </w:tc>
        <w:tc>
          <w:tcPr>
            <w:tcW w:w="3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vMerge w:val="continue"/>
          </w:tcPr>
          <w:p>
            <w:pPr>
              <w:spacing w:after="0"/>
              <w:rPr>
                <w:sz w:val="21"/>
                <w:szCs w:val="21"/>
                <w:color w:val="auto"/>
              </w:rPr>
            </w:pPr>
          </w:p>
        </w:tc>
        <w:tc>
          <w:tcPr>
            <w:tcW w:w="42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00" w:type="dxa"/>
            <w:vAlign w:val="bottom"/>
            <w:tcBorders>
              <w:bottom w:val="single" w:sz="8" w:color="auto"/>
            </w:tcBorders>
          </w:tcPr>
          <w:p>
            <w:pPr>
              <w:jc w:val="center"/>
              <w:ind w:right="50"/>
              <w:spacing w:after="0" w:line="243"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6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r>
              <w:rPr>
                <w:rFonts w:ascii="Times New Roman" w:cs="Times New Roman" w:eastAsia="Times New Roman" w:hAnsi="Times New Roman"/>
                <w:sz w:val="23"/>
                <w:szCs w:val="23"/>
                <w:color w:val="auto"/>
                <w:vertAlign w:val="superscript"/>
              </w:rPr>
              <w:t>(2)</w:t>
            </w:r>
          </w:p>
        </w:tc>
        <w:tc>
          <w:tcPr>
            <w:tcW w:w="4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220" w:type="dxa"/>
            <w:vAlign w:val="bottom"/>
          </w:tcPr>
          <w:p>
            <w:pPr>
              <w:jc w:val="center"/>
              <w:ind w:left="70"/>
              <w:spacing w:after="0" w:line="230" w:lineRule="exact"/>
              <w:rPr>
                <w:sz w:val="20"/>
                <w:szCs w:val="20"/>
                <w:color w:val="auto"/>
              </w:rPr>
            </w:pPr>
            <w:r>
              <w:rPr>
                <w:rFonts w:ascii="Times New Roman" w:cs="Times New Roman" w:eastAsia="Times New Roman" w:hAnsi="Times New Roman"/>
                <w:sz w:val="18"/>
                <w:szCs w:val="18"/>
                <w:color w:val="auto"/>
                <w:w w:val="91"/>
              </w:rPr>
              <w:t>40,638</w:t>
            </w:r>
            <w:r>
              <w:rPr>
                <w:rFonts w:ascii="Times New Roman" w:cs="Times New Roman" w:eastAsia="Times New Roman" w:hAnsi="Times New Roman"/>
                <w:sz w:val="23"/>
                <w:szCs w:val="23"/>
                <w:color w:val="auto"/>
                <w:w w:val="91"/>
                <w:vertAlign w:val="superscript"/>
              </w:rPr>
              <w:t>(3)</w:t>
            </w:r>
          </w:p>
        </w:tc>
        <w:tc>
          <w:tcPr>
            <w:tcW w:w="3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7,692,773</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Berry</w:t>
            </w:r>
            <w:r>
              <w:rPr>
                <w:rFonts w:ascii="Times New Roman" w:cs="Times New Roman" w:eastAsia="Times New Roman" w:hAnsi="Times New Roman"/>
                <w:sz w:val="23"/>
                <w:szCs w:val="23"/>
                <w:color w:val="auto"/>
                <w:vertAlign w:val="superscript"/>
              </w:rPr>
              <w:t>(2)</w:t>
            </w:r>
          </w:p>
        </w:tc>
        <w:tc>
          <w:tcPr>
            <w:tcW w:w="4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(4)</w:t>
            </w:r>
          </w:p>
        </w:tc>
        <w:tc>
          <w:tcPr>
            <w:tcW w:w="4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36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220" w:type="dxa"/>
            <w:vAlign w:val="bottom"/>
            <w:shd w:val="clear" w:color="auto" w:fill="CCEEFF"/>
          </w:tcPr>
          <w:p>
            <w:pPr>
              <w:jc w:val="center"/>
              <w:ind w:left="70"/>
              <w:spacing w:after="0" w:line="230" w:lineRule="exact"/>
              <w:rPr>
                <w:sz w:val="20"/>
                <w:szCs w:val="20"/>
                <w:color w:val="auto"/>
              </w:rPr>
            </w:pPr>
            <w:r>
              <w:rPr>
                <w:rFonts w:ascii="Times New Roman" w:cs="Times New Roman" w:eastAsia="Times New Roman" w:hAnsi="Times New Roman"/>
                <w:sz w:val="18"/>
                <w:szCs w:val="18"/>
                <w:color w:val="auto"/>
                <w:w w:val="91"/>
              </w:rPr>
              <w:t>21,448</w:t>
            </w:r>
            <w:r>
              <w:rPr>
                <w:rFonts w:ascii="Times New Roman" w:cs="Times New Roman" w:eastAsia="Times New Roman" w:hAnsi="Times New Roman"/>
                <w:sz w:val="23"/>
                <w:szCs w:val="23"/>
                <w:color w:val="auto"/>
                <w:w w:val="91"/>
                <w:vertAlign w:val="superscript"/>
              </w:rPr>
              <w:t>(3)</w:t>
            </w:r>
          </w:p>
        </w:tc>
        <w:tc>
          <w:tcPr>
            <w:tcW w:w="36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4,060,106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302" w:lineRule="auto"/>
        <w:tabs>
          <w:tab w:leader="none" w:pos="277"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 in accordance with FASB ASC Topic 718.</w:t>
      </w:r>
    </w:p>
    <w:p>
      <w:pPr>
        <w:spacing w:after="0" w:line="53" w:lineRule="exact"/>
        <w:rPr>
          <w:rFonts w:ascii="Times New Roman" w:cs="Times New Roman" w:eastAsia="Times New Roman" w:hAnsi="Times New Roman"/>
          <w:sz w:val="9"/>
          <w:szCs w:val="9"/>
          <w:color w:val="auto"/>
        </w:rPr>
      </w:pPr>
    </w:p>
    <w:p>
      <w:pPr>
        <w:ind w:left="340" w:right="20" w:hanging="332"/>
        <w:spacing w:after="0" w:line="239" w:lineRule="auto"/>
        <w:tabs>
          <w:tab w:leader="none" w:pos="232"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Messrs. Desai and Berry did not receive standard, long-term RSU grants because they were not executive officers as of the date of grant and instead received grants of sign-on RSU awards. They will be eligible to receive standard, long-term RSU awards beginning fiscal year 2027. For more information regarding the sign-on awards, please see the section of the proxy statement entitled "Executive Leadership Transitions in Fiscal Year 2026" above.</w:t>
      </w:r>
    </w:p>
    <w:p>
      <w:pPr>
        <w:spacing w:after="0" w:line="82"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number of RSUs was determined based on a target dollar value, calculated using the 30-day VWAP of our stock during the period ending on, or a few days prior to, the grant date.</w:t>
      </w:r>
    </w:p>
    <w:p>
      <w:pPr>
        <w:spacing w:after="0" w:line="92" w:lineRule="exact"/>
        <w:rPr>
          <w:rFonts w:ascii="Times New Roman" w:cs="Times New Roman" w:eastAsia="Times New Roman" w:hAnsi="Times New Roman"/>
          <w:sz w:val="9"/>
          <w:szCs w:val="9"/>
          <w:color w:val="auto"/>
        </w:rPr>
      </w:pPr>
    </w:p>
    <w:p>
      <w:pPr>
        <w:ind w:left="220" w:hanging="212"/>
        <w:spacing w:after="0"/>
        <w:tabs>
          <w:tab w:leader="none" w:pos="22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Given the interim nature of his appointment, Mr. Tanjga did not receive a long-term RSU grant.</w:t>
      </w:r>
    </w:p>
    <w:p>
      <w:pPr>
        <w:spacing w:after="0" w:line="19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RSUs granted to Messrs. Ittycheria and Pech for fiscal year 2026 are subject to time-based vesting over four years, with 1/16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shares granted vesting each quarter following April 1, 2025, contingent on their continued employment with us through each vesting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PSU is the economic equivalent of one share of our common stock and is settled in shares of our common stock. PSUs may be earned over a one-year performance period based upon satisfaction of certain performance metrics (as described below), and are subject to three-year ratable service-based vesting from the grant date, except that the first vesting date is the later of April 1, 2025 and the date of certification by the compensation committee of the applicable performance metrics.</w:t>
      </w:r>
    </w:p>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standard PSU awards (reflected at target of 100%) granted to our named executive officers during fiscal year 2026, as approved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43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Target Performance-Based</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4300" w:type="dxa"/>
            <w:vAlign w:val="bottom"/>
          </w:tcPr>
          <w:p>
            <w:pPr>
              <w:jc w:val="center"/>
              <w:ind w:left="270"/>
              <w:spacing w:after="0" w:line="179" w:lineRule="exact"/>
              <w:rPr>
                <w:sz w:val="20"/>
                <w:szCs w:val="20"/>
                <w:color w:val="auto"/>
              </w:rPr>
            </w:pPr>
            <w:r>
              <w:rPr>
                <w:rFonts w:ascii="Times New Roman" w:cs="Times New Roman" w:eastAsia="Times New Roman" w:hAnsi="Times New Roman"/>
                <w:sz w:val="18"/>
                <w:szCs w:val="18"/>
                <w:b w:val="1"/>
                <w:bCs w:val="1"/>
                <w:color w:val="auto"/>
              </w:rPr>
              <w:t>PSUs</w:t>
            </w:r>
          </w:p>
        </w:tc>
        <w:tc>
          <w:tcPr>
            <w:tcW w:w="3660" w:type="dxa"/>
            <w:vAlign w:val="bottom"/>
          </w:tcPr>
          <w:p>
            <w:pPr>
              <w:jc w:val="center"/>
              <w:ind w:right="10"/>
              <w:spacing w:after="0" w:line="179"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0"/>
        </w:trPr>
        <w:tc>
          <w:tcPr>
            <w:tcW w:w="3280" w:type="dxa"/>
            <w:vAlign w:val="bottom"/>
            <w:tcBorders>
              <w:bottom w:val="single" w:sz="8" w:color="auto"/>
            </w:tcBorders>
            <w:vMerge w:val="continue"/>
          </w:tcPr>
          <w:p>
            <w:pPr>
              <w:spacing w:after="0"/>
              <w:rPr>
                <w:sz w:val="20"/>
                <w:szCs w:val="20"/>
                <w:color w:val="auto"/>
              </w:rPr>
            </w:pPr>
          </w:p>
        </w:tc>
        <w:tc>
          <w:tcPr>
            <w:tcW w:w="43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660" w:type="dxa"/>
            <w:vAlign w:val="bottom"/>
            <w:tcBorders>
              <w:bottom w:val="single" w:sz="8" w:color="auto"/>
            </w:tcBorders>
          </w:tcPr>
          <w:p>
            <w:pPr>
              <w:jc w:val="center"/>
              <w:ind w:right="10"/>
              <w:spacing w:after="0" w:line="240" w:lineRule="exact"/>
              <w:rPr>
                <w:sz w:val="20"/>
                <w:szCs w:val="20"/>
                <w:color w:val="auto"/>
              </w:rPr>
            </w:pPr>
            <w:r>
              <w:rPr>
                <w:rFonts w:ascii="Times New Roman" w:cs="Times New Roman" w:eastAsia="Times New Roman" w:hAnsi="Times New Roman"/>
                <w:sz w:val="18"/>
                <w:szCs w:val="18"/>
                <w:b w:val="1"/>
                <w:bCs w:val="1"/>
                <w:color w:val="auto"/>
                <w:w w:val="95"/>
              </w:rPr>
              <w:t>Fair Value at Target</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r>
              <w:rPr>
                <w:rFonts w:ascii="Times New Roman" w:cs="Times New Roman" w:eastAsia="Times New Roman" w:hAnsi="Times New Roman"/>
                <w:sz w:val="23"/>
                <w:szCs w:val="23"/>
                <w:color w:val="auto"/>
                <w:vertAlign w:val="superscript"/>
              </w:rPr>
              <w:t>(2)</w:t>
            </w:r>
          </w:p>
        </w:tc>
        <w:tc>
          <w:tcPr>
            <w:tcW w:w="43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4300" w:type="dxa"/>
            <w:vAlign w:val="bottom"/>
          </w:tcPr>
          <w:p>
            <w:pPr>
              <w:jc w:val="center"/>
              <w:ind w:left="270"/>
              <w:spacing w:after="0" w:line="230" w:lineRule="exact"/>
              <w:rPr>
                <w:sz w:val="20"/>
                <w:szCs w:val="20"/>
                <w:color w:val="auto"/>
              </w:rPr>
            </w:pPr>
            <w:r>
              <w:rPr>
                <w:rFonts w:ascii="Times New Roman" w:cs="Times New Roman" w:eastAsia="Times New Roman" w:hAnsi="Times New Roman"/>
                <w:sz w:val="18"/>
                <w:szCs w:val="18"/>
                <w:color w:val="auto"/>
                <w:w w:val="91"/>
              </w:rPr>
              <w:t>40,638</w:t>
            </w:r>
            <w:r>
              <w:rPr>
                <w:rFonts w:ascii="Times New Roman" w:cs="Times New Roman" w:eastAsia="Times New Roman" w:hAnsi="Times New Roman"/>
                <w:sz w:val="23"/>
                <w:szCs w:val="23"/>
                <w:color w:val="auto"/>
                <w:w w:val="91"/>
                <w:vertAlign w:val="superscript"/>
              </w:rPr>
              <w:t>(3)</w:t>
            </w: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7,692,773</w:t>
            </w: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Berry</w:t>
            </w:r>
            <w:r>
              <w:rPr>
                <w:rFonts w:ascii="Times New Roman" w:cs="Times New Roman" w:eastAsia="Times New Roman" w:hAnsi="Times New Roman"/>
                <w:sz w:val="23"/>
                <w:szCs w:val="23"/>
                <w:color w:val="auto"/>
                <w:vertAlign w:val="superscript"/>
              </w:rPr>
              <w:t>(2)</w:t>
            </w:r>
          </w:p>
        </w:tc>
        <w:tc>
          <w:tcPr>
            <w:tcW w:w="43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(4)</w:t>
            </w:r>
          </w:p>
        </w:tc>
        <w:tc>
          <w:tcPr>
            <w:tcW w:w="43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4300" w:type="dxa"/>
            <w:vAlign w:val="bottom"/>
            <w:shd w:val="clear" w:color="auto" w:fill="CCEEFF"/>
          </w:tcPr>
          <w:p>
            <w:pPr>
              <w:jc w:val="center"/>
              <w:ind w:left="270"/>
              <w:spacing w:after="0" w:line="230" w:lineRule="exact"/>
              <w:rPr>
                <w:sz w:val="20"/>
                <w:szCs w:val="20"/>
                <w:color w:val="auto"/>
              </w:rPr>
            </w:pPr>
            <w:r>
              <w:rPr>
                <w:rFonts w:ascii="Times New Roman" w:cs="Times New Roman" w:eastAsia="Times New Roman" w:hAnsi="Times New Roman"/>
                <w:sz w:val="18"/>
                <w:szCs w:val="18"/>
                <w:color w:val="auto"/>
                <w:w w:val="91"/>
              </w:rPr>
              <w:t>21,448</w:t>
            </w:r>
            <w:r>
              <w:rPr>
                <w:rFonts w:ascii="Times New Roman" w:cs="Times New Roman" w:eastAsia="Times New Roman" w:hAnsi="Times New Roman"/>
                <w:sz w:val="23"/>
                <w:szCs w:val="23"/>
                <w:color w:val="auto"/>
                <w:w w:val="91"/>
                <w:vertAlign w:val="superscript"/>
              </w:rPr>
              <w:t>(3)</w:t>
            </w:r>
          </w:p>
        </w:tc>
        <w:tc>
          <w:tcPr>
            <w:tcW w:w="36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4,060,106</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40" w:right="20" w:hanging="332"/>
        <w:spacing w:after="0" w:line="302" w:lineRule="auto"/>
        <w:tabs>
          <w:tab w:leader="none" w:pos="277"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grant date fair value was computed in accordance with ASC 718 based on the closing stock price at the grant date, as reported on the Nasdaq. The value shown here may differ from the grant date fair value shown in the applicable compensation tables because of the accounting methodology required in those tables.</w:t>
      </w:r>
    </w:p>
    <w:p>
      <w:pPr>
        <w:spacing w:after="0" w:line="53" w:lineRule="exact"/>
        <w:rPr>
          <w:rFonts w:ascii="Times New Roman" w:cs="Times New Roman" w:eastAsia="Times New Roman" w:hAnsi="Times New Roman"/>
          <w:sz w:val="9"/>
          <w:szCs w:val="9"/>
          <w:color w:val="auto"/>
        </w:rPr>
      </w:pPr>
    </w:p>
    <w:p>
      <w:pPr>
        <w:ind w:left="340" w:hanging="332"/>
        <w:spacing w:after="0" w:line="239" w:lineRule="auto"/>
        <w:tabs>
          <w:tab w:leader="none" w:pos="259"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Messrs. Desai and Berry did not receive standard, long-term PSU grants because they were not executive officers as of the grant date. Mr. Desai instead received a sign-on PSU award in connection with his appointment as our President and Chief Executive Officer. Messrs. Desai and Berry will be eligible to receive standard, long-term PSU awards in fiscal year 2027. For more information regarding the sign-on awards, please see the section of the proxy statement entitled "Executive Leadership Transitions in Fiscal Year 2026" above.</w:t>
      </w:r>
    </w:p>
    <w:p>
      <w:pPr>
        <w:spacing w:after="0" w:line="82" w:lineRule="exact"/>
        <w:rPr>
          <w:rFonts w:ascii="Times New Roman" w:cs="Times New Roman" w:eastAsia="Times New Roman" w:hAnsi="Times New Roman"/>
          <w:sz w:val="19"/>
          <w:szCs w:val="19"/>
          <w:color w:val="auto"/>
          <w:vertAlign w:val="superscript"/>
        </w:rPr>
      </w:pPr>
    </w:p>
    <w:p>
      <w:pPr>
        <w:ind w:left="340" w:hanging="332"/>
        <w:spacing w:after="0" w:line="275" w:lineRule="auto"/>
        <w:tabs>
          <w:tab w:leader="none" w:pos="245"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number of PSUs was determined based on a target dollar value, calculated using the 30-day VWAP of our stock during the period ending on, or a few days prior to, the grant date. In accordance with Mr. Pech's fiscal year 2026 PSU payout described below, on April 1, 2026, 10,794 PSUs vested. The remaining 21,588 shares were forfeited in connection with the termination of Mr. Pech's Separation Agreement. For more information, please see the section titled "Executive Compensation—Employment, Severance and Change in Control Agreements —Offer Letters and Employment Agreements”.</w:t>
      </w:r>
    </w:p>
    <w:p>
      <w:pPr>
        <w:spacing w:after="0" w:line="58" w:lineRule="exact"/>
        <w:rPr>
          <w:rFonts w:ascii="Times New Roman" w:cs="Times New Roman" w:eastAsia="Times New Roman" w:hAnsi="Times New Roman"/>
          <w:sz w:val="9"/>
          <w:szCs w:val="9"/>
          <w:color w:val="auto"/>
        </w:rPr>
      </w:pPr>
    </w:p>
    <w:p>
      <w:pPr>
        <w:ind w:left="220" w:hanging="212"/>
        <w:spacing w:after="0"/>
        <w:tabs>
          <w:tab w:leader="none" w:pos="22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Given the interim nature of Mr. Tanjga's appointment, Mr. Tanjga did not receive an annual long-term PSU grant.</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PSUs granted in fiscal year 2026 were eligible to be earned between 0% and 200% ("Performance Target Ranges") based on the percentage growths of our ARR (“ARR Growth”) and cash generated by our regular operating activities ("Operating Cash Flow"), each from February 1, 2025 through January 31, 2026. Consistent with fiscal year 2025, in fiscal year 2026, we used Operating Cash Flow as a sliding metric to determine whether any PSUs would be eligible for vesting based on achievement of a predetermined Operating Cash Flow level.</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considered a variety of factors, including our continued growth, our dynamic, highly competitive industry and the difficulty of predicting future performance in such an environment, and concluded that ARR Growth and Operating Cash Flow were most directly linked to our long-term growth plan and, as a result, their performance drive stockholder value and align the interests of our management with those of our stockholders.</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threshold, target and maximum ARR Growth and Operating Cash Flow metrics used to determine PSU payouts for fiscal year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 Performance</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Threshold Performance</w:t>
            </w:r>
          </w:p>
        </w:tc>
        <w:tc>
          <w:tcPr>
            <w:tcW w:w="176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Target Performance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Performance</w:t>
            </w:r>
          </w:p>
        </w:tc>
      </w:tr>
      <w:tr>
        <w:trPr>
          <w:trHeight w:val="241"/>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Goal</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(50% Payout)</w:t>
            </w:r>
          </w:p>
        </w:tc>
        <w:tc>
          <w:tcPr>
            <w:tcW w:w="1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(100% Payout)</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(200% Payout)</w:t>
            </w:r>
          </w:p>
        </w:tc>
      </w:tr>
      <w:tr>
        <w:trPr>
          <w:trHeight w:val="23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 Growth</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17%</w:t>
            </w:r>
          </w:p>
        </w:tc>
        <w:tc>
          <w:tcPr>
            <w:tcW w:w="176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22%</w:t>
            </w:r>
          </w:p>
        </w:tc>
        <w:tc>
          <w:tcPr>
            <w:tcW w:w="20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32%</w:t>
            </w:r>
          </w:p>
        </w:tc>
      </w:tr>
      <w:tr>
        <w:trPr>
          <w:trHeight w:val="4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(40)</w:t>
            </w:r>
            <w:r>
              <w:rPr>
                <w:rFonts w:ascii="Times New Roman" w:cs="Times New Roman" w:eastAsia="Times New Roman" w:hAnsi="Times New Roman"/>
                <w:sz w:val="23"/>
                <w:szCs w:val="23"/>
                <w:color w:val="auto"/>
                <w:vertAlign w:val="superscript"/>
              </w:rPr>
              <w:t>(1)</w:t>
            </w:r>
          </w:p>
        </w:tc>
        <w:tc>
          <w:tcPr>
            <w:tcW w:w="1760" w:type="dxa"/>
            <w:vAlign w:val="bottom"/>
          </w:tcPr>
          <w:p>
            <w:pPr>
              <w:jc w:val="right"/>
              <w:ind w:right="658"/>
              <w:spacing w:after="0"/>
              <w:rPr>
                <w:sz w:val="20"/>
                <w:szCs w:val="20"/>
                <w:color w:val="auto"/>
              </w:rPr>
            </w:pPr>
            <w:r>
              <w:rPr>
                <w:rFonts w:ascii="Times New Roman" w:cs="Times New Roman" w:eastAsia="Times New Roman" w:hAnsi="Times New Roman"/>
                <w:sz w:val="35"/>
                <w:szCs w:val="35"/>
                <w:color w:val="auto"/>
                <w:vertAlign w:val="subscript"/>
              </w:rPr>
              <w:t>68</w:t>
            </w:r>
            <w:r>
              <w:rPr>
                <w:rFonts w:ascii="Times New Roman" w:cs="Times New Roman" w:eastAsia="Times New Roman" w:hAnsi="Times New Roman"/>
                <w:sz w:val="12"/>
                <w:szCs w:val="12"/>
                <w:color w:val="auto"/>
              </w:rPr>
              <w:t>(1)</w:t>
            </w:r>
          </w:p>
        </w:tc>
        <w:tc>
          <w:tcPr>
            <w:tcW w:w="20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260</w:t>
            </w:r>
            <w:r>
              <w:rPr>
                <w:rFonts w:ascii="Times New Roman" w:cs="Times New Roman" w:eastAsia="Times New Roman" w:hAnsi="Times New Roman"/>
                <w:sz w:val="23"/>
                <w:szCs w:val="23"/>
                <w:color w:val="auto"/>
                <w:vertAlign w:val="superscript"/>
              </w:rPr>
              <w:t>(1)</w:t>
            </w:r>
          </w:p>
        </w:tc>
      </w:tr>
    </w:tbl>
    <w:p>
      <w:pPr>
        <w:ind w:left="260" w:hanging="252"/>
        <w:spacing w:after="0" w:line="199" w:lineRule="auto"/>
        <w:tabs>
          <w:tab w:leader="none" w:pos="26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are in $MM.</w:t>
      </w:r>
    </w:p>
    <w:p>
      <w:pPr>
        <w:spacing w:after="0" w:line="200" w:lineRule="exact"/>
        <w:rPr>
          <w:sz w:val="20"/>
          <w:szCs w:val="20"/>
          <w:color w:val="auto"/>
        </w:rPr>
      </w:pPr>
    </w:p>
    <w:p>
      <w:pPr>
        <w:spacing w:after="0" w:line="22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2026, achievement of the corporate performance goals for fiscal year 2026 for our remaining named executive officers was determined to be 151% of target in the aggregate. The compensation committee accordingly reviewed and approved PSU achievement at 151% of target for fiscal year 2026. The table below indicates actual attainment levels of corporate performance metrics for fiscal year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Company Performance</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 (%)</w:t>
            </w:r>
          </w:p>
        </w:tc>
        <w:tc>
          <w:tcPr>
            <w:tcW w:w="1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Target Performance</w:t>
            </w:r>
          </w:p>
        </w:tc>
        <w:tc>
          <w:tcPr>
            <w:tcW w:w="1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Actual Performance</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Impact (%)</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Payout Percentage (%)</w:t>
            </w:r>
          </w:p>
        </w:tc>
        <w:tc>
          <w:tcPr>
            <w:tcW w:w="0" w:type="dxa"/>
            <w:vAlign w:val="bottom"/>
          </w:tcPr>
          <w:p>
            <w:pPr>
              <w:spacing w:after="0"/>
              <w:rPr>
                <w:sz w:val="1"/>
                <w:szCs w:val="1"/>
                <w:color w:val="auto"/>
              </w:rPr>
            </w:pPr>
          </w:p>
        </w:tc>
      </w:tr>
      <w:tr>
        <w:trPr>
          <w:trHeight w:val="175"/>
        </w:trPr>
        <w:tc>
          <w:tcPr>
            <w:tcW w:w="2140" w:type="dxa"/>
            <w:vAlign w:val="bottom"/>
            <w:tcBorders>
              <w:bottom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Goal</w:t>
            </w:r>
          </w:p>
        </w:tc>
        <w:tc>
          <w:tcPr>
            <w:tcW w:w="160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3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 Growth</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9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22%</w:t>
            </w:r>
          </w:p>
        </w:tc>
        <w:tc>
          <w:tcPr>
            <w:tcW w:w="1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25%</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1840" w:type="dxa"/>
            <w:vAlign w:val="bottom"/>
            <w:vMerge w:val="restart"/>
          </w:tcPr>
          <w:p>
            <w:pPr>
              <w:jc w:val="right"/>
              <w:ind w:right="70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21"/>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94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rPr>
              <w:t>$68</w:t>
            </w:r>
            <w:r>
              <w:rPr>
                <w:rFonts w:ascii="Times New Roman" w:cs="Times New Roman" w:eastAsia="Times New Roman" w:hAnsi="Times New Roman"/>
                <w:sz w:val="23"/>
                <w:szCs w:val="23"/>
                <w:color w:val="auto"/>
                <w:vertAlign w:val="superscript"/>
              </w:rPr>
              <w:t>(2)</w:t>
            </w:r>
          </w:p>
        </w:tc>
        <w:tc>
          <w:tcPr>
            <w:tcW w:w="18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rPr>
              <w:t>$505</w:t>
            </w:r>
            <w:r>
              <w:rPr>
                <w:rFonts w:ascii="Times New Roman" w:cs="Times New Roman" w:eastAsia="Times New Roman" w:hAnsi="Times New Roman"/>
                <w:sz w:val="23"/>
                <w:szCs w:val="23"/>
                <w:color w:val="auto"/>
                <w:vertAlign w:val="superscript"/>
              </w:rPr>
              <w:t>(2)</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14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hanging="332"/>
        <w:spacing w:after="0" w:line="239" w:lineRule="auto"/>
        <w:tabs>
          <w:tab w:leader="none" w:pos="282"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purposes of calculating the bonus payout amount, when the executive’s attainment exceeds the performance target, accelerators are triggered in order to reward the higher-than-expected performance, while decelerators are applied if the actual results are lower than the performance target. Potential payout ranges between 0-200% of the executive’s target bonus opportunity (after applying the decelerator/accelerator factor).</w:t>
      </w:r>
    </w:p>
    <w:p>
      <w:pPr>
        <w:spacing w:after="0" w:line="147"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are in $MM.</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the following practices regarding equity compensation grants:</w:t>
      </w:r>
    </w:p>
    <w:p>
      <w:pPr>
        <w:spacing w:after="0" w:line="229" w:lineRule="exact"/>
        <w:rPr>
          <w:sz w:val="20"/>
          <w:szCs w:val="20"/>
          <w:color w:val="auto"/>
        </w:rPr>
      </w:pPr>
    </w:p>
    <w:p>
      <w:pPr>
        <w:ind w:left="980" w:hanging="324"/>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strategically time long-term incentive awards in coordination with the release of material non-public information ("MNPI") and have never had a practice of doing so. Accordingly, we have no additional disclosure pursuant to Item 402(x) of Regulation S-K.</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timed and do not plan to time the release of MNPI for the purpose of affecting the value of executive compensation.</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grants to be granted to our non-employee directors at our 2026 annual meeting and to our executive officers and other employees for fiscal year 2027, we determined the number of shares based on a target dollar value, calculated using the 30-day VWAP of our stock during the period ending on, or a few days prior to, the grant date. We believe that using the VWAP mitigates the effect of any variations in stock price that may occur in the final minutes of trading if the closing price were used.</w:t>
      </w:r>
    </w:p>
    <w:p>
      <w:pPr>
        <w:spacing w:after="0" w:line="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grant stock options, stock appreciation rights (SARs) or similar awards with "option-like" features, and thus we have not adopted a policy regarding the timing of any such awards in connection with the disclosure of MNPI.</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equity awards granted by us is compliant with accounting principles generally accepted in the United States and is disclosed in our annual and quarterly financial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Plans; Retirement Plans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receive the same employee benefits that are generally available to all full-time employees in their respective jurisdictions, subject to the satisfaction of certain eligibility requirements.</w:t>
      </w:r>
    </w:p>
    <w:p>
      <w:pPr>
        <w:spacing w:after="0" w:line="1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U.S.-based named executive officers (Messrs. Desai, Ittycheria, Berry and Tanjga),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Starting on January 1, 2026, we began matching employee contributions up to 6% of eligible compensation, capped at $5,000 annually. Matching contributions will vest after one year of employment.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in part by us and in part by the employee, with contribution amounts dependent on an employee's salary and 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of our named executive officers, we have engaged CyberWa, Inc., a cyber-protective service company, to analyze (on a monthly basis) the IT equipment used by all of our named executive officers to ensure the data privacy and cybersecurity of our named executive officers. We believe that, due to the nature of our business, such services are essential to the protection of our data, and have required all named executive officers to remain compliant with cybersecurity protocols. Based on assessments conducted to evaluate our security measures, at times, we may provide enhancements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security measures taken with respect to our named executive officers in order to protect them from certain risks associated with their position, including enhancing security at the named executive officer's personal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 and Employment Agreements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The key terms of employment with our named executive officers are described below.</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Chirantan Desai</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an offer letter with Chirantan Desai, our President and Chief Executive Officer, dated October 29, 2025, which sets forth the terms and conditions of his employment with the Company. Mr. Desai’s offer letter sets forth (i) an annual base salary of $500,000 (as may be amended from time to time); (ii) an annual target bonus of 70% of his annual base salary (as may be amended from time to time) pursuant to our bonus plan; (iii) a sign-on bonus of $2,500,000 in cash, with 50% payable following six months of continuous service and the remaining 50% payable following twelve months of continuous service; and (iv) a sign-on grant of RSUs and PSUs as described in the section titled "Executive Compensation—Executive Leadership Transitions in Fiscal Year 2026" above. Mr. Desai’s employment is at will and may be terminated at any time, with or without cause.</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offer letter agreement with Mr. Desai provides that, if we terminate Mr. Desai for any reason other than for “cause” or due to Mr. Desai's death or disability, or if Mr. Desai resigns his position with us for “good reason” (as such terms are defined in his offer letter), Mr. Desai would be entitled to receive payment of his then-current base salary for a period of 12 months following his termination date in accordance with our regular payroll practices, and company-paid health insurance coverage for a period of up to 12 months following his termination date. In addition, if such termination or resignation occurs either in connection with, or within three months prior to or 12 months after, a change in control, Mr. Desai would also be entitled to receive (i) payment of an amount equal to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and a prorated bonus for the year in which the termination occurred, (ii) 100% acceleration of vesting of all then-outstanding time-based unvested equity awards held by Mr. Desai and (iii) acceleration of vesting of then-outstanding performance-based unvested equity awards held by Mr. Desai based on the greater of target performance or actual performance. Payment of any of the above-described severance benefits is conditioned on the delivery and non-revocation of a general release of claims in our favor within 50 days after Mr. Desai's termination.</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Dev Ittycheria</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offer letter with Dev Ittycheria, our former President and Chief Executive Officer, dated September 29, 2017, as further amended and restated in December 2021 which sets forth the terms and conditions of his employment with us. Mr. Ittycheria’s annual base salary pursuant to his amended and restated offer letter is $400,000 (as may be amended from time to time). Mr. Ittycheria is also eligible to receive an annual target bonus of $280,000 (as may be amended from time to time) pursuant to our bonus plan. Mr. Ittycheria’s employment is at will and may be terminated at any time, with or without cause.</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amended and restated offer letter agreement with Mr. Ittycheria provides that, if we terminate Mr. Ittycheria for any reason other than for “cause” or due to Mr. Ittycheria's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(i) payment of an amount equal to his target cash bonus for a period of 12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Ittycheria and acceleration of vesting of then-outstanding performance-based unvested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Mr. Ittycheria stepped down as our President and Chief Executive Officer on November 9, 2025. He did not receive any severance in connection with his resignation. Pursuant to his Advisory Agreement dated as of October 29, 2025, following his resignation, Mr. Ittycheria continues to be an employee of MongoDB through November 9, 2026 (unless otherwise extended) as an advisor to the President and Chief Executive Officer, executive team and the board of directors. Mr. Ittycheria will receive an annual salary of $100,000 and may receive an annual bonus to be targeted at seventy percent (70%) of the base salary for fiscal year 2026. Following January 31, 2026, he will no longer be eligible for any bonus. In addition, Mr. Ittycheria's outstanding service-based awards will continue to vest until October 2, 2026 subject to his continuous service. Mr. Ittycheria is not entitled to severance in connection with a termination of employment; however, the Advisory Agreement cannot be terminated other than for “cause” prior to November 9, 2026.</w:t>
      </w:r>
    </w:p>
    <w:p>
      <w:pPr>
        <w:spacing w:after="0" w:line="1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Michael J. Berry</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offer letter with Michael J. Berry, our Chief Financial Officer, dated April 14, 2025, which sets forth the terms and conditions of his employment with the Company. Mr. Berry's annual base salary pursuant to his offer letter is $350,000 (as may be amended from time to time). Mr. Berry is also eligible to receive an annual target bonus of 65% of his annual base salary (as may be amended from time to time) pursuant to our bonus plan. Mr. Berry received two grants of service-vesting RSUs in connection with his appointment as described in the section titled "Executive Compensation— Executive Leadership Transitions in Fiscal Year 2026" above. Mr. Berry's employment is at will and may be terminated at any time, with or without cause.</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offer letter agreement with Mr. Berry provides that, if we terminate Mr. Berry for any reason other than for “cause” or due to Mr. Berry's death or disability, or if Mr. Berry resigns his position with us for “good reason” (as such terms are defined in his offer letter), Mr. Berry would be entitled to receive payment of his then-current base salary for a period of six months following his termination date in accordance with our regular payroll practices, and company-paid health insurance coverage for a period of up to six months following his termination date. In addition, if such termination or resignation occurs either in connection with, or within three months prior to or 12 months after, a change in control, Mr. Berry would also be entitled to receive (i) payment of an amount equal to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and a prorated bonus for the year in which the termination occurred, (ii) 100% acceleration of vesting of all then-outstanding time-based unvested equity awards held by Mr. Berry and acceleration of vesting of then-outstanding performance-based unvested equity awards held by Mr. Berry based on the greater of target performance or actual performance. Payment of any of the above-described severance benefits is conditioned on the delivery and non-revocation of a general release of claims in our favor within 50 days after Mr. Berry's termination.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Srdjan Tanjga</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Tanjga is not a party to, and did not enter into, any new arrangements with us in connection with his service as Interim Chief Financial Officer. Mr. Tanjga entered into a standard employee offer letter that provided for at-will employment and did not provide any termination benefits. Mr. Tanjga did not receive, and was not entitled to, any compensation or benefits in connection with his termination of service.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Cedric Pech</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entered into a Swiss-law governed employment agreement with Cedric Pech, our former President of Field Operations and former Chief Revenue Officer, with an effective date of February 11, 2019, as further amended and restated in January 2022, which sets forth the terms and conditions of his employment with us. Mr. Pech’s annual base salary pursuant to his amended and restated employment agreement is CHF 252,033 ($327,644) (as may be amended from time to time). Mr. Pech is also eligible to receive annual target sales compensation of CHF 352,846 ($458,700) (as may be amended from time to time) pursuant to our variable compensation plan. The initial terms and conditions of Mr. Pech’s employment are set forth in his written employment agreement. Mr. Pech’s base salary and target sales compensation were set and paid in CHF and converted into U.S. dollars for purposes of these disclosures based on the exchange rate as of January 31, 2026 of 1.30 CHF to the U.S. dollar, as reflected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employment agreement with Mr. Pech provides that, if we terminate Mr. Pech for any reason other than for “cause” or due to Mr. Pech's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(i) payment of his target cash bonus for a period of six months following his termination date, in addition to payment of any earned but unpaid annual bonus for the fiscal year preceding the fiscal year in which the termination date occurs (except if he previously elected to receive a bonus stock award in lieu of cash for such period), (ii) 100% acceleration of vesting of all then-outstanding time-based unvested equity awards held by Mr. Pech and acceleration of vesting of then-outstanding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Pech stepped down as our President of Field Operations effective April 15, 2026. He did not receive any severance in connection with his resignation. Pursuant to his Separation Agreement, effective February 27, 2026 with a term ended April 15, 2026, Mr. Pech remained an employee and provided advisory services and continued to receive his base salary through April 15, 2026. Mr. Pech also remained eligible to receive his fiscal year 2026 bonus. Mr. Pech's outstanding unvested equity awards under the 2016 Plan continued to vest until April 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ASC 718, we are required to estimate and record an expense for each award of equity compensation over the vesting period of the award.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share-based compensation expense on an ongoing basis according to ASC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Section 162(m) of the Internal Revenue Code,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our named executive officers in a manner consistent with the goals of our executive compensation program and the best interests of our stockholders, which may include providing for compensation that is not deductible due to the deduction limit under Section 162(m).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Recoupment (“Clawback”) Policy</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year 2024, our board of directors adopted the MongoDB, Inc. Financial Restatement Compensation Recoupment Policy (the “Recoupment Policy”) in accordance with Rule 10D-1 of the Dodd-Frank Act. Under the Recoupment Policy, our compensation committee will, to the extent permitted by law, recoup any incentive compensation (cash and equity) received by the executive officers in the event of a restatement of our financial statements (regardless of whether detrimental conduct has occurred). In the case of a restatement of our financial statements, the board of directors will reasonably promptly recover the amount by which the incentive compensation received exceeds the amount that would have been received if the error had not been made within the three years preceding the date on which the board of directors determines that the financial measure contains a material error.</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maintain a separate misconduct compensation recoupment policy (the “Misconduct Recoupment Policy”) which provides that our compensation committee may exercise its discretion to require any of our executive officers to reimburse bonus, incentive or equity-based compensation awarded to such executive officer, up to 100% of such compensation, if such executive officer (i) engages in intentional misconduct or gross negligence that results, in whole or in part, in a financial restatement, (ii) commits any act or omission that constitutes or, if it occurred during the executive officer’s employment, would constitute, “cause”, (iii) been aware of or willfully blind to any act or omission that would constitute “misconduct” under the Misconduct Recoupment Policy that occurred in an area over which the executive officer had supervisory authority or (iv) violated any restrictive covenants applicable to the executive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Policy Prohibiting Hedging and Pledging of Our Equity Securities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While MongoDB itself is not subject to the Insider Trading Policy, MongoDB does not trade in its securities when it is in possession of material nonpublic information except as may be pursuant to an appropriately adopted Rule 10b5-1 trading plan.</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insider trading policy also prohibits all of our employees, directors and consultants from pledging or engaging in hedging or similar transactions in our stock, such as prepaid variable forwards, equity swaps, collars, puts, calls and short sales, except for case-by-case exceptions for employees who are not officers or directors, as approved by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2019, the board of directors adopted stock ownership guidelines for our executive officers. The guidelines require that, within five years of the date the guidelines were adopted or five years of first becoming one of our executive officers, each executive officer own at least a number of shares of common stock equal to a multiple of the executive’s base salary, as follows:</w:t>
      </w:r>
    </w:p>
    <w:p>
      <w:pPr>
        <w:spacing w:after="0" w:line="149"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must hold shares of MongoDB common stock with a value equal to five times his base salary; and</w:t>
      </w:r>
    </w:p>
    <w:p>
      <w:pPr>
        <w:spacing w:after="0" w:line="211" w:lineRule="exact"/>
        <w:rPr>
          <w:rFonts w:ascii="Times New Roman" w:cs="Times New Roman" w:eastAsia="Times New Roman" w:hAnsi="Times New Roman"/>
          <w:sz w:val="18"/>
          <w:szCs w:val="18"/>
          <w:color w:val="auto"/>
        </w:rPr>
      </w:pPr>
    </w:p>
    <w:p>
      <w:pPr>
        <w:ind w:left="660" w:right="1260" w:hanging="4"/>
        <w:spacing w:after="0" w:line="516" w:lineRule="auto"/>
        <w:tabs>
          <w:tab w:leader="none" w:pos="9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shares of MongoDB common stock with a value equal to three times their base salary. The following shares of our common stock count towards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by the executive officer;</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by the executive officer and spouse;</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a trust established by the executive officer for the benefit of the executive officer and/or family members;</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equal to the number of vested deferred stock units credited to the executive officer under any arrangement maintained by us;</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the executive officer’s 401(k) plan account;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shares of time-based restricted stock/restricted stock units to the extent they have not yet settled.</w:t>
      </w:r>
    </w:p>
    <w:p>
      <w:pPr>
        <w:spacing w:after="0" w:line="2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Unvested and unearned performance-vesting shares/units, unvested restricted shares/units and unexercised stock options (whether vested or unvested) do not count towards director or executive officers’ compliance with the guidelines.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all of our current executive officers satisfy the ownership requirements or have a period of time remaining to meet the required ownership level.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spacing w:after="0" w:line="174"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between fixed and variable compensation, short and long-term compensation, and cash and equity payouts;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executive compensation program by an independent compensation consultant.</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also has oversight over our responsibility to review all our compensation policies and procedures, including the incentives that they create, to determine whether they present a significant risk. In consultation with management and Semler Brossy, in May 2025,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Compensation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Francisco D'Souza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Archana Agrawal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Killalea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Lewnes</w:t>
      </w:r>
    </w:p>
    <w:p>
      <w:pPr>
        <w:spacing w:after="0" w:line="232"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other than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Tables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named executive officers for our fiscal year ended January 31, 2026 in accordance with SEC rules.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(1)</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Chirantan Desai </w:t>
            </w:r>
            <w:r>
              <w:rPr>
                <w:rFonts w:ascii="Times New Roman" w:cs="Times New Roman" w:eastAsia="Times New Roman" w:hAnsi="Times New Roman"/>
                <w:sz w:val="18"/>
                <w:szCs w:val="18"/>
                <w:i w:val="1"/>
                <w:iCs w:val="1"/>
                <w:color w:val="auto"/>
              </w:rPr>
              <w:t>President</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114,583</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52,601,945</w:t>
            </w:r>
            <w:r>
              <w:rPr>
                <w:rFonts w:ascii="Times New Roman" w:cs="Times New Roman" w:eastAsia="Times New Roman" w:hAnsi="Times New Roman"/>
                <w:sz w:val="23"/>
                <w:szCs w:val="23"/>
                <w:color w:val="auto"/>
                <w:w w:val="97"/>
                <w:vertAlign w:val="superscript"/>
              </w:rPr>
              <w:t>(3)</w:t>
            </w: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114,133</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52,830,661</w:t>
            </w:r>
          </w:p>
        </w:tc>
        <w:tc>
          <w:tcPr>
            <w:tcW w:w="0" w:type="dxa"/>
            <w:vAlign w:val="bottom"/>
          </w:tcPr>
          <w:p>
            <w:pPr>
              <w:spacing w:after="0"/>
              <w:rPr>
                <w:sz w:val="1"/>
                <w:szCs w:val="1"/>
                <w:color w:val="auto"/>
              </w:rPr>
            </w:pPr>
          </w:p>
        </w:tc>
      </w:tr>
      <w:tr>
        <w:trPr>
          <w:trHeight w:val="265"/>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tc>
        <w:tc>
          <w:tcPr>
            <w:tcW w:w="1520" w:type="dxa"/>
            <w:vAlign w:val="bottom"/>
            <w:vMerge w:val="continue"/>
            <w:shd w:val="clear" w:color="auto" w:fill="CCEEFF"/>
          </w:tcPr>
          <w:p>
            <w:pPr>
              <w:spacing w:after="0"/>
              <w:rPr>
                <w:sz w:val="23"/>
                <w:szCs w:val="23"/>
                <w:color w:val="auto"/>
              </w:rPr>
            </w:pPr>
          </w:p>
        </w:tc>
        <w:tc>
          <w:tcPr>
            <w:tcW w:w="1520" w:type="dxa"/>
            <w:vAlign w:val="bottom"/>
            <w:vMerge w:val="continue"/>
            <w:shd w:val="clear" w:color="auto" w:fill="CCEEFF"/>
          </w:tcPr>
          <w:p>
            <w:pPr>
              <w:spacing w:after="0"/>
              <w:rPr>
                <w:sz w:val="23"/>
                <w:szCs w:val="23"/>
                <w:color w:val="auto"/>
              </w:rPr>
            </w:pPr>
          </w:p>
        </w:tc>
        <w:tc>
          <w:tcPr>
            <w:tcW w:w="1480" w:type="dxa"/>
            <w:vAlign w:val="bottom"/>
            <w:vMerge w:val="continue"/>
            <w:shd w:val="clear" w:color="auto" w:fill="CCEEFF"/>
          </w:tcPr>
          <w:p>
            <w:pPr>
              <w:spacing w:after="0"/>
              <w:rPr>
                <w:sz w:val="23"/>
                <w:szCs w:val="23"/>
                <w:color w:val="auto"/>
              </w:rPr>
            </w:pPr>
          </w:p>
        </w:tc>
        <w:tc>
          <w:tcPr>
            <w:tcW w:w="1560" w:type="dxa"/>
            <w:vAlign w:val="bottom"/>
            <w:vMerge w:val="continue"/>
            <w:shd w:val="clear" w:color="auto" w:fill="CCEEFF"/>
          </w:tcPr>
          <w:p>
            <w:pPr>
              <w:spacing w:after="0"/>
              <w:rPr>
                <w:sz w:val="23"/>
                <w:szCs w:val="23"/>
                <w:color w:val="auto"/>
              </w:rPr>
            </w:pPr>
          </w:p>
        </w:tc>
        <w:tc>
          <w:tcPr>
            <w:tcW w:w="1600" w:type="dxa"/>
            <w:vAlign w:val="bottom"/>
            <w:vMerge w:val="continue"/>
            <w:shd w:val="clear" w:color="auto" w:fill="CCEEFF"/>
          </w:tcPr>
          <w:p>
            <w:pPr>
              <w:spacing w:after="0"/>
              <w:rPr>
                <w:sz w:val="23"/>
                <w:szCs w:val="23"/>
                <w:color w:val="auto"/>
              </w:rPr>
            </w:pPr>
          </w:p>
        </w:tc>
        <w:tc>
          <w:tcPr>
            <w:tcW w:w="14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21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408,333</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7"/>
              </w:rPr>
              <w:t>15,735,621</w:t>
            </w:r>
            <w:r>
              <w:rPr>
                <w:rFonts w:ascii="Times New Roman" w:cs="Times New Roman" w:eastAsia="Times New Roman" w:hAnsi="Times New Roman"/>
                <w:sz w:val="23"/>
                <w:szCs w:val="23"/>
                <w:color w:val="auto"/>
                <w:w w:val="97"/>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129,993</w:t>
            </w:r>
            <w:r>
              <w:rPr>
                <w:rFonts w:ascii="Times New Roman" w:cs="Times New Roman" w:eastAsia="Times New Roman" w:hAnsi="Times New Roman"/>
                <w:sz w:val="23"/>
                <w:szCs w:val="23"/>
                <w:color w:val="auto"/>
                <w:w w:val="94"/>
                <w:vertAlign w:val="superscript"/>
              </w:rPr>
              <w:t>(4)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16,273,947</w:t>
            </w:r>
          </w:p>
        </w:tc>
        <w:tc>
          <w:tcPr>
            <w:tcW w:w="0" w:type="dxa"/>
            <w:vAlign w:val="bottom"/>
          </w:tcPr>
          <w:p>
            <w:pPr>
              <w:spacing w:after="0"/>
              <w:rPr>
                <w:sz w:val="1"/>
                <w:szCs w:val="1"/>
                <w:color w:val="auto"/>
              </w:rPr>
            </w:pPr>
          </w:p>
        </w:tc>
      </w:tr>
      <w:tr>
        <w:trPr>
          <w:trHeight w:val="196"/>
        </w:trPr>
        <w:tc>
          <w:tcPr>
            <w:tcW w:w="21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Former President and Chief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15,046,370</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296,975</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15,843,345</w:t>
            </w:r>
          </w:p>
        </w:tc>
        <w:tc>
          <w:tcPr>
            <w:tcW w:w="0" w:type="dxa"/>
            <w:vAlign w:val="bottom"/>
          </w:tcPr>
          <w:p>
            <w:pPr>
              <w:spacing w:after="0"/>
              <w:rPr>
                <w:sz w:val="1"/>
                <w:szCs w:val="1"/>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52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1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14,825,835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62" w:lineRule="exact"/>
              <w:rPr>
                <w:sz w:val="20"/>
                <w:szCs w:val="20"/>
                <w:color w:val="auto"/>
              </w:rPr>
            </w:pPr>
            <w:r>
              <w:rPr>
                <w:rFonts w:ascii="Times New Roman" w:cs="Times New Roman" w:eastAsia="Times New Roman" w:hAnsi="Times New Roman"/>
                <w:sz w:val="18"/>
                <w:szCs w:val="18"/>
                <w:color w:val="auto"/>
                <w:w w:val="91"/>
              </w:rPr>
              <w:t>65,612</w:t>
            </w:r>
            <w:r>
              <w:rPr>
                <w:rFonts w:ascii="Times New Roman" w:cs="Times New Roman" w:eastAsia="Times New Roman" w:hAnsi="Times New Roman"/>
                <w:sz w:val="23"/>
                <w:szCs w:val="23"/>
                <w:color w:val="auto"/>
                <w:w w:val="91"/>
                <w:vertAlign w:val="superscript"/>
              </w:rPr>
              <w:t>(5)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15,291,447</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Berry</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238,718</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12,798,717</w:t>
            </w:r>
            <w:r>
              <w:rPr>
                <w:rFonts w:ascii="Times New Roman" w:cs="Times New Roman" w:eastAsia="Times New Roman" w:hAnsi="Times New Roman"/>
                <w:sz w:val="23"/>
                <w:szCs w:val="23"/>
                <w:color w:val="auto"/>
                <w:w w:val="97"/>
                <w:vertAlign w:val="superscript"/>
              </w:rPr>
              <w:t>(3)</w:t>
            </w: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226,581</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12,412</w:t>
            </w:r>
            <w:r>
              <w:rPr>
                <w:rFonts w:ascii="Times New Roman" w:cs="Times New Roman" w:eastAsia="Times New Roman" w:hAnsi="Times New Roman"/>
                <w:sz w:val="23"/>
                <w:szCs w:val="23"/>
                <w:color w:val="auto"/>
                <w:w w:val="91"/>
                <w:vertAlign w:val="superscript"/>
              </w:rPr>
              <w:t>(4)</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13,276,428</w:t>
            </w:r>
          </w:p>
        </w:tc>
        <w:tc>
          <w:tcPr>
            <w:tcW w:w="0" w:type="dxa"/>
            <w:vAlign w:val="bottom"/>
          </w:tcPr>
          <w:p>
            <w:pPr>
              <w:spacing w:after="0"/>
              <w:rPr>
                <w:sz w:val="1"/>
                <w:szCs w:val="1"/>
                <w:color w:val="auto"/>
              </w:rPr>
            </w:pPr>
          </w:p>
        </w:tc>
      </w:tr>
      <w:tr>
        <w:trPr>
          <w:trHeight w:val="182"/>
        </w:trPr>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2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480" w:type="dxa"/>
            <w:vAlign w:val="bottom"/>
            <w:vMerge w:val="continue"/>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100" w:type="dxa"/>
            <w:vAlign w:val="bottom"/>
            <w:tcBorders>
              <w:bottom w:val="single" w:sz="8" w:color="CCEEFF"/>
            </w:tcBorders>
            <w:vMerge w:val="continue"/>
            <w:shd w:val="clear" w:color="auto" w:fill="CCEEFF"/>
          </w:tcPr>
          <w:p>
            <w:pPr>
              <w:spacing w:after="0"/>
              <w:rPr>
                <w:sz w:val="5"/>
                <w:szCs w:val="5"/>
                <w:color w:val="auto"/>
              </w:rPr>
            </w:pPr>
          </w:p>
        </w:tc>
        <w:tc>
          <w:tcPr>
            <w:tcW w:w="1520" w:type="dxa"/>
            <w:vAlign w:val="bottom"/>
            <w:tcBorders>
              <w:bottom w:val="single" w:sz="8" w:color="CCEEFF"/>
            </w:tcBorders>
            <w:shd w:val="clear" w:color="auto" w:fill="CCEEFF"/>
          </w:tcPr>
          <w:p>
            <w:pPr>
              <w:spacing w:after="0"/>
              <w:rPr>
                <w:sz w:val="5"/>
                <w:szCs w:val="5"/>
                <w:color w:val="auto"/>
              </w:rPr>
            </w:pPr>
          </w:p>
        </w:tc>
        <w:tc>
          <w:tcPr>
            <w:tcW w:w="152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1600" w:type="dxa"/>
            <w:vAlign w:val="bottom"/>
            <w:tcBorders>
              <w:bottom w:val="single" w:sz="8" w:color="CCEEFF"/>
            </w:tcBorders>
            <w:shd w:val="clear" w:color="auto" w:fill="CCEEFF"/>
          </w:tcPr>
          <w:p>
            <w:pPr>
              <w:spacing w:after="0"/>
              <w:rPr>
                <w:sz w:val="5"/>
                <w:szCs w:val="5"/>
                <w:color w:val="auto"/>
              </w:rPr>
            </w:pPr>
          </w:p>
        </w:tc>
        <w:tc>
          <w:tcPr>
            <w:tcW w:w="14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Srdjan Tanjga</w:t>
            </w: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Interim Chief</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104,945</w:t>
            </w:r>
          </w:p>
        </w:tc>
        <w:tc>
          <w:tcPr>
            <w:tcW w:w="148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115,515</w:t>
            </w:r>
            <w:r>
              <w:rPr>
                <w:rFonts w:ascii="Times New Roman" w:cs="Times New Roman" w:eastAsia="Times New Roman" w:hAnsi="Times New Roman"/>
                <w:sz w:val="23"/>
                <w:szCs w:val="23"/>
                <w:color w:val="auto"/>
                <w:w w:val="94"/>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691</w:t>
            </w:r>
            <w:r>
              <w:rPr>
                <w:rFonts w:ascii="Times New Roman" w:cs="Times New Roman" w:eastAsia="Times New Roman" w:hAnsi="Times New Roman"/>
                <w:sz w:val="10"/>
                <w:szCs w:val="10"/>
                <w:color w:val="auto"/>
              </w:rPr>
              <w:t>(4)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221,151</w:t>
            </w:r>
          </w:p>
        </w:tc>
        <w:tc>
          <w:tcPr>
            <w:tcW w:w="0" w:type="dxa"/>
            <w:vAlign w:val="bottom"/>
          </w:tcPr>
          <w:p>
            <w:pPr>
              <w:spacing w:after="0"/>
              <w:rPr>
                <w:sz w:val="1"/>
                <w:szCs w:val="1"/>
                <w:color w:val="auto"/>
              </w:rPr>
            </w:pPr>
          </w:p>
        </w:tc>
      </w:tr>
      <w:tr>
        <w:trPr>
          <w:trHeight w:val="236"/>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1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357,500</w:t>
            </w:r>
          </w:p>
        </w:tc>
        <w:tc>
          <w:tcPr>
            <w:tcW w:w="14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3"/>
              </w:rPr>
              <w:t>8,120,213</w:t>
            </w:r>
            <w:r>
              <w:rPr>
                <w:rFonts w:ascii="Times New Roman" w:cs="Times New Roman" w:eastAsia="Times New Roman" w:hAnsi="Times New Roman"/>
                <w:sz w:val="23"/>
                <w:szCs w:val="23"/>
                <w:color w:val="auto"/>
                <w:w w:val="93"/>
                <w:vertAlign w:val="superscript"/>
              </w:rPr>
              <w:t>(3)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732,456</w:t>
            </w:r>
          </w:p>
        </w:tc>
        <w:tc>
          <w:tcPr>
            <w:tcW w:w="16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1"/>
              </w:rPr>
              <w:t>111,896</w:t>
            </w:r>
            <w:r>
              <w:rPr>
                <w:rFonts w:ascii="Times New Roman" w:cs="Times New Roman" w:eastAsia="Times New Roman" w:hAnsi="Times New Roman"/>
                <w:sz w:val="23"/>
                <w:szCs w:val="23"/>
                <w:color w:val="auto"/>
                <w:w w:val="91"/>
                <w:vertAlign w:val="superscript"/>
              </w:rPr>
              <w:t>(7)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9,322,065</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of Field</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302,500</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6,920,163</w:t>
            </w: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448,252</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114,683</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7,785,598</w:t>
            </w:r>
          </w:p>
        </w:tc>
        <w:tc>
          <w:tcPr>
            <w:tcW w:w="0" w:type="dxa"/>
            <w:vAlign w:val="bottom"/>
          </w:tcPr>
          <w:p>
            <w:pPr>
              <w:spacing w:after="0"/>
              <w:rPr>
                <w:sz w:val="1"/>
                <w:szCs w:val="1"/>
                <w:color w:val="auto"/>
              </w:rPr>
            </w:pPr>
          </w:p>
        </w:tc>
      </w:tr>
      <w:tr>
        <w:trPr>
          <w:trHeight w:val="88"/>
        </w:trPr>
        <w:tc>
          <w:tcPr>
            <w:tcW w:w="2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23"/>
                <w:szCs w:val="23"/>
                <w:color w:val="auto"/>
                <w:vertAlign w:val="superscript"/>
              </w:rPr>
              <w:t>(6)</w:t>
            </w:r>
          </w:p>
        </w:tc>
        <w:tc>
          <w:tcPr>
            <w:tcW w:w="1520" w:type="dxa"/>
            <w:vAlign w:val="bottom"/>
            <w:vMerge w:val="continue"/>
            <w:shd w:val="clear" w:color="auto" w:fill="CCEEFF"/>
          </w:tcPr>
          <w:p>
            <w:pPr>
              <w:spacing w:after="0"/>
              <w:rPr>
                <w:sz w:val="7"/>
                <w:szCs w:val="7"/>
                <w:color w:val="auto"/>
              </w:rPr>
            </w:pPr>
          </w:p>
        </w:tc>
        <w:tc>
          <w:tcPr>
            <w:tcW w:w="152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560" w:type="dxa"/>
            <w:vAlign w:val="bottom"/>
            <w:vMerge w:val="continue"/>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shd w:val="clear" w:color="auto" w:fill="CCEEFF"/>
          </w:tcPr>
          <w:p>
            <w:pPr>
              <w:spacing w:after="0"/>
              <w:rPr>
                <w:sz w:val="17"/>
                <w:szCs w:val="17"/>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292,358</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7,107,244</w:t>
            </w:r>
          </w:p>
        </w:tc>
        <w:tc>
          <w:tcPr>
            <w:tcW w:w="1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613,952</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140,829</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8,154,383</w:t>
            </w:r>
          </w:p>
        </w:tc>
        <w:tc>
          <w:tcPr>
            <w:tcW w:w="0" w:type="dxa"/>
            <w:vAlign w:val="bottom"/>
          </w:tcPr>
          <w:p>
            <w:pPr>
              <w:spacing w:after="0"/>
              <w:rPr>
                <w:sz w:val="1"/>
                <w:szCs w:val="1"/>
                <w:color w:val="auto"/>
              </w:rPr>
            </w:pPr>
          </w:p>
        </w:tc>
      </w:tr>
      <w:tr>
        <w:trPr>
          <w:trHeight w:val="54"/>
        </w:trPr>
        <w:tc>
          <w:tcPr>
            <w:tcW w:w="2100" w:type="dxa"/>
            <w:vAlign w:val="bottom"/>
            <w:shd w:val="clear" w:color="auto" w:fill="CCEEFF"/>
          </w:tcPr>
          <w:p>
            <w:pPr>
              <w:spacing w:after="0"/>
              <w:rPr>
                <w:sz w:val="4"/>
                <w:szCs w:val="4"/>
                <w:color w:val="auto"/>
              </w:rPr>
            </w:pPr>
          </w:p>
        </w:tc>
        <w:tc>
          <w:tcPr>
            <w:tcW w:w="1520" w:type="dxa"/>
            <w:vAlign w:val="bottom"/>
            <w:vMerge w:val="continue"/>
            <w:shd w:val="clear" w:color="auto" w:fill="CCEEFF"/>
          </w:tcPr>
          <w:p>
            <w:pPr>
              <w:spacing w:after="0"/>
              <w:rPr>
                <w:sz w:val="4"/>
                <w:szCs w:val="4"/>
                <w:color w:val="auto"/>
              </w:rPr>
            </w:pPr>
          </w:p>
        </w:tc>
        <w:tc>
          <w:tcPr>
            <w:tcW w:w="1520" w:type="dxa"/>
            <w:vAlign w:val="bottom"/>
            <w:vMerge w:val="continue"/>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1560" w:type="dxa"/>
            <w:vAlign w:val="bottom"/>
            <w:vMerge w:val="continue"/>
            <w:shd w:val="clear" w:color="auto" w:fill="CCEEFF"/>
          </w:tcPr>
          <w:p>
            <w:pPr>
              <w:spacing w:after="0"/>
              <w:rPr>
                <w:sz w:val="4"/>
                <w:szCs w:val="4"/>
                <w:color w:val="auto"/>
              </w:rPr>
            </w:pPr>
          </w:p>
        </w:tc>
        <w:tc>
          <w:tcPr>
            <w:tcW w:w="1600" w:type="dxa"/>
            <w:vAlign w:val="bottom"/>
            <w:vMerge w:val="continue"/>
            <w:shd w:val="clear" w:color="auto" w:fill="CCEEFF"/>
          </w:tcPr>
          <w:p>
            <w:pPr>
              <w:spacing w:after="0"/>
              <w:rPr>
                <w:sz w:val="4"/>
                <w:szCs w:val="4"/>
                <w:color w:val="auto"/>
              </w:rPr>
            </w:pPr>
          </w:p>
        </w:tc>
        <w:tc>
          <w:tcPr>
            <w:tcW w:w="14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52" w:lineRule="auto"/>
        <w:tabs>
          <w:tab w:leader="none" w:pos="288" w:val="left"/>
        </w:tabs>
        <w:numPr>
          <w:ilvl w:val="0"/>
          <w:numId w:val="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amounts in this column represent the grant date fair value of equity awards granted during the year. These amounts do not necessarily correspond to the actual value recognized or that may be recognized by the named executive officers. Equity awards granted under the 2016 Plan during each year include: (a) awards of time-based RSUs; (b) awards of PSUs pursuant to the Senior Leadership Equity Bonus Program; (c) awards of PSUs under our long-term incentive program; (d) for Mr. Desai, one-time sign-on awards of RSUs and PSUs in connection with his appointment as Chief Executive Officer and (e) for Mr. Berry, two one-time sign-on awards of RSUs in connection with his appointment as Chief Financial Officer. RSU and PSU awards are valued based on the closing price of our common stock on the grant date in accordance with ASC 718. The assumptions used in calculating the grant date fair value of the RSUs and PSUs reported in this column are set forth in Note 11 to our Consolidated Financial Statements included in our Annual Report on Form 10-K for the applicable fiscal year. In the case of PSUs pursuant to the Senior Leadership Equity Bonus Program and the long-term incentive program, the grant date fair value was determined based on the applicable performance conditions being achieved at the target payout level, which we determined to be the probable outcome as of the grant date. In the case of the one-time sign-on award of PSUs granted to Mr. Desai, the grant date fair value was calculated based on the application of a Monte Carlo simulation model to determine the probable outcome of the market-based performance conditions based on the applicable performance conditions being achieved at the maximum payout level (200%), which we determined to be the probable outcome as of the grant date. The grant date fair value shown here may differ from the approved value shown in the Compensation Discussion and Analysis because of the accounting methodology required in this table.</w:t>
      </w:r>
    </w:p>
    <w:p>
      <w:pPr>
        <w:spacing w:after="0" w:line="91" w:lineRule="exact"/>
        <w:rPr>
          <w:rFonts w:ascii="Times New Roman" w:cs="Times New Roman" w:eastAsia="Times New Roman" w:hAnsi="Times New Roman"/>
          <w:sz w:val="19"/>
          <w:szCs w:val="19"/>
          <w:color w:val="auto"/>
          <w:vertAlign w:val="superscript"/>
        </w:rPr>
      </w:pPr>
    </w:p>
    <w:p>
      <w:pPr>
        <w:jc w:val="both"/>
        <w:ind w:left="340" w:hanging="332"/>
        <w:spacing w:after="0" w:line="244" w:lineRule="auto"/>
        <w:tabs>
          <w:tab w:leader="none" w:pos="350" w:val="left"/>
        </w:tabs>
        <w:numPr>
          <w:ilvl w:val="0"/>
          <w:numId w:val="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annual performance-based cash bonus awards. The amounts reported represent performance-based cash bonus awards earned by the named executive officer based on the achievement of certain company goals and the individual's target bonus amount. Bonus awards are paid semi-annually, based on the achievement of the company objectives set at the beginning of the fiscal year. For Messrs. Desai and Berry, such amounts are prorated to reflect their period of service with the Company during fiscal year 2026. For fiscal year 2026, Messrs. Ittycheria and Tanjga did not receive a performance-based cash bonus award, as they elected to be paid in equity in lieu of cash. Please see the section titled “Senior Leadership Equity Bonus Program” in our Compensation Discussion and Analysis for additional details.</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51" w:lineRule="auto"/>
        <w:tabs>
          <w:tab w:leader="none" w:pos="280" w:val="left"/>
        </w:tabs>
        <w:numPr>
          <w:ilvl w:val="0"/>
          <w:numId w:val="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 in the case of Mr. Ittycheria, an award of PSUs granted pursuant to the executive's election to receive a bonus stock award under the Senior Leadership Equity Bonus Program in lieu of fiscal year 2026 non-equity incentive compensation; (ii) in the case of Mr. Tanjga, an award of PSUs pursuant to our MBO Plan; (iii) in the case of each of Messrs. Ittycheria and Pech, an award of RSUs and PSUs granted pursuant to our long-term incentive program; (iv) in the case of Mr. Desai, one-time awards of RSUs and PSUs in connection with his appointment as Chief Executive Officer, and (v) in the case of Mr. Berry, two one-time RSU awards in connection with his appointment as Chief Financial Officer. For Mr. Desai, includes 44,096 RSUs with a grant date fair value of $16,487,053 and 102,890 PSUs with a grant date fair value of $36,114,892 in connection with his appointment as Chief Executive Officer. For Mr. Ittycheria, includes 1,785 PSUs with a grant date fair value of $350,075 granted pursuant to the Senior Leadership Equity Bonus Program and, pursuant to our long-term incentive program, 40,638 RSUs with a grant date fair value of $7,692,773 and 40,638 PSUs with a grant date fair value of $7,692,773. Mr. Ittycheria's 1,785 PSUs were later prorated to a target stock amount of 1,463 given his salary change effective November 10, 2025. For Mr. Berry, includes 50,802 RSUs with a grant date fair value of $9,599,038 and 16,934 RSUs with a grant date fair value of $3,199,679 granted in connection with his appointment as Chief Financial Officer. For Mr. Tanjga, includes 589 PSUs with a grant date fair value of $115,515, granted pursuant to the MBO Plan. Mr. Tanjga’s PSUs that were granted in fiscal year 2026 and which remained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line="191" w:lineRule="auto"/>
        <w:framePr w:w="660" w:h="137" w:wrap="auto" w:vAnchor="page" w:hAnchor="page" w:x="10520" w:y="6469"/>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(3)</w:t>
      </w: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rFonts w:ascii="Times New Roman" w:cs="Times New Roman" w:eastAsia="Times New Roman" w:hAnsi="Times New Roman"/>
          <w:sz w:val="12"/>
          <w:szCs w:val="12"/>
          <w:b w:val="1"/>
          <w:bCs w:val="1"/>
          <w:color w:val="auto"/>
        </w:rPr>
      </w:pPr>
    </w:p>
    <w:p>
      <w:pPr>
        <w:spacing w:after="0" w:line="336" w:lineRule="exact"/>
        <w:rPr>
          <w:rFonts w:ascii="Times New Roman" w:cs="Times New Roman" w:eastAsia="Times New Roman" w:hAnsi="Times New Roman"/>
          <w:sz w:val="12"/>
          <w:szCs w:val="12"/>
          <w:b w:val="1"/>
          <w:bCs w:val="1"/>
          <w:color w:val="auto"/>
        </w:rPr>
      </w:pPr>
    </w:p>
    <w:p>
      <w:pPr>
        <w:jc w:val="both"/>
        <w:ind w:left="340"/>
        <w:spacing w:after="0" w:line="265" w:lineRule="auto"/>
        <w:rPr>
          <w:sz w:val="20"/>
          <w:szCs w:val="20"/>
          <w:color w:val="auto"/>
        </w:rPr>
      </w:pPr>
      <w:r>
        <w:rPr>
          <w:rFonts w:ascii="Times New Roman" w:cs="Times New Roman" w:eastAsia="Times New Roman" w:hAnsi="Times New Roman"/>
          <w:sz w:val="14"/>
          <w:szCs w:val="14"/>
          <w:color w:val="auto"/>
        </w:rPr>
        <w:t>unvested as of his separation on May 8, 2025 were forfeited. For Mr. Pech, includes 21,448 RSUs with a grant date fair value of $4,060,106 and 21,448 PSUs with a grant date fair value of $4,060,106 granted pursuant to our long-term incentive program. Each of the foregoing grant date fair values was determined based on the applicable performance conditions being achieved at the target payout level, which we determined to be the probable outcome as of the grant date. Assuming that maximum performance is achieved under the Senior Leadership Equity Program and corresponding MBO Plan for Mr. Tanjga, the value of the PSUs made to Mr. Ittycheria and Mr. Tanjga at the date of grant would have been $700,148 and $141,599, respectively. Assuming that maximum performance is achieved under the long-term incentive program, the value of the PSUs made to Messrs. Ittycheria and Pech at the date of grant for fiscal year 2026 would have been $15,385,547 and $8,120,213, respectively. Please see the sections titled “Senior Leadership Equity Bonus Program” and "Long-Term Equity Incentives" in our Compensation Discussion and Analysis and the “Grants of Plan-Based Awards” table for additional details.</w:t>
      </w:r>
    </w:p>
    <w:p>
      <w:pPr>
        <w:spacing w:after="0" w:line="79" w:lineRule="exact"/>
        <w:rPr>
          <w:rFonts w:ascii="Times New Roman" w:cs="Times New Roman" w:eastAsia="Times New Roman" w:hAnsi="Times New Roman"/>
          <w:sz w:val="12"/>
          <w:szCs w:val="12"/>
          <w:b w:val="1"/>
          <w:bCs w:val="1"/>
          <w:color w:val="auto"/>
        </w:rPr>
      </w:pPr>
    </w:p>
    <w:p>
      <w:pPr>
        <w:ind w:left="340" w:hanging="332"/>
        <w:spacing w:after="0" w:line="233" w:lineRule="auto"/>
        <w:tabs>
          <w:tab w:leader="none" w:pos="271"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(i) expenses incurred by us related to a cybersecurity assessment and related services (“Cybersecurity Services”) at the executive’s personal residence in the amount of $16,667 for Mr. Ittycheria and $10,000 for Mr. Berry; (ii) gross-up payment for food vouchers offered to all U.S. based employees; (iii) $113,296 incurred by us related to security enhancements for Mr. Ittycheria's personal residence and (iv) in the case of Mr. Berry, our Section 401(k) matching contributions (which vest after one year of service).</w:t>
      </w:r>
    </w:p>
    <w:p>
      <w:pPr>
        <w:spacing w:after="0" w:line="66"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addition to amounts previously reported in fiscal year 2024, Mr. Ittycheria received personal security services valued at $33,726.</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39" w:lineRule="auto"/>
        <w:tabs>
          <w:tab w:leader="none" w:pos="289"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cash compensation was paid in CHF and, for the purposes of the table, converted into U.S. dollars based on the exchange rate as of January 31, 2026 of 1.30 CHF to U.S. dollar for fiscal year 2026 (except for Cybersecurity Services which were paid in U.S. dollars). Values for fiscal year 2025 were calculated based on the exchange rate of January 31, 2025 of 1.10 CHF to U.S. dollar (except for the Cybersecurity Services which were paid in U.S. dollars). Values for fiscal year 2024 were calculated based on the exchange rate of January 31, 2024 of 1.16 CHF to U.S. dollar (except for the Cybersecurity Services which were paid in U.S. dollars).</w:t>
      </w:r>
    </w:p>
    <w:p>
      <w:pPr>
        <w:spacing w:after="0" w:line="97" w:lineRule="exact"/>
        <w:rPr>
          <w:rFonts w:ascii="Times New Roman" w:cs="Times New Roman" w:eastAsia="Times New Roman" w:hAnsi="Times New Roman"/>
          <w:sz w:val="19"/>
          <w:szCs w:val="19"/>
          <w:color w:val="auto"/>
          <w:vertAlign w:val="superscript"/>
        </w:rPr>
      </w:pPr>
    </w:p>
    <w:p>
      <w:pPr>
        <w:jc w:val="both"/>
        <w:ind w:left="340" w:hanging="332"/>
        <w:spacing w:after="0" w:line="239" w:lineRule="auto"/>
        <w:tabs>
          <w:tab w:leader="none" w:pos="316" w:val="left"/>
        </w:tabs>
        <w:numPr>
          <w:ilvl w:val="0"/>
          <w:numId w:val="5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(i) a monthly housing and health coverage allowance of $47,175, (ii) a health allowance of $6,864, (iii) $20,000 of expenses incurred by us for Cybersecurity Services at the executive’s personal residence, (iv) employer contributions to a Swiss pension (defined contribution) plan of $35,706 and (v) life insurance (or similar risk insurance) premiums paid by us of $2,151.</w:t>
      </w:r>
    </w:p>
    <w:p>
      <w:pPr>
        <w:spacing w:after="0" w:line="196" w:lineRule="exact"/>
        <w:rPr>
          <w:rFonts w:ascii="Times New Roman" w:cs="Times New Roman" w:eastAsia="Times New Roman" w:hAnsi="Times New Roman"/>
          <w:sz w:val="12"/>
          <w:szCs w:val="12"/>
          <w:b w:val="1"/>
          <w:bCs w:val="1"/>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25" w:lineRule="exact"/>
        <w:rPr>
          <w:rFonts w:ascii="Times New Roman" w:cs="Times New Roman" w:eastAsia="Times New Roman" w:hAnsi="Times New Roman"/>
          <w:sz w:val="12"/>
          <w:szCs w:val="12"/>
          <w:b w:val="1"/>
          <w:bCs w:val="1"/>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January 31, 2026.</w:t>
      </w:r>
    </w:p>
    <w:p>
      <w:pPr>
        <w:sectPr>
          <w:pgSz w:w="11900" w:h="16838" w:orient="portrait"/>
          <w:cols w:equalWidth="0" w:num="1">
            <w:col w:w="11240"/>
          </w:cols>
          <w:pgMar w:left="320" w:top="369" w:right="339" w:bottom="1440" w:gutter="0" w:footer="0" w:header="0"/>
        </w:sectPr>
      </w:pPr>
    </w:p>
    <w:p>
      <w:pPr>
        <w:spacing w:after="0" w:line="383" w:lineRule="exact"/>
        <w:rPr>
          <w:rFonts w:ascii="Times New Roman" w:cs="Times New Roman" w:eastAsia="Times New Roman" w:hAnsi="Times New Roman"/>
          <w:sz w:val="12"/>
          <w:szCs w:val="12"/>
          <w:b w:val="1"/>
          <w:bCs w:val="1"/>
          <w:color w:val="auto"/>
        </w:rPr>
      </w:pPr>
    </w:p>
    <w:tbl>
      <w:tblPr>
        <w:tblLayout w:type="fixed"/>
        <w:tblInd w:w="2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Non-</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8"/>
                <w:szCs w:val="18"/>
                <w:b w:val="1"/>
                <w:bCs w:val="1"/>
                <w:color w:val="auto"/>
                <w:vertAlign w:val="superscript"/>
              </w:rPr>
              <w:t>(1)</w:t>
            </w:r>
          </w:p>
        </w:tc>
        <w:tc>
          <w:tcPr>
            <w:tcW w:w="2540" w:type="dxa"/>
            <w:vAlign w:val="bottom"/>
            <w:tcBorders>
              <w:bottom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Equity Incentive Plan Awards</w:t>
            </w:r>
            <w:r>
              <w:rPr>
                <w:rFonts w:ascii="Times New Roman" w:cs="Times New Roman" w:eastAsia="Times New Roman" w:hAnsi="Times New Roman"/>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55"/>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9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br w:type="column"/>
      </w:r>
    </w:p>
    <w:p>
      <w:pPr>
        <w:spacing w:after="0" w:line="296" w:lineRule="exact"/>
        <w:rPr>
          <w:rFonts w:ascii="Times New Roman" w:cs="Times New Roman" w:eastAsia="Times New Roman" w:hAnsi="Times New Roman"/>
          <w:sz w:val="12"/>
          <w:szCs w:val="12"/>
          <w:b w:val="1"/>
          <w:bCs w:val="1"/>
          <w:color w:val="auto"/>
        </w:rPr>
      </w:pPr>
    </w:p>
    <w:p>
      <w:pPr>
        <w:spacing w:after="0" w:line="1" w:lineRule="exact"/>
        <w:rPr>
          <w:rFonts w:ascii="Times New Roman" w:cs="Times New Roman" w:eastAsia="Times New Roman" w:hAnsi="Times New Roman"/>
          <w:sz w:val="1"/>
          <w:szCs w:val="1"/>
          <w:b w:val="1"/>
          <w:b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1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35"/>
        </w:trPr>
        <w:tc>
          <w:tcPr>
            <w:tcW w:w="130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Shares of Stock or</w:t>
            </w:r>
          </w:p>
        </w:tc>
        <w:tc>
          <w:tcPr>
            <w:tcW w:w="11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bl>
    <w:p>
      <w:pPr>
        <w:ind w:left="440"/>
        <w:spacing w:after="0" w:line="201" w:lineRule="auto"/>
        <w:rPr>
          <w:sz w:val="20"/>
          <w:szCs w:val="20"/>
          <w:color w:val="auto"/>
        </w:rPr>
      </w:pPr>
      <w:r>
        <w:rPr>
          <w:rFonts w:ascii="Times New Roman" w:cs="Times New Roman" w:eastAsia="Times New Roman" w:hAnsi="Times New Roman"/>
          <w:sz w:val="14"/>
          <w:szCs w:val="14"/>
          <w:b w:val="1"/>
          <w:bCs w:val="1"/>
          <w:color w:val="auto"/>
        </w:rPr>
        <w:t>Units</w:t>
      </w:r>
    </w:p>
    <w:p>
      <w:pPr>
        <w:ind w:left="1820" w:hanging="1295"/>
        <w:spacing w:after="0"/>
        <w:tabs>
          <w:tab w:leader="none" w:pos="182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19" w:lineRule="exact"/>
        <w:rPr>
          <w:rFonts w:ascii="Times New Roman" w:cs="Times New Roman" w:eastAsia="Times New Roman" w:hAnsi="Times New Roman"/>
          <w:sz w:val="12"/>
          <w:szCs w:val="12"/>
          <w:b w:val="1"/>
          <w:bCs w:val="1"/>
          <w:color w:val="auto"/>
        </w:rPr>
      </w:pPr>
    </w:p>
    <w:p>
      <w:pPr>
        <w:sectPr>
          <w:pgSz w:w="11900" w:h="16838" w:orient="portrait"/>
          <w:cols w:equalWidth="0" w:num="2">
            <w:col w:w="8600" w:space="40"/>
            <w:col w:w="26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Chirantan Desai</w:t>
            </w:r>
          </w:p>
        </w:tc>
        <w:tc>
          <w:tcPr>
            <w:tcW w:w="10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11/10/2025</w:t>
            </w: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PSU</w:t>
            </w:r>
            <w:r>
              <w:rPr>
                <w:rFonts w:ascii="Times New Roman" w:cs="Times New Roman" w:eastAsia="Times New Roman" w:hAnsi="Times New Roman"/>
                <w:sz w:val="19"/>
                <w:szCs w:val="19"/>
                <w:b w:val="1"/>
                <w:bCs w:val="1"/>
                <w:color w:val="auto"/>
                <w:w w:val="94"/>
                <w:vertAlign w:val="superscript"/>
              </w:rPr>
              <w:t>(4)</w:t>
            </w:r>
          </w:p>
        </w:tc>
        <w:tc>
          <w:tcPr>
            <w:tcW w:w="8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51,445</w:t>
            </w:r>
          </w:p>
        </w:tc>
        <w:tc>
          <w:tcPr>
            <w:tcW w:w="1000" w:type="dxa"/>
            <w:vAlign w:val="bottom"/>
            <w:tcBorders>
              <w:top w:val="single" w:sz="8" w:color="auto"/>
            </w:tcBorders>
            <w:vMerge w:val="restart"/>
            <w:shd w:val="clear" w:color="auto" w:fill="CCEEFF"/>
          </w:tcPr>
          <w:p>
            <w:pPr>
              <w:jc w:val="center"/>
              <w:ind w:right="64"/>
              <w:spacing w:after="0"/>
              <w:rPr>
                <w:sz w:val="20"/>
                <w:szCs w:val="20"/>
                <w:color w:val="auto"/>
              </w:rPr>
            </w:pPr>
            <w:r>
              <w:rPr>
                <w:rFonts w:ascii="Times New Roman" w:cs="Times New Roman" w:eastAsia="Times New Roman" w:hAnsi="Times New Roman"/>
                <w:sz w:val="15"/>
                <w:szCs w:val="15"/>
                <w:color w:val="auto"/>
              </w:rPr>
              <w:t>102,890</w:t>
            </w:r>
          </w:p>
        </w:tc>
        <w:tc>
          <w:tcPr>
            <w:tcW w:w="10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tcBorders>
              <w:top w:val="single" w:sz="8" w:color="auto"/>
            </w:tcBorders>
            <w:vMerge w:val="restart"/>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36,114,892</w:t>
            </w:r>
          </w:p>
        </w:tc>
        <w:tc>
          <w:tcPr>
            <w:tcW w:w="0" w:type="dxa"/>
            <w:vAlign w:val="bottom"/>
          </w:tcPr>
          <w:p>
            <w:pPr>
              <w:spacing w:after="0"/>
              <w:rPr>
                <w:sz w:val="1"/>
                <w:szCs w:val="1"/>
                <w:color w:val="auto"/>
              </w:rPr>
            </w:pPr>
          </w:p>
        </w:tc>
      </w:tr>
      <w:tr>
        <w:trPr>
          <w:trHeight w:val="112"/>
        </w:trPr>
        <w:tc>
          <w:tcPr>
            <w:tcW w:w="134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11/10/2025</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(4)</w:t>
            </w: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44,096</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16,487,053</w:t>
            </w: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w w:val="99"/>
              </w:rPr>
              <w:t>Annual</w:t>
            </w: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11/10/2025</w:t>
            </w:r>
          </w:p>
        </w:tc>
        <w:tc>
          <w:tcPr>
            <w:tcW w:w="11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5"/>
                <w:szCs w:val="15"/>
                <w:color w:val="auto"/>
                <w:w w:val="93"/>
              </w:rPr>
              <w:t>Cash</w:t>
            </w:r>
            <w:r>
              <w:rPr>
                <w:rFonts w:ascii="Times New Roman" w:cs="Times New Roman" w:eastAsia="Times New Roman" w:hAnsi="Times New Roman"/>
                <w:sz w:val="19"/>
                <w:szCs w:val="19"/>
                <w:b w:val="1"/>
                <w:bCs w:val="1"/>
                <w:color w:val="auto"/>
                <w:w w:val="93"/>
                <w:vertAlign w:val="superscript"/>
              </w:rPr>
              <w:t>(5)</w:t>
            </w: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175,000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350,000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700,000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Dev Ittycheria</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3/15/2025</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5"/>
                <w:szCs w:val="15"/>
                <w:color w:val="auto"/>
                <w:w w:val="94"/>
              </w:rPr>
              <w:t>PSU</w:t>
            </w:r>
            <w:r>
              <w:rPr>
                <w:rFonts w:ascii="Times New Roman" w:cs="Times New Roman" w:eastAsia="Times New Roman" w:hAnsi="Times New Roman"/>
                <w:sz w:val="19"/>
                <w:szCs w:val="19"/>
                <w:b w:val="1"/>
                <w:bCs w:val="1"/>
                <w:color w:val="auto"/>
                <w:w w:val="94"/>
                <w:vertAlign w:val="superscript"/>
              </w:rPr>
              <w:t>(6)</w:t>
            </w:r>
          </w:p>
        </w:tc>
        <w:tc>
          <w:tcPr>
            <w:tcW w:w="8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893</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1,785</w:t>
            </w: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3,570</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350,074</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3/20/2025</w:t>
            </w: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(7)</w:t>
            </w:r>
          </w:p>
        </w:tc>
        <w:tc>
          <w:tcPr>
            <w:tcW w:w="8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40,638</w:t>
            </w:r>
          </w:p>
        </w:tc>
        <w:tc>
          <w:tcPr>
            <w:tcW w:w="13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9"/>
              </w:rPr>
              <w:t>7,692,773</w:t>
            </w: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3/20/2025</w:t>
            </w:r>
          </w:p>
        </w:tc>
        <w:tc>
          <w:tcPr>
            <w:tcW w:w="1100" w:type="dxa"/>
            <w:vAlign w:val="bottom"/>
          </w:tcPr>
          <w:p>
            <w:pPr>
              <w:jc w:val="center"/>
              <w:spacing w:after="0" w:line="209" w:lineRule="exact"/>
              <w:rPr>
                <w:sz w:val="20"/>
                <w:szCs w:val="20"/>
                <w:color w:val="auto"/>
              </w:rPr>
            </w:pPr>
            <w:r>
              <w:rPr>
                <w:rFonts w:ascii="Times New Roman" w:cs="Times New Roman" w:eastAsia="Times New Roman" w:hAnsi="Times New Roman"/>
                <w:sz w:val="15"/>
                <w:szCs w:val="15"/>
                <w:color w:val="auto"/>
                <w:w w:val="94"/>
              </w:rPr>
              <w:t>PSU</w:t>
            </w:r>
            <w:r>
              <w:rPr>
                <w:rFonts w:ascii="Times New Roman" w:cs="Times New Roman" w:eastAsia="Times New Roman" w:hAnsi="Times New Roman"/>
                <w:sz w:val="19"/>
                <w:szCs w:val="19"/>
                <w:b w:val="1"/>
                <w:bCs w:val="1"/>
                <w:color w:val="auto"/>
                <w:w w:val="94"/>
                <w:vertAlign w:val="superscript"/>
              </w:rPr>
              <w:t>(7)</w:t>
            </w:r>
          </w:p>
        </w:tc>
        <w:tc>
          <w:tcPr>
            <w:tcW w:w="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20,319</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40,638</w:t>
            </w: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81,276</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9"/>
              </w:rPr>
              <w:t>7,692,773</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Michael Berry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5/27/2025</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(8)</w:t>
            </w: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50,802</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9"/>
              </w:rPr>
              <w:t>9,599,038</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5/27/2025</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(8)</w:t>
            </w: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16,934</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9"/>
              </w:rPr>
              <w:t>3,199,679</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5/27/2025</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99"/>
              </w:rPr>
              <w:t>Annual Cash</w:t>
            </w:r>
            <w:r>
              <w:rPr>
                <w:rFonts w:ascii="Times New Roman" w:cs="Times New Roman" w:eastAsia="Times New Roman" w:hAnsi="Times New Roman"/>
                <w:sz w:val="19"/>
                <w:szCs w:val="19"/>
                <w:b w:val="1"/>
                <w:bCs w:val="1"/>
                <w:color w:val="auto"/>
                <w:w w:val="99"/>
                <w:vertAlign w:val="superscript"/>
              </w:rPr>
              <w:t>(5)</w:t>
            </w: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113,750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227,500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455,000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Srdjan Tanjga</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3/15/2025</w:t>
            </w:r>
          </w:p>
        </w:tc>
        <w:tc>
          <w:tcPr>
            <w:tcW w:w="1100" w:type="dxa"/>
            <w:vAlign w:val="bottom"/>
          </w:tcPr>
          <w:p>
            <w:pPr>
              <w:jc w:val="center"/>
              <w:spacing w:after="0" w:line="203" w:lineRule="exact"/>
              <w:rPr>
                <w:sz w:val="20"/>
                <w:szCs w:val="20"/>
                <w:color w:val="auto"/>
              </w:rPr>
            </w:pPr>
            <w:r>
              <w:rPr>
                <w:rFonts w:ascii="Times New Roman" w:cs="Times New Roman" w:eastAsia="Times New Roman" w:hAnsi="Times New Roman"/>
                <w:sz w:val="15"/>
                <w:szCs w:val="15"/>
                <w:color w:val="auto"/>
                <w:w w:val="94"/>
              </w:rPr>
              <w:t>PSU</w:t>
            </w:r>
            <w:r>
              <w:rPr>
                <w:rFonts w:ascii="Times New Roman" w:cs="Times New Roman" w:eastAsia="Times New Roman" w:hAnsi="Times New Roman"/>
                <w:sz w:val="19"/>
                <w:szCs w:val="19"/>
                <w:b w:val="1"/>
                <w:bCs w:val="1"/>
                <w:color w:val="auto"/>
                <w:w w:val="94"/>
                <w:vertAlign w:val="superscript"/>
              </w:rPr>
              <w:t>(6)</w:t>
            </w:r>
          </w:p>
        </w:tc>
        <w:tc>
          <w:tcPr>
            <w:tcW w:w="8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489</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589</w:t>
            </w:r>
          </w:p>
        </w:tc>
        <w:tc>
          <w:tcPr>
            <w:tcW w:w="100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722</w:t>
            </w:r>
          </w:p>
        </w:tc>
        <w:tc>
          <w:tcPr>
            <w:tcW w:w="1080" w:type="dxa"/>
            <w:vAlign w:val="bottom"/>
          </w:tcPr>
          <w:p>
            <w:pPr>
              <w:spacing w:after="0"/>
              <w:rPr>
                <w:sz w:val="17"/>
                <w:szCs w:val="17"/>
                <w:color w:val="auto"/>
              </w:rPr>
            </w:pPr>
          </w:p>
        </w:tc>
        <w:tc>
          <w:tcPr>
            <w:tcW w:w="13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w w:val="98"/>
              </w:rPr>
              <w:t>115,515</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Cedric Pech</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3/15/2025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Annual Cash</w:t>
            </w:r>
          </w:p>
        </w:tc>
        <w:tc>
          <w:tcPr>
            <w:tcW w:w="8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250,250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500,500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1,001,000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3/20/2025</w:t>
            </w:r>
          </w:p>
        </w:tc>
        <w:tc>
          <w:tcPr>
            <w:tcW w:w="110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5"/>
              </w:rPr>
              <w:t>RSU</w:t>
            </w:r>
            <w:r>
              <w:rPr>
                <w:rFonts w:ascii="Times New Roman" w:cs="Times New Roman" w:eastAsia="Times New Roman" w:hAnsi="Times New Roman"/>
                <w:sz w:val="19"/>
                <w:szCs w:val="19"/>
                <w:b w:val="1"/>
                <w:bCs w:val="1"/>
                <w:color w:val="auto"/>
                <w:w w:val="95"/>
                <w:vertAlign w:val="superscript"/>
              </w:rPr>
              <w:t>(7)</w:t>
            </w: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21,448</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9"/>
              </w:rPr>
              <w:t>4,060,106</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3/20/2025</w:t>
            </w:r>
          </w:p>
        </w:tc>
        <w:tc>
          <w:tcPr>
            <w:tcW w:w="11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5"/>
                <w:szCs w:val="15"/>
                <w:color w:val="auto"/>
                <w:w w:val="94"/>
              </w:rPr>
              <w:t>PSU</w:t>
            </w:r>
            <w:r>
              <w:rPr>
                <w:rFonts w:ascii="Times New Roman" w:cs="Times New Roman" w:eastAsia="Times New Roman" w:hAnsi="Times New Roman"/>
                <w:sz w:val="19"/>
                <w:szCs w:val="19"/>
                <w:b w:val="1"/>
                <w:bCs w:val="1"/>
                <w:color w:val="auto"/>
                <w:w w:val="94"/>
                <w:vertAlign w:val="superscript"/>
              </w:rPr>
              <w:t>(7)</w:t>
            </w: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10,724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21,448</w:t>
            </w:r>
          </w:p>
        </w:tc>
        <w:tc>
          <w:tcPr>
            <w:tcW w:w="1000" w:type="dxa"/>
            <w:vAlign w:val="bottom"/>
            <w:shd w:val="clear" w:color="auto" w:fill="CCEEFF"/>
          </w:tcPr>
          <w:p>
            <w:pPr>
              <w:jc w:val="center"/>
              <w:ind w:right="64"/>
              <w:spacing w:after="0"/>
              <w:rPr>
                <w:sz w:val="20"/>
                <w:szCs w:val="20"/>
                <w:color w:val="auto"/>
              </w:rPr>
            </w:pPr>
            <w:r>
              <w:rPr>
                <w:rFonts w:ascii="Times New Roman" w:cs="Times New Roman" w:eastAsia="Times New Roman" w:hAnsi="Times New Roman"/>
                <w:sz w:val="15"/>
                <w:szCs w:val="15"/>
                <w:color w:val="auto"/>
              </w:rPr>
              <w:t>42,896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36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w w:val="99"/>
              </w:rPr>
              <w:t>4,060,106</w:t>
            </w:r>
          </w:p>
        </w:tc>
        <w:tc>
          <w:tcPr>
            <w:tcW w:w="0" w:type="dxa"/>
            <w:vAlign w:val="bottom"/>
          </w:tcPr>
          <w:p>
            <w:pPr>
              <w:spacing w:after="0"/>
              <w:rPr>
                <w:sz w:val="1"/>
                <w:szCs w:val="1"/>
                <w:color w:val="auto"/>
              </w:rPr>
            </w:pPr>
          </w:p>
        </w:tc>
      </w:tr>
    </w:tbl>
    <w:p>
      <w:pPr>
        <w:spacing w:after="0" w:line="166" w:lineRule="exact"/>
        <w:rPr>
          <w:rFonts w:ascii="Times New Roman" w:cs="Times New Roman" w:eastAsia="Times New Roman" w:hAnsi="Times New Roman"/>
          <w:sz w:val="12"/>
          <w:szCs w:val="12"/>
          <w:b w:val="1"/>
          <w:bCs w:val="1"/>
          <w:color w:val="auto"/>
        </w:rPr>
      </w:pPr>
    </w:p>
    <w:p>
      <w:pPr>
        <w:ind w:left="340" w:right="20" w:hanging="332"/>
        <w:spacing w:after="0" w:line="230" w:lineRule="auto"/>
        <w:tabs>
          <w:tab w:leader="none" w:pos="269"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annual cash bonus target is set and paid in CHF and, for the purposes of the table, converted into U.S. dollars based on the exchange rate as of January 31, 2026 of 1.30 CHF to the U.S. dollar. Actual payout is reported in the “Summary Compensation Table” in the “Non-Equity Incentive Plan Compensation” column.</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tabs>
          <w:tab w:leader="none" w:pos="266"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represent the threshold, target and maximum number of shares that could be earned pursuant to (i) PSUs granted under the long-term incentive program granted on March 20, 2025; (ii) the Senior Leadership Equity Bonus Program in lieu of fiscal year 2026 non-equity incentive compensation on March 15, 2025 and (iii) PSUs granted to Mr. Desai as a one-time sign-on award.</w:t>
      </w:r>
    </w:p>
    <w:p>
      <w:pPr>
        <w:spacing w:after="0" w:line="241" w:lineRule="exact"/>
        <w:rPr>
          <w:rFonts w:ascii="Times New Roman" w:cs="Times New Roman" w:eastAsia="Times New Roman" w:hAnsi="Times New Roman"/>
          <w:sz w:val="19"/>
          <w:szCs w:val="19"/>
          <w:color w:val="auto"/>
          <w:vertAlign w:val="superscript"/>
        </w:rPr>
      </w:pPr>
    </w:p>
    <w:p>
      <w:pPr>
        <w:jc w:val="both"/>
        <w:ind w:left="340" w:hanging="332"/>
        <w:spacing w:after="0" w:line="234" w:lineRule="auto"/>
        <w:tabs>
          <w:tab w:leader="none" w:pos="302"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Time-based RSU awards and performance-based PSU awards are valued based on the grant date fair value. The assumptions used in calculating the grant date fair value of the RSUs and PSUs reported in this column are set forth in Note 11 to our Consolidated Financial Statements included in our Annual Report on Form 10-K for the applicable fiscal year. In the case of PSUs granted to Mr. Desai as a one-time sign-on award, the grant date fair value was calculated based on the application of a Monte Carlo simulation model to determine the probable outcome of the market-based performance conditions based on the applicable performance conditions being achieved at the maximum payout level, which we determined to be the probable outcome as of the grant date. In the case of PSUs granted pursuant to the Senior Leadership Equity Bonus Program and our long-term equity program, the grant date fair value was determined based on the applicable performance conditions being achieved at the target payout level, which we</w:t>
      </w: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00" w:lineRule="exact"/>
        <w:rPr>
          <w:rFonts w:ascii="Times New Roman" w:cs="Times New Roman" w:eastAsia="Times New Roman" w:hAnsi="Times New Roman"/>
          <w:sz w:val="12"/>
          <w:szCs w:val="12"/>
          <w:b w:val="1"/>
          <w:bCs w:val="1"/>
          <w:color w:val="auto"/>
        </w:rPr>
      </w:pPr>
    </w:p>
    <w:p>
      <w:pPr>
        <w:spacing w:after="0" w:line="279" w:lineRule="exact"/>
        <w:rPr>
          <w:rFonts w:ascii="Times New Roman" w:cs="Times New Roman" w:eastAsia="Times New Roman" w:hAnsi="Times New Roman"/>
          <w:sz w:val="12"/>
          <w:szCs w:val="12"/>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14"/>
          <w:szCs w:val="14"/>
          <w:color w:val="auto"/>
        </w:rPr>
        <w:t>determined to be the probable outcome as of the grant date. Assuming that maximum performance is achieved under the Senior Leadership Equity Program and corresponding MBO Plan for Mr. Tanjga, the value of the PSUs made to Messrs. Ittycheria and Tanjga at the date of grant would have been $700,148 and $141,599, respectively. The stock price at the grant date was based on the closing price of our common stock on the grant date, as reported on the Nasdaq as follows: March 15, 2025 ($196.12). Assuming that maximum performance is achieved under the long-term incentive program, the value of the PSUs made to Messrs. Ittycheria and Pech at the date of grant for fiscal year 2026 would have been $15,385,547 and $8,120,213, respectively. The stock price at the grant dates was based on the closing price per share of our common stock on the grant date, as reported on the Nasdaq as follows: March 20, 2025 ($189.30). RSUs for Messrs. Ittycheria and Pech will vest in quarterly installments over four years. RSUs for Mr. Pech vested in quarterly installments until April 15, 2026, and the remaining shares were forfeited in connection with his Separation Agreement. Mr. Ittycheria's RSUs will continue to vest until October 2, 2026 in connection with his Advisory Agreement. One-third of the PSUs granted to Messrs. Ittycheria and Pech under our long-term incentive program vested on April 1, 2026 following the determination by our compensation committee</w:t>
      </w:r>
    </w:p>
    <w:p>
      <w:pPr>
        <w:spacing w:after="0" w:line="3" w:lineRule="exact"/>
        <w:rPr>
          <w:sz w:val="20"/>
          <w:szCs w:val="20"/>
          <w:color w:val="auto"/>
        </w:rPr>
      </w:pPr>
    </w:p>
    <w:p>
      <w:pPr>
        <w:jc w:val="both"/>
        <w:ind w:left="340"/>
        <w:spacing w:after="0" w:line="231" w:lineRule="auto"/>
        <w:rPr>
          <w:sz w:val="20"/>
          <w:szCs w:val="20"/>
          <w:color w:val="auto"/>
        </w:rPr>
      </w:pPr>
      <w:r>
        <w:rPr>
          <w:rFonts w:ascii="Times New Roman" w:cs="Times New Roman" w:eastAsia="Times New Roman" w:hAnsi="Times New Roman"/>
          <w:sz w:val="14"/>
          <w:szCs w:val="14"/>
          <w:color w:val="auto"/>
        </w:rPr>
        <w:t>regarding the underlying performance conditions. For Mr. Ittycheria, the remaining two-thirds of his PSUs will be forfeited upon the termination of his Advisory Agreement, and for Mr. Pech, the remaining two-thirds of his PSUs were forfeited pursuant to his Separation Agreement. PSUs for Messrs. Ittycheria granted under our Senior Leadership Equity Bonus Program</w:t>
      </w:r>
    </w:p>
    <w:p>
      <w:pPr>
        <w:spacing w:after="0" w:line="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4"/>
          <w:szCs w:val="14"/>
          <w:color w:val="auto"/>
        </w:rPr>
        <w:t>vested on April 1, 2026, following the determinations of the award achieved for the full fiscal year 2026. Mr. Tanjga's PSUs were forfeited in connection with his resignation effective May 8, 2025.</w:t>
      </w:r>
    </w:p>
    <w:p>
      <w:pPr>
        <w:spacing w:after="0" w:line="70"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RSUs and PSUs granted to Mr. Desai on November 11, 2025 under the 2016 Plan were pursuant to one-time sign-on awards.</w:t>
      </w:r>
    </w:p>
    <w:p>
      <w:pPr>
        <w:spacing w:after="0" w:line="122" w:lineRule="exact"/>
        <w:rPr>
          <w:rFonts w:ascii="Times New Roman" w:cs="Times New Roman" w:eastAsia="Times New Roman" w:hAnsi="Times New Roman"/>
          <w:sz w:val="9"/>
          <w:szCs w:val="9"/>
          <w:color w:val="auto"/>
        </w:rPr>
      </w:pPr>
    </w:p>
    <w:p>
      <w:pPr>
        <w:ind w:left="340" w:right="20" w:hanging="332"/>
        <w:spacing w:after="0" w:line="230" w:lineRule="auto"/>
        <w:tabs>
          <w:tab w:leader="none" w:pos="318"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the target bonus opportunity granted to Messrs. Desai and Berry. Their actual bonus amounts were prorated based on their time in their time in their respective roles during the performance period.</w:t>
      </w:r>
    </w:p>
    <w:p>
      <w:pPr>
        <w:spacing w:after="0" w:line="95" w:lineRule="exact"/>
        <w:rPr>
          <w:rFonts w:ascii="Times New Roman" w:cs="Times New Roman" w:eastAsia="Times New Roman" w:hAnsi="Times New Roman"/>
          <w:sz w:val="19"/>
          <w:szCs w:val="19"/>
          <w:color w:val="auto"/>
          <w:vertAlign w:val="superscript"/>
        </w:rPr>
      </w:pPr>
    </w:p>
    <w:p>
      <w:pPr>
        <w:ind w:left="340" w:right="20" w:hanging="332"/>
        <w:spacing w:after="0" w:line="221" w:lineRule="auto"/>
        <w:tabs>
          <w:tab w:leader="none" w:pos="279"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and Tanjga on March 15, 2025 under the 2016 Plan were pursuant to the Senior Leadership Equity Bonus Program and corresponding MBO Plan for Mr. Tanjga.</w:t>
      </w:r>
    </w:p>
    <w:p>
      <w:pPr>
        <w:spacing w:after="0" w:line="96"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6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time-based RSUs and PSUs granted to Messrs. Ittycheria and Pech on March 20, 2025 under the 2016 Plan were pursuant to our long-term equity incentive program.</w:t>
      </w:r>
    </w:p>
    <w:p>
      <w:pPr>
        <w:spacing w:after="0" w:line="92"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6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RSU awards granted to Mr. Berry on May 27, 2025 under the 2016 Plan were pursuant to one-time sign-on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January 31, 2026. Mr. Tanjga, who resigned effective May 8, 2025, held no outstanding equity awards as of January 31, 2026 and is therefore not included in the table below. All awards were granted under our 2008 Stock Plan (the “2008 Plan”) or the 2016 Plan.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 Rights That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80" w:type="dxa"/>
            <w:vAlign w:val="bottom"/>
          </w:tcPr>
          <w:p>
            <w:pPr>
              <w:jc w:val="center"/>
              <w:spacing w:after="0" w:line="195" w:lineRule="exact"/>
              <w:rPr>
                <w:sz w:val="20"/>
                <w:szCs w:val="20"/>
                <w:color w:val="auto"/>
              </w:rPr>
            </w:pPr>
            <w:r>
              <w:rPr>
                <w:rFonts w:ascii="Times New Roman" w:cs="Times New Roman" w:eastAsia="Times New Roman" w:hAnsi="Times New Roman"/>
                <w:sz w:val="14"/>
                <w:szCs w:val="14"/>
                <w:b w:val="1"/>
                <w:bCs w:val="1"/>
                <w:color w:val="auto"/>
                <w:w w:val="94"/>
              </w:rPr>
              <w:t>Vested (#)</w:t>
            </w:r>
            <w:r>
              <w:rPr>
                <w:rFonts w:ascii="Times New Roman" w:cs="Times New Roman" w:eastAsia="Times New Roman" w:hAnsi="Times New Roman"/>
                <w:sz w:val="18"/>
                <w:szCs w:val="18"/>
                <w:b w:val="1"/>
                <w:bCs w:val="1"/>
                <w:color w:val="auto"/>
                <w:w w:val="94"/>
                <w:vertAlign w:val="superscript"/>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(3)</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(2)(3)</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9"/>
                <w:szCs w:val="9"/>
                <w:b w:val="1"/>
                <w:bCs w:val="1"/>
                <w:color w:val="auto"/>
              </w:rPr>
              <w:t>(4)</w:t>
            </w:r>
          </w:p>
        </w:tc>
        <w:tc>
          <w:tcPr>
            <w:tcW w:w="10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18"/>
                <w:szCs w:val="18"/>
                <w:b w:val="1"/>
                <w:bCs w:val="1"/>
                <w:color w:val="auto"/>
                <w:w w:val="92"/>
                <w:vertAlign w:val="superscript"/>
              </w:rPr>
              <w:t>(2)(3)</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Chirantan Desai</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11/10/2025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51,445</w:t>
            </w:r>
            <w:r>
              <w:rPr>
                <w:rFonts w:ascii="Times New Roman" w:cs="Times New Roman" w:eastAsia="Times New Roman" w:hAnsi="Times New Roman"/>
                <w:sz w:val="18"/>
                <w:szCs w:val="18"/>
                <w:color w:val="auto"/>
                <w:w w:val="98"/>
                <w:vertAlign w:val="superscript"/>
              </w:rPr>
              <w:t>(4)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19,103,072</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11/10/2025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44,096</w:t>
            </w:r>
            <w:r>
              <w:rPr>
                <w:rFonts w:ascii="Times New Roman" w:cs="Times New Roman" w:eastAsia="Times New Roman" w:hAnsi="Times New Roman"/>
                <w:sz w:val="18"/>
                <w:szCs w:val="18"/>
                <w:color w:val="auto"/>
                <w:w w:val="95"/>
                <w:vertAlign w:val="superscript"/>
              </w:rPr>
              <w:t>(5)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16,374,168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 Ittycheria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453,765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1"/>
        </w:trPr>
        <w:tc>
          <w:tcPr>
            <w:tcW w:w="12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3/24/2023</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11,402</w:t>
            </w:r>
            <w:r>
              <w:rPr>
                <w:rFonts w:ascii="Times New Roman" w:cs="Times New Roman" w:eastAsia="Times New Roman" w:hAnsi="Times New Roman"/>
                <w:sz w:val="18"/>
                <w:szCs w:val="18"/>
                <w:color w:val="auto"/>
                <w:w w:val="95"/>
                <w:vertAlign w:val="superscript"/>
              </w:rPr>
              <w:t>(6)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4,233,905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3/24/2023</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10,480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3,891,538</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1"/>
        </w:trPr>
        <w:tc>
          <w:tcPr>
            <w:tcW w:w="12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13,789</w:t>
            </w:r>
            <w:r>
              <w:rPr>
                <w:rFonts w:ascii="Times New Roman" w:cs="Times New Roman" w:eastAsia="Times New Roman" w:hAnsi="Times New Roman"/>
                <w:sz w:val="18"/>
                <w:szCs w:val="18"/>
                <w:color w:val="auto"/>
                <w:w w:val="95"/>
                <w:vertAlign w:val="superscript"/>
              </w:rPr>
              <w:t>(7)</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5,120,269</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11,635</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4,320,425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3/15/2025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463,791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1"/>
        </w:trPr>
        <w:tc>
          <w:tcPr>
            <w:tcW w:w="12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61,364</w:t>
            </w:r>
            <w:r>
              <w:rPr>
                <w:rFonts w:ascii="Times New Roman" w:cs="Times New Roman" w:eastAsia="Times New Roman" w:hAnsi="Times New Roman"/>
                <w:sz w:val="18"/>
                <w:szCs w:val="18"/>
                <w:color w:val="auto"/>
                <w:w w:val="95"/>
                <w:vertAlign w:val="superscript"/>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22,786,294</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33,019</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12,260,945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37"/>
        </w:trPr>
        <w:tc>
          <w:tcPr>
            <w:tcW w:w="1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Berry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5/27/2025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50,802</w:t>
            </w:r>
            <w:r>
              <w:rPr>
                <w:rFonts w:ascii="Times New Roman" w:cs="Times New Roman" w:eastAsia="Times New Roman" w:hAnsi="Times New Roman"/>
                <w:sz w:val="18"/>
                <w:szCs w:val="18"/>
                <w:color w:val="auto"/>
                <w:w w:val="95"/>
                <w:vertAlign w:val="superscript"/>
              </w:rPr>
              <w:t>(9)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18,864,307</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5/27/2025</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16,934</w:t>
            </w:r>
            <w:r>
              <w:rPr>
                <w:rFonts w:ascii="Times New Roman" w:cs="Times New Roman" w:eastAsia="Times New Roman" w:hAnsi="Times New Roman"/>
                <w:sz w:val="18"/>
                <w:szCs w:val="18"/>
                <w:color w:val="auto"/>
                <w:w w:val="95"/>
                <w:vertAlign w:val="superscript"/>
              </w:rPr>
              <w:t>(9)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6,288,102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Cedric Pech</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3/11/2022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253,618</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1"/>
        </w:trPr>
        <w:tc>
          <w:tcPr>
            <w:tcW w:w="12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3/24/2023</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5,574</w:t>
            </w:r>
            <w:r>
              <w:rPr>
                <w:rFonts w:ascii="Times New Roman" w:cs="Times New Roman" w:eastAsia="Times New Roman" w:hAnsi="Times New Roman"/>
                <w:sz w:val="18"/>
                <w:szCs w:val="18"/>
                <w:color w:val="auto"/>
                <w:w w:val="96"/>
                <w:vertAlign w:val="superscript"/>
              </w:rPr>
              <w:t>(6)</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2,069,793</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3/24/2023</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5,123</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1,902,324</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6,489</w:t>
            </w:r>
            <w:r>
              <w:rPr>
                <w:rFonts w:ascii="Times New Roman" w:cs="Times New Roman" w:eastAsia="Times New Roman" w:hAnsi="Times New Roman"/>
                <w:sz w:val="18"/>
                <w:szCs w:val="18"/>
                <w:color w:val="auto"/>
                <w:w w:val="96"/>
                <w:vertAlign w:val="superscript"/>
              </w:rPr>
              <w:t>(7)</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2,409,560</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3/22/2024</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5,475</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2,033,032</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32,387</w:t>
            </w:r>
            <w:r>
              <w:rPr>
                <w:rFonts w:ascii="Times New Roman" w:cs="Times New Roman" w:eastAsia="Times New Roman" w:hAnsi="Times New Roman"/>
                <w:sz w:val="18"/>
                <w:szCs w:val="18"/>
                <w:color w:val="auto"/>
                <w:w w:val="95"/>
                <w:vertAlign w:val="superscript"/>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12,026,265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3/20/2025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17,427</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6,471,168</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279"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RSUs granted to Messrs. Ittycheria and Pech on March 11, 2022 vest in quarterly installments over four years measured from April 1, 2022. The RSUs granted to Messrs. Ittycheria and Pech on March 24, 2023 vest in quarterly installments over four years measured from April 1, 2023. The RSUs granted to Messrs. Ittycheria and Pech on March 22, 2024 vest in quarterly installments over four years measured from April 1, 2024. The RSUs granted to Messrs. Ittycheria and Pech on March 20, 2025 vest in quarterly installments over four years measured from April 1, 2025.</w:t>
      </w:r>
    </w:p>
    <w:p>
      <w:pPr>
        <w:spacing w:after="0" w:line="225"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Market value is calculated based on the closing price of our common stock on January 30, 2026 ($371.33), as reported on the Nasdaq.</w:t>
      </w:r>
    </w:p>
    <w:p>
      <w:pPr>
        <w:spacing w:after="0" w:line="81" w:lineRule="exact"/>
        <w:rPr>
          <w:rFonts w:ascii="Times New Roman" w:cs="Times New Roman" w:eastAsia="Times New Roman" w:hAnsi="Times New Roman"/>
          <w:sz w:val="19"/>
          <w:szCs w:val="19"/>
          <w:color w:val="auto"/>
          <w:vertAlign w:val="superscript"/>
        </w:rPr>
      </w:pPr>
    </w:p>
    <w:p>
      <w:pPr>
        <w:ind w:left="340" w:hanging="332"/>
        <w:spacing w:after="0" w:line="279" w:lineRule="auto"/>
        <w:tabs>
          <w:tab w:leader="none" w:pos="262" w:val="left"/>
        </w:tabs>
        <w:numPr>
          <w:ilvl w:val="0"/>
          <w:numId w:val="6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unvested shares of common stock underlying these awards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 including performance-based awards that will accelerate and vest based on the greater of the award recipient’s target performance rate or actual performance as of the award recipient’s date of termination.</w:t>
      </w:r>
    </w:p>
    <w:p>
      <w:pPr>
        <w:spacing w:after="0" w:line="248" w:lineRule="exact"/>
        <w:rPr>
          <w:rFonts w:ascii="Times New Roman" w:cs="Times New Roman" w:eastAsia="Times New Roman" w:hAnsi="Times New Roman"/>
          <w:sz w:val="9"/>
          <w:szCs w:val="9"/>
          <w:color w:val="auto"/>
        </w:rPr>
      </w:pPr>
    </w:p>
    <w:p>
      <w:pPr>
        <w:jc w:val="both"/>
        <w:ind w:left="340" w:hanging="332"/>
        <w:spacing w:after="0" w:line="233" w:lineRule="auto"/>
        <w:tabs>
          <w:tab w:leader="none" w:pos="363"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PSUs granted to Mr. Desai pursuant to his sign-on PSU award that are earned, if at all, based upon certain achievement levels related to our stock price during the five year performance period, as described in the section titled "Executive Compensation—Executive Leadership Transitions in Fiscal Year 2026" above. The number of shares is reported assuming target (100%) achievement for PSUs since no shares have vested as of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right="20" w:hanging="332"/>
        <w:spacing w:after="0" w:line="230" w:lineRule="auto"/>
        <w:tabs>
          <w:tab w:leader="none" w:pos="271"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RSUs granted to Mr. Desai vest over two years in eight equal quarterly installments measured from April 1, 2026. The RSUs are also subject to a one-year holding period following each such RSU’s applicable vesting date.</w:t>
      </w:r>
    </w:p>
    <w:p>
      <w:pPr>
        <w:spacing w:after="0" w:line="95" w:lineRule="exact"/>
        <w:rPr>
          <w:rFonts w:ascii="Times New Roman" w:cs="Times New Roman" w:eastAsia="Times New Roman" w:hAnsi="Times New Roman"/>
          <w:sz w:val="19"/>
          <w:szCs w:val="19"/>
          <w:color w:val="auto"/>
          <w:vertAlign w:val="superscript"/>
        </w:rPr>
      </w:pPr>
    </w:p>
    <w:p>
      <w:pPr>
        <w:ind w:left="340" w:right="20" w:hanging="332"/>
        <w:spacing w:after="0" w:line="221" w:lineRule="auto"/>
        <w:tabs>
          <w:tab w:leader="none" w:pos="299"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and Pech pursuant to our long-term incentive program vest in equal, annual installments over three years measured from April 1, 2023 and subject to Company performance. Amounts reported represent 151% achievement of corporate performance goals for fiscal year 2024.</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255"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and Pech pursuant to our long-term incentive program vest in equal, annual installments over three years measured from April 1, 2024 and subject to Company performance. Amounts reported represent 82% achievement of corporate performance goals for fiscal year 2025.</w:t>
      </w:r>
    </w:p>
    <w:p>
      <w:pPr>
        <w:spacing w:after="0" w:line="95" w:lineRule="exact"/>
        <w:rPr>
          <w:rFonts w:ascii="Times New Roman" w:cs="Times New Roman" w:eastAsia="Times New Roman" w:hAnsi="Times New Roman"/>
          <w:sz w:val="19"/>
          <w:szCs w:val="19"/>
          <w:color w:val="auto"/>
          <w:vertAlign w:val="superscript"/>
        </w:rPr>
      </w:pPr>
    </w:p>
    <w:p>
      <w:pPr>
        <w:ind w:left="340" w:right="20" w:hanging="332"/>
        <w:spacing w:after="0" w:line="230" w:lineRule="auto"/>
        <w:tabs>
          <w:tab w:leader="none" w:pos="312"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PSUs granted to Messrs. Ittycheria and Pech pursuant to our long-term incentive program vest in equal, annual installments over three years measured from April 1, 2025 and subject to Company performance. Amounts reported represent 151% achievement of corporate performance goals for fiscal year 2026.</w:t>
      </w:r>
    </w:p>
    <w:p>
      <w:pPr>
        <w:spacing w:after="0" w:line="81" w:lineRule="exact"/>
        <w:rPr>
          <w:rFonts w:ascii="Times New Roman" w:cs="Times New Roman" w:eastAsia="Times New Roman" w:hAnsi="Times New Roman"/>
          <w:sz w:val="19"/>
          <w:szCs w:val="19"/>
          <w:color w:val="auto"/>
          <w:vertAlign w:val="superscript"/>
        </w:rPr>
      </w:pPr>
    </w:p>
    <w:p>
      <w:pPr>
        <w:ind w:left="340" w:hanging="332"/>
        <w:spacing w:after="0" w:line="302" w:lineRule="auto"/>
        <w:tabs>
          <w:tab w:leader="none" w:pos="306"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Each of the RSU awards granted to Mr. Berry on May 27, 2025 vests over four years, with 25% of the RSU vesting after 12 months of continuous service from the vesting start date of July 1, 2025, and the balance vesting in quarterly installments over the remaining 12 quarters of continuous service.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exercise of all stock options and vesting of all stock awards for the named executive officers during the fiscal year ended January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47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6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37"/>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Value Realized on Exercise</w:t>
            </w:r>
          </w:p>
        </w:tc>
        <w:tc>
          <w:tcPr>
            <w:tcW w:w="16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2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Value Realized on Vesting ($)</w:t>
            </w:r>
          </w:p>
        </w:tc>
        <w:tc>
          <w:tcPr>
            <w:tcW w:w="0" w:type="dxa"/>
            <w:vAlign w:val="bottom"/>
          </w:tcPr>
          <w:p>
            <w:pPr>
              <w:spacing w:after="0"/>
              <w:rPr>
                <w:sz w:val="1"/>
                <w:szCs w:val="1"/>
                <w:color w:val="auto"/>
              </w:rPr>
            </w:pPr>
          </w:p>
        </w:tc>
      </w:tr>
      <w:tr>
        <w:trPr>
          <w:trHeight w:val="175"/>
        </w:trPr>
        <w:tc>
          <w:tcPr>
            <w:tcW w:w="1660" w:type="dxa"/>
            <w:vAlign w:val="bottom"/>
            <w:tcBorders>
              <w:bottom w:val="single" w:sz="8" w:color="auto"/>
            </w:tcBorders>
            <w:vMerge w:val="continue"/>
          </w:tcPr>
          <w:p>
            <w:pPr>
              <w:spacing w:after="0"/>
              <w:rPr>
                <w:sz w:val="15"/>
                <w:szCs w:val="15"/>
                <w:color w:val="auto"/>
              </w:rPr>
            </w:pPr>
          </w:p>
        </w:tc>
        <w:tc>
          <w:tcPr>
            <w:tcW w:w="23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Exercise (#)</w:t>
            </w:r>
          </w:p>
        </w:tc>
        <w:tc>
          <w:tcPr>
            <w:tcW w:w="22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20"/>
                <w:szCs w:val="20"/>
                <w:b w:val="1"/>
                <w:bCs w:val="1"/>
                <w:color w:val="auto"/>
                <w:w w:val="99"/>
                <w:vertAlign w:val="superscript"/>
              </w:rPr>
              <w:t>(1)</w:t>
            </w:r>
          </w:p>
        </w:tc>
        <w:tc>
          <w:tcPr>
            <w:tcW w:w="16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on Vesting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0" w:type="dxa"/>
            <w:vAlign w:val="bottom"/>
          </w:tcPr>
          <w:p>
            <w:pPr>
              <w:spacing w:after="0"/>
              <w:rPr>
                <w:sz w:val="1"/>
                <w:szCs w:val="1"/>
                <w:color w:val="auto"/>
              </w:rPr>
            </w:pPr>
          </w:p>
        </w:tc>
      </w:tr>
      <w:tr>
        <w:trPr>
          <w:trHeight w:val="311"/>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Chirantan Desai</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 Ittycheria</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21,366</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5,139,843</w:t>
            </w:r>
          </w:p>
        </w:tc>
        <w:tc>
          <w:tcPr>
            <w:tcW w:w="1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58,079</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13,266,379</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Berry</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Srdjan Tanjga</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1,279</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224,337</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Cedric Pech</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28,677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6,542,839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302" w:lineRule="auto"/>
        <w:tabs>
          <w:tab w:leader="none" w:pos="284" w:val="left"/>
        </w:tabs>
        <w:numPr>
          <w:ilvl w:val="0"/>
          <w:numId w:val="6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value realized on exercise is calculated as the difference between the market value of our common stock underlying the options on the date of exercise and the applicable exercise price of those options. The value does not reflect actual proceeds received.</w:t>
      </w:r>
    </w:p>
    <w:p>
      <w:pPr>
        <w:spacing w:after="0" w:line="53" w:lineRule="exact"/>
        <w:rPr>
          <w:rFonts w:ascii="Times New Roman" w:cs="Times New Roman" w:eastAsia="Times New Roman" w:hAnsi="Times New Roman"/>
          <w:sz w:val="9"/>
          <w:szCs w:val="9"/>
          <w:color w:val="auto"/>
        </w:rPr>
      </w:pPr>
    </w:p>
    <w:p>
      <w:pPr>
        <w:ind w:left="340" w:hanging="332"/>
        <w:spacing w:after="0" w:line="230" w:lineRule="auto"/>
        <w:tabs>
          <w:tab w:leader="none" w:pos="269"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realized on vesting is calculated by multiplying the number of shares of common stock by the market value of our common stock on the applicable vesting date and does not reflect actual proceeds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2026, including in connection with a change in control as of January 31, 2026. There are no potential payments or benefits in the case of termination for cause, voluntary termination, disability or death.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Continuation of</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Cash-Eligible</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of Equity</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96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0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(3)</w:t>
            </w:r>
          </w:p>
        </w:tc>
        <w:tc>
          <w:tcPr>
            <w:tcW w:w="13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Coverage</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vMerge w:val="continue"/>
          </w:tcPr>
          <w:p>
            <w:pPr>
              <w:spacing w:after="0"/>
              <w:rPr>
                <w:sz w:val="18"/>
                <w:szCs w:val="18"/>
                <w:color w:val="auto"/>
              </w:rPr>
            </w:pPr>
          </w:p>
        </w:tc>
        <w:tc>
          <w:tcPr>
            <w:tcW w:w="29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7"/>
              </w:rPr>
              <w:t>Bonus ($)</w:t>
            </w:r>
            <w:r>
              <w:rPr>
                <w:rFonts w:ascii="Times New Roman" w:cs="Times New Roman" w:eastAsia="Times New Roman" w:hAnsi="Times New Roman"/>
                <w:sz w:val="21"/>
                <w:szCs w:val="21"/>
                <w:b w:val="1"/>
                <w:bCs w:val="1"/>
                <w:color w:val="auto"/>
                <w:w w:val="97"/>
                <w:vertAlign w:val="superscript"/>
              </w:rPr>
              <w:t>(2)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Chirantan Desai</w:t>
            </w:r>
          </w:p>
        </w:tc>
        <w:tc>
          <w:tcPr>
            <w:tcW w:w="296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6"/>
                <w:szCs w:val="16"/>
                <w:color w:val="auto"/>
              </w:rPr>
              <w:t>Termination Without Cause or Resignation</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39,774</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539,774</w:t>
            </w:r>
          </w:p>
        </w:tc>
        <w:tc>
          <w:tcPr>
            <w:tcW w:w="0" w:type="dxa"/>
            <w:vAlign w:val="bottom"/>
          </w:tcPr>
          <w:p>
            <w:pPr>
              <w:spacing w:after="0"/>
              <w:rPr>
                <w:sz w:val="1"/>
                <w:szCs w:val="1"/>
                <w:color w:val="auto"/>
              </w:rPr>
            </w:pPr>
          </w:p>
        </w:tc>
      </w:tr>
      <w:tr>
        <w:trPr>
          <w:trHeight w:val="129"/>
        </w:trPr>
        <w:tc>
          <w:tcPr>
            <w:tcW w:w="1400" w:type="dxa"/>
            <w:vAlign w:val="bottom"/>
            <w:shd w:val="clear" w:color="auto" w:fill="CCEEFF"/>
          </w:tcPr>
          <w:p>
            <w:pPr>
              <w:spacing w:after="0"/>
              <w:rPr>
                <w:sz w:val="11"/>
                <w:szCs w:val="11"/>
                <w:color w:val="auto"/>
              </w:rPr>
            </w:pPr>
          </w:p>
        </w:tc>
        <w:tc>
          <w:tcPr>
            <w:tcW w:w="29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 Good Reason</w:t>
            </w:r>
          </w:p>
        </w:tc>
        <w:tc>
          <w:tcPr>
            <w:tcW w:w="106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00" w:type="dxa"/>
            <w:vAlign w:val="bottom"/>
            <w:shd w:val="clear" w:color="auto" w:fill="CCEEFF"/>
          </w:tcPr>
          <w:p>
            <w:pPr>
              <w:spacing w:after="0"/>
              <w:rPr>
                <w:sz w:val="7"/>
                <w:szCs w:val="7"/>
                <w:color w:val="auto"/>
              </w:rPr>
            </w:pPr>
          </w:p>
        </w:tc>
        <w:tc>
          <w:tcPr>
            <w:tcW w:w="2960" w:type="dxa"/>
            <w:vAlign w:val="bottom"/>
            <w:vMerge w:val="continue"/>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114,133</w:t>
            </w:r>
          </w:p>
        </w:tc>
        <w:tc>
          <w:tcPr>
            <w:tcW w:w="12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350,000</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35,477,240</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39,774</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36,481,147</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14"/>
                <w:szCs w:val="14"/>
                <w:color w:val="auto"/>
              </w:rPr>
            </w:pPr>
          </w:p>
        </w:tc>
        <w:tc>
          <w:tcPr>
            <w:tcW w:w="29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for Good Reason in Connection with a</w:t>
            </w:r>
          </w:p>
        </w:tc>
        <w:tc>
          <w:tcPr>
            <w:tcW w:w="106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296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1"/>
                <w:szCs w:val="21"/>
                <w:color w:val="auto"/>
                <w:vertAlign w:val="superscript"/>
              </w:rPr>
              <w:t>(4)(5)</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34" w:lineRule="auto"/>
        <w:tabs>
          <w:tab w:leader="none" w:pos="1440" w:val="left"/>
        </w:tabs>
        <w:rPr>
          <w:sz w:val="20"/>
          <w:szCs w:val="20"/>
          <w:color w:val="auto"/>
        </w:rPr>
      </w:pPr>
      <w:r>
        <w:rPr>
          <w:rFonts w:ascii="Times New Roman" w:cs="Times New Roman" w:eastAsia="Times New Roman" w:hAnsi="Times New Roman"/>
          <w:sz w:val="15"/>
          <w:szCs w:val="15"/>
          <w:color w:val="auto"/>
        </w:rPr>
        <w:t>Dev Ittycheria</w:t>
      </w:r>
      <w:r>
        <w:rPr>
          <w:rFonts w:ascii="Times New Roman" w:cs="Times New Roman" w:eastAsia="Times New Roman" w:hAnsi="Times New Roman"/>
          <w:sz w:val="20"/>
          <w:szCs w:val="20"/>
          <w:color w:val="auto"/>
          <w:vertAlign w:val="superscript"/>
        </w:rPr>
        <w:t>(6)</w:t>
      </w:r>
      <w:r>
        <w:rPr>
          <w:sz w:val="20"/>
          <w:szCs w:val="20"/>
          <w:color w:val="auto"/>
        </w:rPr>
        <w:tab/>
      </w:r>
      <w:r>
        <w:rPr>
          <w:rFonts w:ascii="Times New Roman" w:cs="Times New Roman" w:eastAsia="Times New Roman" w:hAnsi="Times New Roman"/>
          <w:sz w:val="16"/>
          <w:szCs w:val="16"/>
          <w:color w:val="auto"/>
        </w:rPr>
        <w:t>Termination Without Cause or Resignation</w:t>
      </w:r>
    </w:p>
    <w:p>
      <w:pPr>
        <w:ind w:left="1460"/>
        <w:spacing w:after="0"/>
        <w:rPr>
          <w:sz w:val="20"/>
          <w:szCs w:val="20"/>
          <w:color w:val="auto"/>
        </w:rPr>
      </w:pPr>
      <w:r>
        <w:rPr>
          <w:rFonts w:ascii="Times New Roman" w:cs="Times New Roman" w:eastAsia="Times New Roman" w:hAnsi="Times New Roman"/>
          <w:sz w:val="16"/>
          <w:szCs w:val="16"/>
          <w:color w:val="auto"/>
        </w:rPr>
        <w:t>for Good Reason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Termination Without Cause or Resignation</w:t>
      </w:r>
    </w:p>
    <w:p>
      <w:pPr>
        <w:ind w:left="1460" w:right="280"/>
        <w:spacing w:after="0" w:line="202" w:lineRule="auto"/>
        <w:rPr>
          <w:sz w:val="20"/>
          <w:szCs w:val="20"/>
          <w:color w:val="auto"/>
        </w:rPr>
      </w:pPr>
      <w:r>
        <w:rPr>
          <w:rFonts w:ascii="Times New Roman" w:cs="Times New Roman" w:eastAsia="Times New Roman" w:hAnsi="Times New Roman"/>
          <w:sz w:val="16"/>
          <w:szCs w:val="16"/>
          <w:color w:val="auto"/>
        </w:rPr>
        <w:t>for Good Reason in Connection with a Change in Control</w:t>
      </w:r>
      <w:r>
        <w:rPr>
          <w:rFonts w:ascii="Times New Roman" w:cs="Times New Roman" w:eastAsia="Times New Roman" w:hAnsi="Times New Roman"/>
          <w:sz w:val="21"/>
          <w:szCs w:val="21"/>
          <w:color w:val="auto"/>
          <w:vertAlign w:val="superscript"/>
        </w:rPr>
        <w:t>(4)(5)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tabs>
          <w:tab w:leader="none" w:pos="900" w:val="left"/>
          <w:tab w:leader="none" w:pos="1980" w:val="left"/>
          <w:tab w:leader="none" w:pos="3280" w:val="left"/>
          <w:tab w:leader="none" w:pos="4560" w:val="left"/>
          <w:tab w:leader="none" w:pos="5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5" w:lineRule="exact"/>
        <w:rPr>
          <w:sz w:val="20"/>
          <w:szCs w:val="20"/>
          <w:color w:val="auto"/>
        </w:rPr>
      </w:pPr>
    </w:p>
    <w:p>
      <w:pPr>
        <w:spacing w:after="0"/>
        <w:tabs>
          <w:tab w:leader="none" w:pos="900" w:val="left"/>
          <w:tab w:leader="none" w:pos="1980" w:val="left"/>
          <w:tab w:leader="none" w:pos="3280" w:val="left"/>
          <w:tab w:leader="none" w:pos="4560" w:val="left"/>
          <w:tab w:leader="none" w:pos="5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sectPr>
          <w:pgSz w:w="11900" w:h="16838" w:orient="portrait"/>
          <w:cols w:equalWidth="0" w:num="2">
            <w:col w:w="4240" w:space="560"/>
            <w:col w:w="64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Michael Berry</w:t>
            </w:r>
          </w:p>
        </w:tc>
        <w:tc>
          <w:tcPr>
            <w:tcW w:w="30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Termination Without Cause or Resignation</w:t>
            </w:r>
          </w:p>
        </w:tc>
        <w:tc>
          <w:tcPr>
            <w:tcW w:w="9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175,000</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11,038</w:t>
            </w:r>
          </w:p>
        </w:tc>
        <w:tc>
          <w:tcPr>
            <w:tcW w:w="126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186,038</w:t>
            </w:r>
          </w:p>
        </w:tc>
        <w:tc>
          <w:tcPr>
            <w:tcW w:w="0" w:type="dxa"/>
            <w:vAlign w:val="bottom"/>
          </w:tcPr>
          <w:p>
            <w:pPr>
              <w:spacing w:after="0"/>
              <w:rPr>
                <w:sz w:val="1"/>
                <w:szCs w:val="1"/>
                <w:color w:val="auto"/>
              </w:rPr>
            </w:pPr>
          </w:p>
        </w:tc>
      </w:tr>
      <w:tr>
        <w:trPr>
          <w:trHeight w:val="129"/>
        </w:trPr>
        <w:tc>
          <w:tcPr>
            <w:tcW w:w="1400" w:type="dxa"/>
            <w:vAlign w:val="bottom"/>
            <w:shd w:val="clear" w:color="auto" w:fill="CCEEFF"/>
          </w:tcPr>
          <w:p>
            <w:pPr>
              <w:spacing w:after="0"/>
              <w:rPr>
                <w:sz w:val="11"/>
                <w:szCs w:val="11"/>
                <w:color w:val="auto"/>
              </w:rPr>
            </w:pPr>
          </w:p>
        </w:tc>
        <w:tc>
          <w:tcPr>
            <w:tcW w:w="30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 Good Reason</w:t>
            </w:r>
          </w:p>
        </w:tc>
        <w:tc>
          <w:tcPr>
            <w:tcW w:w="90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00" w:type="dxa"/>
            <w:vAlign w:val="bottom"/>
            <w:shd w:val="clear" w:color="auto" w:fill="CCEEFF"/>
          </w:tcPr>
          <w:p>
            <w:pPr>
              <w:spacing w:after="0"/>
              <w:rPr>
                <w:sz w:val="7"/>
                <w:szCs w:val="7"/>
                <w:color w:val="auto"/>
              </w:rPr>
            </w:pPr>
          </w:p>
        </w:tc>
        <w:tc>
          <w:tcPr>
            <w:tcW w:w="304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304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w:t>
            </w:r>
          </w:p>
        </w:tc>
        <w:tc>
          <w:tcPr>
            <w:tcW w:w="9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175,000</w:t>
            </w:r>
          </w:p>
        </w:tc>
        <w:tc>
          <w:tcPr>
            <w:tcW w:w="100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226,581</w:t>
            </w:r>
          </w:p>
        </w:tc>
        <w:tc>
          <w:tcPr>
            <w:tcW w:w="11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113,750</w:t>
            </w:r>
          </w:p>
        </w:tc>
        <w:tc>
          <w:tcPr>
            <w:tcW w:w="140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25,152,409</w:t>
            </w:r>
          </w:p>
        </w:tc>
        <w:tc>
          <w:tcPr>
            <w:tcW w:w="11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11,038</w:t>
            </w:r>
          </w:p>
        </w:tc>
        <w:tc>
          <w:tcPr>
            <w:tcW w:w="12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25,678,778</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14"/>
                <w:szCs w:val="14"/>
                <w:color w:val="auto"/>
              </w:rPr>
            </w:pPr>
          </w:p>
        </w:tc>
        <w:tc>
          <w:tcPr>
            <w:tcW w:w="30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for Good Reason in Connection with a</w:t>
            </w:r>
          </w:p>
        </w:tc>
        <w:tc>
          <w:tcPr>
            <w:tcW w:w="9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304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1"/>
                <w:szCs w:val="21"/>
                <w:color w:val="auto"/>
                <w:vertAlign w:val="superscript"/>
              </w:rPr>
              <w:t>(4)(5)</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ind w:left="20"/>
        <w:spacing w:after="0" w:line="234" w:lineRule="auto"/>
        <w:tabs>
          <w:tab w:leader="none" w:pos="1440" w:val="left"/>
        </w:tabs>
        <w:rPr>
          <w:sz w:val="20"/>
          <w:szCs w:val="20"/>
          <w:color w:val="auto"/>
        </w:rPr>
      </w:pPr>
      <w:r>
        <w:rPr>
          <w:rFonts w:ascii="Times New Roman" w:cs="Times New Roman" w:eastAsia="Times New Roman" w:hAnsi="Times New Roman"/>
          <w:sz w:val="15"/>
          <w:szCs w:val="15"/>
          <w:color w:val="auto"/>
        </w:rPr>
        <w:t>Srdjan Tanjga</w:t>
      </w:r>
      <w:r>
        <w:rPr>
          <w:rFonts w:ascii="Times New Roman" w:cs="Times New Roman" w:eastAsia="Times New Roman" w:hAnsi="Times New Roman"/>
          <w:sz w:val="20"/>
          <w:szCs w:val="20"/>
          <w:color w:val="auto"/>
          <w:vertAlign w:val="superscript"/>
        </w:rPr>
        <w:t>(7)</w:t>
      </w:r>
      <w:r>
        <w:rPr>
          <w:sz w:val="20"/>
          <w:szCs w:val="20"/>
          <w:color w:val="auto"/>
        </w:rPr>
        <w:tab/>
      </w:r>
      <w:r>
        <w:rPr>
          <w:rFonts w:ascii="Times New Roman" w:cs="Times New Roman" w:eastAsia="Times New Roman" w:hAnsi="Times New Roman"/>
          <w:sz w:val="16"/>
          <w:szCs w:val="16"/>
          <w:color w:val="auto"/>
        </w:rPr>
        <w:t>Termination Without Cause or Resignation</w:t>
      </w:r>
    </w:p>
    <w:p>
      <w:pPr>
        <w:ind w:left="1460"/>
        <w:spacing w:after="0"/>
        <w:rPr>
          <w:sz w:val="20"/>
          <w:szCs w:val="20"/>
          <w:color w:val="auto"/>
        </w:rPr>
      </w:pPr>
      <w:r>
        <w:rPr>
          <w:rFonts w:ascii="Times New Roman" w:cs="Times New Roman" w:eastAsia="Times New Roman" w:hAnsi="Times New Roman"/>
          <w:sz w:val="16"/>
          <w:szCs w:val="16"/>
          <w:color w:val="auto"/>
        </w:rPr>
        <w:t>for Good Reason</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Termination Without Cause or Resignation</w:t>
      </w:r>
    </w:p>
    <w:p>
      <w:pPr>
        <w:ind w:left="1460" w:right="280"/>
        <w:spacing w:after="0" w:line="202" w:lineRule="auto"/>
        <w:rPr>
          <w:sz w:val="20"/>
          <w:szCs w:val="20"/>
          <w:color w:val="auto"/>
        </w:rPr>
      </w:pPr>
      <w:r>
        <w:rPr>
          <w:rFonts w:ascii="Times New Roman" w:cs="Times New Roman" w:eastAsia="Times New Roman" w:hAnsi="Times New Roman"/>
          <w:sz w:val="16"/>
          <w:szCs w:val="16"/>
          <w:color w:val="auto"/>
        </w:rPr>
        <w:t>for Good Reason in Connection with a Change in Control</w:t>
      </w:r>
      <w:r>
        <w:rPr>
          <w:rFonts w:ascii="Times New Roman" w:cs="Times New Roman" w:eastAsia="Times New Roman" w:hAnsi="Times New Roman"/>
          <w:sz w:val="21"/>
          <w:szCs w:val="21"/>
          <w:color w:val="auto"/>
          <w:vertAlign w:val="superscript"/>
        </w:rPr>
        <w:t>(4)(5)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tabs>
          <w:tab w:leader="none" w:pos="900" w:val="left"/>
          <w:tab w:leader="none" w:pos="1980" w:val="left"/>
          <w:tab w:leader="none" w:pos="3280" w:val="left"/>
          <w:tab w:leader="none" w:pos="4560" w:val="left"/>
          <w:tab w:leader="none" w:pos="5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5" w:lineRule="exact"/>
        <w:rPr>
          <w:sz w:val="20"/>
          <w:szCs w:val="20"/>
          <w:color w:val="auto"/>
        </w:rPr>
      </w:pPr>
    </w:p>
    <w:p>
      <w:pPr>
        <w:spacing w:after="0"/>
        <w:tabs>
          <w:tab w:leader="none" w:pos="900" w:val="left"/>
          <w:tab w:leader="none" w:pos="1980" w:val="left"/>
          <w:tab w:leader="none" w:pos="3280" w:val="left"/>
          <w:tab w:leader="none" w:pos="4560" w:val="left"/>
          <w:tab w:leader="none" w:pos="57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sectPr>
          <w:pgSz w:w="11900" w:h="16838" w:orient="portrait"/>
          <w:cols w:equalWidth="0" w:num="2">
            <w:col w:w="4240" w:space="560"/>
            <w:col w:w="64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14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5"/>
                <w:szCs w:val="15"/>
                <w:color w:val="auto"/>
              </w:rPr>
              <w:t>Cedric Pech</w:t>
            </w:r>
            <w:r>
              <w:rPr>
                <w:rFonts w:ascii="Times New Roman" w:cs="Times New Roman" w:eastAsia="Times New Roman" w:hAnsi="Times New Roman"/>
                <w:sz w:val="19"/>
                <w:szCs w:val="19"/>
                <w:color w:val="auto"/>
                <w:vertAlign w:val="superscript"/>
              </w:rPr>
              <w:t>(4)(8)</w:t>
            </w:r>
          </w:p>
        </w:tc>
        <w:tc>
          <w:tcPr>
            <w:tcW w:w="304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Termination Without Cause or Resignation</w:t>
            </w:r>
          </w:p>
        </w:tc>
        <w:tc>
          <w:tcPr>
            <w:tcW w:w="9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178,750</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3,501</w:t>
            </w:r>
          </w:p>
        </w:tc>
        <w:tc>
          <w:tcPr>
            <w:tcW w:w="126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182,251</w:t>
            </w:r>
          </w:p>
        </w:tc>
        <w:tc>
          <w:tcPr>
            <w:tcW w:w="0" w:type="dxa"/>
            <w:vAlign w:val="bottom"/>
          </w:tcPr>
          <w:p>
            <w:pPr>
              <w:spacing w:after="0"/>
              <w:rPr>
                <w:sz w:val="1"/>
                <w:szCs w:val="1"/>
                <w:color w:val="auto"/>
              </w:rPr>
            </w:pPr>
          </w:p>
        </w:tc>
      </w:tr>
      <w:tr>
        <w:trPr>
          <w:trHeight w:val="129"/>
        </w:trPr>
        <w:tc>
          <w:tcPr>
            <w:tcW w:w="1400" w:type="dxa"/>
            <w:vAlign w:val="bottom"/>
            <w:shd w:val="clear" w:color="auto" w:fill="CCEEFF"/>
          </w:tcPr>
          <w:p>
            <w:pPr>
              <w:spacing w:after="0"/>
              <w:rPr>
                <w:sz w:val="11"/>
                <w:szCs w:val="11"/>
                <w:color w:val="auto"/>
              </w:rPr>
            </w:pPr>
          </w:p>
        </w:tc>
        <w:tc>
          <w:tcPr>
            <w:tcW w:w="30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 Good Reason</w:t>
            </w:r>
          </w:p>
        </w:tc>
        <w:tc>
          <w:tcPr>
            <w:tcW w:w="900" w:type="dxa"/>
            <w:vAlign w:val="bottom"/>
            <w:vMerge w:val="continue"/>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00" w:type="dxa"/>
            <w:vAlign w:val="bottom"/>
            <w:shd w:val="clear" w:color="auto" w:fill="CCEEFF"/>
          </w:tcPr>
          <w:p>
            <w:pPr>
              <w:spacing w:after="0"/>
              <w:rPr>
                <w:sz w:val="7"/>
                <w:szCs w:val="7"/>
                <w:color w:val="auto"/>
              </w:rPr>
            </w:pPr>
          </w:p>
        </w:tc>
        <w:tc>
          <w:tcPr>
            <w:tcW w:w="304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304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6"/>
                <w:szCs w:val="16"/>
                <w:color w:val="auto"/>
              </w:rPr>
              <w:t>Termination Without Cause or Resignation</w:t>
            </w:r>
          </w:p>
        </w:tc>
        <w:tc>
          <w:tcPr>
            <w:tcW w:w="9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178,750</w:t>
            </w:r>
          </w:p>
        </w:tc>
        <w:tc>
          <w:tcPr>
            <w:tcW w:w="100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732,456</w:t>
            </w:r>
          </w:p>
        </w:tc>
        <w:tc>
          <w:tcPr>
            <w:tcW w:w="11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250,250</w:t>
            </w:r>
          </w:p>
        </w:tc>
        <w:tc>
          <w:tcPr>
            <w:tcW w:w="14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27,165,760</w:t>
            </w:r>
          </w:p>
        </w:tc>
        <w:tc>
          <w:tcPr>
            <w:tcW w:w="108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3,501</w:t>
            </w:r>
          </w:p>
        </w:tc>
        <w:tc>
          <w:tcPr>
            <w:tcW w:w="12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28,330,717</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14"/>
                <w:szCs w:val="14"/>
                <w:color w:val="auto"/>
              </w:rPr>
            </w:pPr>
          </w:p>
        </w:tc>
        <w:tc>
          <w:tcPr>
            <w:tcW w:w="304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for Good Reason in Connection with a</w:t>
            </w:r>
          </w:p>
        </w:tc>
        <w:tc>
          <w:tcPr>
            <w:tcW w:w="9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304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1"/>
                <w:szCs w:val="21"/>
                <w:color w:val="auto"/>
                <w:vertAlign w:val="superscript"/>
              </w:rPr>
              <w:t>(4)(5)</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44" w:lineRule="auto"/>
        <w:tabs>
          <w:tab w:leader="none" w:pos="290"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 amount equivalent to the NEO’s annual bonus for the fiscal year in which the termination of employment occurs, prorated to the date of such termination of employment and determined at the greater of target performance and actual performance. In the case of Mr. Pech, this amount represents 146.34% of his target annual bonus amount for fiscal year 2026 which was his actual bonus for fiscal year 2026. In the case of each of Messrs. Desai and Berry this amount represents 32.61% and 99.60%, respectively, of each of their target annual bonus for fiscal year 2026, which was each of their actual bonus for fiscal year 2026, each prorated for their respective time in office, as described in the section above titled "Executive Compensation—Annual Performance-Based Bonus Program".</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68" w:lineRule="auto"/>
        <w:tabs>
          <w:tab w:leader="none" w:pos="255"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an amount equivalent to the NEO’s "cash-eligible" annual target bonus, which is equal to twelve months of Mr. Desai's target annual bonus amount paid in equal installments on the Company's normal payroll schedule over the twelve-month period immediately following the date of such termination of employment. In the case of Messrs. Berry and Pech, this amount represents six months of each of their target annual bonus amounts and paid in equal installments on the Company's normal payroll schedule over the six-month period immediately following the date of such termination of employment.</w:t>
      </w:r>
    </w:p>
    <w:p>
      <w:pPr>
        <w:spacing w:after="0" w:line="77" w:lineRule="exact"/>
        <w:rPr>
          <w:rFonts w:ascii="Times New Roman" w:cs="Times New Roman" w:eastAsia="Times New Roman" w:hAnsi="Times New Roman"/>
          <w:sz w:val="9"/>
          <w:szCs w:val="9"/>
          <w:color w:val="auto"/>
        </w:rPr>
      </w:pPr>
    </w:p>
    <w:p>
      <w:pPr>
        <w:jc w:val="both"/>
        <w:ind w:left="340" w:hanging="332"/>
        <w:spacing w:after="0" w:line="244" w:lineRule="auto"/>
        <w:tabs>
          <w:tab w:leader="none" w:pos="319"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of accelerated vesting of unvested RSUs and PSUs is based upon the closing price of our common stock on January 30, 2026 ($371.33), as reported on the Nasdaq, multiplied by the number of units. PSU awards will accelerate and vest based on the greater of the target number of units or the number of PSUs earned based on actual performance during the truncated performance period. In the case of sign-on PSUs granted to Mr. Desai, the amounts in the column above are based on payout at 100% of target, which reflects the target amount since Mr. Desai did not earn any of these PSUs in fiscal year 2026. In the case of PSUs granted to Mr. Pech under our long-term incentive program, the amounts in the column above are based on payout at 151% of target, which reflected the actual level earned for such PSUs for fiscal year 2026.</w:t>
      </w:r>
    </w:p>
    <w:p>
      <w:pPr>
        <w:spacing w:after="0" w:line="95" w:lineRule="exact"/>
        <w:rPr>
          <w:rFonts w:ascii="Times New Roman" w:cs="Times New Roman" w:eastAsia="Times New Roman" w:hAnsi="Times New Roman"/>
          <w:sz w:val="19"/>
          <w:szCs w:val="19"/>
          <w:color w:val="auto"/>
          <w:vertAlign w:val="superscript"/>
        </w:rPr>
      </w:pPr>
    </w:p>
    <w:p>
      <w:pPr>
        <w:jc w:val="both"/>
        <w:ind w:left="340" w:hanging="332"/>
        <w:spacing w:after="0" w:line="239" w:lineRule="auto"/>
        <w:tabs>
          <w:tab w:leader="none" w:pos="298"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change in control (as defined in the 2016 Plan)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(3) months prior to or twelve (12) months following, a change of control of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340" w:hanging="332"/>
        <w:spacing w:after="0" w:line="239" w:lineRule="auto"/>
        <w:tabs>
          <w:tab w:leader="none" w:pos="299"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Following a change in control, any payments received by our named executive officers may be reduced to the extent the amount received by the applicable named executive officer would result in a loss of tax deduction under Section 280G of the Code. Pursuant to their employment agreements, each of the named executive officers are entitled to the greater of the full amount of such severance and the largest possible payout without imposition of an excise tax under Section 4999 of the Code. None of our NEOs are entitled to a gross up of any excise taxes that could become owed under Section 4999 of the Code.</w:t>
      </w:r>
    </w:p>
    <w:p>
      <w:pPr>
        <w:spacing w:after="0" w:line="97" w:lineRule="exact"/>
        <w:rPr>
          <w:rFonts w:ascii="Times New Roman" w:cs="Times New Roman" w:eastAsia="Times New Roman" w:hAnsi="Times New Roman"/>
          <w:sz w:val="19"/>
          <w:szCs w:val="19"/>
          <w:color w:val="auto"/>
          <w:vertAlign w:val="superscript"/>
        </w:rPr>
      </w:pPr>
    </w:p>
    <w:p>
      <w:pPr>
        <w:jc w:val="both"/>
        <w:ind w:left="340" w:right="20" w:hanging="332"/>
        <w:spacing w:after="0" w:line="239" w:lineRule="auto"/>
        <w:tabs>
          <w:tab w:leader="none" w:pos="315"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November 9, 2025, Mr. Ittycheria resigned from his role as Chief Executive Officer, and did not receive any severance in connection with resignation, nor is he entitled to any change in control payments. Additionally, Mr. Ittycheria is not entitled to any benefits nor any change in control payments pursuant to his Advisory Agreement effective as of November 10, 2025, thus, he would not have been entitled to any change in control payments assuming his employment was terminated as of January 31, 2026.</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21" w:lineRule="auto"/>
        <w:tabs>
          <w:tab w:leader="none" w:pos="284"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Given the interim nature of Mr. Tanjga's appointment, he was not subject to an executive offer letter and was not entitled to any change in control benefits during his tenure as Interim Chief Financial Officer.</w:t>
      </w:r>
    </w:p>
    <w:p>
      <w:pPr>
        <w:spacing w:after="0" w:line="96" w:lineRule="exact"/>
        <w:rPr>
          <w:rFonts w:ascii="Times New Roman" w:cs="Times New Roman" w:eastAsia="Times New Roman" w:hAnsi="Times New Roman"/>
          <w:sz w:val="19"/>
          <w:szCs w:val="19"/>
          <w:color w:val="auto"/>
          <w:vertAlign w:val="superscript"/>
        </w:rPr>
      </w:pPr>
    </w:p>
    <w:p>
      <w:pPr>
        <w:ind w:left="340" w:right="20" w:hanging="332"/>
        <w:spacing w:after="0" w:line="230" w:lineRule="auto"/>
        <w:tabs>
          <w:tab w:leader="none" w:pos="275"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Pech’s potential non-equity payments and benefits are set in CHF and, for the purposes of the table, converted into U.S. dollars based on the exchange rate as of January 31, 2026 of 1.30 CHF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workers who were included as employees on our payroll records as of a determination date of December 1, 2025, based on annual base salary, target bonuses and commissions, and grant date fair value of equity awards granted in the fiscal year ended January 31, 2026. Conforming adjustments were made for employees who were hired during that period and did not receive pay for the full period, and international employees’ pay was converted to U.S. dollar equivalents using exchange rates as of the determination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had two individuals serve as CEO during fiscal year 2026. For purposes of calculating the CEO pay ratio, we annualized the total base salary and non-equity incentive compensation of our current CEO, Mr. Desai, who began serving in his role on November 10, 2025, and we included all other components of his compensation in the same amounts as disclosed in the Summary Compensation Table. Mr. Desai's annualized base salary was $500,000 (representing his fiscal year 2026 base salary), and his annualized non-equity incentive compensation was $512,190. Accordingly, Mr. Desai's annual total compensation was $53,614,135. The fiscal year ended January 31, 2026 annual total compensation as determined under Item 402 of Regulation S-K for our median employee was $290,954. The ratio of our CEO's annual total compensation to our median employee’s annual total compensation for fiscal year ended January 31, 2026 is 184 to 1. This pay ratio is significantly higher than our historical pay ratios as it reflects the total compensation package provided to Mr. Desai in connection with his CEO appointment, as described in detail in the section titled "Compensation Discussion and Analysis"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as defined by the SEC’s regulations (“CAP”), and certain financial performance of the Company. For additional information regarding our compensation philosophy, objectives and structure of our performance-based compensation programs, and compensation decisions, please refer to "Compensation Discussion and Analysis".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following table sets forth the compensation for our current and former Chief Executive Officers (“CEOs”) and the average compensation for our other Named Executive Officers (“Other NEOs”) for the fiscal years ended January 31, 2026, January 31, 2025, January 31, 2024, January 31, 2023 and January 31, 2022 (each, a “Covered Year”), in each case as reported in the Summary Compensation Table (“SCT”) and with certain adjustments to reflect the “compensation actually paid” to such individuals, as calculated in accordance with rules adopted by the SEC. “Compensation actually paid” ("CAP") does not reflect amounts actually realized by our current and former CEOs and Other NEOs and may be higher or lower than the amounts, if any, that are ultimately realized by such individuals.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table below also provides information for each Covered Year on our cumulative Total Shareholder Return (“TSR”) and the cumulative TSR of our peer group, the Nasdaq Computer Index (with each such TSR determined for the period commencing on January 31, 2021), our Net Loss and our Revenue. We selected Revenue as our “most important financial performance measure” used to link CAP to our current and former CEOs and Other NEOs to our performance for the fiscal year ended January 31, 2026.</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Fiscal</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SCT Total</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1920" w:type="dxa"/>
            <w:vAlign w:val="bottom"/>
            <w:gridSpan w:val="2"/>
            <w:vMerge w:val="continue"/>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for</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40" w:type="dxa"/>
            <w:vAlign w:val="bottom"/>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35"/>
        </w:trPr>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 Current</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for Former</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Current</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Former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CEO</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CEO</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CEO</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(1)(2)</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(1)(2)</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(2)(4)</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(5)</w:t>
            </w:r>
          </w:p>
        </w:tc>
        <w:tc>
          <w:tcPr>
            <w:tcW w:w="84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(6)</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60" w:space="120"/>
            <w:col w:w="1066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379"/>
        </w:trPr>
        <w:tc>
          <w:tcPr>
            <w:tcW w:w="5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52,830,661</w:t>
            </w:r>
          </w:p>
        </w:tc>
        <w:tc>
          <w:tcPr>
            <w:tcW w:w="82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16,273,947</w:t>
            </w: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52,241,394</w:t>
            </w: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40,896,851</w:t>
            </w: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7,606,548</w:t>
            </w:r>
          </w:p>
        </w:tc>
        <w:tc>
          <w:tcPr>
            <w:tcW w:w="1000" w:type="dxa"/>
            <w:vAlign w:val="bottom"/>
            <w:tcBorders>
              <w:top w:val="single" w:sz="8" w:color="auto"/>
              <w:bottom w:val="single" w:sz="8" w:color="CCEEFF"/>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15,037,801</w:t>
            </w:r>
          </w:p>
        </w:tc>
        <w:tc>
          <w:tcPr>
            <w:tcW w:w="780" w:type="dxa"/>
            <w:vAlign w:val="bottom"/>
            <w:tcBorders>
              <w:top w:val="single" w:sz="8" w:color="auto"/>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227</w:t>
            </w:r>
          </w:p>
        </w:tc>
        <w:tc>
          <w:tcPr>
            <w:tcW w:w="76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375</w:t>
            </w:r>
          </w:p>
        </w:tc>
        <w:tc>
          <w:tcPr>
            <w:tcW w:w="940" w:type="dxa"/>
            <w:vAlign w:val="bottom"/>
            <w:tcBorders>
              <w:top w:val="single" w:sz="8" w:color="auto"/>
              <w:bottom w:val="single" w:sz="8" w:color="CCEEFF"/>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(71,151)</w:t>
            </w: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2,463,797</w:t>
            </w:r>
          </w:p>
        </w:tc>
      </w:tr>
      <w:tr>
        <w:trPr>
          <w:trHeight w:val="395"/>
        </w:trPr>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15,843,345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(1,260,121)</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7,544,277</w:t>
            </w: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(2,113,422)</w:t>
            </w: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167</w:t>
            </w: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289</w:t>
            </w:r>
          </w:p>
        </w:tc>
        <w:tc>
          <w:tcPr>
            <w:tcW w:w="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(129,072)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2,006,443</w:t>
            </w:r>
          </w:p>
        </w:tc>
      </w:tr>
      <w:tr>
        <w:trPr>
          <w:trHeight w:val="23"/>
        </w:trPr>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15,291,447</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44,853,129</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7,487,213</w:t>
            </w:r>
          </w:p>
        </w:tc>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10,599,236</w:t>
            </w:r>
          </w:p>
        </w:tc>
        <w:tc>
          <w:tcPr>
            <w:tcW w:w="78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244</w:t>
            </w:r>
          </w:p>
        </w:tc>
        <w:tc>
          <w:tcPr>
            <w:tcW w:w="76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220</w:t>
            </w:r>
          </w:p>
        </w:tc>
        <w:tc>
          <w:tcPr>
            <w:tcW w:w="94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(176,600)</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1,683,011</w:t>
            </w:r>
          </w:p>
        </w:tc>
      </w:tr>
      <w:tr>
        <w:trPr>
          <w:trHeight w:val="233"/>
        </w:trPr>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13,229,190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(1,158,813)</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6,426,612</w:t>
            </w: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(140,152)</w:t>
            </w: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131</w:t>
            </w: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142</w:t>
            </w:r>
          </w:p>
        </w:tc>
        <w:tc>
          <w:tcPr>
            <w:tcW w:w="94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(345,398)</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1,284,040</w:t>
            </w:r>
          </w:p>
        </w:tc>
      </w:tr>
      <w:tr>
        <w:trPr>
          <w:trHeight w:val="23"/>
        </w:trPr>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3"/>
        </w:trPr>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10,566,757</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17,742,233</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5,346,033</w:t>
            </w:r>
          </w:p>
        </w:tc>
        <w:tc>
          <w:tcPr>
            <w:tcW w:w="10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7,074,336</w:t>
            </w:r>
          </w:p>
        </w:tc>
        <w:tc>
          <w:tcPr>
            <w:tcW w:w="7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247</w:t>
            </w:r>
          </w:p>
        </w:tc>
        <w:tc>
          <w:tcPr>
            <w:tcW w:w="7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183</w:t>
            </w:r>
          </w:p>
        </w:tc>
        <w:tc>
          <w:tcPr>
            <w:tcW w:w="94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(306,866)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873,782</w:t>
            </w:r>
          </w:p>
        </w:tc>
      </w:tr>
      <w:tr>
        <w:trPr>
          <w:trHeight w:val="23"/>
        </w:trPr>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8"/>
        <w:spacing w:after="0" w:line="222" w:lineRule="auto"/>
        <w:tabs>
          <w:tab w:leader="none" w:pos="253"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total compensation shown for our current and former CEOs, Chirantan Desai and Dev Ittycheria, on the SCT to arrive at CAP as reflected on the table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10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160" w:type="dxa"/>
            <w:vAlign w:val="bottom"/>
            <w:vMerge w:val="continue"/>
          </w:tcPr>
          <w:p>
            <w:pPr>
              <w:spacing w:after="0"/>
              <w:rPr>
                <w:sz w:val="7"/>
                <w:szCs w:val="7"/>
                <w:color w:val="auto"/>
              </w:rPr>
            </w:pPr>
          </w:p>
        </w:tc>
        <w:tc>
          <w:tcPr>
            <w:tcW w:w="10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Fiscal year</w:t>
            </w:r>
          </w:p>
        </w:tc>
        <w:tc>
          <w:tcPr>
            <w:tcW w:w="11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Fiscal year</w:t>
            </w:r>
          </w:p>
        </w:tc>
        <w:tc>
          <w:tcPr>
            <w:tcW w:w="11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Fiscal year</w:t>
            </w:r>
          </w:p>
        </w:tc>
        <w:tc>
          <w:tcPr>
            <w:tcW w:w="11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94"/>
        </w:trPr>
        <w:tc>
          <w:tcPr>
            <w:tcW w:w="2440" w:type="dxa"/>
            <w:vAlign w:val="bottom"/>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Adjustments to Determine</w:t>
            </w:r>
          </w:p>
        </w:tc>
        <w:tc>
          <w:tcPr>
            <w:tcW w:w="1020" w:type="dxa"/>
            <w:vAlign w:val="bottom"/>
            <w:vMerge w:val="continue"/>
          </w:tcPr>
          <w:p>
            <w:pPr>
              <w:spacing w:after="0"/>
              <w:rPr>
                <w:sz w:val="8"/>
                <w:szCs w:val="8"/>
                <w:color w:val="auto"/>
              </w:rPr>
            </w:pPr>
          </w:p>
        </w:tc>
        <w:tc>
          <w:tcPr>
            <w:tcW w:w="116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0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40" w:type="dxa"/>
            <w:vAlign w:val="bottom"/>
            <w:vMerge w:val="continue"/>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160" w:type="dxa"/>
            <w:vAlign w:val="bottom"/>
            <w:vMerge w:val="continue"/>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Current and Former CEO</w:t>
            </w:r>
          </w:p>
        </w:tc>
        <w:tc>
          <w:tcPr>
            <w:tcW w:w="1020" w:type="dxa"/>
            <w:vAlign w:val="bottom"/>
            <w:vMerge w:val="continue"/>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0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2026 (Former</w:t>
            </w: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102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(Current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CEO)</w:t>
            </w:r>
          </w:p>
        </w:tc>
        <w:tc>
          <w:tcPr>
            <w:tcW w:w="108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2025</w:t>
            </w:r>
          </w:p>
        </w:tc>
        <w:tc>
          <w:tcPr>
            <w:tcW w:w="11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2024</w:t>
            </w:r>
          </w:p>
        </w:tc>
        <w:tc>
          <w:tcPr>
            <w:tcW w:w="114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2023</w:t>
            </w:r>
          </w:p>
        </w:tc>
        <w:tc>
          <w:tcPr>
            <w:tcW w:w="114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2022</w:t>
            </w: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CEO)</w:t>
            </w:r>
          </w:p>
        </w:tc>
        <w:tc>
          <w:tcPr>
            <w:tcW w:w="11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4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SCT total amount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52,830,661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16,273,947</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15,843,345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15,291,447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13,229,190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10,566,757</w:t>
            </w: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Amounts Reported</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under “Option Awards” and</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“Stock Awards” Columns in</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SCT for the Covered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52,601,945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15,735,621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15,046,370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14,825,835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12,797,690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10,135,257</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Year-end Fair Value of</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Options Awards and Stock</w:t>
            </w:r>
          </w:p>
        </w:tc>
        <w:tc>
          <w:tcPr>
            <w:tcW w:w="10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Awards Granted during Covered</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Remain Unvested as</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Year-end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52,012,678</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35,511,031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9,398,928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31,722,922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7,806,455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8,787,241</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Option Awards and Stock</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Awards Granted during Covered</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that Vested during Covered</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2,674,347</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1,072,206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2,670,818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889,080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2,388,178</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Add change (positive or</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 xml:space="preserve">negative) </w:t>
            </w:r>
            <w:r>
              <w:rPr>
                <w:rFonts w:ascii="Times New Roman" w:cs="Times New Roman" w:eastAsia="Times New Roman" w:hAnsi="Times New Roman"/>
                <w:sz w:val="18"/>
                <w:szCs w:val="18"/>
                <w:color w:val="auto"/>
              </w:rPr>
              <w:t>in Fair Value from</w:t>
            </w:r>
          </w:p>
        </w:tc>
        <w:tc>
          <w:tcPr>
            <w:tcW w:w="10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Prior Year-end to Covered Year-</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end of Option Awards and Stock</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Awards Granted Prior to</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Covered Year that were</w:t>
            </w:r>
          </w:p>
        </w:tc>
        <w:tc>
          <w:tcPr>
            <w:tcW w:w="10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Outstanding and Unvested as of</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Covered Year-end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5,083,093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(8,527,742)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6,507,392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(6,596,740)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2,449,600</w:t>
            </w: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Add change (positive or</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 xml:space="preserve">negative) </w:t>
            </w:r>
            <w:r>
              <w:rPr>
                <w:rFonts w:ascii="Times New Roman" w:cs="Times New Roman" w:eastAsia="Times New Roman" w:hAnsi="Times New Roman"/>
                <w:sz w:val="18"/>
                <w:szCs w:val="18"/>
                <w:color w:val="auto"/>
              </w:rPr>
              <w:t>in Fair Value from</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Prior Year-end to Vesting Date</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Option Awards and Stock</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Awards Granted Prior to</w:t>
            </w: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Covered Year that Vested during</w:t>
            </w: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Covered 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(2,909,945)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(4,000,488)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3,486,384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(3,689,107)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3,752,557</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 xml:space="preserve">Subtract </w:t>
            </w:r>
            <w:r>
              <w:rPr>
                <w:rFonts w:ascii="Times New Roman" w:cs="Times New Roman" w:eastAsia="Times New Roman" w:hAnsi="Times New Roman"/>
                <w:sz w:val="18"/>
                <w:szCs w:val="18"/>
                <w:color w:val="auto"/>
              </w:rPr>
              <w:t>Fair Value of forfeited</w:t>
            </w:r>
          </w:p>
        </w:tc>
        <w:tc>
          <w:tcPr>
            <w:tcW w:w="10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Awards during Covered</w:t>
            </w:r>
          </w:p>
        </w:tc>
        <w:tc>
          <w:tcPr>
            <w:tcW w:w="10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xml:space="preserve">66,843 </w:t>
            </w:r>
            <w:r>
              <w:rPr>
                <w:rFonts w:ascii="Times New Roman" w:cs="Times New Roman" w:eastAsia="Times New Roman" w:hAnsi="Times New Roman"/>
                <w:sz w:val="23"/>
                <w:szCs w:val="23"/>
                <w:color w:val="auto"/>
                <w:vertAlign w:val="superscript"/>
              </w:rPr>
              <w:t>(8)</w:t>
            </w: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(589,267)</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24,622,904</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(17,103,466)</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29,561,682</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(14,388,003)</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7,175,476</w:t>
            </w:r>
          </w:p>
        </w:tc>
        <w:tc>
          <w:tcPr>
            <w:tcW w:w="0" w:type="dxa"/>
            <w:vAlign w:val="bottom"/>
          </w:tcPr>
          <w:p>
            <w:pPr>
              <w:spacing w:after="0"/>
              <w:rPr>
                <w:sz w:val="1"/>
                <w:szCs w:val="1"/>
                <w:color w:val="auto"/>
              </w:rPr>
            </w:pPr>
          </w:p>
        </w:tc>
      </w:tr>
      <w:tr>
        <w:trPr>
          <w:trHeight w:val="169"/>
        </w:trPr>
        <w:tc>
          <w:tcPr>
            <w:tcW w:w="24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COMPENSATION</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52,241,394</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40,896,851</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(1,260,121)</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44,853,129</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(1,158,813)</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17,742,233</w:t>
            </w:r>
          </w:p>
        </w:tc>
        <w:tc>
          <w:tcPr>
            <w:tcW w:w="0" w:type="dxa"/>
            <w:vAlign w:val="bottom"/>
          </w:tcPr>
          <w:p>
            <w:pPr>
              <w:spacing w:after="0"/>
              <w:rPr>
                <w:sz w:val="1"/>
                <w:szCs w:val="1"/>
                <w:color w:val="auto"/>
              </w:rPr>
            </w:pPr>
          </w:p>
        </w:tc>
      </w:tr>
      <w:tr>
        <w:trPr>
          <w:trHeight w:val="263"/>
        </w:trPr>
        <w:tc>
          <w:tcPr>
            <w:tcW w:w="2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line="206" w:lineRule="auto"/>
        <w:tabs>
          <w:tab w:leader="none" w:pos="269"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the adjustments to determine CAP, we computed the fair value of stock option awards and other stock awards in accordance with FASB ASC Topic 718 as of the end of the relevant fiscal year, other than the fair values of equity awards that vested in the Covered Year, which are valued as of the applicable vesting date. The valuation assumptions used in the calculation of such amounts are set forth in Note 11— Equity in our Annual Report on Form 10-K for the fiscal year ended January 31, 2026.</w:t>
      </w:r>
    </w:p>
    <w:p>
      <w:pPr>
        <w:spacing w:after="0" w:line="171" w:lineRule="exact"/>
        <w:rPr>
          <w:rFonts w:ascii="Times New Roman" w:cs="Times New Roman" w:eastAsia="Times New Roman" w:hAnsi="Times New Roman"/>
          <w:sz w:val="23"/>
          <w:szCs w:val="23"/>
          <w:color w:val="auto"/>
          <w:vertAlign w:val="superscript"/>
        </w:rPr>
      </w:pPr>
    </w:p>
    <w:p>
      <w:pPr>
        <w:jc w:val="both"/>
        <w:ind w:left="340" w:hanging="332"/>
        <w:spacing w:after="0" w:line="207" w:lineRule="auto"/>
        <w:tabs>
          <w:tab w:leader="none" w:pos="36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Other NEOs for the fiscal year ended January 31, 2026 were Michael Berry, Srdjan Tanjga and Cedric Pech. The Other NEOs for the fiscal year ended January 31, 2025 were Michael Gordon and Cedric Pech. The Other NEOs for the fiscal year ended January 31, 2024, January 31, 2023 and January 31, 2022 were Michael Gordon, Cedric Pech and Mark Porter.</w:t>
      </w:r>
    </w:p>
    <w:p>
      <w:pPr>
        <w:spacing w:after="0" w:line="170" w:lineRule="exact"/>
        <w:rPr>
          <w:rFonts w:ascii="Times New Roman" w:cs="Times New Roman" w:eastAsia="Times New Roman" w:hAnsi="Times New Roman"/>
          <w:sz w:val="23"/>
          <w:szCs w:val="23"/>
          <w:color w:val="auto"/>
          <w:vertAlign w:val="superscript"/>
        </w:rPr>
      </w:pPr>
    </w:p>
    <w:p>
      <w:pPr>
        <w:ind w:left="340" w:hanging="332"/>
        <w:spacing w:after="0" w:line="208" w:lineRule="auto"/>
        <w:tabs>
          <w:tab w:leader="none" w:pos="367"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shows, for each Covered Year, the adjustments made to the average of the total compensation shown for the Other NEOs on the SCT to arrive at CAP as reflected on the table above:</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right="380"/>
        <w:spacing w:after="0" w:line="225" w:lineRule="auto"/>
        <w:rPr>
          <w:sz w:val="20"/>
          <w:szCs w:val="20"/>
          <w:color w:val="auto"/>
        </w:rPr>
      </w:pPr>
      <w:r>
        <w:rPr>
          <w:rFonts w:ascii="Times New Roman" w:cs="Times New Roman" w:eastAsia="Times New Roman" w:hAnsi="Times New Roman"/>
          <w:sz w:val="18"/>
          <w:szCs w:val="18"/>
          <w:b w:val="1"/>
          <w:bCs w:val="1"/>
          <w:color w:val="auto"/>
        </w:rPr>
        <w:t>Adjustments to Determine Average of Other NEOs'</w:t>
      </w:r>
    </w:p>
    <w:p>
      <w:pPr>
        <w:ind w:left="20" w:right="220"/>
        <w:spacing w:after="0" w:line="331" w:lineRule="auto"/>
        <w:rPr>
          <w:sz w:val="20"/>
          <w:szCs w:val="20"/>
          <w:color w:val="auto"/>
        </w:rPr>
      </w:pPr>
      <w:r>
        <w:rPr>
          <w:rFonts w:ascii="Times New Roman" w:cs="Times New Roman" w:eastAsia="Times New Roman" w:hAnsi="Times New Roman"/>
          <w:sz w:val="18"/>
          <w:szCs w:val="18"/>
          <w:b w:val="1"/>
          <w:bCs w:val="1"/>
          <w:color w:val="auto"/>
        </w:rPr>
        <w:t xml:space="preserve">Compensation Actually Paid </w:t>
      </w:r>
      <w:r>
        <w:rPr>
          <w:rFonts w:ascii="Times New Roman" w:cs="Times New Roman" w:eastAsia="Times New Roman" w:hAnsi="Times New Roman"/>
          <w:sz w:val="18"/>
          <w:szCs w:val="18"/>
          <w:color w:val="auto"/>
        </w:rPr>
        <w:t>SCT total amount</w:t>
      </w:r>
    </w:p>
    <w:p>
      <w:pPr>
        <w:spacing w:after="0" w:line="1" w:lineRule="exact"/>
        <w:rPr>
          <w:sz w:val="20"/>
          <w:szCs w:val="20"/>
          <w:color w:val="auto"/>
        </w:rPr>
      </w:pPr>
    </w:p>
    <w:p>
      <w:pPr>
        <w:ind w:left="20" w:right="400"/>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Subtract </w:t>
      </w:r>
      <w:r>
        <w:rPr>
          <w:rFonts w:ascii="Times New Roman" w:cs="Times New Roman" w:eastAsia="Times New Roman" w:hAnsi="Times New Roman"/>
          <w:sz w:val="17"/>
          <w:szCs w:val="17"/>
          <w:color w:val="auto"/>
        </w:rPr>
        <w:t>Amounts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“Option Awards” and</w:t>
      </w:r>
    </w:p>
    <w:p>
      <w:pPr>
        <w:ind w:left="20"/>
        <w:spacing w:after="0" w:line="226" w:lineRule="auto"/>
        <w:rPr>
          <w:sz w:val="20"/>
          <w:szCs w:val="20"/>
          <w:color w:val="auto"/>
        </w:rPr>
      </w:pPr>
      <w:r>
        <w:rPr>
          <w:rFonts w:ascii="Times New Roman" w:cs="Times New Roman" w:eastAsia="Times New Roman" w:hAnsi="Times New Roman"/>
          <w:sz w:val="18"/>
          <w:szCs w:val="18"/>
          <w:color w:val="auto"/>
        </w:rPr>
        <w:t>“Stock Awards” Columns in SCT for the Covered Year</w:t>
      </w:r>
    </w:p>
    <w:p>
      <w:pPr>
        <w:ind w:left="20" w:right="44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Add </w:t>
      </w:r>
      <w:r>
        <w:rPr>
          <w:rFonts w:ascii="Times New Roman" w:cs="Times New Roman" w:eastAsia="Times New Roman" w:hAnsi="Times New Roman"/>
          <w:sz w:val="17"/>
          <w:szCs w:val="17"/>
          <w:color w:val="auto"/>
        </w:rPr>
        <w:t>Year-end Fair Value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Awards and Stock</w:t>
      </w:r>
    </w:p>
    <w:p>
      <w:pPr>
        <w:jc w:val="both"/>
        <w:ind w:left="20" w:right="40"/>
        <w:spacing w:after="0" w:line="218" w:lineRule="auto"/>
        <w:rPr>
          <w:sz w:val="20"/>
          <w:szCs w:val="20"/>
          <w:color w:val="auto"/>
        </w:rPr>
      </w:pPr>
      <w:r>
        <w:rPr>
          <w:rFonts w:ascii="Times New Roman" w:cs="Times New Roman" w:eastAsia="Times New Roman" w:hAnsi="Times New Roman"/>
          <w:sz w:val="18"/>
          <w:szCs w:val="18"/>
          <w:color w:val="auto"/>
        </w:rPr>
        <w:t>Awards Granted during Covered Year that Remain Unvested as of Year-end</w:t>
      </w:r>
    </w:p>
    <w:p>
      <w:pPr>
        <w:spacing w:after="0" w:line="8" w:lineRule="exact"/>
        <w:rPr>
          <w:sz w:val="20"/>
          <w:szCs w:val="20"/>
          <w:color w:val="auto"/>
        </w:rPr>
      </w:pPr>
    </w:p>
    <w:p>
      <w:pPr>
        <w:ind w:left="20" w:right="34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Add </w:t>
      </w:r>
      <w:r>
        <w:rPr>
          <w:rFonts w:ascii="Times New Roman" w:cs="Times New Roman" w:eastAsia="Times New Roman" w:hAnsi="Times New Roman"/>
          <w:sz w:val="18"/>
          <w:szCs w:val="18"/>
          <w:color w:val="auto"/>
        </w:rPr>
        <w:t>Fair Value on Vesting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Awards and Stock</w:t>
      </w:r>
    </w:p>
    <w:p>
      <w:pPr>
        <w:jc w:val="both"/>
        <w:ind w:left="20" w:right="80"/>
        <w:spacing w:after="0" w:line="218" w:lineRule="auto"/>
        <w:rPr>
          <w:sz w:val="20"/>
          <w:szCs w:val="20"/>
          <w:color w:val="auto"/>
        </w:rPr>
      </w:pPr>
      <w:r>
        <w:rPr>
          <w:rFonts w:ascii="Times New Roman" w:cs="Times New Roman" w:eastAsia="Times New Roman" w:hAnsi="Times New Roman"/>
          <w:sz w:val="18"/>
          <w:szCs w:val="18"/>
          <w:color w:val="auto"/>
        </w:rPr>
        <w:t>Awards Granted during Covered Year that Vested during Covered Year</w:t>
      </w:r>
    </w:p>
    <w:p>
      <w:pPr>
        <w:spacing w:after="0" w:line="8" w:lineRule="exact"/>
        <w:rPr>
          <w:sz w:val="20"/>
          <w:szCs w:val="20"/>
          <w:color w:val="auto"/>
        </w:rPr>
      </w:pPr>
    </w:p>
    <w:p>
      <w:pPr>
        <w:ind w:left="20" w:right="380"/>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Add change (positive or negative) </w:t>
      </w:r>
      <w:r>
        <w:rPr>
          <w:rFonts w:ascii="Times New Roman" w:cs="Times New Roman" w:eastAsia="Times New Roman" w:hAnsi="Times New Roman"/>
          <w:sz w:val="17"/>
          <w:szCs w:val="17"/>
          <w:color w:val="auto"/>
        </w:rPr>
        <w:t>in Fair Value from</w:t>
      </w:r>
    </w:p>
    <w:p>
      <w:pPr>
        <w:ind w:left="20"/>
        <w:spacing w:after="0" w:line="203" w:lineRule="auto"/>
        <w:rPr>
          <w:sz w:val="20"/>
          <w:szCs w:val="20"/>
          <w:color w:val="auto"/>
        </w:rPr>
      </w:pPr>
      <w:r>
        <w:rPr>
          <w:rFonts w:ascii="Times New Roman" w:cs="Times New Roman" w:eastAsia="Times New Roman" w:hAnsi="Times New Roman"/>
          <w:sz w:val="18"/>
          <w:szCs w:val="18"/>
          <w:color w:val="auto"/>
        </w:rPr>
        <w:t>Prior Year-end to Covered Year-</w:t>
      </w:r>
    </w:p>
    <w:p>
      <w:pPr>
        <w:ind w:left="20"/>
        <w:spacing w:after="0" w:line="204" w:lineRule="auto"/>
        <w:rPr>
          <w:sz w:val="20"/>
          <w:szCs w:val="20"/>
          <w:color w:val="auto"/>
        </w:rPr>
      </w:pPr>
      <w:r>
        <w:rPr>
          <w:rFonts w:ascii="Times New Roman" w:cs="Times New Roman" w:eastAsia="Times New Roman" w:hAnsi="Times New Roman"/>
          <w:sz w:val="18"/>
          <w:szCs w:val="18"/>
          <w:color w:val="auto"/>
        </w:rPr>
        <w:t>end of Option Awards and Stock</w:t>
      </w:r>
    </w:p>
    <w:p>
      <w:pPr>
        <w:ind w:left="20"/>
        <w:spacing w:after="0" w:line="232" w:lineRule="auto"/>
        <w:rPr>
          <w:sz w:val="20"/>
          <w:szCs w:val="20"/>
          <w:color w:val="auto"/>
        </w:rPr>
      </w:pPr>
      <w:r>
        <w:rPr>
          <w:rFonts w:ascii="Times New Roman" w:cs="Times New Roman" w:eastAsia="Times New Roman" w:hAnsi="Times New Roman"/>
          <w:sz w:val="17"/>
          <w:szCs w:val="17"/>
          <w:color w:val="auto"/>
        </w:rPr>
        <w:t>Awards Granted Prior to Covered</w:t>
      </w:r>
    </w:p>
    <w:p>
      <w:pPr>
        <w:jc w:val="both"/>
        <w:ind w:left="20"/>
        <w:spacing w:after="0" w:line="239" w:lineRule="auto"/>
        <w:rPr>
          <w:sz w:val="20"/>
          <w:szCs w:val="20"/>
          <w:color w:val="auto"/>
        </w:rPr>
      </w:pPr>
      <w:r>
        <w:rPr>
          <w:rFonts w:ascii="Times New Roman" w:cs="Times New Roman" w:eastAsia="Times New Roman" w:hAnsi="Times New Roman"/>
          <w:sz w:val="17"/>
          <w:szCs w:val="17"/>
          <w:color w:val="auto"/>
        </w:rPr>
        <w:t>Year that were Outstanding and Unvested as of Covered Year-end</w:t>
      </w:r>
    </w:p>
    <w:p>
      <w:pPr>
        <w:spacing w:after="0" w:line="1" w:lineRule="exact"/>
        <w:rPr>
          <w:sz w:val="20"/>
          <w:szCs w:val="20"/>
          <w:color w:val="auto"/>
        </w:rPr>
      </w:pPr>
    </w:p>
    <w:p>
      <w:pPr>
        <w:ind w:left="20" w:right="38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Add change (positive or negative) </w:t>
      </w:r>
      <w:r>
        <w:rPr>
          <w:rFonts w:ascii="Times New Roman" w:cs="Times New Roman" w:eastAsia="Times New Roman" w:hAnsi="Times New Roman"/>
          <w:sz w:val="17"/>
          <w:szCs w:val="17"/>
          <w:color w:val="auto"/>
        </w:rPr>
        <w:t>in Fair Value from</w:t>
      </w:r>
    </w:p>
    <w:p>
      <w:pPr>
        <w:ind w:left="20"/>
        <w:spacing w:after="0" w:line="220" w:lineRule="auto"/>
        <w:rPr>
          <w:sz w:val="20"/>
          <w:szCs w:val="20"/>
          <w:color w:val="auto"/>
        </w:rPr>
      </w:pPr>
      <w:r>
        <w:rPr>
          <w:rFonts w:ascii="Times New Roman" w:cs="Times New Roman" w:eastAsia="Times New Roman" w:hAnsi="Times New Roman"/>
          <w:sz w:val="17"/>
          <w:szCs w:val="17"/>
          <w:color w:val="auto"/>
        </w:rPr>
        <w:t>Prior Year-end to Vesting Date of Option Awards and Stock Awards Granted Prior to Covered</w:t>
      </w:r>
    </w:p>
    <w:p>
      <w:pPr>
        <w:spacing w:after="0" w:line="2" w:lineRule="exact"/>
        <w:rPr>
          <w:sz w:val="20"/>
          <w:szCs w:val="20"/>
          <w:color w:val="auto"/>
        </w:rPr>
      </w:pPr>
    </w:p>
    <w:p>
      <w:pPr>
        <w:ind w:left="20" w:right="80"/>
        <w:spacing w:after="0" w:line="226" w:lineRule="auto"/>
        <w:rPr>
          <w:sz w:val="20"/>
          <w:szCs w:val="20"/>
          <w:color w:val="auto"/>
        </w:rPr>
      </w:pPr>
      <w:r>
        <w:rPr>
          <w:rFonts w:ascii="Times New Roman" w:cs="Times New Roman" w:eastAsia="Times New Roman" w:hAnsi="Times New Roman"/>
          <w:sz w:val="18"/>
          <w:szCs w:val="18"/>
          <w:color w:val="auto"/>
        </w:rPr>
        <w:t>Year that Vested during Covered Year</w:t>
      </w:r>
    </w:p>
    <w:p>
      <w:pPr>
        <w:ind w:left="20" w:right="160"/>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Subtract </w:t>
      </w:r>
      <w:r>
        <w:rPr>
          <w:rFonts w:ascii="Times New Roman" w:cs="Times New Roman" w:eastAsia="Times New Roman" w:hAnsi="Times New Roman"/>
          <w:sz w:val="17"/>
          <w:szCs w:val="17"/>
          <w:color w:val="auto"/>
        </w:rPr>
        <w:t>Fair Value of forfeited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Awards during Covered</w:t>
      </w:r>
    </w:p>
    <w:p>
      <w:pPr>
        <w:ind w:left="20"/>
        <w:spacing w:after="0"/>
        <w:rPr>
          <w:sz w:val="20"/>
          <w:szCs w:val="20"/>
          <w:color w:val="auto"/>
        </w:rPr>
      </w:pPr>
      <w:r>
        <w:rPr>
          <w:rFonts w:ascii="Times New Roman" w:cs="Times New Roman" w:eastAsia="Times New Roman" w:hAnsi="Times New Roman"/>
          <w:sz w:val="18"/>
          <w:szCs w:val="18"/>
          <w:color w:val="auto"/>
        </w:rPr>
        <w:t>Year</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p>
      <w:pPr>
        <w:spacing w:after="0" w:line="50" w:lineRule="exact"/>
        <w:rPr>
          <w:sz w:val="20"/>
          <w:szCs w:val="20"/>
          <w:color w:val="auto"/>
        </w:rPr>
      </w:pPr>
    </w:p>
    <w:p>
      <w:pPr>
        <w:ind w:left="20" w:right="280"/>
        <w:spacing w:after="0" w:line="268" w:lineRule="auto"/>
        <w:rPr>
          <w:sz w:val="20"/>
          <w:szCs w:val="20"/>
          <w:color w:val="auto"/>
        </w:rPr>
      </w:pPr>
      <w:r>
        <w:rPr>
          <w:rFonts w:ascii="Times New Roman" w:cs="Times New Roman" w:eastAsia="Times New Roman" w:hAnsi="Times New Roman"/>
          <w:sz w:val="17"/>
          <w:szCs w:val="17"/>
          <w:b w:val="1"/>
          <w:bCs w:val="1"/>
          <w:color w:val="auto"/>
        </w:rPr>
        <w:t>TOTAL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601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180"/>
        </w:trPr>
        <w:tc>
          <w:tcPr>
            <w:tcW w:w="130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960" w:type="dxa"/>
            <w:vAlign w:val="bottom"/>
          </w:tcPr>
          <w:p>
            <w:pPr>
              <w:jc w:val="center"/>
              <w:ind w:left="1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5"/>
                <w:szCs w:val="15"/>
                <w:color w:val="auto"/>
              </w:rPr>
            </w:pPr>
          </w:p>
        </w:tc>
      </w:tr>
      <w:tr>
        <w:trPr>
          <w:trHeight w:val="184"/>
        </w:trPr>
        <w:tc>
          <w:tcPr>
            <w:tcW w:w="13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3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3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2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2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January 31,</w:t>
            </w:r>
          </w:p>
        </w:tc>
      </w:tr>
      <w:tr>
        <w:trPr>
          <w:trHeight w:val="241"/>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20"/>
                <w:szCs w:val="20"/>
                <w:color w:val="auto"/>
              </w:rPr>
            </w:pPr>
          </w:p>
        </w:tc>
      </w:tr>
      <w:tr>
        <w:trPr>
          <w:trHeight w:val="23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7,606,548</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7,544,277</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7,487,213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6,426,612</w:t>
            </w:r>
          </w:p>
        </w:tc>
        <w:tc>
          <w:tcPr>
            <w:tcW w:w="120" w:type="dxa"/>
            <w:vAlign w:val="bottom"/>
          </w:tcPr>
          <w:p>
            <w:pPr>
              <w:spacing w:after="0"/>
              <w:rPr>
                <w:sz w:val="20"/>
                <w:szCs w:val="20"/>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5,346,033</w:t>
            </w:r>
          </w:p>
        </w:tc>
        <w:tc>
          <w:tcPr>
            <w:tcW w:w="240" w:type="dxa"/>
            <w:vAlign w:val="bottom"/>
          </w:tcPr>
          <w:p>
            <w:pPr>
              <w:spacing w:after="0"/>
              <w:rPr>
                <w:sz w:val="20"/>
                <w:szCs w:val="20"/>
                <w:color w:val="auto"/>
              </w:rPr>
            </w:pPr>
          </w:p>
        </w:tc>
      </w:tr>
      <w:tr>
        <w:trPr>
          <w:trHeight w:val="76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7,011,482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6,922,864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6,912,855</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5,974,289</w:t>
            </w:r>
          </w:p>
        </w:tc>
        <w:tc>
          <w:tcPr>
            <w:tcW w:w="120" w:type="dxa"/>
            <w:vAlign w:val="bottom"/>
          </w:tcPr>
          <w:p>
            <w:pPr>
              <w:spacing w:after="0"/>
              <w:rPr>
                <w:sz w:val="24"/>
                <w:szCs w:val="24"/>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4,694,131</w:t>
            </w:r>
          </w:p>
        </w:tc>
        <w:tc>
          <w:tcPr>
            <w:tcW w:w="240" w:type="dxa"/>
            <w:vAlign w:val="bottom"/>
          </w:tcPr>
          <w:p>
            <w:pPr>
              <w:spacing w:after="0"/>
              <w:rPr>
                <w:sz w:val="24"/>
                <w:szCs w:val="24"/>
                <w:color w:val="auto"/>
              </w:rPr>
            </w:pPr>
          </w:p>
        </w:tc>
      </w:tr>
      <w:tr>
        <w:trPr>
          <w:trHeight w:val="95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14,426,171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3,626,273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10,317,641</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3,642,784</w:t>
            </w:r>
          </w:p>
        </w:tc>
        <w:tc>
          <w:tcPr>
            <w:tcW w:w="120" w:type="dxa"/>
            <w:vAlign w:val="bottom"/>
          </w:tcPr>
          <w:p>
            <w:pPr>
              <w:spacing w:after="0"/>
              <w:rPr>
                <w:sz w:val="24"/>
                <w:szCs w:val="24"/>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4,295,795</w:t>
            </w:r>
          </w:p>
        </w:tc>
        <w:tc>
          <w:tcPr>
            <w:tcW w:w="240" w:type="dxa"/>
            <w:vAlign w:val="bottom"/>
          </w:tcPr>
          <w:p>
            <w:pPr>
              <w:spacing w:after="0"/>
              <w:rPr>
                <w:sz w:val="24"/>
                <w:szCs w:val="24"/>
                <w:color w:val="auto"/>
              </w:rPr>
            </w:pPr>
          </w:p>
        </w:tc>
      </w:tr>
      <w:tr>
        <w:trPr>
          <w:trHeight w:val="95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419,997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482,817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957,110</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416,788</w:t>
            </w:r>
          </w:p>
        </w:tc>
        <w:tc>
          <w:tcPr>
            <w:tcW w:w="120" w:type="dxa"/>
            <w:vAlign w:val="bottom"/>
          </w:tcPr>
          <w:p>
            <w:pPr>
              <w:spacing w:after="0"/>
              <w:rPr>
                <w:sz w:val="24"/>
                <w:szCs w:val="24"/>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872,769</w:t>
            </w:r>
          </w:p>
        </w:tc>
        <w:tc>
          <w:tcPr>
            <w:tcW w:w="240" w:type="dxa"/>
            <w:vAlign w:val="bottom"/>
          </w:tcPr>
          <w:p>
            <w:pPr>
              <w:spacing w:after="0"/>
              <w:rPr>
                <w:sz w:val="24"/>
                <w:szCs w:val="24"/>
                <w:color w:val="auto"/>
              </w:rPr>
            </w:pPr>
          </w:p>
        </w:tc>
      </w:tr>
      <w:tr>
        <w:trPr>
          <w:trHeight w:val="13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817,371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(3,696,618)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2,243,152</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(3,143,169)</w:t>
            </w:r>
          </w:p>
        </w:tc>
        <w:tc>
          <w:tcPr>
            <w:tcW w:w="120" w:type="dxa"/>
            <w:vAlign w:val="bottom"/>
          </w:tcPr>
          <w:p>
            <w:pPr>
              <w:spacing w:after="0"/>
              <w:rPr>
                <w:sz w:val="24"/>
                <w:szCs w:val="24"/>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829,978</w:t>
            </w:r>
          </w:p>
        </w:tc>
        <w:tc>
          <w:tcPr>
            <w:tcW w:w="240" w:type="dxa"/>
            <w:vAlign w:val="bottom"/>
          </w:tcPr>
          <w:p>
            <w:pPr>
              <w:spacing w:after="0"/>
              <w:rPr>
                <w:sz w:val="24"/>
                <w:szCs w:val="24"/>
                <w:color w:val="auto"/>
              </w:rPr>
            </w:pPr>
          </w:p>
        </w:tc>
      </w:tr>
      <w:tr>
        <w:trPr>
          <w:trHeight w:val="13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(521,218)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(1,997,051)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1,339,649</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(1,508,880)</w:t>
            </w:r>
          </w:p>
        </w:tc>
        <w:tc>
          <w:tcPr>
            <w:tcW w:w="120" w:type="dxa"/>
            <w:vAlign w:val="bottom"/>
          </w:tcPr>
          <w:p>
            <w:pPr>
              <w:spacing w:after="0"/>
              <w:rPr>
                <w:sz w:val="24"/>
                <w:szCs w:val="24"/>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440,771</w:t>
            </w:r>
          </w:p>
        </w:tc>
        <w:tc>
          <w:tcPr>
            <w:tcW w:w="240" w:type="dxa"/>
            <w:vAlign w:val="bottom"/>
          </w:tcPr>
          <w:p>
            <w:pPr>
              <w:spacing w:after="0"/>
              <w:rPr>
                <w:sz w:val="24"/>
                <w:szCs w:val="24"/>
                <w:color w:val="auto"/>
              </w:rPr>
            </w:pPr>
          </w:p>
        </w:tc>
      </w:tr>
      <w:tr>
        <w:trPr>
          <w:trHeight w:val="612"/>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699,586   </w:t>
            </w:r>
            <w:r>
              <w:rPr>
                <w:rFonts w:ascii="Times New Roman" w:cs="Times New Roman" w:eastAsia="Times New Roman" w:hAnsi="Times New Roman"/>
                <w:sz w:val="23"/>
                <w:szCs w:val="23"/>
                <w:color w:val="auto"/>
                <w:vertAlign w:val="superscript"/>
              </w:rPr>
              <w:t>(a)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xml:space="preserve">1,150,256  </w:t>
            </w:r>
            <w:r>
              <w:rPr>
                <w:rFonts w:ascii="Times New Roman" w:cs="Times New Roman" w:eastAsia="Times New Roman" w:hAnsi="Times New Roman"/>
                <w:sz w:val="23"/>
                <w:szCs w:val="23"/>
                <w:color w:val="auto"/>
                <w:vertAlign w:val="superscript"/>
              </w:rPr>
              <w:t>(b)</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xml:space="preserve">4,832,674  </w:t>
            </w:r>
            <w:r>
              <w:rPr>
                <w:rFonts w:ascii="Times New Roman" w:cs="Times New Roman" w:eastAsia="Times New Roman" w:hAnsi="Times New Roman"/>
                <w:sz w:val="23"/>
                <w:szCs w:val="23"/>
                <w:color w:val="auto"/>
                <w:vertAlign w:val="superscript"/>
              </w:rPr>
              <w:t>(c)</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16,880</w:t>
            </w:r>
          </w:p>
        </w:tc>
        <w:tc>
          <w:tcPr>
            <w:tcW w:w="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w:t>
            </w:r>
          </w:p>
        </w:tc>
      </w:tr>
      <w:tr>
        <w:trPr>
          <w:trHeight w:val="238"/>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7,431,253</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(9,657,699)</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3,112,023</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(6,566,765)</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1,728,303</w:t>
            </w:r>
          </w:p>
        </w:tc>
        <w:tc>
          <w:tcPr>
            <w:tcW w:w="240" w:type="dxa"/>
            <w:vAlign w:val="bottom"/>
            <w:tcBorders>
              <w:bottom w:val="single" w:sz="8" w:color="auto"/>
            </w:tcBorders>
          </w:tcPr>
          <w:p>
            <w:pPr>
              <w:spacing w:after="0"/>
              <w:rPr>
                <w:sz w:val="20"/>
                <w:szCs w:val="20"/>
                <w:color w:val="auto"/>
              </w:rPr>
            </w:pPr>
          </w:p>
        </w:tc>
      </w:tr>
      <w:tr>
        <w:trPr>
          <w:trHeight w:val="412"/>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15,037,801</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(2,113,422)</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10,599,236</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(140,152)</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7,074,336</w:t>
            </w:r>
          </w:p>
        </w:tc>
        <w:tc>
          <w:tcPr>
            <w:tcW w:w="240" w:type="dxa"/>
            <w:vAlign w:val="bottom"/>
            <w:tcBorders>
              <w:bottom w:val="single" w:sz="8" w:color="auto"/>
            </w:tcBorders>
          </w:tcPr>
          <w:p>
            <w:pPr>
              <w:spacing w:after="0"/>
              <w:rPr>
                <w:sz w:val="24"/>
                <w:szCs w:val="24"/>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-3728085</wp:posOffset>
            </wp:positionV>
            <wp:extent cx="5717540" cy="6083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7540" cy="60833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-2510790</wp:posOffset>
            </wp:positionV>
            <wp:extent cx="5717540" cy="831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7540" cy="83185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-847725</wp:posOffset>
            </wp:positionV>
            <wp:extent cx="5717540"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7540" cy="37719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-307975</wp:posOffset>
            </wp:positionV>
            <wp:extent cx="571754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7540" cy="29146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-4379595</wp:posOffset>
            </wp:positionV>
            <wp:extent cx="571754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75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40"/>
            <w:col w:w="8660"/>
          </w:cols>
          <w:pgMar w:left="320" w:top="369" w:right="339" w:bottom="1440" w:gutter="0" w:footer="0" w:header="0"/>
          <w:type w:val="continuous"/>
        </w:sectPr>
      </w:pPr>
    </w:p>
    <w:p>
      <w:pPr>
        <w:spacing w:after="0" w:line="64" w:lineRule="exact"/>
        <w:rPr>
          <w:sz w:val="20"/>
          <w:szCs w:val="20"/>
          <w:color w:val="auto"/>
        </w:rPr>
      </w:pPr>
    </w:p>
    <w:p>
      <w:pPr>
        <w:ind w:left="940" w:hanging="284"/>
        <w:spacing w:after="0"/>
        <w:tabs>
          <w:tab w:leader="none" w:pos="940"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Tanjga upon his stepping down as our Interim Chief Financial Officer, effective May 8, 2025.</w:t>
      </w:r>
    </w:p>
    <w:p>
      <w:pPr>
        <w:ind w:left="980" w:hanging="324"/>
        <w:spacing w:after="0" w:line="199" w:lineRule="auto"/>
        <w:tabs>
          <w:tab w:leader="none" w:pos="992"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Gordon upon his stepping down as our Chief Operating Officer and Chief Financial Officer, effective January 31, 2025.</w:t>
      </w:r>
    </w:p>
    <w:p>
      <w:pPr>
        <w:ind w:left="840" w:hanging="184"/>
        <w:spacing w:after="0" w:line="194" w:lineRule="auto"/>
        <w:tabs>
          <w:tab w:leader="none" w:pos="840"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forfeiture of equity awards by Mr. Porter upon his stepping down as our Chief Technology Officer,</w:t>
      </w:r>
    </w:p>
    <w:p>
      <w:pPr>
        <w:ind w:left="660"/>
        <w:spacing w:after="0" w:line="237" w:lineRule="auto"/>
        <w:rPr>
          <w:sz w:val="20"/>
          <w:szCs w:val="20"/>
          <w:color w:val="auto"/>
        </w:rPr>
      </w:pPr>
      <w:r>
        <w:rPr>
          <w:rFonts w:ascii="Times New Roman" w:cs="Times New Roman" w:eastAsia="Times New Roman" w:hAnsi="Times New Roman"/>
          <w:sz w:val="18"/>
          <w:szCs w:val="18"/>
          <w:color w:val="auto"/>
        </w:rPr>
        <w:t>effective July 2023.</w:t>
      </w:r>
    </w:p>
    <w:p>
      <w:pPr>
        <w:ind w:left="980" w:hanging="324"/>
        <w:spacing w:after="0" w:line="212" w:lineRule="auto"/>
        <w:tabs>
          <w:tab w:leader="none" w:pos="994" w:val="left"/>
        </w:tabs>
        <w:numPr>
          <w:ilvl w:val="1"/>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spacing w:after="0" w:line="211"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39"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Shareholder Return shown in this table utilizes our cumulative total return to shareholders of our common stock relative to the Nasdaq Computer Index, which is the index included in the stock performance graph required by Item 201(e) of Regulation S-K in our Annual Report on Form 10-K for the fiscal year ended January 31, 2026. The comparison assumes $100 was invested in our common stock and in the Nasdaq Computer Index for the period commencing on January 31, 2021 and ending on January 31 of each Covered Year. All dollar values assume reinvestment of the gross dividends paid by companies included in the Nasdaq Computer Index. The stock price performance shown in the graph represents past performance and should not be considered an indication of future stock price performance.</w:t>
      </w:r>
    </w:p>
    <w:p>
      <w:pPr>
        <w:spacing w:after="0" w:line="77" w:lineRule="exact"/>
        <w:rPr>
          <w:rFonts w:ascii="Times New Roman" w:cs="Times New Roman" w:eastAsia="Times New Roman" w:hAnsi="Times New Roman"/>
          <w:sz w:val="23"/>
          <w:szCs w:val="23"/>
          <w:color w:val="auto"/>
          <w:vertAlign w:val="superscript"/>
        </w:rPr>
      </w:pPr>
    </w:p>
    <w:p>
      <w:pPr>
        <w:ind w:left="340" w:hanging="332"/>
        <w:spacing w:after="0" w:line="222" w:lineRule="auto"/>
        <w:tabs>
          <w:tab w:leader="none" w:pos="344"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“Net Loss” for each Covered Year as set forth in our Consolidated Statements of Operations included in our Annual Report on Form 10-K for each of the Covered Years. For the avoidance of doubt, “Net Loss” is a GAAP measure.</w:t>
      </w:r>
    </w:p>
    <w:p>
      <w:pPr>
        <w:sectPr>
          <w:pgSz w:w="11900" w:h="16838" w:orient="portrait"/>
          <w:cols w:equalWidth="0" w:num="1">
            <w:col w:w="1124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line="222" w:lineRule="auto"/>
        <w:tabs>
          <w:tab w:leader="none" w:pos="346"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“Revenue” for each Covered Year as set forth in our Consolidated Statements of Operations included in our Annual Report on Form 10-K for each of the Covered Years. For the avoidance of doubt, “Revenue” is a GAAP measure.</w:t>
      </w:r>
    </w:p>
    <w:p>
      <w:pPr>
        <w:spacing w:after="0" w:line="76" w:lineRule="exact"/>
        <w:rPr>
          <w:rFonts w:ascii="Times New Roman" w:cs="Times New Roman" w:eastAsia="Times New Roman" w:hAnsi="Times New Roman"/>
          <w:sz w:val="23"/>
          <w:szCs w:val="23"/>
          <w:color w:val="auto"/>
          <w:vertAlign w:val="superscript"/>
        </w:rPr>
      </w:pPr>
    </w:p>
    <w:p>
      <w:pPr>
        <w:ind w:left="340" w:hanging="332"/>
        <w:spacing w:after="0" w:line="222" w:lineRule="auto"/>
        <w:tabs>
          <w:tab w:leader="none" w:pos="376"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performance-based stock awards that were forfeited as a result of attainment of company performance targets at a level that resulted in less than full vesting.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Compensation Actually Paid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graph below illustrates the TSR on a fixed $100 investment made as of January 31, 2021 in shares of our common stock and in the Nasdaq Computer Index.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-3810</wp:posOffset>
            </wp:positionV>
            <wp:extent cx="4286250" cy="31286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against (ii) our cumulative TSR for each Covered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560705</wp:posOffset>
            </wp:positionV>
            <wp:extent cx="4286250" cy="31286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862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right="4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(i) the CAP of our CEO and the average CAP of our Other NEOs (as shown in the left axis) against (ii) Revenue and (iii) Net Loss on the right axis, for each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-13335</wp:posOffset>
            </wp:positionV>
            <wp:extent cx="4286250" cy="32575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62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CAP is influenced by numerous factors, including but not limited to the timing of new grant issuances and award vesting, share price volatility during the fiscal year, our mix of performance metrics and other factors. Because our executive compensation program incentivizes and rewards executives primarily through long-term incentives in the form of PSU and</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equity awards, CAP is most significantly impacted by changes in our stock price over the vesting period of the equity awards.</w:t>
      </w:r>
    </w:p>
    <w:p>
      <w:pPr>
        <w:spacing w:after="0" w:line="2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 review of our financial performance measures, our process for setting executive compensation and how our executive compensation design reinforces our compensation philosophy, refer to “Executive Compensation—Compensation Discussion and Analysis.”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 for Fiscal Year Ended January 31, 2026</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unranked list of the performance measures which we view as the “most important” measures for linking CAP to our current and former CEO and Other NEOs for the fiscal year ended January 31, 2026 to Company performance: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What it Measures</w:t>
            </w:r>
          </w:p>
        </w:tc>
      </w:tr>
      <w:tr>
        <w:trPr>
          <w:trHeight w:val="223"/>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 Growth (%)</w:t>
            </w:r>
          </w:p>
        </w:tc>
        <w:tc>
          <w:tcPr>
            <w:tcW w:w="460" w:type="dxa"/>
            <w:vAlign w:val="bottom"/>
            <w:tcBorders>
              <w:top w:val="single" w:sz="8" w:color="CCEEFF"/>
            </w:tcBorders>
            <w:shd w:val="clear" w:color="auto" w:fill="CCEEFF"/>
          </w:tcPr>
          <w:p>
            <w:pPr>
              <w:spacing w:after="0"/>
              <w:rPr>
                <w:sz w:val="19"/>
                <w:szCs w:val="19"/>
                <w:color w:val="auto"/>
              </w:rPr>
            </w:pPr>
          </w:p>
        </w:tc>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growth in ARR over a given time period</w:t>
            </w: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New ARR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 change in ARR over a given time period</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we generate adjusted for non-cash or irregular expenses</w:t>
            </w: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Cash Flow ($)</w:t>
            </w:r>
          </w:p>
        </w:tc>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generated by our operating activities</w:t>
            </w: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we generate through our subscriptions and services offerings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January 31, 2026. Information is included for equity compensation plans approved by our stockholders. We do not have any equity compensation plans not approved by our stockholders.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Number of Securities</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8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 be</w:t>
            </w:r>
          </w:p>
        </w:tc>
        <w:tc>
          <w:tcPr>
            <w:tcW w:w="2460" w:type="dxa"/>
            <w:vAlign w:val="bottom"/>
          </w:tcPr>
          <w:p>
            <w:pPr>
              <w:spacing w:after="0"/>
              <w:rPr>
                <w:sz w:val="15"/>
                <w:szCs w:val="15"/>
                <w:color w:val="auto"/>
              </w:rPr>
            </w:pPr>
          </w:p>
        </w:tc>
        <w:tc>
          <w:tcPr>
            <w:tcW w:w="24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 Weighted Average Exercise</w:t>
            </w:r>
          </w:p>
        </w:tc>
        <w:tc>
          <w:tcPr>
            <w:tcW w:w="2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280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460" w:type="dxa"/>
            <w:vAlign w:val="bottom"/>
            <w:vMerge w:val="continue"/>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Plans</w:t>
            </w:r>
          </w:p>
        </w:tc>
        <w:tc>
          <w:tcPr>
            <w:tcW w:w="0" w:type="dxa"/>
            <w:vAlign w:val="bottom"/>
          </w:tcPr>
          <w:p>
            <w:pPr>
              <w:spacing w:after="0"/>
              <w:rPr>
                <w:sz w:val="1"/>
                <w:szCs w:val="1"/>
                <w:color w:val="auto"/>
              </w:rPr>
            </w:pPr>
          </w:p>
        </w:tc>
      </w:tr>
      <w:tr>
        <w:trPr>
          <w:trHeight w:val="18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80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(Excluding Securities</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ind w:left="290"/>
              <w:spacing w:after="0" w:line="230" w:lineRule="exact"/>
              <w:rPr>
                <w:sz w:val="20"/>
                <w:szCs w:val="20"/>
                <w:color w:val="auto"/>
              </w:rPr>
            </w:pPr>
            <w:r>
              <w:rPr>
                <w:rFonts w:ascii="Times New Roman" w:cs="Times New Roman" w:eastAsia="Times New Roman" w:hAnsi="Times New Roman"/>
                <w:sz w:val="18"/>
                <w:szCs w:val="18"/>
                <w:b w:val="1"/>
                <w:bCs w:val="1"/>
                <w:color w:val="auto"/>
                <w:w w:val="96"/>
              </w:rPr>
              <w:t>Warrants and Rights</w:t>
            </w:r>
            <w:r>
              <w:rPr>
                <w:rFonts w:ascii="Times New Roman" w:cs="Times New Roman" w:eastAsia="Times New Roman" w:hAnsi="Times New Roman"/>
                <w:sz w:val="23"/>
                <w:szCs w:val="23"/>
                <w:b w:val="1"/>
                <w:bCs w:val="1"/>
                <w:color w:val="auto"/>
                <w:w w:val="96"/>
                <w:vertAlign w:val="superscript"/>
              </w:rPr>
              <w:t>(1)</w:t>
            </w:r>
          </w:p>
        </w:tc>
        <w:tc>
          <w:tcPr>
            <w:tcW w:w="24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(2)</w:t>
            </w:r>
          </w:p>
        </w:tc>
        <w:tc>
          <w:tcPr>
            <w:tcW w:w="24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Reflected in Column (a))</w:t>
            </w:r>
            <w:r>
              <w:rPr>
                <w:rFonts w:ascii="Times New Roman" w:cs="Times New Roman" w:eastAsia="Times New Roman" w:hAnsi="Times New Roman"/>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plans approved by stockholders</w:t>
            </w:r>
          </w:p>
        </w:tc>
        <w:tc>
          <w:tcPr>
            <w:tcW w:w="2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4,654,250</w:t>
            </w:r>
          </w:p>
        </w:tc>
        <w:tc>
          <w:tcPr>
            <w:tcW w:w="24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$9.67</w:t>
            </w:r>
          </w:p>
        </w:tc>
        <w:tc>
          <w:tcPr>
            <w:tcW w:w="24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22,930,429</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plans not approved by stockholders</w:t>
            </w:r>
          </w:p>
        </w:tc>
        <w:tc>
          <w:tcPr>
            <w:tcW w:w="28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21" w:lineRule="auto"/>
        <w:tabs>
          <w:tab w:leader="none" w:pos="316" w:val="left"/>
        </w:tabs>
        <w:numPr>
          <w:ilvl w:val="0"/>
          <w:numId w:val="7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tabs>
          <w:tab w:leader="none" w:pos="301" w:val="left"/>
        </w:tabs>
        <w:numPr>
          <w:ilvl w:val="0"/>
          <w:numId w:val="7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weighted average exercise price is calculated based solely on outstanding stock options and does not take into account stock underlying restricted stock units, which have no exercise price.</w:t>
      </w:r>
    </w:p>
    <w:p>
      <w:pPr>
        <w:spacing w:after="0" w:line="240" w:lineRule="exact"/>
        <w:rPr>
          <w:rFonts w:ascii="Times New Roman" w:cs="Times New Roman" w:eastAsia="Times New Roman" w:hAnsi="Times New Roman"/>
          <w:sz w:val="19"/>
          <w:szCs w:val="19"/>
          <w:color w:val="auto"/>
          <w:vertAlign w:val="superscript"/>
        </w:rPr>
      </w:pPr>
    </w:p>
    <w:p>
      <w:pPr>
        <w:jc w:val="right"/>
        <w:ind w:left="340" w:hanging="332"/>
        <w:spacing w:after="0" w:line="243" w:lineRule="auto"/>
        <w:tabs>
          <w:tab w:leader="none" w:pos="279" w:val="left"/>
        </w:tabs>
        <w:numPr>
          <w:ilvl w:val="0"/>
          <w:numId w:val="7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2016 Plan and ESPP. Stock options or other stock awards granted under the 2008 Plan that are forfeited, terminated, expired or repurchased become available for issuance under the 2016 Plan. The 2016 Plan provides that the total number of shares of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w:t>
      </w:r>
    </w:p>
    <w:p>
      <w:pPr>
        <w:spacing w:after="0" w:line="3" w:lineRule="exact"/>
        <w:rPr>
          <w:rFonts w:ascii="Times New Roman" w:cs="Times New Roman" w:eastAsia="Times New Roman" w:hAnsi="Times New Roman"/>
          <w:sz w:val="19"/>
          <w:szCs w:val="19"/>
          <w:color w:val="auto"/>
          <w:vertAlign w:val="superscript"/>
        </w:rPr>
      </w:pPr>
    </w:p>
    <w:p>
      <w:pPr>
        <w:jc w:val="both"/>
        <w:ind w:left="340"/>
        <w:spacing w:after="0" w:line="26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 995,000 shares; provided that the board of directors or a committee thereof may determine that such increase will be less than the amount set forth above. Accordingly, on February 1, 2026, the number of shares of our common stock available for issuance under our 2016 Plan and our ESPP increased by 4,164,624 shares and 832,725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9"/>
          <w:szCs w:val="29"/>
          <w:b w:val="1"/>
          <w:bCs w:val="1"/>
          <w:color w:val="auto"/>
        </w:rPr>
        <w:t>PROPOSAL 3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selected PricewaterhouseCoopers LLP as our independent registered public accounting firm for the fiscal year ending January 31, 2027 and has further directed that management submit this selection for ratification by the stockholders at the meeting. PricewaterhouseCoopers LLP has served as our independent registered public accounting firm since 2013. Representatives of PricewaterhouseCoopers LLP are expected to be present during the meeting, where they will be available to respond to appropriate questions and, if they desire, to make a 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aggregate fees for services provided by PricewaterhouseCoopers LLP for the fiscal years ended January 31, 2026 and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Fiscal Years Ended January 31,</w:t>
            </w:r>
          </w:p>
        </w:tc>
      </w:tr>
      <w:tr>
        <w:trPr>
          <w:trHeight w:val="223"/>
        </w:trPr>
        <w:tc>
          <w:tcPr>
            <w:tcW w:w="67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4,173,800</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3,821,950</w:t>
            </w: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5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5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449,710</w:t>
            </w: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185,530</w:t>
            </w:r>
          </w:p>
        </w:tc>
      </w:tr>
      <w:tr>
        <w:trPr>
          <w:trHeight w:val="230"/>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4,711,710</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4,009,480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line="221" w:lineRule="auto"/>
        <w:tabs>
          <w:tab w:leader="none" w:pos="331"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spacing w:after="0" w:line="65"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Audit-related fees consist of fees billed in fiscal year ended January 31, 2026 for system pre-implementation services.</w:t>
      </w:r>
    </w:p>
    <w:p>
      <w:pPr>
        <w:spacing w:after="0" w:line="65"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Tax fees consist of fees billed in fiscal years ended January 31, 2026 and 2025 for transfer pricing services and tax compliance and consulting services.</w:t>
      </w:r>
    </w:p>
    <w:p>
      <w:pPr>
        <w:spacing w:after="0" w:line="55" w:lineRule="exact"/>
        <w:rPr>
          <w:rFonts w:ascii="Times New Roman" w:cs="Times New Roman" w:eastAsia="Times New Roman" w:hAnsi="Times New Roman"/>
          <w:sz w:val="19"/>
          <w:szCs w:val="19"/>
          <w:color w:val="auto"/>
          <w:vertAlign w:val="superscript"/>
        </w:rPr>
      </w:pPr>
    </w:p>
    <w:p>
      <w:pPr>
        <w:ind w:left="260" w:hanging="252"/>
        <w:spacing w:after="0" w:line="236" w:lineRule="auto"/>
        <w:tabs>
          <w:tab w:leader="none" w:pos="260" w:val="left"/>
        </w:tabs>
        <w:numPr>
          <w:ilvl w:val="0"/>
          <w:numId w:val="7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other fees billed for the fiscal years ended January 31, 2026 and 2025 were related to fees for access to online accounting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services provided by PricewaterhouseCoopers LLP for our fiscal year ended January 31, 2026,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p>
      <w:pPr>
        <w:spacing w:after="0" w:line="217"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ratification of the selection of PricewaterhouseCoopers LLP as our independent registered public accounting firm for the fiscal year ending January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9"/>
          <w:szCs w:val="29"/>
          <w:b w:val="1"/>
          <w:bCs w:val="1"/>
          <w:color w:val="auto"/>
        </w:rPr>
        <w:t>PROPOSAL 4 – APPROVAL OF AN AMENDMENT TO OUR AMENDED AND RESTATED CERTIFICATE OF INCORPORATION TO ELIMINATE</w:t>
      </w:r>
    </w:p>
    <w:p>
      <w:pPr>
        <w:spacing w:after="0" w:line="1" w:lineRule="exact"/>
        <w:rPr>
          <w:sz w:val="20"/>
          <w:szCs w:val="20"/>
          <w:color w:val="auto"/>
        </w:rPr>
      </w:pPr>
    </w:p>
    <w:p>
      <w:pPr>
        <w:spacing w:after="0"/>
        <w:tabs>
          <w:tab w:leader="none" w:pos="5260" w:val="left"/>
          <w:tab w:leader="none" w:pos="8840" w:val="left"/>
        </w:tabs>
        <w:rPr>
          <w:sz w:val="20"/>
          <w:szCs w:val="20"/>
          <w:color w:val="auto"/>
        </w:rPr>
      </w:pPr>
      <w:r>
        <w:rPr>
          <w:rFonts w:ascii="Times New Roman" w:cs="Times New Roman" w:eastAsia="Times New Roman" w:hAnsi="Times New Roman"/>
          <w:sz w:val="29"/>
          <w:szCs w:val="29"/>
          <w:b w:val="1"/>
          <w:bCs w:val="1"/>
          <w:color w:val="auto"/>
        </w:rPr>
        <w:t>SUPERMAJORITY</w:t>
      </w:r>
      <w:r>
        <w:rPr>
          <w:sz w:val="20"/>
          <w:szCs w:val="20"/>
          <w:color w:val="auto"/>
        </w:rPr>
        <w:tab/>
      </w:r>
      <w:r>
        <w:rPr>
          <w:rFonts w:ascii="Times New Roman" w:cs="Times New Roman" w:eastAsia="Times New Roman" w:hAnsi="Times New Roman"/>
          <w:sz w:val="29"/>
          <w:szCs w:val="29"/>
          <w:b w:val="1"/>
          <w:bCs w:val="1"/>
          <w:color w:val="auto"/>
        </w:rPr>
        <w:t>VOTE</w:t>
      </w:r>
      <w:r>
        <w:rPr>
          <w:sz w:val="20"/>
          <w:szCs w:val="20"/>
          <w:color w:val="auto"/>
        </w:rPr>
        <w:tab/>
      </w:r>
      <w:r>
        <w:rPr>
          <w:rFonts w:ascii="Times New Roman" w:cs="Times New Roman" w:eastAsia="Times New Roman" w:hAnsi="Times New Roman"/>
          <w:sz w:val="28"/>
          <w:szCs w:val="28"/>
          <w:b w:val="1"/>
          <w:bCs w:val="1"/>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having determined that it is in the best interests of the Company and its stockholders, has approved, adopted and declared advisable, and recommends that the Company’s stockholders approve and adopt amendments to the Company's Amended and Restated Certificate of Incorporation (the "Charter") to eliminate the supermajority vote requirements in the Charter and replace them with majority vote standards (the "Supermajority Removal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Status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Article VII, Section 7.5 of the Charter currently provides that a director may be removed with cause by the affirmative vote of the holders of at least 66 2/3% of the voting power of all then-outstanding shares of capital stock of the Company entitled to vote generally at an election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Supermajority Removal Amendment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Supermajority Removal Amendment would amend Article VII, Section 7.5 so that directors may be removed with cause by a majority (instead of 66 2/3%) of the shares of the Company’s then-outstanding shares of capital stock of the Company entitled to vote generally at an election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the Proposal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the Supermajority Removal Amendment is advisable and in the best interests of the Company and its stockholders because it is reflective of prevailing market practice. The board of directors believes that the supermajority provisions are potentially unduly restrictive of stockholder participation in the affected areas when weighed against the stability that the provisions were intended to facilitate. The board of directors has carefully considered the advantages and disadvantages of maintaining the supermajority voting provisions and has determined that it is in the best interests of the Company and its stockholders to approve and recommend that stockholders adopt the amendments described below to eliminate supermajority vote requirements from the Charter and replace them with majority vote standards.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Supermajority Removal Amendment would become effective upon the filing of an Amended and Restated Certificate of Incorporation with the Secretary of State of the State of Delaware reflecting the changes in Annex A to this Proxy Statement, which we expect would be filed by the Company promptly following the Annual Meeting if our stockholders approve the Supermajority Removal Amendment. The descriptions of the Supermajority Removal Amendment are qualified in their entirety by reference to the text of the proposed revisions, which are set forth in Annex A to this Proxy Statement, with deletions indicated by strikeouts and additions indicated by underlining.</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previously amended the Charter to:</w:t>
      </w:r>
    </w:p>
    <w:p>
      <w:pPr>
        <w:spacing w:after="0" w:line="252" w:lineRule="exact"/>
        <w:rPr>
          <w:sz w:val="20"/>
          <w:szCs w:val="20"/>
          <w:color w:val="auto"/>
        </w:rPr>
      </w:pPr>
    </w:p>
    <w:p>
      <w:pPr>
        <w:jc w:val="both"/>
        <w:ind w:left="1300" w:hanging="320"/>
        <w:spacing w:after="0" w:line="257" w:lineRule="auto"/>
        <w:tabs>
          <w:tab w:leader="none" w:pos="1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total number of authorized shares of Common Stock of the Company so that the total number of authorized shares of Common Stock of the Company is 1,000,000,000 and eliminated Class B Common Stock in 2020 (the “Certificate of Retirement of Class B Shares”)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exculpation of executive officers in 2025 (the “Exculpation of Officers”)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stockholders approve the Supermajority Removal Amendment, the Company intends to file an Amended and Restated Certificate of Incorporation that will amend, restate and integrate the Certificate of Retirement of Class B Shares, the Exculpation of Officers and the Supermajority Removal Amendment (as set forth in Annex A), along with certain conforming changes.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Supermajority Removal Amendment is not approved, the Company will not file an Amended and Restated Certificate of Incorporation. The adoption of the Supermajority Removal Amendment is not contingent on the approval of</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other proposal described in this Proxy Statement. The board of directors reserves the right to elect to abandon the Supermajority Removal Amendment prior to its implementation, if it determines, in its sole discretion, that the Supermajority Removal Amendment is no longer in the best interests of the Company and its stockholders.</w:t>
      </w:r>
    </w:p>
    <w:p>
      <w:pPr>
        <w:spacing w:after="0" w:line="338"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 xml:space="preserve">Our board of directors recommends a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approval of an amendment to our Amended and Restated Certificate of Incorporation to eliminate supermajority vote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-314960</wp:posOffset>
            </wp:positionV>
            <wp:extent cx="7071995" cy="3257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January 31, 2026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2026, for filing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Hope Cochran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Roelof Botha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 Hazard, Jr.</w:t>
      </w:r>
    </w:p>
    <w:p>
      <w:pPr>
        <w:spacing w:after="0" w:line="2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ind w:right="2120"/>
        <w:spacing w:after="0" w:line="287" w:lineRule="auto"/>
        <w:rPr>
          <w:sz w:val="20"/>
          <w:szCs w:val="20"/>
          <w:color w:val="auto"/>
        </w:rPr>
      </w:pPr>
      <w:r>
        <w:rPr>
          <w:rFonts w:ascii="Times New Roman" w:cs="Times New Roman" w:eastAsia="Times New Roman" w:hAnsi="Times New Roman"/>
          <w:sz w:val="29"/>
          <w:szCs w:val="2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as of May 1, 2026, certain information with respect to the beneficial ownership of our common stock: (a) by each person known by us to be the beneficial owner of more than five percent of the outstanding shares of our common stock, (b) by each of our directors and director nominees, (c) by each of our named executive officers and (d) by all of our current executive officers, directors and director nominees as a group.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80,499,934 shares of our common stock outstanding as of May 1, 2026. In computing the number of shares of common stock beneficially owned by a person and the percentage ownership of such person, we deemed to be outstanding any shares of our common stock subject to options held by such person that are currently exercisable or exercisable within 60 days of May 1, 2026 and any shares of common stock issuable upon the vesting of RSUs within 60 days after May 1, 2026. However, we did not deem such shares of our common stock outstanding for the purpose of computing the percentage ownership of any other person.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MongoDB, Inc., 1633 Broadway, 38th Floor, New York, New York 10019.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Beneficial Owners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5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96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 of Beneficial Owner - 5% or Greater Stockholders:</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33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30"/>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(1)</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4,692,038</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5.8</w:t>
            </w:r>
          </w:p>
        </w:tc>
      </w:tr>
      <w:tr>
        <w:trPr>
          <w:trHeight w:val="230"/>
        </w:trPr>
        <w:tc>
          <w:tcPr>
            <w:tcW w:w="596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Vanguard Portfolio Management</w:t>
            </w:r>
            <w:r>
              <w:rPr>
                <w:rFonts w:ascii="Times New Roman" w:cs="Times New Roman" w:eastAsia="Times New Roman" w:hAnsi="Times New Roman"/>
                <w:sz w:val="23"/>
                <w:szCs w:val="23"/>
                <w:color w:val="auto"/>
                <w:vertAlign w:val="superscript"/>
              </w:rPr>
              <w:t>(2)</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4,512,140</w:t>
            </w:r>
          </w:p>
        </w:tc>
        <w:tc>
          <w:tcPr>
            <w:tcW w:w="33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5.6</w:t>
            </w:r>
          </w:p>
        </w:tc>
      </w:tr>
      <w:tr>
        <w:trPr>
          <w:trHeight w:val="229"/>
        </w:trPr>
        <w:tc>
          <w:tcPr>
            <w:tcW w:w="596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Vanguard Capital Management</w:t>
            </w:r>
            <w:r>
              <w:rPr>
                <w:rFonts w:ascii="Times New Roman" w:cs="Times New Roman" w:eastAsia="Times New Roman" w:hAnsi="Times New Roman"/>
                <w:sz w:val="23"/>
                <w:szCs w:val="23"/>
                <w:color w:val="auto"/>
                <w:vertAlign w:val="superscript"/>
              </w:rPr>
              <w:t>(3)</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4,228,919</w:t>
            </w:r>
          </w:p>
        </w:tc>
        <w:tc>
          <w:tcPr>
            <w:tcW w:w="3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Named Executive Officers, Directors and Director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Beneficially Owned</w:t>
            </w: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Ownership %</w:t>
            </w:r>
          </w:p>
        </w:tc>
      </w:tr>
      <w:tr>
        <w:trPr>
          <w:trHeight w:val="223"/>
        </w:trPr>
        <w:tc>
          <w:tcPr>
            <w:tcW w:w="5780" w:type="dxa"/>
            <w:vAlign w:val="bottom"/>
            <w:tcBorders>
              <w:top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Archana Agrawal</w:t>
            </w:r>
            <w:r>
              <w:rPr>
                <w:rFonts w:ascii="Times New Roman" w:cs="Times New Roman" w:eastAsia="Times New Roman" w:hAnsi="Times New Roman"/>
                <w:sz w:val="23"/>
                <w:szCs w:val="23"/>
                <w:color w:val="auto"/>
                <w:vertAlign w:val="superscript"/>
              </w:rPr>
              <w:t>(4)</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4,561</w:t>
            </w:r>
          </w:p>
        </w:tc>
        <w:tc>
          <w:tcPr>
            <w:tcW w:w="4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Michael Berry</w:t>
            </w:r>
            <w:r>
              <w:rPr>
                <w:rFonts w:ascii="Times New Roman" w:cs="Times New Roman" w:eastAsia="Times New Roman" w:hAnsi="Times New Roman"/>
                <w:sz w:val="23"/>
                <w:szCs w:val="23"/>
                <w:color w:val="auto"/>
                <w:vertAlign w:val="superscript"/>
              </w:rPr>
              <w:t>(5)</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11,550</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Roelof Botha</w:t>
            </w:r>
            <w:r>
              <w:rPr>
                <w:rFonts w:ascii="Times New Roman" w:cs="Times New Roman" w:eastAsia="Times New Roman" w:hAnsi="Times New Roman"/>
                <w:sz w:val="23"/>
                <w:szCs w:val="23"/>
                <w:color w:val="auto"/>
                <w:vertAlign w:val="superscript"/>
              </w:rPr>
              <w:t>(6)</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195,730</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Hope Cochran</w:t>
            </w:r>
            <w:r>
              <w:rPr>
                <w:rFonts w:ascii="Times New Roman" w:cs="Times New Roman" w:eastAsia="Times New Roman" w:hAnsi="Times New Roman"/>
                <w:sz w:val="23"/>
                <w:szCs w:val="23"/>
                <w:color w:val="auto"/>
                <w:vertAlign w:val="superscript"/>
              </w:rPr>
              <w:t>(7)</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31,926</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59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Chirantan Desai</w:t>
            </w:r>
            <w:r>
              <w:rPr>
                <w:rFonts w:ascii="Times New Roman" w:cs="Times New Roman" w:eastAsia="Times New Roman" w:hAnsi="Times New Roman"/>
                <w:sz w:val="23"/>
                <w:szCs w:val="23"/>
                <w:color w:val="auto"/>
                <w:vertAlign w:val="superscript"/>
              </w:rPr>
              <w:t>(8)</w:t>
            </w:r>
          </w:p>
        </w:tc>
        <w:tc>
          <w:tcPr>
            <w:tcW w:w="19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3,250</w:t>
            </w:r>
          </w:p>
        </w:tc>
        <w:tc>
          <w:tcPr>
            <w:tcW w:w="3300" w:type="dxa"/>
            <w:vAlign w:val="bottom"/>
            <w:tcBorders>
              <w:bottom w:val="single" w:sz="8" w:color="CCEEFF"/>
            </w:tcBorders>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Francisco D’Souza</w:t>
            </w:r>
            <w:r>
              <w:rPr>
                <w:rFonts w:ascii="Times New Roman" w:cs="Times New Roman" w:eastAsia="Times New Roman" w:hAnsi="Times New Roman"/>
                <w:sz w:val="23"/>
                <w:szCs w:val="23"/>
                <w:color w:val="auto"/>
                <w:vertAlign w:val="superscript"/>
              </w:rPr>
              <w:t>(9)</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7,655</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Charles M. Hazard, Jr.</w:t>
            </w:r>
            <w:r>
              <w:rPr>
                <w:rFonts w:ascii="Times New Roman" w:cs="Times New Roman" w:eastAsia="Times New Roman" w:hAnsi="Times New Roman"/>
                <w:sz w:val="23"/>
                <w:szCs w:val="23"/>
                <w:color w:val="auto"/>
                <w:vertAlign w:val="superscript"/>
              </w:rPr>
              <w:t>(10)</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58,862</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Dev Ittycheria</w:t>
            </w:r>
            <w:r>
              <w:rPr>
                <w:rFonts w:ascii="Times New Roman" w:cs="Times New Roman" w:eastAsia="Times New Roman" w:hAnsi="Times New Roman"/>
                <w:sz w:val="23"/>
                <w:szCs w:val="23"/>
                <w:color w:val="auto"/>
                <w:vertAlign w:val="superscript"/>
              </w:rPr>
              <w:t>(11)</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152,557</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Tom Killalea</w:t>
            </w:r>
            <w:r>
              <w:rPr>
                <w:rFonts w:ascii="Times New Roman" w:cs="Times New Roman" w:eastAsia="Times New Roman" w:hAnsi="Times New Roman"/>
                <w:sz w:val="23"/>
                <w:szCs w:val="23"/>
                <w:color w:val="auto"/>
                <w:vertAlign w:val="superscript"/>
              </w:rPr>
              <w:t>(12)</w:t>
            </w:r>
          </w:p>
        </w:tc>
        <w:tc>
          <w:tcPr>
            <w:tcW w:w="1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82,293</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Ann Lewnes</w:t>
            </w:r>
            <w:r>
              <w:rPr>
                <w:rFonts w:ascii="Times New Roman" w:cs="Times New Roman" w:eastAsia="Times New Roman" w:hAnsi="Times New Roman"/>
                <w:sz w:val="23"/>
                <w:szCs w:val="23"/>
                <w:color w:val="auto"/>
                <w:vertAlign w:val="superscript"/>
              </w:rPr>
              <w:t>(13)</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2,145</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Dwight Merriman</w:t>
            </w:r>
            <w:r>
              <w:rPr>
                <w:rFonts w:ascii="Times New Roman" w:cs="Times New Roman" w:eastAsia="Times New Roman" w:hAnsi="Times New Roman"/>
                <w:sz w:val="23"/>
                <w:szCs w:val="23"/>
                <w:color w:val="auto"/>
                <w:vertAlign w:val="superscript"/>
              </w:rPr>
              <w:t>(14)</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1,561,474</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1.9</w:t>
            </w:r>
          </w:p>
        </w:tc>
      </w:tr>
      <w:tr>
        <w:trPr>
          <w:trHeight w:val="229"/>
        </w:trPr>
        <w:tc>
          <w:tcPr>
            <w:tcW w:w="596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Cedric Pech</w:t>
            </w:r>
            <w:r>
              <w:rPr>
                <w:rFonts w:ascii="Times New Roman" w:cs="Times New Roman" w:eastAsia="Times New Roman" w:hAnsi="Times New Roman"/>
                <w:sz w:val="23"/>
                <w:szCs w:val="23"/>
                <w:color w:val="auto"/>
                <w:vertAlign w:val="superscript"/>
              </w:rPr>
              <w:t>(15)</w:t>
            </w:r>
          </w:p>
        </w:tc>
        <w:tc>
          <w:tcPr>
            <w:tcW w:w="19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51,002</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60" w:type="dxa"/>
            <w:vAlign w:val="bottom"/>
            <w:gridSpan w:val="2"/>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Srdjan Tanjga</w:t>
            </w:r>
            <w:r>
              <w:rPr>
                <w:rFonts w:ascii="Times New Roman" w:cs="Times New Roman" w:eastAsia="Times New Roman" w:hAnsi="Times New Roman"/>
                <w:sz w:val="23"/>
                <w:szCs w:val="23"/>
                <w:color w:val="auto"/>
                <w:vertAlign w:val="superscript"/>
              </w:rPr>
              <w:t>(16)</w:t>
            </w:r>
          </w:p>
        </w:tc>
        <w:tc>
          <w:tcPr>
            <w:tcW w:w="198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754</w:t>
            </w:r>
          </w:p>
        </w:tc>
        <w:tc>
          <w:tcPr>
            <w:tcW w:w="330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(11 persons)</w:t>
            </w:r>
            <w:r>
              <w:rPr>
                <w:rFonts w:ascii="Times New Roman" w:cs="Times New Roman" w:eastAsia="Times New Roman" w:hAnsi="Times New Roman"/>
                <w:sz w:val="23"/>
                <w:szCs w:val="23"/>
                <w:color w:val="auto"/>
                <w:vertAlign w:val="superscript"/>
              </w:rPr>
              <w:t>(17)</w:t>
            </w:r>
          </w:p>
        </w:tc>
        <w:tc>
          <w:tcPr>
            <w:tcW w:w="19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2,112,003</w:t>
            </w:r>
          </w:p>
        </w:tc>
        <w:tc>
          <w:tcPr>
            <w:tcW w:w="33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7"/>
              </w:rPr>
              <w:t>2.6</w:t>
            </w:r>
          </w:p>
        </w:tc>
      </w:tr>
    </w:tbl>
    <w:p>
      <w:pPr>
        <w:spacing w:after="0" w:line="75"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4"/>
          <w:szCs w:val="14"/>
          <w:color w:val="auto"/>
        </w:rPr>
        <w:t>Represents beneficial ownership of less than 1%</w:t>
      </w:r>
    </w:p>
    <w:p>
      <w:pPr>
        <w:spacing w:after="0" w:line="95" w:lineRule="exact"/>
        <w:rPr>
          <w:sz w:val="20"/>
          <w:szCs w:val="20"/>
          <w:color w:val="auto"/>
        </w:rPr>
      </w:pPr>
    </w:p>
    <w:p>
      <w:pPr>
        <w:ind w:left="340" w:hanging="332"/>
        <w:spacing w:after="0" w:line="227" w:lineRule="auto"/>
        <w:tabs>
          <w:tab w:leader="none" w:pos="277"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upon the information provided by BlackRock, Inc. (“BlackRock”) in a Schedule 13G/A filed on April 23, 2025, and reporting ownership as of March 31, 2025. The principal business address of BlackRock is 50 Hudson Yards, New York, NY 10001. BlackRock has sole voting power over 4,292,036 shares of common stock, shared voting power over zero shares of common stock, sole dispositive power over 4,692,038 shares of common stock and shared dispositive power over zero shares of common stock.</w:t>
      </w:r>
    </w:p>
    <w:p>
      <w:pPr>
        <w:spacing w:after="0" w:line="69" w:lineRule="exact"/>
        <w:rPr>
          <w:rFonts w:ascii="Times New Roman" w:cs="Times New Roman" w:eastAsia="Times New Roman" w:hAnsi="Times New Roman"/>
          <w:sz w:val="19"/>
          <w:szCs w:val="19"/>
          <w:color w:val="auto"/>
          <w:vertAlign w:val="superscript"/>
        </w:rPr>
      </w:pPr>
    </w:p>
    <w:p>
      <w:pPr>
        <w:jc w:val="both"/>
        <w:ind w:left="340" w:hanging="332"/>
        <w:spacing w:after="0" w:line="261" w:lineRule="auto"/>
        <w:tabs>
          <w:tab w:leader="none" w:pos="293"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upon the information provided by Vanguard Portfolio Management LLC (“Vanguard Portfolio”) in a Schedule 13G filed on April 29, 2026, and reporting ownership as of March 31, 2026. Vanguard Portfolio had sole voting power over 10,618 shares of common stock, shared voting power over zero shares of common stock, sole dispositive power over 4,512,140 shares of common stock and shared dispositive power over zero shares of common stock.</w:t>
      </w:r>
    </w:p>
    <w:p>
      <w:pPr>
        <w:spacing w:after="0" w:line="68" w:lineRule="exact"/>
        <w:rPr>
          <w:rFonts w:ascii="Times New Roman" w:cs="Times New Roman" w:eastAsia="Times New Roman" w:hAnsi="Times New Roman"/>
          <w:sz w:val="9"/>
          <w:szCs w:val="9"/>
          <w:color w:val="auto"/>
        </w:rPr>
      </w:pPr>
    </w:p>
    <w:p>
      <w:pPr>
        <w:ind w:left="340" w:hanging="332"/>
        <w:spacing w:after="0" w:line="261" w:lineRule="auto"/>
        <w:tabs>
          <w:tab w:leader="none" w:pos="27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upon the information provided by Vanguard Capital Management LLC (“Vanguard Capital”) in a Schedule 13G filed on April 30, 2026, and reporting ownership as of March 31, 2026. Vanguard Capital had sole voting power over 710,080 shares of common stock, shared voting power over zero shares of common stock, sole dispositive power over 4,228,919 shares of common stock and shared dispositive power over zero shares of common stock.</w:t>
      </w:r>
    </w:p>
    <w:p>
      <w:pPr>
        <w:spacing w:after="0" w:line="38" w:lineRule="exact"/>
        <w:rPr>
          <w:rFonts w:ascii="Times New Roman" w:cs="Times New Roman" w:eastAsia="Times New Roman" w:hAnsi="Times New Roman"/>
          <w:sz w:val="9"/>
          <w:szCs w:val="9"/>
          <w:color w:val="auto"/>
        </w:rPr>
      </w:pPr>
    </w:p>
    <w:p>
      <w:pPr>
        <w:ind w:left="220" w:hanging="212"/>
        <w:spacing w:after="0"/>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3,431 shares of common stock owned directly by Ms. Agrawal and (b) 1,130 shares of common stock issuable upon the vesting of RSUs within 60 days of May 1, 2026.</w:t>
      </w:r>
    </w:p>
    <w:p>
      <w:pPr>
        <w:spacing w:after="0" w:line="65"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50 shares of common stock owned directly by Mr. Berry and (b) 11,500 shares of common stock owned by The Berry Family Trust, of which Mr. Berry is a Trustee.</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21" w:lineRule="auto"/>
        <w:tabs>
          <w:tab w:leader="none" w:pos="259"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194,600 shares of common stock owned by estate planning vehicles for the benefit of Mr. Botha and (c) 1,130 shares of common stock issuable upon the vesting of RSUs within 60 days of May 1, 2026.</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302" w:lineRule="auto"/>
        <w:tabs>
          <w:tab w:leader="none" w:pos="232"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(a) 26,880 shares of common stock owned directly by Ms. Cochran, (b) 3,916 shares of common stock issuable upon the exercise of options exercisable within 60 days of May 1, 2026 and (c) 1,130 shares of common stock issuable upon the vesting of RSUs within 60 days of May 1, 2026.</w:t>
      </w:r>
    </w:p>
    <w:p>
      <w:pPr>
        <w:spacing w:after="0" w:line="23" w:lineRule="exact"/>
        <w:rPr>
          <w:rFonts w:ascii="Times New Roman" w:cs="Times New Roman" w:eastAsia="Times New Roman" w:hAnsi="Times New Roman"/>
          <w:sz w:val="9"/>
          <w:szCs w:val="9"/>
          <w:color w:val="auto"/>
        </w:rPr>
      </w:pPr>
    </w:p>
    <w:p>
      <w:pPr>
        <w:ind w:left="220" w:hanging="212"/>
        <w:spacing w:after="0"/>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3,250 shares of common stock owned directly by Mr. Desai.</w:t>
      </w:r>
    </w:p>
    <w:p>
      <w:pPr>
        <w:spacing w:after="0" w:line="65"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6,525 shares of common stock owned directly by Mr. D’Souza and (b) 1,130 shares of common stock issuable upon the vesting of RSUs within 60 days of May 1, 2026.</w:t>
      </w:r>
    </w:p>
    <w:p>
      <w:pPr>
        <w:spacing w:after="0" w:line="81" w:lineRule="exact"/>
        <w:rPr>
          <w:rFonts w:ascii="Times New Roman" w:cs="Times New Roman" w:eastAsia="Times New Roman" w:hAnsi="Times New Roman"/>
          <w:sz w:val="19"/>
          <w:szCs w:val="19"/>
          <w:color w:val="auto"/>
          <w:vertAlign w:val="superscript"/>
        </w:rPr>
      </w:pPr>
    </w:p>
    <w:p>
      <w:pPr>
        <w:ind w:left="340" w:hanging="332"/>
        <w:spacing w:after="0" w:line="302" w:lineRule="auto"/>
        <w:tabs>
          <w:tab w:leader="none" w:pos="265"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(a) 43,737 shares of common stock owned directly by Mr. Hazard, (b) 13,995 shares of common stock owned by The Narragansett Bay Children’s Trust, of which Mr. Hazard is a Trustee and (c) 1,130 shares of common stock issuable upon the vesting of RSUs within 60 days of May 1, 2026.</w:t>
      </w:r>
    </w:p>
    <w:p>
      <w:pPr>
        <w:spacing w:after="0" w:line="23"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152,557 shares of stock owned directly by Mr. Ittycheria.</w:t>
      </w:r>
    </w:p>
    <w:p>
      <w:pPr>
        <w:spacing w:after="0" w:line="95" w:lineRule="exact"/>
        <w:rPr>
          <w:rFonts w:ascii="Times New Roman" w:cs="Times New Roman" w:eastAsia="Times New Roman" w:hAnsi="Times New Roman"/>
          <w:sz w:val="19"/>
          <w:szCs w:val="19"/>
          <w:color w:val="auto"/>
          <w:vertAlign w:val="superscript"/>
        </w:rPr>
      </w:pPr>
    </w:p>
    <w:p>
      <w:pPr>
        <w:jc w:val="both"/>
        <w:ind w:left="340" w:hanging="332"/>
        <w:spacing w:after="0" w:line="239" w:lineRule="auto"/>
        <w:tabs>
          <w:tab w:leader="none" w:pos="292" w:val="left"/>
        </w:tabs>
        <w:numPr>
          <w:ilvl w:val="0"/>
          <w:numId w:val="7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61,163 shares of common stock owned directly by Mr. Killalea, (b) 5,000 shares of common stock owned by the UAISLE Trust U/A DTD 11/15/2021 for the benefit of his children, (c) 5,000 shares of common stock owned by the BREOGA Trust U/A DTD 11/15/2021 for the benefit of his children, (d) 5,000 shares of common stock owned by the CEANSA Trust U/A DTD 11/15/2021 for the benefit of his children, (e) 5,000 shares of common stock owned by the AOGALL Trust U/A DTD 11/15/2021 for the benefit of his children and (f) 1,130 shares of common stock issuable upon the vesting of RSUs within 60 days of May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260" w:hanging="252"/>
        <w:spacing w:after="0"/>
        <w:tabs>
          <w:tab w:leader="none" w:pos="26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1,015 shares of common stock owned directly by Ms. Lewnes and (b) 1,130 shares of common stock issuable upon the vesting of RSUs within 60 days of May 1, 2026.</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33" w:lineRule="auto"/>
        <w:tabs>
          <w:tab w:leader="none" w:pos="279"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1,004,186 shares of common stock owned directly by Mr. Merriman, (b) 476,896 shares of common stock held by The Dwight A. Merriman 2012 Trust for the benefit of his children, (c) 79,262 shares of common stock held by the Dwight A. Merriman Charitable Foundation, a Delaware nonstock nonprofit corporation and (d) 1,130 shares of common stock issuable upon the vesting of RSUs within 60 days of May 1, 2026.</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line="230" w:lineRule="auto"/>
        <w:tabs>
          <w:tab w:leader="none" w:pos="333"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3,309 shares of common stock owned directly by Mr. Pech and (b) 47,693 shares of common stock held in a custodial account over which Mr. Pech retains beneficial ownership, including voting and investment power. Based on information known to the Company as of April 15, 2026.</w:t>
      </w:r>
    </w:p>
    <w:p>
      <w:pPr>
        <w:spacing w:after="0" w:line="65"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754 shares of common stock owned by Mr. Tanjga. Based on information known to the Company as of May 8, 2025.</w:t>
      </w:r>
    </w:p>
    <w:p>
      <w:pPr>
        <w:spacing w:after="0" w:line="95" w:lineRule="exact"/>
        <w:rPr>
          <w:rFonts w:ascii="Times New Roman" w:cs="Times New Roman" w:eastAsia="Times New Roman" w:hAnsi="Times New Roman"/>
          <w:sz w:val="19"/>
          <w:szCs w:val="19"/>
          <w:color w:val="auto"/>
          <w:vertAlign w:val="superscript"/>
        </w:rPr>
      </w:pPr>
    </w:p>
    <w:p>
      <w:pPr>
        <w:ind w:left="340" w:hanging="332"/>
        <w:spacing w:after="0" w:line="221" w:lineRule="auto"/>
        <w:tabs>
          <w:tab w:leader="none" w:pos="265"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(a) 2,099,047 shares of common stock, (b) 3,916 shares of common stock issuable upon the exercise of options exercisable within 60 days of May 1, 2026 and (c) 9,040 shares of common stock issuable upon the vesting of RSUs within 60 days of May 1, 2026 (excluding Messrs. Tanjga and Pech).</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reports of ownership on Form 3 and changes in ownership on Form 4 or Form 5 with the SEC. Such executive officers, directors and 10% shareholders are also required by securities laws to furnish us with copies of all Section 16(a) forms they file.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solely on our review of copies of these reports, or written representations from reporting persons, we believe that during the fiscal year ended January 31, 2026, our executive officers, directors and persons who own more than 10% of a registered class of our equity securities filed under Section 16(a) on a timely basis, except for one Form 4 reporting one late transaction for Mr. Tom Killalea and one Form 4 reporting one late transaction for Mr. Dev Ittycheria, both due to administrative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January 31, 2026 with the SEC. It is available free of charge at the SEC’s website at www.sec.gov. Stockholders can also access this proxy statement and our Annual Report on Form 10-K at investors.mongodb.com, or a copy of our Annual Report on Form 10-K for the fiscal year ended January 31, 2026 is available without charge upon written request to our Secretary at 499 Hamilton Ave, Palo Alto, CA 94301,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520"/>
        <w:spacing w:after="0" w:line="336" w:lineRule="auto"/>
        <w:rPr>
          <w:sz w:val="20"/>
          <w:szCs w:val="20"/>
          <w:color w:val="auto"/>
        </w:rPr>
      </w:pPr>
      <w:r>
        <w:rPr>
          <w:rFonts w:ascii="Times New Roman" w:cs="Times New Roman" w:eastAsia="Times New Roman" w:hAnsi="Times New Roman"/>
          <w:sz w:val="29"/>
          <w:szCs w:val="29"/>
          <w:b w:val="1"/>
          <w:bCs w:val="1"/>
          <w:color w:val="auto"/>
        </w:rPr>
        <w:t>ANNEX A: Proposed Amendments to the Amended and Restated Certificate of Incorporation Pursuant to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shall be amended as follows. The text of the proposed amendment is marked to reflect the proposed changes.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BOARD AUTHORITY AND STOCKHOLDER ACTIONS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7.5 Subject to any limitation imposed by applicable law and subject to the rights of the holders of any series of Preferred Stock, any individual director or directors may be removed with cause by the affirmative vote of the holders of </w:t>
      </w:r>
      <w:r>
        <w:rPr>
          <w:rFonts w:ascii="Times New Roman" w:cs="Times New Roman" w:eastAsia="Times New Roman" w:hAnsi="Times New Roman"/>
          <w:sz w:val="18"/>
          <w:szCs w:val="18"/>
          <w:b w:val="1"/>
          <w:bCs w:val="1"/>
          <w:color w:val="EE2724"/>
          <w:strike w:val="1"/>
        </w:rPr>
        <w:t>at least 66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3051F2"/>
        </w:rPr>
        <w:t>a majority</w:t>
      </w:r>
      <w:r>
        <w:rPr>
          <w:rFonts w:ascii="Times New Roman" w:cs="Times New Roman" w:eastAsia="Times New Roman" w:hAnsi="Times New Roman"/>
          <w:sz w:val="18"/>
          <w:szCs w:val="18"/>
          <w:color w:val="auto"/>
        </w:rPr>
        <w:t xml:space="preserve"> of the voting power of all then-outstanding shares of capital stock of the Company entitled to vote generally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8888730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029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60720" cy="7029450"/>
                    </a:xfrm>
                    <a:prstGeom prst="rect">
                      <a:avLst/>
                    </a:prstGeom>
                    <a:noFill/>
                  </pic:spPr>
                </pic:pic>
              </a:graphicData>
            </a:graphic>
          </wp:anchor>
        </w:drawing>
      </w:r>
    </w:p>
    <w:p>
      <w:pPr>
        <w:sectPr>
          <w:pgSz w:w="11900" w:h="16838" w:orient="portrait"/>
          <w:cols w:equalWidth="0" w:num="1">
            <w:col w:w="10139"/>
          </w:cols>
          <w:pgMar w:left="320" w:top="369"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354965</wp:posOffset>
            </wp:positionV>
            <wp:extent cx="5760720" cy="7046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0720" cy="7046595"/>
                    </a:xfrm>
                    <a:prstGeom prst="rect">
                      <a:avLst/>
                    </a:prstGeom>
                    <a:noFill/>
                  </pic:spPr>
                </pic:pic>
              </a:graphicData>
            </a:graphic>
          </wp:anchor>
        </w:drawing>
      </w:r>
    </w:p>
    <w:sectPr>
      <w:pgSz w:w="11900" w:h="16838" w:orient="portrait"/>
      <w:cols w:equalWidth="0" w:num="1">
        <w:col w:w="10139"/>
      </w:cols>
      <w:pgMar w:left="320" w:top="3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ü"/>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lvl>
    <w:lvl w:ilvl="1">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r"/>
      <w:numFmt w:val="bullet"/>
      <w:start w:val="1"/>
    </w:lvl>
  </w:abstractNum>
  <w:abstractNum w:abstractNumId="36">
    <w:nsid w:val="180115BE"/>
    <w:multiLevelType w:val="hybridMultilevel"/>
    <w:lvl w:ilvl="0">
      <w:lvlJc w:val="left"/>
      <w:lvlText w:val="r"/>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5"/>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4"/>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4"/>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5"/>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5"/>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2"/>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decimal"/>
      <w:start w:val="1"/>
    </w:lvl>
    <w:lvl w:ilvl="1">
      <w:lvlJc w:val="left"/>
      <w:lvlText w:val="(%2)"/>
      <w:numFmt w:val="lowerLetter"/>
      <w:start w:val="4"/>
    </w:lvl>
  </w:abstractNum>
  <w:abstractNum w:abstractNumId="70">
    <w:nsid w:val="540A471C"/>
    <w:multiLevelType w:val="hybridMultilevel"/>
    <w:lvl w:ilvl="0">
      <w:lvlJc w:val="left"/>
      <w:lvlText w:val="(%1)"/>
      <w:numFmt w:val="decimal"/>
      <w:start w:val="5"/>
    </w:lvl>
    <w:lvl w:ilvl="1">
      <w:lvlJc w:val="left"/>
      <w:lvlText w:val="%2"/>
      <w:numFmt w:val="lowerLetter"/>
      <w:start w:val="1"/>
    </w:lvl>
  </w:abstractNum>
  <w:abstractNum w:abstractNumId="71">
    <w:nsid w:val="7BD3EE7B"/>
    <w:multiLevelType w:val="hybridMultilevel"/>
    <w:lvl w:ilvl="0">
      <w:lvlJc w:val="left"/>
      <w:lvlText w:val="(%1)"/>
      <w:numFmt w:val="decimal"/>
      <w:start w:val="7"/>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2026-05-19T15:13:32Z</dcterms:created>
  <dcterms:modified xsi:type="dcterms:W3CDTF">2026-05-19T15:13:32Z</dcterms:modified>
</cp:coreProperties>
</file>