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 2025</w:t>
      </w:r>
    </w:p>
    <w:p>
      <w:pPr>
        <w:spacing w:after="0" w:line="5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MONGODB, INC.</w:t>
      </w:r>
    </w:p>
    <w:p>
      <w:pPr>
        <w:spacing w:after="0" w:line="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43" w:lineRule="exact"/>
        <w:rPr>
          <w:sz w:val="24"/>
          <w:szCs w:val="24"/>
          <w:color w:val="auto"/>
        </w:rPr>
      </w:pPr>
    </w:p>
    <w:tbl>
      <w:tblPr>
        <w:tblLayout w:type="fixed"/>
        <w:tblInd w:w="520" w:type="dxa"/>
        <w:tblCellMar>
          <w:top w:w="0" w:type="dxa"/>
          <w:left w:w="0" w:type="dxa"/>
          <w:bottom w:w="0" w:type="dxa"/>
          <w:right w:w="0" w:type="dxa"/>
        </w:tblCellMar>
      </w:tblPr>
      <w:tr>
        <w:trPr>
          <w:trHeight w:val="262"/>
        </w:trPr>
        <w:tc>
          <w:tcPr>
            <w:tcW w:w="2880" w:type="dxa"/>
            <w:vAlign w:val="bottom"/>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740" w:type="dxa"/>
            <w:vAlign w:val="bottom"/>
          </w:tcPr>
          <w:p>
            <w:pPr>
              <w:jc w:val="center"/>
              <w:ind w:right="239"/>
              <w:spacing w:after="0"/>
              <w:rPr>
                <w:sz w:val="20"/>
                <w:szCs w:val="20"/>
                <w:color w:val="auto"/>
              </w:rPr>
            </w:pPr>
            <w:r>
              <w:rPr>
                <w:rFonts w:ascii="Times New Roman" w:cs="Times New Roman" w:eastAsia="Times New Roman" w:hAnsi="Times New Roman"/>
                <w:sz w:val="20"/>
                <w:szCs w:val="20"/>
                <w:b w:val="1"/>
                <w:bCs w:val="1"/>
                <w:color w:val="auto"/>
                <w:w w:val="99"/>
              </w:rPr>
              <w:t>001-38240</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26-1463205</w:t>
            </w:r>
          </w:p>
        </w:tc>
      </w:tr>
      <w:tr>
        <w:trPr>
          <w:trHeight w:val="136"/>
        </w:trPr>
        <w:tc>
          <w:tcPr>
            <w:tcW w:w="2880" w:type="dxa"/>
            <w:vAlign w:val="bottom"/>
          </w:tcPr>
          <w:p>
            <w:pPr>
              <w:jc w:val="center"/>
              <w:ind w:right="79"/>
              <w:spacing w:after="0" w:line="136"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4740" w:type="dxa"/>
            <w:vAlign w:val="bottom"/>
          </w:tcPr>
          <w:p>
            <w:pPr>
              <w:jc w:val="center"/>
              <w:ind w:right="239"/>
              <w:spacing w:after="0" w:line="136" w:lineRule="exact"/>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1720" w:type="dxa"/>
            <w:vAlign w:val="bottom"/>
          </w:tcPr>
          <w:p>
            <w:pPr>
              <w:jc w:val="center"/>
              <w:ind w:left="663"/>
              <w:spacing w:after="0" w:line="136"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880" w:type="dxa"/>
            <w:vAlign w:val="bottom"/>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5"/>
              </w:rPr>
              <w:t>of Incorporation)</w:t>
            </w:r>
          </w:p>
        </w:tc>
        <w:tc>
          <w:tcPr>
            <w:tcW w:w="4740" w:type="dxa"/>
            <w:vAlign w:val="bottom"/>
          </w:tcPr>
          <w:p>
            <w:pPr>
              <w:spacing w:after="0"/>
              <w:rPr>
                <w:sz w:val="14"/>
                <w:szCs w:val="14"/>
                <w:color w:val="auto"/>
              </w:rPr>
            </w:pPr>
          </w:p>
        </w:tc>
        <w:tc>
          <w:tcPr>
            <w:tcW w:w="1720" w:type="dxa"/>
            <w:vAlign w:val="bottom"/>
          </w:tcPr>
          <w:p>
            <w:pPr>
              <w:jc w:val="center"/>
              <w:ind w:left="66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81"/>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1633 Broadway, 38th Floor</w:t>
            </w:r>
          </w:p>
        </w:tc>
        <w:tc>
          <w:tcPr>
            <w:tcW w:w="4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3"/>
        </w:trPr>
        <w:tc>
          <w:tcPr>
            <w:tcW w:w="288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New York, NY</w:t>
            </w:r>
          </w:p>
        </w:tc>
        <w:tc>
          <w:tcPr>
            <w:tcW w:w="4740" w:type="dxa"/>
            <w:vAlign w:val="bottom"/>
          </w:tcPr>
          <w:p>
            <w:pPr>
              <w:spacing w:after="0"/>
              <w:rPr>
                <w:sz w:val="24"/>
                <w:szCs w:val="24"/>
                <w:color w:val="auto"/>
              </w:rPr>
            </w:pPr>
          </w:p>
        </w:tc>
        <w:tc>
          <w:tcPr>
            <w:tcW w:w="1720" w:type="dxa"/>
            <w:vAlign w:val="bottom"/>
          </w:tcPr>
          <w:p>
            <w:pPr>
              <w:jc w:val="right"/>
              <w:ind w:right="163"/>
              <w:spacing w:after="0"/>
              <w:rPr>
                <w:sz w:val="20"/>
                <w:szCs w:val="20"/>
                <w:color w:val="auto"/>
              </w:rPr>
            </w:pPr>
            <w:r>
              <w:rPr>
                <w:rFonts w:ascii="Times New Roman" w:cs="Times New Roman" w:eastAsia="Times New Roman" w:hAnsi="Times New Roman"/>
                <w:sz w:val="20"/>
                <w:szCs w:val="20"/>
                <w:b w:val="1"/>
                <w:bCs w:val="1"/>
                <w:color w:val="auto"/>
              </w:rPr>
              <w:t>10019</w:t>
            </w:r>
          </w:p>
        </w:tc>
      </w:tr>
      <w:tr>
        <w:trPr>
          <w:trHeight w:val="167"/>
        </w:trPr>
        <w:tc>
          <w:tcPr>
            <w:tcW w:w="2880" w:type="dxa"/>
            <w:vAlign w:val="bottom"/>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4740" w:type="dxa"/>
            <w:vAlign w:val="bottom"/>
          </w:tcPr>
          <w:p>
            <w:pPr>
              <w:spacing w:after="0"/>
              <w:rPr>
                <w:sz w:val="14"/>
                <w:szCs w:val="14"/>
                <w:color w:val="auto"/>
              </w:rPr>
            </w:pPr>
          </w:p>
        </w:tc>
        <w:tc>
          <w:tcPr>
            <w:tcW w:w="1720" w:type="dxa"/>
            <w:vAlign w:val="bottom"/>
          </w:tcPr>
          <w:p>
            <w:pPr>
              <w:jc w:val="center"/>
              <w:ind w:left="66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482"/>
        </w:trPr>
        <w:tc>
          <w:tcPr>
            <w:tcW w:w="2880" w:type="dxa"/>
            <w:vAlign w:val="bottom"/>
          </w:tcPr>
          <w:p>
            <w:pPr>
              <w:spacing w:after="0"/>
              <w:rPr>
                <w:sz w:val="24"/>
                <w:szCs w:val="24"/>
                <w:color w:val="auto"/>
              </w:rPr>
            </w:pPr>
          </w:p>
        </w:tc>
        <w:tc>
          <w:tcPr>
            <w:tcW w:w="4740" w:type="dxa"/>
            <w:vAlign w:val="bottom"/>
          </w:tcPr>
          <w:p>
            <w:pPr>
              <w:jc w:val="center"/>
              <w:ind w:right="219"/>
              <w:spacing w:after="0"/>
              <w:rPr>
                <w:sz w:val="20"/>
                <w:szCs w:val="20"/>
                <w:color w:val="auto"/>
              </w:rPr>
            </w:pPr>
            <w:r>
              <w:rPr>
                <w:rFonts w:ascii="Times New Roman" w:cs="Times New Roman" w:eastAsia="Times New Roman" w:hAnsi="Times New Roman"/>
                <w:sz w:val="20"/>
                <w:szCs w:val="20"/>
                <w:b w:val="1"/>
                <w:bCs w:val="1"/>
                <w:color w:val="auto"/>
                <w:w w:val="98"/>
              </w:rPr>
              <w:t>646-727-4092</w:t>
            </w:r>
          </w:p>
        </w:tc>
        <w:tc>
          <w:tcPr>
            <w:tcW w:w="1720" w:type="dxa"/>
            <w:vAlign w:val="bottom"/>
          </w:tcPr>
          <w:p>
            <w:pPr>
              <w:spacing w:after="0"/>
              <w:rPr>
                <w:sz w:val="24"/>
                <w:szCs w:val="24"/>
                <w:color w:val="auto"/>
              </w:rPr>
            </w:pPr>
          </w:p>
        </w:tc>
      </w:tr>
      <w:tr>
        <w:trPr>
          <w:trHeight w:val="166"/>
        </w:trPr>
        <w:tc>
          <w:tcPr>
            <w:tcW w:w="2880" w:type="dxa"/>
            <w:vAlign w:val="bottom"/>
          </w:tcPr>
          <w:p>
            <w:pPr>
              <w:spacing w:after="0"/>
              <w:rPr>
                <w:sz w:val="14"/>
                <w:szCs w:val="14"/>
                <w:color w:val="auto"/>
              </w:rPr>
            </w:pPr>
          </w:p>
        </w:tc>
        <w:tc>
          <w:tcPr>
            <w:tcW w:w="4740" w:type="dxa"/>
            <w:vAlign w:val="bottom"/>
          </w:tcPr>
          <w:p>
            <w:pPr>
              <w:jc w:val="center"/>
              <w:ind w:right="219"/>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w:t>
            </w:r>
          </w:p>
        </w:tc>
        <w:tc>
          <w:tcPr>
            <w:tcW w:w="1720" w:type="dxa"/>
            <w:vAlign w:val="bottom"/>
          </w:tcPr>
          <w:p>
            <w:pPr>
              <w:spacing w:after="0"/>
              <w:rPr>
                <w:sz w:val="14"/>
                <w:szCs w:val="14"/>
                <w:color w:val="auto"/>
              </w:rPr>
            </w:pPr>
          </w:p>
        </w:tc>
      </w:tr>
      <w:tr>
        <w:trPr>
          <w:trHeight w:val="387"/>
        </w:trPr>
        <w:tc>
          <w:tcPr>
            <w:tcW w:w="2880" w:type="dxa"/>
            <w:vAlign w:val="bottom"/>
          </w:tcPr>
          <w:p>
            <w:pPr>
              <w:spacing w:after="0"/>
              <w:rPr>
                <w:sz w:val="24"/>
                <w:szCs w:val="24"/>
                <w:color w:val="auto"/>
              </w:rPr>
            </w:pPr>
          </w:p>
        </w:tc>
        <w:tc>
          <w:tcPr>
            <w:tcW w:w="4740" w:type="dxa"/>
            <w:vAlign w:val="bottom"/>
          </w:tcPr>
          <w:p>
            <w:pPr>
              <w:jc w:val="center"/>
              <w:ind w:right="219"/>
              <w:spacing w:after="0"/>
              <w:rPr>
                <w:sz w:val="20"/>
                <w:szCs w:val="20"/>
                <w:color w:val="auto"/>
              </w:rPr>
            </w:pPr>
            <w:r>
              <w:rPr>
                <w:rFonts w:ascii="Times New Roman" w:cs="Times New Roman" w:eastAsia="Times New Roman" w:hAnsi="Times New Roman"/>
                <w:sz w:val="20"/>
                <w:szCs w:val="20"/>
                <w:b w:val="1"/>
                <w:bCs w:val="1"/>
                <w:color w:val="auto"/>
                <w:w w:val="99"/>
              </w:rPr>
              <w:t>Not Applicable</w:t>
            </w:r>
          </w:p>
        </w:tc>
        <w:tc>
          <w:tcPr>
            <w:tcW w:w="1720" w:type="dxa"/>
            <w:vAlign w:val="bottom"/>
          </w:tcPr>
          <w:p>
            <w:pPr>
              <w:spacing w:after="0"/>
              <w:rPr>
                <w:sz w:val="24"/>
                <w:szCs w:val="24"/>
                <w:color w:val="auto"/>
              </w:rPr>
            </w:pPr>
          </w:p>
        </w:tc>
      </w:tr>
      <w:tr>
        <w:trPr>
          <w:trHeight w:val="162"/>
        </w:trPr>
        <w:tc>
          <w:tcPr>
            <w:tcW w:w="2880" w:type="dxa"/>
            <w:vAlign w:val="bottom"/>
          </w:tcPr>
          <w:p>
            <w:pPr>
              <w:spacing w:after="0"/>
              <w:rPr>
                <w:sz w:val="14"/>
                <w:szCs w:val="14"/>
                <w:color w:val="auto"/>
              </w:rPr>
            </w:pPr>
          </w:p>
        </w:tc>
        <w:tc>
          <w:tcPr>
            <w:tcW w:w="4740" w:type="dxa"/>
            <w:vAlign w:val="bottom"/>
          </w:tcPr>
          <w:p>
            <w:pPr>
              <w:jc w:val="center"/>
              <w:ind w:right="219"/>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720" w:type="dxa"/>
            <w:vAlign w:val="bottom"/>
          </w:tcPr>
          <w:p>
            <w:pPr>
              <w:spacing w:after="0"/>
              <w:rPr>
                <w:sz w:val="14"/>
                <w:szCs w:val="14"/>
                <w:color w:val="auto"/>
              </w:rPr>
            </w:pPr>
          </w:p>
        </w:tc>
      </w:tr>
    </w:tbl>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640" w:firstLine="48"/>
        <w:spacing w:after="0" w:line="443"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8"/>
                <w:szCs w:val="18"/>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MDB</w:t>
            </w:r>
          </w:p>
        </w:tc>
        <w:tc>
          <w:tcPr>
            <w:tcW w:w="100" w:type="dxa"/>
            <w:vAlign w:val="bottom"/>
          </w:tcPr>
          <w:p>
            <w:pPr>
              <w:spacing w:after="0"/>
              <w:rPr>
                <w:sz w:val="18"/>
                <w:szCs w:val="18"/>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253" w:right="499" w:bottom="1440" w:gutter="0" w:footer="0" w:header="0"/>
        </w:sectPr>
      </w:pPr>
    </w:p>
    <w:bookmarkStart w:id="1" w:name="page2"/>
    <w:bookmarkEnd w:id="1"/>
    <w:p>
      <w:pPr>
        <w:ind w:right="18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18"/>
          <w:szCs w:val="18"/>
          <w:color w:val="auto"/>
        </w:rPr>
        <w:t>On February 1, 2025, the Company appointed Srdjan (“Serge”) Tanjga, who served as Senior Vice President, Finance at MongoDB, Inc. (the “Company”), as the Company’s Interim Chief Financial Officer, effective February 1, 2025. In this role, Mr. Tanjga will serve as the Company’s principal financial officer. As previously disclosed, Michael Gordon ceased serving as Chief Operating Officer and Chief Financial Officer effective as of January 31, 2025.</w:t>
      </w:r>
    </w:p>
    <w:p>
      <w:pPr>
        <w:spacing w:after="0" w:line="212"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Mr. Tanjga, age 46, served as Senior Vice President, Finance at the Company since February 2021. Prior to this position, Mr. Tanjga served as Vice President of Finance and Business Operations at the Company from May 2019 to February 2021. Before joining the Company, Mr. Tanjga worked as Managing Director at Emerging Sovereign Group, a subsidiary of the Carlyle Group, an investment firm. Before joining the Carlyle Group, Mr. Tanjga worked in various leadership positions at Harvard Management Company, an investment management corporation, and 40 North Industries, an investment firm. Mr. Tanjga holds a B.A. and an MBA from Harvard University.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arrangement or understanding between Mr. Tanjga and any other person pursuant to which he was selected as an officer, and there is</w:t>
      </w:r>
    </w:p>
    <w:p>
      <w:pPr>
        <w:spacing w:after="0" w:line="3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no family relationship between Mr. Tanjga and any of the Company’s other directors or executive officers. There are no transactions between Mr. Tanjga and the Company that would be required to be reported under Item 404(a) of Regulation S-K.</w:t>
      </w:r>
    </w:p>
    <w:p>
      <w:pPr>
        <w:spacing w:after="0" w:line="23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appointment, the Company and Mr. Tanjga entered into the Company’s standard form of indemnification agreement, a copy of which was filed as Exhibit 10.5 to Form S-1 filed with the SEC on September 21, 2017.</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32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0"/>
                <w:szCs w:val="20"/>
                <w:color w:val="auto"/>
              </w:rPr>
            </w:pPr>
          </w:p>
        </w:tc>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Cover Page Interactive Data </w:t>
            </w:r>
            <w:r>
              <w:rPr>
                <w:rFonts w:ascii="Times New Roman" w:cs="Times New Roman" w:eastAsia="Times New Roman" w:hAnsi="Times New Roman"/>
                <w:sz w:val="16"/>
                <w:szCs w:val="16"/>
                <w:color w:val="auto"/>
              </w:rPr>
              <w:t>File</w:t>
            </w:r>
            <w:r>
              <w:rPr>
                <w:rFonts w:ascii="Times New Roman" w:cs="Times New Roman" w:eastAsia="Times New Roman" w:hAnsi="Times New Roman"/>
                <w:sz w:val="18"/>
                <w:szCs w:val="18"/>
                <w:color w:val="auto"/>
              </w:rPr>
              <w:t xml:space="preserve"> (embedded within the Inline XBRL document)</w:t>
            </w:r>
          </w:p>
        </w:tc>
      </w:tr>
      <w:tr>
        <w:trPr>
          <w:trHeight w:val="990"/>
        </w:trPr>
        <w:tc>
          <w:tcPr>
            <w:tcW w:w="1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0"/>
        <w:spacing w:after="0"/>
        <w:tabs>
          <w:tab w:leader="none" w:pos="5420" w:val="left"/>
          <w:tab w:leader="none" w:pos="6140" w:val="left"/>
        </w:tabs>
        <w:rPr>
          <w:sz w:val="20"/>
          <w:szCs w:val="20"/>
          <w:color w:val="auto"/>
        </w:rPr>
      </w:pPr>
      <w:r>
        <w:rPr>
          <w:rFonts w:ascii="Times New Roman" w:cs="Times New Roman" w:eastAsia="Times New Roman" w:hAnsi="Times New Roman"/>
          <w:sz w:val="18"/>
          <w:szCs w:val="18"/>
          <w:color w:val="auto"/>
        </w:rPr>
        <w:t>Dated: February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154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Andrew Stephens</w:t>
      </w:r>
    </w:p>
    <w:p>
      <w:pPr>
        <w:ind w:left="61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General Counsel and Secretary</w:t>
      </w:r>
    </w:p>
    <w:sectPr>
      <w:pgSz w:w="11900" w:h="16838" w:orient="portrait"/>
      <w:cols w:equalWidth="0" w:num="1">
        <w:col w:w="10780"/>
      </w:cols>
      <w:pgMar w:left="320" w:top="88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2025-02-06T15:15:34Z</dcterms:created>
  <dcterms:modified xsi:type="dcterms:W3CDTF">2025-02-06T15:15:34Z</dcterms:modified>
</cp:coreProperties>
</file>