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 xml:space="preserve">WASHINGTON, DC 20549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bidi w:val="0"/>
        <w:spacing w:lineRule="auto" w:line="288" w:before="0" w:after="60"/>
        <w:ind w:left="0" w:right="0" w:hanging="720"/>
        <w:jc w:val="left"/>
        <w:rPr/>
      </w:pPr>
      <w:r>
        <w:rPr>
          <w:color w:val="000000"/>
        </w:rPr>
        <w:t>☑    </w:t>
      </w:r>
      <w:r>
        <w:rPr>
          <w:rFonts w:ascii="Times New Roman;sans-serif" w:hAnsi="Times New Roman;sans-serif"/>
          <w:b/>
          <w:color w:val="000000"/>
          <w:sz w:val="22"/>
        </w:rPr>
        <w:t xml:space="preserve">QUARTERLY REPORT PURSUANT TO SECTION 13 OR 15(d) OF THE SECURITIES EXCHANGE ACT OF 1934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30, 2024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88" w:before="0" w:after="60"/>
        <w:ind w:left="0" w:right="0" w:hanging="720"/>
        <w:jc w:val="left"/>
        <w:rPr/>
      </w:pPr>
      <w:r>
        <w:rPr>
          <w:color w:val="000000"/>
        </w:rPr>
        <w:t>☐    </w:t>
      </w:r>
      <w:r>
        <w:rPr>
          <w:rFonts w:ascii="Times New Roman;sans-serif" w:hAnsi="Times New Roman;sans-serif"/>
          <w:b/>
          <w:color w:val="000000"/>
          <w:sz w:val="22"/>
        </w:rPr>
        <w:t xml:space="preserve">TRANSITION REPORT PURSUANT TO SECTION 13 OR 15(d) OF THE SECURITIES EXCHANGE ACT OF 1934 </w:t>
      </w:r>
    </w:p>
    <w:p>
      <w:pPr>
        <w:pStyle w:val="TextBody"/>
        <w:bidi w:val="0"/>
        <w:spacing w:lineRule="auto" w:line="288" w:before="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001-38240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MONGODB,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tbl>
      <w:tblPr>
        <w:tblW w:w="4735" w:type="dxa"/>
        <w:jc w:val="center"/>
        <w:tblInd w:w="0" w:type="dxa"/>
        <w:tblLayout w:type="fixed"/>
        <w:tblCellMar>
          <w:top w:w="28" w:type="dxa"/>
          <w:left w:w="28" w:type="dxa"/>
          <w:bottom w:w="28" w:type="dxa"/>
          <w:right w:w="28" w:type="dxa"/>
        </w:tblCellMar>
      </w:tblPr>
      <w:tblGrid>
        <w:gridCol w:w="600"/>
        <w:gridCol w:w="526"/>
        <w:gridCol w:w="526"/>
        <w:gridCol w:w="418"/>
        <w:gridCol w:w="418"/>
        <w:gridCol w:w="436"/>
        <w:gridCol w:w="109"/>
        <w:gridCol w:w="109"/>
        <w:gridCol w:w="109"/>
        <w:gridCol w:w="433"/>
        <w:gridCol w:w="433"/>
        <w:gridCol w:w="618"/>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26-1463205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1633 Broadway,</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38th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10019</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60"/>
        <w:jc w:val="center"/>
        <w:rPr/>
      </w:pPr>
      <w:r>
        <w:rPr>
          <w:rFonts w:ascii="Times New Roman;sans-serif" w:hAnsi="Times New Roman;sans-serif"/>
          <w:b/>
          <w:color w:val="000000"/>
          <w:sz w:val="20"/>
        </w:rPr>
        <w:t>Registrant’s telephone number, including area code: 646</w:t>
      </w:r>
      <w:r>
        <w:rPr>
          <w:rFonts w:ascii="Times New Roman;sans-serif" w:hAnsi="Times New Roman;sans-serif"/>
          <w:b/>
          <w:color w:val="000000"/>
          <w:sz w:val="20"/>
          <w:shd w:fill="FFFFFF" w:val="clear"/>
        </w:rPr>
        <w:t xml:space="preserve">-727-4092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lineRule="auto" w:line="288" w:before="0" w:after="60"/>
        <w:ind w:left="0" w:right="0" w:firstLine="495"/>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0" w:after="60"/>
        <w:ind w:left="0" w:right="0" w:firstLine="495"/>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No  </w:t>
      </w:r>
      <w:r>
        <w:rPr>
          <w:color w:val="000000"/>
        </w:rPr>
        <w:t>☐</w:t>
      </w:r>
    </w:p>
    <w:p>
      <w:pPr>
        <w:pStyle w:val="TextBody"/>
        <w:bidi w:val="0"/>
        <w:spacing w:lineRule="auto" w:line="288" w:before="0" w:after="60"/>
        <w:ind w:left="0" w:right="0" w:firstLine="495"/>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ind w:left="0" w:right="0" w:firstLine="495"/>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495"/>
        <w:jc w:val="left"/>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0" w:after="60"/>
        <w:ind w:left="0" w:right="0" w:firstLine="495"/>
        <w:jc w:val="left"/>
        <w:rPr>
          <w:rFonts w:ascii="Times New Roman;sans-serif" w:hAnsi="Times New Roman;sans-serif"/>
          <w:b w:val="false"/>
          <w:color w:val="000000"/>
          <w:sz w:val="19"/>
        </w:rPr>
      </w:pPr>
      <w:r>
        <w:rPr>
          <w:rFonts w:ascii="Times New Roman;sans-serif" w:hAnsi="Times New Roman;sans-serif"/>
          <w:b w:val="false"/>
          <w:color w:val="000000"/>
          <w:sz w:val="19"/>
        </w:rPr>
        <w:t>As of May 29, 2024, there were 73,350,695 shares of the registrant’s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180"/>
        <w:ind w:left="0" w:right="0" w:firstLine="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14"/>
        <w:gridCol w:w="274"/>
        <w:gridCol w:w="274"/>
        <w:gridCol w:w="2727"/>
        <w:gridCol w:w="2650"/>
        <w:gridCol w:w="2659"/>
        <w:gridCol w:w="376"/>
        <w:gridCol w:w="376"/>
        <w:gridCol w:w="555"/>
      </w:tblGrid>
      <w:tr>
        <w:trPr/>
        <w:tc>
          <w:tcPr>
            <w:tcW w:w="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17dbccf28ddb4e8d932ac47335b3d52e_10">
              <w:r>
                <w:rPr>
                  <w:rStyle w:val="InternetLink"/>
                  <w:rFonts w:ascii="Times New Roman;sans-serif" w:hAnsi="Times New Roman;sans-serif"/>
                  <w:b/>
                  <w:color w:val="0000FF"/>
                  <w:sz w:val="20"/>
                  <w:u w:val="single"/>
                </w:rPr>
                <w:t>PART I. FINANCIAL INFORMATION</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3">
              <w:r>
                <w:rPr>
                  <w:rStyle w:val="InternetLink"/>
                  <w:rFonts w:ascii="Times New Roman;sans-serif" w:hAnsi="Times New Roman;sans-serif"/>
                  <w:b w:val="false"/>
                  <w:color w:val="0000FF"/>
                  <w:sz w:val="20"/>
                  <w:u w:val="single"/>
                </w:rPr>
                <w:t>Item 1.</w:t>
              </w:r>
            </w:hyperlink>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3">
              <w:r>
                <w:rPr>
                  <w:rStyle w:val="InternetLink"/>
                  <w:rFonts w:ascii="Times New Roman;sans-serif" w:hAnsi="Times New Roman;sans-serif"/>
                  <w:b w:val="false"/>
                  <w:color w:val="0000FF"/>
                  <w:sz w:val="20"/>
                  <w:u w:val="single"/>
                </w:rPr>
                <w:t>Financial Statements</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3">
              <w:r>
                <w:rPr>
                  <w:rStyle w:val="InternetLink"/>
                  <w:rFonts w:ascii="Times New Roman;sans-serif" w:hAnsi="Times New Roman;sans-serif"/>
                  <w:b w:val="false"/>
                  <w:color w:val="0000FF"/>
                  <w:sz w:val="20"/>
                  <w:u w:val="single"/>
                </w:rPr>
                <w:t>1</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17dbccf28ddb4e8d932ac47335b3d52e_16">
              <w:r>
                <w:rPr>
                  <w:rStyle w:val="InternetLink"/>
                  <w:rFonts w:ascii="Times New Roman;sans-serif" w:hAnsi="Times New Roman;sans-serif"/>
                  <w:b w:val="false"/>
                  <w:color w:val="0000FF"/>
                  <w:sz w:val="20"/>
                  <w:u w:val="single"/>
                </w:rPr>
                <w:t>Unaudited Condensed Consolidated Balance Sheets as of April 30, 2024 and January 31, 2024</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6">
              <w:r>
                <w:rPr>
                  <w:rStyle w:val="InternetLink"/>
                  <w:rFonts w:ascii="Times New Roman;sans-serif" w:hAnsi="Times New Roman;sans-serif"/>
                  <w:b w:val="false"/>
                  <w:color w:val="0000FF"/>
                  <w:sz w:val="20"/>
                  <w:u w:val="single"/>
                </w:rPr>
                <w:t>1</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dbccf28ddb4e8d932ac47335b3d52e_19">
              <w:r>
                <w:rPr>
                  <w:rStyle w:val="InternetLink"/>
                  <w:rFonts w:ascii="Times New Roman;sans-serif" w:hAnsi="Times New Roman;sans-serif"/>
                  <w:b w:val="false"/>
                  <w:color w:val="0000FF"/>
                  <w:sz w:val="20"/>
                  <w:u w:val="single"/>
                </w:rPr>
                <w:t>Unaudited Condensed Consolidated Statements of Operations for the three months ended April 30, 2024 and 2023</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9">
              <w:r>
                <w:rPr>
                  <w:rStyle w:val="InternetLink"/>
                  <w:rFonts w:ascii="Times New Roman;sans-serif" w:hAnsi="Times New Roman;sans-serif"/>
                  <w:b w:val="false"/>
                  <w:color w:val="0000FF"/>
                  <w:sz w:val="20"/>
                  <w:u w:val="single"/>
                </w:rPr>
                <w:t>2</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dbccf28ddb4e8d932ac47335b3d52e_22">
              <w:r>
                <w:rPr>
                  <w:rStyle w:val="InternetLink"/>
                  <w:rFonts w:ascii="Times New Roman;sans-serif" w:hAnsi="Times New Roman;sans-serif"/>
                  <w:b w:val="false"/>
                  <w:color w:val="0000FF"/>
                  <w:sz w:val="20"/>
                  <w:u w:val="single"/>
                </w:rPr>
                <w:t>Unaudited Condensed Consolidated Statements of Comprehensive Loss for the three months ended April 30, 2024 and 2023</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22">
              <w:r>
                <w:rPr>
                  <w:rStyle w:val="InternetLink"/>
                  <w:rFonts w:ascii="Times New Roman;sans-serif" w:hAnsi="Times New Roman;sans-serif"/>
                  <w:b w:val="false"/>
                  <w:color w:val="0000FF"/>
                  <w:sz w:val="20"/>
                  <w:u w:val="single"/>
                </w:rPr>
                <w:t>3</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dbccf28ddb4e8d932ac47335b3d52e_25">
              <w:r>
                <w:rPr>
                  <w:rStyle w:val="InternetLink"/>
                  <w:rFonts w:ascii="Times New Roman;sans-serif" w:hAnsi="Times New Roman;sans-serif"/>
                  <w:b w:val="false"/>
                  <w:color w:val="0000FF"/>
                  <w:sz w:val="20"/>
                  <w:u w:val="single"/>
                </w:rPr>
                <w:t>Unaudited Condensed Consolidated Statements of Stockholders’ Equity for the three months ended April 30, 2024 and 2023</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25">
              <w:r>
                <w:rPr>
                  <w:rStyle w:val="InternetLink"/>
                  <w:rFonts w:ascii="Times New Roman;sans-serif" w:hAnsi="Times New Roman;sans-serif"/>
                  <w:b w:val="false"/>
                  <w:color w:val="0000FF"/>
                  <w:sz w:val="20"/>
                  <w:u w:val="single"/>
                </w:rPr>
                <w:t>4</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dbccf28ddb4e8d932ac47335b3d52e_28">
              <w:r>
                <w:rPr>
                  <w:rStyle w:val="InternetLink"/>
                  <w:rFonts w:ascii="Times New Roman;sans-serif" w:hAnsi="Times New Roman;sans-serif"/>
                  <w:b w:val="false"/>
                  <w:color w:val="0000FF"/>
                  <w:sz w:val="20"/>
                  <w:u w:val="single"/>
                </w:rPr>
                <w:t>Unaudited Condensed Consolidated Statements of Cash Flows for the three months ended April 30, 2024 and 2023</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28">
              <w:r>
                <w:rPr>
                  <w:rStyle w:val="InternetLink"/>
                  <w:rFonts w:ascii="Times New Roman;sans-serif" w:hAnsi="Times New Roman;sans-serif"/>
                  <w:b w:val="false"/>
                  <w:color w:val="0000FF"/>
                  <w:sz w:val="20"/>
                  <w:u w:val="single"/>
                </w:rPr>
                <w:t>5</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dbccf28ddb4e8d932ac47335b3d52e_31">
              <w:r>
                <w:rPr>
                  <w:rStyle w:val="InternetLink"/>
                  <w:rFonts w:ascii="Times New Roman;sans-serif" w:hAnsi="Times New Roman;sans-serif"/>
                  <w:b w:val="false"/>
                  <w:color w:val="0000FF"/>
                  <w:sz w:val="20"/>
                  <w:u w:val="single"/>
                </w:rPr>
                <w:t>Notes to Condensed Consolidated Financial Statements (unaudited)</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31">
              <w:r>
                <w:rPr>
                  <w:rStyle w:val="InternetLink"/>
                  <w:rFonts w:ascii="Times New Roman;sans-serif" w:hAnsi="Times New Roman;sans-serif"/>
                  <w:b w:val="false"/>
                  <w:color w:val="0000FF"/>
                  <w:sz w:val="20"/>
                  <w:u w:val="single"/>
                </w:rPr>
                <w:t>6</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73">
              <w:r>
                <w:rPr>
                  <w:rStyle w:val="InternetLink"/>
                  <w:rFonts w:ascii="Times New Roman;sans-serif" w:hAnsi="Times New Roman;sans-serif"/>
                  <w:b w:val="false"/>
                  <w:color w:val="0000FF"/>
                  <w:sz w:val="20"/>
                  <w:u w:val="single"/>
                </w:rPr>
                <w:t>Item 2.</w:t>
              </w:r>
            </w:hyperlink>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73">
              <w:r>
                <w:rPr>
                  <w:rStyle w:val="InternetLink"/>
                  <w:rFonts w:ascii="Times New Roman;sans-serif" w:hAnsi="Times New Roman;sans-serif"/>
                  <w:b w:val="false"/>
                  <w:color w:val="0000FF"/>
                  <w:sz w:val="20"/>
                  <w:u w:val="single"/>
                </w:rPr>
                <w:t>19</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06">
              <w:r>
                <w:rPr>
                  <w:rStyle w:val="InternetLink"/>
                  <w:rFonts w:ascii="Times New Roman;sans-serif" w:hAnsi="Times New Roman;sans-serif"/>
                  <w:b w:val="false"/>
                  <w:color w:val="0000FF"/>
                  <w:sz w:val="20"/>
                  <w:u w:val="single"/>
                </w:rPr>
                <w:t>Item 3.</w:t>
              </w:r>
            </w:hyperlink>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06">
              <w:r>
                <w:rPr>
                  <w:rStyle w:val="InternetLink"/>
                  <w:rFonts w:ascii="Times New Roman;sans-serif" w:hAnsi="Times New Roman;sans-serif"/>
                  <w:b w:val="false"/>
                  <w:color w:val="0000FF"/>
                  <w:sz w:val="20"/>
                  <w:u w:val="single"/>
                </w:rPr>
                <w:t>Quantitative and Qualitative Disclosures About Market Risk</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06">
              <w:r>
                <w:rPr>
                  <w:rStyle w:val="InternetLink"/>
                  <w:rFonts w:ascii="Times New Roman;sans-serif" w:hAnsi="Times New Roman;sans-serif"/>
                  <w:b w:val="false"/>
                  <w:color w:val="0000FF"/>
                  <w:sz w:val="20"/>
                  <w:u w:val="single"/>
                </w:rPr>
                <w:t>29</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09">
              <w:r>
                <w:rPr>
                  <w:rStyle w:val="InternetLink"/>
                  <w:rFonts w:ascii="Times New Roman;sans-serif" w:hAnsi="Times New Roman;sans-serif"/>
                  <w:b w:val="false"/>
                  <w:color w:val="0000FF"/>
                  <w:sz w:val="20"/>
                  <w:u w:val="single"/>
                </w:rPr>
                <w:t>Item 4.</w:t>
              </w:r>
            </w:hyperlink>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09">
              <w:r>
                <w:rPr>
                  <w:rStyle w:val="InternetLink"/>
                  <w:rFonts w:ascii="Times New Roman;sans-serif" w:hAnsi="Times New Roman;sans-serif"/>
                  <w:b w:val="false"/>
                  <w:color w:val="0000FF"/>
                  <w:sz w:val="20"/>
                  <w:u w:val="single"/>
                </w:rPr>
                <w:t>Controls and Procedures</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09">
              <w:r>
                <w:rPr>
                  <w:rStyle w:val="InternetLink"/>
                  <w:rFonts w:ascii="Times New Roman;sans-serif" w:hAnsi="Times New Roman;sans-serif"/>
                  <w:b w:val="false"/>
                  <w:color w:val="0000FF"/>
                  <w:sz w:val="20"/>
                  <w:u w:val="single"/>
                </w:rPr>
                <w:t>30</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7dbccf28ddb4e8d932ac47335b3d52e_112">
              <w:r>
                <w:rPr>
                  <w:rStyle w:val="InternetLink"/>
                  <w:rFonts w:ascii="Times New Roman;sans-serif" w:hAnsi="Times New Roman;sans-serif"/>
                  <w:b/>
                  <w:color w:val="0000FF"/>
                  <w:sz w:val="20"/>
                  <w:u w:val="single"/>
                </w:rPr>
                <w:t>PART II. OTHER INFORMATION</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15">
              <w:r>
                <w:rPr>
                  <w:rStyle w:val="InternetLink"/>
                  <w:rFonts w:ascii="Times New Roman;sans-serif" w:hAnsi="Times New Roman;sans-serif"/>
                  <w:b w:val="false"/>
                  <w:color w:val="0000FF"/>
                  <w:sz w:val="20"/>
                  <w:u w:val="single"/>
                </w:rPr>
                <w:t>Item 1.</w:t>
              </w:r>
            </w:hyperlink>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15">
              <w:r>
                <w:rPr>
                  <w:rStyle w:val="InternetLink"/>
                  <w:rFonts w:ascii="Times New Roman;sans-serif" w:hAnsi="Times New Roman;sans-serif"/>
                  <w:b w:val="false"/>
                  <w:color w:val="0000FF"/>
                  <w:sz w:val="20"/>
                  <w:u w:val="single"/>
                </w:rPr>
                <w:t>Legal Proceedings</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15">
              <w:r>
                <w:rPr>
                  <w:rStyle w:val="InternetLink"/>
                  <w:rFonts w:ascii="Times New Roman;sans-serif" w:hAnsi="Times New Roman;sans-serif"/>
                  <w:b w:val="false"/>
                  <w:color w:val="0000FF"/>
                  <w:sz w:val="20"/>
                  <w:u w:val="single"/>
                </w:rPr>
                <w:t>31</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18">
              <w:r>
                <w:rPr>
                  <w:rStyle w:val="InternetLink"/>
                  <w:rFonts w:ascii="Times New Roman;sans-serif" w:hAnsi="Times New Roman;sans-serif"/>
                  <w:b w:val="false"/>
                  <w:color w:val="0000FF"/>
                  <w:sz w:val="20"/>
                  <w:u w:val="single"/>
                </w:rPr>
                <w:t>Item 1A.</w:t>
              </w:r>
            </w:hyperlink>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18">
              <w:r>
                <w:rPr>
                  <w:rStyle w:val="InternetLink"/>
                  <w:rFonts w:ascii="Times New Roman;sans-serif" w:hAnsi="Times New Roman;sans-serif"/>
                  <w:b w:val="false"/>
                  <w:color w:val="0000FF"/>
                  <w:sz w:val="20"/>
                  <w:u w:val="single"/>
                </w:rPr>
                <w:t>Risk Factors</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18">
              <w:r>
                <w:rPr>
                  <w:rStyle w:val="InternetLink"/>
                  <w:rFonts w:ascii="Times New Roman;sans-serif" w:hAnsi="Times New Roman;sans-serif"/>
                  <w:b w:val="false"/>
                  <w:color w:val="0000FF"/>
                  <w:sz w:val="20"/>
                  <w:u w:val="single"/>
                </w:rPr>
                <w:t>31</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21">
              <w:r>
                <w:rPr>
                  <w:rStyle w:val="InternetLink"/>
                  <w:rFonts w:ascii="Times New Roman;sans-serif" w:hAnsi="Times New Roman;sans-serif"/>
                  <w:b w:val="false"/>
                  <w:color w:val="0000FF"/>
                  <w:sz w:val="20"/>
                  <w:u w:val="single"/>
                </w:rPr>
                <w:t>Item 2.</w:t>
              </w:r>
            </w:hyperlink>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21">
              <w:r>
                <w:rPr>
                  <w:rStyle w:val="InternetLink"/>
                  <w:rFonts w:ascii="Times New Roman;sans-serif" w:hAnsi="Times New Roman;sans-serif"/>
                  <w:b w:val="false"/>
                  <w:color w:val="0000FF"/>
                  <w:sz w:val="20"/>
                  <w:u w:val="single"/>
                </w:rPr>
                <w:t>Unregistered Sales of Equity Securities and Use of Proceeds</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21">
              <w:r>
                <w:rPr>
                  <w:rStyle w:val="InternetLink"/>
                  <w:rFonts w:ascii="Times New Roman;sans-serif" w:hAnsi="Times New Roman;sans-serif"/>
                  <w:b w:val="false"/>
                  <w:color w:val="0000FF"/>
                  <w:sz w:val="20"/>
                  <w:u w:val="single"/>
                </w:rPr>
                <w:t>64</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24">
              <w:r>
                <w:rPr>
                  <w:rStyle w:val="InternetLink"/>
                  <w:rFonts w:ascii="Times New Roman;sans-serif" w:hAnsi="Times New Roman;sans-serif"/>
                  <w:b w:val="false"/>
                  <w:color w:val="0000FF"/>
                  <w:sz w:val="20"/>
                  <w:u w:val="single"/>
                </w:rPr>
                <w:t>Item 3.</w:t>
              </w:r>
            </w:hyperlink>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24">
              <w:r>
                <w:rPr>
                  <w:rStyle w:val="InternetLink"/>
                  <w:rFonts w:ascii="Times New Roman;sans-serif" w:hAnsi="Times New Roman;sans-serif"/>
                  <w:b w:val="false"/>
                  <w:color w:val="0000FF"/>
                  <w:sz w:val="20"/>
                  <w:u w:val="single"/>
                </w:rPr>
                <w:t>Defaults Upon Senior Securities</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24">
              <w:r>
                <w:rPr>
                  <w:rStyle w:val="InternetLink"/>
                  <w:rFonts w:ascii="Times New Roman;sans-serif" w:hAnsi="Times New Roman;sans-serif"/>
                  <w:b w:val="false"/>
                  <w:color w:val="0000FF"/>
                  <w:sz w:val="20"/>
                  <w:u w:val="single"/>
                </w:rPr>
                <w:t>65</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27">
              <w:r>
                <w:rPr>
                  <w:rStyle w:val="InternetLink"/>
                  <w:rFonts w:ascii="Times New Roman;sans-serif" w:hAnsi="Times New Roman;sans-serif"/>
                  <w:b w:val="false"/>
                  <w:color w:val="0000FF"/>
                  <w:sz w:val="20"/>
                  <w:u w:val="single"/>
                </w:rPr>
                <w:t>Item 4.</w:t>
              </w:r>
            </w:hyperlink>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27">
              <w:r>
                <w:rPr>
                  <w:rStyle w:val="InternetLink"/>
                  <w:rFonts w:ascii="Times New Roman;sans-serif" w:hAnsi="Times New Roman;sans-serif"/>
                  <w:b w:val="false"/>
                  <w:color w:val="0000FF"/>
                  <w:sz w:val="20"/>
                  <w:u w:val="single"/>
                </w:rPr>
                <w:t>Mine Safety Disclosures</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27">
              <w:r>
                <w:rPr>
                  <w:rStyle w:val="InternetLink"/>
                  <w:rFonts w:ascii="Times New Roman;sans-serif" w:hAnsi="Times New Roman;sans-serif"/>
                  <w:b w:val="false"/>
                  <w:color w:val="0000FF"/>
                  <w:sz w:val="20"/>
                  <w:u w:val="single"/>
                </w:rPr>
                <w:t>65</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30">
              <w:r>
                <w:rPr>
                  <w:rStyle w:val="InternetLink"/>
                  <w:rFonts w:ascii="Times New Roman;sans-serif" w:hAnsi="Times New Roman;sans-serif"/>
                  <w:b w:val="false"/>
                  <w:color w:val="0000FF"/>
                  <w:sz w:val="20"/>
                  <w:u w:val="single"/>
                </w:rPr>
                <w:t>Item 5.</w:t>
              </w:r>
            </w:hyperlink>
          </w:p>
        </w:tc>
        <w:tc>
          <w:tcPr>
            <w:tcW w:w="8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30">
              <w:r>
                <w:rPr>
                  <w:rStyle w:val="InternetLink"/>
                  <w:rFonts w:ascii="Times New Roman;sans-serif" w:hAnsi="Times New Roman;sans-serif"/>
                  <w:b w:val="false"/>
                  <w:color w:val="0000FF"/>
                  <w:sz w:val="20"/>
                  <w:u w:val="single"/>
                </w:rPr>
                <w:t>Other Information</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30">
              <w:r>
                <w:rPr>
                  <w:rStyle w:val="InternetLink"/>
                  <w:rFonts w:ascii="Times New Roman;sans-serif" w:hAnsi="Times New Roman;sans-serif"/>
                  <w:b w:val="false"/>
                  <w:color w:val="0000FF"/>
                  <w:sz w:val="20"/>
                  <w:u w:val="single"/>
                </w:rPr>
                <w:t>65</w:t>
              </w:r>
            </w:hyperlink>
          </w:p>
        </w:tc>
      </w:tr>
      <w:tr>
        <w:trPr/>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17dbccf28ddb4e8d932ac47335b3d52e_136">
              <w:r>
                <w:rPr>
                  <w:rStyle w:val="InternetLink"/>
                  <w:rFonts w:ascii="Times New Roman;sans-serif" w:hAnsi="Times New Roman;sans-serif"/>
                  <w:b w:val="false"/>
                  <w:color w:val="0000FF"/>
                  <w:sz w:val="20"/>
                  <w:u w:val="single"/>
                </w:rPr>
                <w:t>Item 6.</w:t>
              </w:r>
            </w:hyperlink>
          </w:p>
        </w:tc>
        <w:tc>
          <w:tcPr>
            <w:tcW w:w="8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36">
              <w:r>
                <w:rPr>
                  <w:rStyle w:val="InternetLink"/>
                  <w:rFonts w:ascii="Times New Roman;sans-serif" w:hAnsi="Times New Roman;sans-serif"/>
                  <w:b w:val="false"/>
                  <w:color w:val="0000FF"/>
                  <w:sz w:val="20"/>
                  <w:u w:val="single"/>
                </w:rPr>
                <w:t>Exhibits</w:t>
              </w:r>
            </w:hyperlink>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36">
              <w:r>
                <w:rPr>
                  <w:rStyle w:val="InternetLink"/>
                  <w:rFonts w:ascii="Times New Roman;sans-serif" w:hAnsi="Times New Roman;sans-serif"/>
                  <w:b w:val="false"/>
                  <w:color w:val="0000FF"/>
                  <w:sz w:val="20"/>
                  <w:u w:val="single"/>
                </w:rPr>
                <w:t>66</w:t>
              </w:r>
            </w:hyperlink>
          </w:p>
        </w:tc>
      </w:tr>
      <w:tr>
        <w:trPr/>
        <w:tc>
          <w:tcPr>
            <w:tcW w:w="889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dbccf28ddb4e8d932ac47335b3d52e_139">
              <w:r>
                <w:rPr>
                  <w:rStyle w:val="InternetLink"/>
                  <w:rFonts w:ascii="Times New Roman;sans-serif" w:hAnsi="Times New Roman;sans-serif"/>
                  <w:b w:val="false"/>
                  <w:color w:val="0000FF"/>
                  <w:sz w:val="20"/>
                  <w:u w:val="single"/>
                </w:rPr>
                <w:t>Signatures</w:t>
              </w:r>
            </w:hyperlink>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dbccf28ddb4e8d932ac47335b3d52e_139">
              <w:r>
                <w:rPr>
                  <w:rStyle w:val="InternetLink"/>
                  <w:rFonts w:ascii="Times New Roman;sans-serif" w:hAnsi="Times New Roman;sans-serif"/>
                  <w:b w:val="false"/>
                  <w:color w:val="0000FF"/>
                  <w:sz w:val="20"/>
                  <w:u w:val="single"/>
                </w:rPr>
                <w:t>67</w:t>
              </w:r>
            </w:hyperlink>
          </w:p>
        </w:tc>
      </w:tr>
    </w:tbl>
    <w:p>
      <w:pPr>
        <w:pStyle w:val="TextBody"/>
        <w:bidi w:val="0"/>
        <w:spacing w:before="0" w:after="180"/>
        <w:ind w:left="0" w:right="0" w:firstLine="540"/>
        <w:jc w:val="left"/>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299"/>
        <w:gridCol w:w="2269"/>
        <w:gridCol w:w="196"/>
        <w:gridCol w:w="871"/>
        <w:gridCol w:w="109"/>
        <w:gridCol w:w="109"/>
        <w:gridCol w:w="109"/>
        <w:gridCol w:w="109"/>
        <w:gridCol w:w="207"/>
        <w:gridCol w:w="921"/>
        <w:gridCol w:w="166"/>
      </w:tblGrid>
      <w:tr>
        <w:trPr/>
        <w:tc>
          <w:tcPr>
            <w:tcW w:w="2840"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802,959 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1,212,448 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receivable, net of allowance for doubtful accounts of $7,814 and $8,054 as of April 30, 2024 and January 31, 2024, respectively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commissions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Prepaid expenses and other current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assets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2,652,325 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2,483,636 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Goodwill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2,869,642 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Accrued compensation and benefits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accrued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revenue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564,220 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1,143,273 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1,800,653 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7)</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of $0.001 per share; 1,000,000,000 shares authorized as of April 30, 2024 and January 31, 2024; 73,449,966 shares issued and 73,350,595 shares outstanding as of April 30, 2024; 72,840,692 shares issued and 72,741,321 shares outstanding as of January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Additional paid-in capital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2,777,322 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99,371 shares (repurchased at an average of $13.27 per share) as of April 30, 2024 and January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1,068,989 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2,869,642 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of U.S. dollars, except share and per share data)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41"/>
        <w:gridCol w:w="1960"/>
        <w:gridCol w:w="1975"/>
        <w:gridCol w:w="109"/>
        <w:gridCol w:w="109"/>
        <w:gridCol w:w="179"/>
        <w:gridCol w:w="179"/>
        <w:gridCol w:w="349"/>
        <w:gridCol w:w="1360"/>
        <w:gridCol w:w="179"/>
        <w:gridCol w:w="109"/>
        <w:gridCol w:w="109"/>
        <w:gridCol w:w="109"/>
        <w:gridCol w:w="219"/>
        <w:gridCol w:w="862"/>
        <w:gridCol w:w="157"/>
      </w:tblGrid>
      <w:tr>
        <w:trPr/>
        <w:tc>
          <w:tcPr>
            <w:tcW w:w="2241"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565" w:type="dxa"/>
            <w:gridSpan w:val="6"/>
            <w:tcBorders/>
          </w:tcPr>
          <w:p>
            <w:pPr>
              <w:pStyle w:val="TableContents"/>
              <w:bidi w:val="0"/>
              <w:spacing w:before="0" w:after="283"/>
              <w:jc w:val="left"/>
              <w:rPr>
                <w:sz w:val="4"/>
                <w:szCs w:val="4"/>
              </w:rPr>
            </w:pPr>
            <w:r>
              <w:rPr>
                <w:sz w:val="4"/>
                <w:szCs w:val="4"/>
              </w:rPr>
            </w:r>
          </w:p>
        </w:tc>
      </w:tr>
      <w:tr>
        <w:trPr/>
        <w:tc>
          <w:tcPr>
            <w:tcW w:w="6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426,050 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0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72,990,141 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70,177,499 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of U.S. dollars)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0"/>
        <w:jc w:val="center"/>
        <w:rPr/>
      </w:pPr>
      <w:r>
        <w:rPr/>
      </w:r>
    </w:p>
    <w:tbl>
      <w:tblPr>
        <w:tblW w:w="8694" w:type="dxa"/>
        <w:jc w:val="center"/>
        <w:tblInd w:w="0" w:type="dxa"/>
        <w:tblLayout w:type="fixed"/>
        <w:tblCellMar>
          <w:top w:w="28" w:type="dxa"/>
          <w:left w:w="28" w:type="dxa"/>
          <w:bottom w:w="28" w:type="dxa"/>
          <w:right w:w="28" w:type="dxa"/>
        </w:tblCellMar>
      </w:tblPr>
      <w:tblGrid>
        <w:gridCol w:w="1699"/>
        <w:gridCol w:w="1494"/>
        <w:gridCol w:w="1501"/>
        <w:gridCol w:w="109"/>
        <w:gridCol w:w="109"/>
        <w:gridCol w:w="187"/>
        <w:gridCol w:w="187"/>
        <w:gridCol w:w="363"/>
        <w:gridCol w:w="1370"/>
        <w:gridCol w:w="187"/>
        <w:gridCol w:w="109"/>
        <w:gridCol w:w="109"/>
        <w:gridCol w:w="109"/>
        <w:gridCol w:w="211"/>
        <w:gridCol w:w="79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488" w:type="dxa"/>
            <w:gridSpan w:val="6"/>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income on available-for-sale securities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(91,141)</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536"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571"/>
        <w:gridCol w:w="109"/>
        <w:gridCol w:w="109"/>
        <w:gridCol w:w="109"/>
        <w:gridCol w:w="109"/>
        <w:gridCol w:w="228"/>
        <w:gridCol w:w="665"/>
        <w:gridCol w:w="128"/>
        <w:gridCol w:w="109"/>
        <w:gridCol w:w="109"/>
        <w:gridCol w:w="109"/>
        <w:gridCol w:w="196"/>
        <w:gridCol w:w="886"/>
        <w:gridCol w:w="109"/>
        <w:gridCol w:w="109"/>
        <w:gridCol w:w="109"/>
        <w:gridCol w:w="109"/>
        <w:gridCol w:w="196"/>
        <w:gridCol w:w="87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January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72,741,321 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132,617 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399,213 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derivative related to the Capped Call associated with the 2024 Notes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April 30, 2024</w:t>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73,350,595 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3,068,730 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(6,003)</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(1,792,225)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1,269,256 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0401"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571"/>
        <w:gridCol w:w="109"/>
        <w:gridCol w:w="109"/>
        <w:gridCol w:w="109"/>
        <w:gridCol w:w="109"/>
        <w:gridCol w:w="270"/>
        <w:gridCol w:w="600"/>
        <w:gridCol w:w="151"/>
        <w:gridCol w:w="109"/>
        <w:gridCol w:w="109"/>
        <w:gridCol w:w="109"/>
        <w:gridCol w:w="196"/>
        <w:gridCol w:w="886"/>
        <w:gridCol w:w="109"/>
        <w:gridCol w:w="109"/>
        <w:gridCol w:w="109"/>
        <w:gridCol w:w="109"/>
        <w:gridCol w:w="196"/>
        <w:gridCol w:w="73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January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69,906,586 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April 30, 2023</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70,531,307 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2,382,121 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(1,589,278)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792,429 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w:t>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2"/>
        <w:gridCol w:w="2409"/>
        <w:gridCol w:w="2418"/>
        <w:gridCol w:w="196"/>
        <w:gridCol w:w="736"/>
        <w:gridCol w:w="109"/>
        <w:gridCol w:w="109"/>
        <w:gridCol w:w="109"/>
        <w:gridCol w:w="109"/>
        <w:gridCol w:w="196"/>
        <w:gridCol w:w="736"/>
        <w:gridCol w:w="156"/>
      </w:tblGrid>
      <w:tr>
        <w:trPr/>
        <w:tc>
          <w:tcPr>
            <w:tcW w:w="292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finance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income taxes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and accretion of discount on short-term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financial instruments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Prepaid expenses and other current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commissions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payable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Accrued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revenue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provided by operating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Purchases of property and equipment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non-marketable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maturities of marketable securities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Purchases of marketable securities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(66,789)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(used in) provided by investing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cash (used in) provided by financing activities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Effect of exchange rate changes on cash, cash equivalents and restricted cash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increase in cash, cash equivalents and restricted cash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cash equivalents and restricted cash, beginning of period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cash equivalents and restricted cash,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722,190 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disclosure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within the condensed consolidated balance sheets, end of period, to the amounts shown in the statements of cash flows above: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721,787 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722,190 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Organization and Description of Business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Summary of Significant Accounting Policies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Basis of Presentation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2024 (the “2024 Form 10-K”).</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Use of Estimates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acquired intangible assets and property and equipment, fair value of financial instruments and accounting for income taxes. The Company bases these estimates on historical and anticipated results, trends and various other assumptions that it believes are reasonable under the circumstances, including assumptions as to future events.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macroeconomic conditions, including slower economic growth, persistent inflation and a high interest rate environment, continue to impact demand and supply for a broad variety of goods and services, including demand from the Company’s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Significant Accounting Policies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Company’s significant accounting policies as described in the Company’s 2024 Form 10-K.</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xml:space="preserve">. In November 2023, the FASB issued ASU 2023-07,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(Topic 280): Improvements to Reportable Segment Disclosures, which requires companies to provide disclosures of significant segment expenses and other segment items. The guidance requires companies to provide in interim periods all disclosures about a reportable segment’s profit or loss and assets that are currently required annually. The guidance is applied retrospectively and is effective for the Company for fiscal year ending January 31, 2025, and for interim periods beginning February 1, 2025. The Company is currently evaluating the impact of ASU 2023-07 on its consolidated financial statements.</w:t>
      </w:r>
    </w:p>
    <w:p>
      <w:pPr>
        <w:pStyle w:val="TextBody"/>
        <w:bidi w:val="0"/>
        <w:spacing w:lineRule="auto" w:line="288" w:before="0" w:after="240"/>
        <w:ind w:left="0" w:right="0" w:firstLine="540"/>
        <w:jc w:val="left"/>
        <w:rPr/>
      </w:pP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In December 2023, the FASB issued ASU 2023-09,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(Topic 740): Improvements to Income Tax 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(national), state and foreign taxes and to disaggregate the information by jurisdiction based on a quantitative threshold. The guidance is effective for the Company for the fiscal year ending January 31, 2026, and early adoption is permitted. The Company is currently evaluating the impact of ASU 2023-09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3.</w:t>
      </w:r>
      <w:r>
        <w:rPr>
          <w:color w:val="000000"/>
        </w:rPr>
        <w:t xml:space="preserve"> </w:t>
      </w:r>
      <w:r>
        <w:rPr>
          <w:rFonts w:ascii="Times New Roman;sans-serif" w:hAnsi="Times New Roman;sans-serif"/>
          <w:b/>
          <w:color w:val="000000"/>
          <w:sz w:val="20"/>
        </w:rPr>
        <w:t>Fair Value Measurements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financial assets that have been measured at fair value on a recurring basis as of April 30, 2024 and January 31, 2024 and indicate the fair value hierarchy of the valuation inputs utilized to determine such fair value (in thousands):</w:t>
      </w:r>
    </w:p>
    <w:tbl>
      <w:tblPr>
        <w:tblW w:w="9045" w:type="dxa"/>
        <w:jc w:val="left"/>
        <w:tblInd w:w="0" w:type="dxa"/>
        <w:tblLayout w:type="fixed"/>
        <w:tblCellMar>
          <w:top w:w="28" w:type="dxa"/>
          <w:left w:w="28" w:type="dxa"/>
          <w:bottom w:w="28" w:type="dxa"/>
          <w:right w:w="28" w:type="dxa"/>
        </w:tblCellMar>
      </w:tblPr>
      <w:tblGrid>
        <w:gridCol w:w="1286"/>
        <w:gridCol w:w="1130"/>
        <w:gridCol w:w="1139"/>
        <w:gridCol w:w="211"/>
        <w:gridCol w:w="976"/>
        <w:gridCol w:w="109"/>
        <w:gridCol w:w="109"/>
        <w:gridCol w:w="109"/>
        <w:gridCol w:w="109"/>
        <w:gridCol w:w="211"/>
        <w:gridCol w:w="826"/>
        <w:gridCol w:w="109"/>
        <w:gridCol w:w="109"/>
        <w:gridCol w:w="109"/>
        <w:gridCol w:w="109"/>
        <w:gridCol w:w="211"/>
        <w:gridCol w:w="406"/>
        <w:gridCol w:w="109"/>
        <w:gridCol w:w="109"/>
        <w:gridCol w:w="109"/>
        <w:gridCol w:w="109"/>
        <w:gridCol w:w="211"/>
        <w:gridCol w:w="97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 as of April 30, 2024</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1,906,003 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085" w:type="dxa"/>
        <w:jc w:val="left"/>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 as of January 31, 2024</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utilized the market approach and Level 1 valuation inputs to value its money market mutual funds and U.S. government treasury securities because published net asset values were readily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the Company’s short-term investments by remaining contractual maturity as of April 30, 2024 and January 31, 2024 (in thousands):</w:t>
      </w:r>
    </w:p>
    <w:tbl>
      <w:tblPr>
        <w:tblW w:w="10205" w:type="dxa"/>
        <w:jc w:val="left"/>
        <w:tblInd w:w="0" w:type="dxa"/>
        <w:tblLayout w:type="fixed"/>
        <w:tblCellMar>
          <w:top w:w="28" w:type="dxa"/>
          <w:left w:w="28" w:type="dxa"/>
          <w:bottom w:w="28" w:type="dxa"/>
          <w:right w:w="28" w:type="dxa"/>
        </w:tblCellMar>
      </w:tblPr>
      <w:tblGrid>
        <w:gridCol w:w="720"/>
        <w:gridCol w:w="262"/>
        <w:gridCol w:w="264"/>
        <w:gridCol w:w="211"/>
        <w:gridCol w:w="976"/>
        <w:gridCol w:w="109"/>
        <w:gridCol w:w="109"/>
        <w:gridCol w:w="109"/>
        <w:gridCol w:w="109"/>
        <w:gridCol w:w="229"/>
        <w:gridCol w:w="689"/>
        <w:gridCol w:w="120"/>
        <w:gridCol w:w="109"/>
        <w:gridCol w:w="109"/>
        <w:gridCol w:w="109"/>
        <w:gridCol w:w="211"/>
        <w:gridCol w:w="976"/>
        <w:gridCol w:w="109"/>
        <w:gridCol w:w="109"/>
        <w:gridCol w:w="109"/>
        <w:gridCol w:w="109"/>
        <w:gridCol w:w="211"/>
        <w:gridCol w:w="976"/>
        <w:gridCol w:w="109"/>
        <w:gridCol w:w="109"/>
        <w:gridCol w:w="109"/>
        <w:gridCol w:w="109"/>
        <w:gridCol w:w="237"/>
        <w:gridCol w:w="693"/>
        <w:gridCol w:w="124"/>
        <w:gridCol w:w="109"/>
        <w:gridCol w:w="109"/>
        <w:gridCol w:w="109"/>
        <w:gridCol w:w="211"/>
        <w:gridCol w:w="976"/>
        <w:gridCol w:w="157"/>
      </w:tblGrid>
      <w:tr>
        <w:trPr/>
        <w:tc>
          <w:tcPr>
            <w:tcW w:w="7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Gains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and within three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2024, unrealized losses on the Company’s U.S. government treasury securities were approximately $7.3 million. As of January 31, 2024, unrealized gains on the Company’s U.S. government treasury securities were approximately $2.2 million. These unrealized gains and losses were caused by fluctuations in interest rates, which results in changes to the market value of these securities. Because the decline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April 30, 2024. Gross realized gains and losses were not material for both the three months ended April 30, 2024 and 2023. There were no short-term investments in a continuous loss position for greater than twelve months.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Convertible Senior Notes and Capped Calls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the fair value of its outstanding convertible senior notes on a quarterly basis for disclosure purposes. The Company considers the fair value of its convertible senior notes as of April 30, 2024 to be a Level 2 measurement due to limited trading activity of the convertible senior notes.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for the derivative asset related to the Capped Calls associated with the 2024 Notes are determined using the Black-Scholes option-pricing model with Level 1 and Level 2 inputs. The derivative asset was recognized as a result of the Company electing to cash settle the Capped Calls associated with the 2024 Notes (as defined herein).</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Refer to Note 5,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for further details on the convertible senior notes and Capped Calls.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Non-marketable Securities</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of April 30, 2024 and January 31, 2024, the total amount of non-marketable equity and debt securities included in other assets on the Company’s condensed consolidated balance sheets was $12.9 million. The Company did not make additional investments during the three months ended April 30, 2024 and invested an additional $1.3 million of its cash in non-marketable equity securities during the three months ended April 30, 2023. The Company recognized an immaterial net unrealized loss during the three months ended April 30, 2024 on certain of these non-marketable securities and net unrealized gain of $2.2 million during the three months ended April 30, 2023. 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 the Notes to Consolidated Financial Statements included in Part II, Item 8 of the Company’s 2024 Form 10-K for further information. The Company considers these assets as Level 3 within the fair value hierarchy when an impairment or observable price changes in orderly transactions are recognized on these non-marketable securities during the period.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ind w:left="0" w:right="0" w:hanging="180"/>
        <w:jc w:val="left"/>
        <w:rPr/>
      </w:pPr>
      <w:r>
        <w:rPr>
          <w:rFonts w:ascii="Times New Roman;sans-serif" w:hAnsi="Times New Roman;sans-serif"/>
          <w:b/>
          <w:color w:val="000000"/>
          <w:sz w:val="20"/>
        </w:rPr>
        <w:t>4.</w:t>
      </w:r>
      <w:r>
        <w:rPr>
          <w:color w:val="000000"/>
        </w:rPr>
        <w:t xml:space="preserve"> </w:t>
      </w:r>
      <w:r>
        <w:rPr>
          <w:rFonts w:ascii="Times New Roman;sans-serif" w:hAnsi="Times New Roman;sans-serif"/>
          <w:b/>
          <w:color w:val="000000"/>
          <w:sz w:val="20"/>
        </w:rPr>
        <w:t>Goodwill and Acquired Intangible Assets, Net</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during the periods presented (in thousands):</w:t>
      </w:r>
    </w:p>
    <w:tbl>
      <w:tblPr>
        <w:tblW w:w="7450" w:type="dxa"/>
        <w:jc w:val="left"/>
        <w:tblInd w:w="0" w:type="dxa"/>
        <w:tblLayout w:type="fixed"/>
        <w:tblCellMar>
          <w:top w:w="28" w:type="dxa"/>
          <w:left w:w="28" w:type="dxa"/>
          <w:bottom w:w="28" w:type="dxa"/>
          <w:right w:w="28" w:type="dxa"/>
        </w:tblCellMar>
      </w:tblPr>
      <w:tblGrid>
        <w:gridCol w:w="1618"/>
        <w:gridCol w:w="1423"/>
        <w:gridCol w:w="1428"/>
        <w:gridCol w:w="240"/>
        <w:gridCol w:w="821"/>
        <w:gridCol w:w="124"/>
        <w:gridCol w:w="109"/>
        <w:gridCol w:w="109"/>
        <w:gridCol w:w="109"/>
        <w:gridCol w:w="285"/>
        <w:gridCol w:w="976"/>
        <w:gridCol w:w="208"/>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year</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business combinations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the year</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69,679 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 administrative expenses in the condensed consolidated statements of operations. The business combination did not have a material impact on the Company’s condensed consolidated financial statements.</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and accumulated amortization of the Company’s intangible assets are as follows (in thousands):</w:t>
      </w:r>
    </w:p>
    <w:tbl>
      <w:tblPr>
        <w:tblW w:w="10205" w:type="dxa"/>
        <w:jc w:val="left"/>
        <w:tblInd w:w="0" w:type="dxa"/>
        <w:tblLayout w:type="fixed"/>
        <w:tblCellMar>
          <w:top w:w="28" w:type="dxa"/>
          <w:left w:w="28" w:type="dxa"/>
          <w:bottom w:w="28" w:type="dxa"/>
          <w:right w:w="28" w:type="dxa"/>
        </w:tblCellMar>
      </w:tblPr>
      <w:tblGrid>
        <w:gridCol w:w="673"/>
        <w:gridCol w:w="566"/>
        <w:gridCol w:w="570"/>
        <w:gridCol w:w="315"/>
        <w:gridCol w:w="1080"/>
        <w:gridCol w:w="163"/>
        <w:gridCol w:w="109"/>
        <w:gridCol w:w="109"/>
        <w:gridCol w:w="109"/>
        <w:gridCol w:w="350"/>
        <w:gridCol w:w="1316"/>
        <w:gridCol w:w="181"/>
        <w:gridCol w:w="109"/>
        <w:gridCol w:w="109"/>
        <w:gridCol w:w="109"/>
        <w:gridCol w:w="264"/>
        <w:gridCol w:w="774"/>
        <w:gridCol w:w="136"/>
        <w:gridCol w:w="109"/>
        <w:gridCol w:w="109"/>
        <w:gridCol w:w="109"/>
        <w:gridCol w:w="828"/>
        <w:gridCol w:w="828"/>
        <w:gridCol w:w="1180"/>
      </w:tblGrid>
      <w:tr>
        <w:trPr/>
        <w:tc>
          <w:tcPr>
            <w:tcW w:w="6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Remaining Useful Life </w:t>
              <w:br/>
              <w:t>(in years)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(55,097)</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3"/>
        <w:gridCol w:w="566"/>
        <w:gridCol w:w="570"/>
        <w:gridCol w:w="315"/>
        <w:gridCol w:w="1080"/>
        <w:gridCol w:w="163"/>
        <w:gridCol w:w="109"/>
        <w:gridCol w:w="109"/>
        <w:gridCol w:w="109"/>
        <w:gridCol w:w="350"/>
        <w:gridCol w:w="1316"/>
        <w:gridCol w:w="181"/>
        <w:gridCol w:w="109"/>
        <w:gridCol w:w="109"/>
        <w:gridCol w:w="109"/>
        <w:gridCol w:w="264"/>
        <w:gridCol w:w="774"/>
        <w:gridCol w:w="136"/>
        <w:gridCol w:w="109"/>
        <w:gridCol w:w="109"/>
        <w:gridCol w:w="109"/>
        <w:gridCol w:w="828"/>
        <w:gridCol w:w="828"/>
        <w:gridCol w:w="1180"/>
      </w:tblGrid>
      <w:tr>
        <w:trPr/>
        <w:tc>
          <w:tcPr>
            <w:tcW w:w="6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Remaining Useful Life </w:t>
              <w:br/>
              <w:t>(in years)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(52,443)</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are amortized on a straight-line basis. Amortization expense of intangible assets was $2.7 million and $2.3 million for the three months ended April 30, 2024 and 2023, respectively. Amortization expense for developed technology was included as research and development expense in the Company’s interim condensed consolidated statements of operations. Amortization expense for customer relationships was included as sales and marketing expense in the Company’s interim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2024, future amortization expense related to the intangible assets is as follows (in thousands):</w:t>
      </w:r>
    </w:p>
    <w:tbl>
      <w:tblPr>
        <w:tblW w:w="3321" w:type="dxa"/>
        <w:jc w:val="left"/>
        <w:tblInd w:w="0" w:type="dxa"/>
        <w:tblLayout w:type="fixed"/>
        <w:tblCellMar>
          <w:top w:w="28" w:type="dxa"/>
          <w:left w:w="28" w:type="dxa"/>
          <w:bottom w:w="28" w:type="dxa"/>
          <w:right w:w="28" w:type="dxa"/>
        </w:tblCellMar>
      </w:tblPr>
      <w:tblGrid>
        <w:gridCol w:w="846"/>
        <w:gridCol w:w="746"/>
        <w:gridCol w:w="748"/>
        <w:gridCol w:w="211"/>
        <w:gridCol w:w="61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January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80"/>
        <w:jc w:val="left"/>
        <w:rPr/>
      </w:pPr>
      <w:r>
        <w:rPr>
          <w:rFonts w:ascii="Times New Roman;sans-serif" w:hAnsi="Times New Roman;sans-serif"/>
          <w:b/>
          <w:color w:val="000000"/>
          <w:sz w:val="20"/>
        </w:rPr>
        <w:t>5.</w:t>
      </w:r>
      <w:r>
        <w:rPr>
          <w:color w:val="000000"/>
        </w:rPr>
        <w:t xml:space="preserve"> </w:t>
      </w:r>
      <w:r>
        <w:rPr>
          <w:rFonts w:ascii="Times New Roman;sans-serif" w:hAnsi="Times New Roman;sans-serif"/>
          <w:b/>
          <w:color w:val="000000"/>
          <w:sz w:val="20"/>
        </w:rPr>
        <w:t>Convertible Senior Notes</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amounts of the Company’s 2026 Notes (as defined herein) were as follows for the periods presented (in thousands):</w:t>
      </w:r>
    </w:p>
    <w:tbl>
      <w:tblPr>
        <w:tblW w:w="6694" w:type="dxa"/>
        <w:jc w:val="left"/>
        <w:tblInd w:w="0" w:type="dxa"/>
        <w:tblLayout w:type="fixed"/>
        <w:tblCellMar>
          <w:top w:w="28" w:type="dxa"/>
          <w:left w:w="28" w:type="dxa"/>
          <w:bottom w:w="28" w:type="dxa"/>
          <w:right w:w="28" w:type="dxa"/>
        </w:tblCellMar>
      </w:tblPr>
      <w:tblGrid>
        <w:gridCol w:w="999"/>
        <w:gridCol w:w="877"/>
        <w:gridCol w:w="884"/>
        <w:gridCol w:w="109"/>
        <w:gridCol w:w="109"/>
        <w:gridCol w:w="109"/>
        <w:gridCol w:w="109"/>
        <w:gridCol w:w="211"/>
        <w:gridCol w:w="976"/>
        <w:gridCol w:w="109"/>
        <w:gridCol w:w="109"/>
        <w:gridCol w:w="109"/>
        <w:gridCol w:w="109"/>
        <w:gridCol w:w="109"/>
        <w:gridCol w:w="109"/>
        <w:gridCol w:w="109"/>
        <w:gridCol w:w="109"/>
        <w:gridCol w:w="226"/>
        <w:gridCol w:w="1048"/>
        <w:gridCol w:w="165"/>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2202" w:type="dxa"/>
            <w:gridSpan w:val="10"/>
            <w:tcBorders/>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1,143,273 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180"/>
        <w:jc w:val="left"/>
        <w:rPr/>
      </w:pPr>
      <w:r>
        <w:rPr/>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2024, the estimated fair value (Level 2) of the outstanding 2026 Notes, which is utilized solely for disclosure purposes, was approximately $2.0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pStyle w:val="TextBody"/>
        <w:bidi w:val="0"/>
        <w:spacing w:lineRule="auto" w:line="288" w:before="80" w:after="180"/>
        <w:ind w:left="0" w:right="0" w:firstLine="540"/>
        <w:jc w:val="left"/>
        <w:rPr/>
      </w:pPr>
      <w:r>
        <w:rPr>
          <w:rFonts w:ascii="Times New Roman;sans-serif" w:hAnsi="Times New Roman;sans-serif"/>
          <w:b w:val="false"/>
          <w:color w:val="000000"/>
          <w:sz w:val="20"/>
        </w:rPr>
        <w:t xml:space="preserve">Refer to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in the Notes to Consolidated Financial Statements included in Part II, Item 8 of the Company’s 2024 Form 10-K for further information on the 2026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2024, the conditional conversion feature of the 2026 Notes was triggered as the last reported sale price of the Company's common stock was more than or equal to 130% of the conversion price for at least 20 trading days in the period of 30 consecutive trading days ending on April 30, 2024 (the last trading day of the fiscal quarter) and therefore the 2026 Notes are convertible, in whole or in part, from May 1, 2024 through July 31, 2024. Whether the 2026 Notes will be convertible following such period will depend on the continued satisfaction of this condition or another conversion condition in the future.</w:t>
      </w:r>
    </w:p>
    <w:p>
      <w:pPr>
        <w:pStyle w:val="TextBody"/>
        <w:bidi w:val="0"/>
        <w:spacing w:lineRule="auto" w:line="288" w:before="6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Company elected cash settlement for the Capped Calls associated with the 2024 Notes. The settlement period of the Capped Calls associated with the 2024 Notes ranges between April 2024 and June 2024 with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receipt in June 2024. Upon the cash settlement election, the instrument, initially indexed to the Company’s own stock, no longer met the criteria for equity classification and was reclassified from stockholder’s equity to assets on the Company’s condensed consolidated balance sheet. The reclassification resulted in the recognition of a derivative asset, with an estimated fair value at cash settlement election date of $169.7 million, with a corresponding increase in additional paid in capital, which is reflected as a noncash financing activity for the three months ended April 30, 2024. The derivative asset is included in prepaid expenses and other current assets on the Company’s condensed consolidated balance sheet. The fair value of the derivative instrument as of April 30, 2024, was $170.2 million and as a result the Company recognized an unrealized gain of $0.5 million, which was recorded in other income (expense), net, on the Company interim condensed consolidated statement of operations. The fair values of the derivative asset related to the Capped Calls associated with the 2024 Notes were determined using the Black-Scholes option-pricing model with significant inputs being the Company’s share price and the risk free rate, based on the Secured Overnight Offering Rate, at each valuation date. The impact of volatility was not significant on the fair value measurements.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its Capped Calls through April 30, 2024.</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Refer to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in the Notes to Consolidated Financial Statements included in Part II, Item 8 of the Company’s 2024 Form 10-K for further information on the Capped Calls and the 2024 Notes.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6.</w:t>
      </w:r>
      <w:r>
        <w:rPr>
          <w:color w:val="000000"/>
        </w:rPr>
        <w:t xml:space="preserve"> </w:t>
      </w:r>
      <w:r>
        <w:rPr>
          <w:rFonts w:ascii="Times New Roman;sans-serif" w:hAnsi="Times New Roman;sans-serif"/>
          <w:b/>
          <w:color w:val="000000"/>
          <w:sz w:val="20"/>
        </w:rPr>
        <w:t>Leases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Lease Costs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lease costs included in its interim condensed consolidated statements of operations were as follows (in thousands):</w:t>
      </w:r>
    </w:p>
    <w:tbl>
      <w:tblPr>
        <w:tblW w:w="7822" w:type="dxa"/>
        <w:jc w:val="left"/>
        <w:tblInd w:w="0" w:type="dxa"/>
        <w:tblLayout w:type="fixed"/>
        <w:tblCellMar>
          <w:top w:w="28" w:type="dxa"/>
          <w:left w:w="28" w:type="dxa"/>
          <w:bottom w:w="28" w:type="dxa"/>
          <w:right w:w="28" w:type="dxa"/>
        </w:tblCellMar>
      </w:tblPr>
      <w:tblGrid>
        <w:gridCol w:w="1449"/>
        <w:gridCol w:w="1274"/>
        <w:gridCol w:w="1281"/>
        <w:gridCol w:w="109"/>
        <w:gridCol w:w="109"/>
        <w:gridCol w:w="216"/>
        <w:gridCol w:w="216"/>
        <w:gridCol w:w="419"/>
        <w:gridCol w:w="1225"/>
        <w:gridCol w:w="216"/>
        <w:gridCol w:w="109"/>
        <w:gridCol w:w="109"/>
        <w:gridCol w:w="109"/>
        <w:gridCol w:w="211"/>
        <w:gridCol w:w="616"/>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Balance Sheet Components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finance and operating leases were recorded on the condensed consolidated balance sheets as follows (in thousands):</w:t>
      </w:r>
    </w:p>
    <w:tbl>
      <w:tblPr>
        <w:tblW w:w="6161" w:type="dxa"/>
        <w:jc w:val="left"/>
        <w:tblInd w:w="0" w:type="dxa"/>
        <w:tblLayout w:type="fixed"/>
        <w:tblCellMar>
          <w:top w:w="28" w:type="dxa"/>
          <w:left w:w="28" w:type="dxa"/>
          <w:bottom w:w="28" w:type="dxa"/>
          <w:right w:w="28" w:type="dxa"/>
        </w:tblCellMar>
      </w:tblPr>
      <w:tblGrid>
        <w:gridCol w:w="1173"/>
        <w:gridCol w:w="1028"/>
        <w:gridCol w:w="1039"/>
        <w:gridCol w:w="234"/>
        <w:gridCol w:w="800"/>
        <w:gridCol w:w="121"/>
        <w:gridCol w:w="109"/>
        <w:gridCol w:w="109"/>
        <w:gridCol w:w="109"/>
        <w:gridCol w:w="279"/>
        <w:gridCol w:w="956"/>
        <w:gridCol w:w="204"/>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current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Maturities of Lease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finance and operating leases on an annual undiscounted cash flow basis as of April 30, 2024 were as follows (in thousands):</w:t>
      </w:r>
    </w:p>
    <w:tbl>
      <w:tblPr>
        <w:tblW w:w="7222" w:type="dxa"/>
        <w:jc w:val="left"/>
        <w:tblInd w:w="0" w:type="dxa"/>
        <w:tblLayout w:type="fixed"/>
        <w:tblCellMar>
          <w:top w:w="28" w:type="dxa"/>
          <w:left w:w="28" w:type="dxa"/>
          <w:bottom w:w="28" w:type="dxa"/>
          <w:right w:w="28" w:type="dxa"/>
        </w:tblCellMar>
      </w:tblPr>
      <w:tblGrid>
        <w:gridCol w:w="1458"/>
        <w:gridCol w:w="1283"/>
        <w:gridCol w:w="1293"/>
        <w:gridCol w:w="109"/>
        <w:gridCol w:w="109"/>
        <w:gridCol w:w="109"/>
        <w:gridCol w:w="228"/>
        <w:gridCol w:w="779"/>
        <w:gridCol w:w="117"/>
        <w:gridCol w:w="109"/>
        <w:gridCol w:w="109"/>
        <w:gridCol w:w="109"/>
        <w:gridCol w:w="274"/>
        <w:gridCol w:w="936"/>
        <w:gridCol w:w="200"/>
      </w:tblGrid>
      <w:tr>
        <w:trPr/>
        <w:tc>
          <w:tcPr>
            <w:tcW w:w="145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Year Ending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minimum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80"/>
        <w:jc w:val="left"/>
        <w:rPr/>
      </w:pP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rPr>
        <w:t>Commitments and Contingencies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Non-cancelable Material Commitments</w:t>
      </w:r>
    </w:p>
    <w:p>
      <w:pPr>
        <w:pStyle w:val="TextBody"/>
        <w:bidi w:val="0"/>
        <w:spacing w:lineRule="auto" w:line="256" w:before="0" w:after="0"/>
        <w:ind w:left="0" w:right="0" w:firstLine="540"/>
        <w:jc w:val="left"/>
        <w:rPr/>
      </w:pPr>
      <w:r>
        <w:rPr>
          <w:rFonts w:ascii="Times New Roman;sans-serif" w:hAnsi="Times New Roman;sans-serif"/>
          <w:b w:val="false"/>
          <w:color w:val="000000"/>
          <w:sz w:val="20"/>
        </w:rPr>
        <w:t xml:space="preserve">During the three months ended April 30, 2024, </w:t>
      </w:r>
      <w:r>
        <w:rPr>
          <w:rFonts w:ascii="Times New Roman;sans-serif" w:hAnsi="Times New Roman;sans-serif"/>
          <w:b w:val="false"/>
          <w:color w:val="000000"/>
          <w:sz w:val="20"/>
          <w:shd w:fill="FFFFFF" w:val="clear"/>
        </w:rPr>
        <w:t xml:space="preserve">other than certain non-cancelable operating leases described in Note 6, </w:t>
      </w:r>
      <w:r>
        <w:rPr>
          <w:rFonts w:ascii="Times New Roman;sans-serif" w:hAnsi="Times New Roman;sans-serif"/>
          <w:b w:val="false"/>
          <w:i/>
          <w:color w:val="000000"/>
          <w:sz w:val="20"/>
          <w:shd w:fill="FFFFFF" w:val="clear"/>
        </w:rPr>
        <w:t>Leases</w:t>
      </w:r>
      <w:r>
        <w:rPr>
          <w:rFonts w:ascii="Times New Roman;sans-serif" w:hAnsi="Times New Roman;sans-serif"/>
          <w:b w:val="false"/>
          <w:color w:val="000000"/>
          <w:sz w:val="20"/>
          <w:shd w:fill="FFFFFF" w:val="clear"/>
        </w:rPr>
        <w:t>, there have been no material changes outside the ordinary course of business t</w:t>
      </w:r>
      <w:r>
        <w:rPr>
          <w:rFonts w:ascii="Times New Roman;sans-serif" w:hAnsi="Times New Roman;sans-serif"/>
          <w:b w:val="false"/>
          <w:color w:val="000000"/>
          <w:sz w:val="20"/>
        </w:rPr>
        <w:t>o the Company’s contractual obligations and commitments from those disclosed in the 2024 Form 10-K.</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Legal Matters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claims and litigation are inherently unpredictable, as of April 30, 2024,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adverse impact on the Company because of defense and settlement costs, diversion of management resources and other factors.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Indemnification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Revenue</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Disaggregation of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primary geographical markets, subscription product categories and services (in thousands):</w:t>
      </w:r>
    </w:p>
    <w:tbl>
      <w:tblPr>
        <w:tblW w:w="8004" w:type="dxa"/>
        <w:jc w:val="left"/>
        <w:tblInd w:w="0" w:type="dxa"/>
        <w:tblLayout w:type="fixed"/>
        <w:tblCellMar>
          <w:top w:w="28" w:type="dxa"/>
          <w:left w:w="28" w:type="dxa"/>
          <w:bottom w:w="28" w:type="dxa"/>
          <w:right w:w="28" w:type="dxa"/>
        </w:tblCellMar>
      </w:tblPr>
      <w:tblGrid>
        <w:gridCol w:w="1377"/>
        <w:gridCol w:w="1205"/>
        <w:gridCol w:w="1213"/>
        <w:gridCol w:w="109"/>
        <w:gridCol w:w="109"/>
        <w:gridCol w:w="197"/>
        <w:gridCol w:w="197"/>
        <w:gridCol w:w="383"/>
        <w:gridCol w:w="1499"/>
        <w:gridCol w:w="197"/>
        <w:gridCol w:w="109"/>
        <w:gridCol w:w="109"/>
        <w:gridCol w:w="109"/>
        <w:gridCol w:w="211"/>
        <w:gridCol w:w="82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Primary geographical markets: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Americas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Asia Pacific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product categories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MongoDB Atlas-related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located in the United States accounted for 54% of total revenue for each of the three months ended April 30, 2024 and 2023. No other country accounted for 10% or more of revenue for the periods presented.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Contract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are recorded as deferred revenue in the Company’s condensed consolidated balance sheets and consist of customer invoices issued or payments received in advance of revenues being recognized from the Company’s subscription and services contracts. Deferred revenue, including current and non-current balances, as of April 30, 2024 and January 31, 2024 was $340.1 million and $377.4 million, respectively. Approximately 33% and 45% of the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for the three months ended April 30, 2024 and 2023, respectively, was from deferred revenue at the beginning of each respective period.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Remaining Performance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April 30, 2024, the aggregate transaction price allocated to remaining performance obligations was $586.5 million. Approximately 56%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Unbilled Receivables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April 30, 2024 and January 31, 2024, unbilled receivables were $18.9 million and $22.7 million, respectively.</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Allowance for Doubtful Accounts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tbl>
      <w:tblPr>
        <w:tblW w:w="4994" w:type="dxa"/>
        <w:jc w:val="left"/>
        <w:tblInd w:w="0" w:type="dxa"/>
        <w:tblLayout w:type="fixed"/>
        <w:tblCellMar>
          <w:top w:w="28" w:type="dxa"/>
          <w:left w:w="28" w:type="dxa"/>
          <w:bottom w:w="28" w:type="dxa"/>
          <w:right w:w="28" w:type="dxa"/>
        </w:tblCellMar>
      </w:tblPr>
      <w:tblGrid>
        <w:gridCol w:w="881"/>
        <w:gridCol w:w="772"/>
        <w:gridCol w:w="777"/>
        <w:gridCol w:w="551"/>
        <w:gridCol w:w="1611"/>
        <w:gridCol w:w="402"/>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Doubtful Accounts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Recoveries/write-offs</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 2024</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allowance for doubtful accounts as of April 30, 2024 was primarily driven by the increased collections during the period.</w:t>
      </w:r>
    </w:p>
    <w:p>
      <w:pPr>
        <w:pStyle w:val="TextBody"/>
        <w:bidi w:val="0"/>
        <w:spacing w:lineRule="auto" w:line="288" w:before="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Costs Capitalized to Obtain Contracts with Customers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were $299.1 million and $294.2 million as of April 30, 2024 and January 31, 2024, respectively, of which $205.7 million and $201.7 million comprised the non-current portion and was included in other assets on the Company’s consolidated balance sheets as of April 30, 2024 and January 31, 2024, respectively. Amortization expense with respect to deferred commissions, which is included in sales and marketing expense in the Company’s interim condensed consolidated statements of operations, was $26.4 million and $23.6 million for the three months ended April 30, 2024 and 2023, respectively. There was no impairment loss in relation to the costs capitalized for the periods presented.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Equity Incentive Plans and Employee Stock Purchase Plan</w:t>
      </w:r>
    </w:p>
    <w:p>
      <w:pPr>
        <w:pStyle w:val="TextBody"/>
        <w:bidi w:val="0"/>
        <w:spacing w:lineRule="auto" w:line="288" w:before="0" w:after="180"/>
        <w:jc w:val="left"/>
        <w:rPr>
          <w:rFonts w:ascii="Times New Roman;sans-serif" w:hAnsi="Times New Roman;sans-serif"/>
          <w:b/>
          <w:color w:val="2C2C2C"/>
          <w:sz w:val="20"/>
        </w:rPr>
      </w:pPr>
      <w:r>
        <w:rPr>
          <w:rFonts w:ascii="Times New Roman;sans-serif" w:hAnsi="Times New Roman;sans-serif"/>
          <w:b/>
          <w:color w:val="2C2C2C"/>
          <w:sz w:val="20"/>
        </w:rPr>
        <w:t>Equity Incentive Plan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Stock Options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2016 Plan provides for the issuance of incentive stock options to eligible employees and non-statutory stock options to eligible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three months ended April 30, 2024.</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the three months ended April 30, 2024 (in thousands, except share and per share data and years):</w:t>
      </w:r>
    </w:p>
    <w:tbl>
      <w:tblPr>
        <w:tblW w:w="9865" w:type="dxa"/>
        <w:jc w:val="left"/>
        <w:tblInd w:w="0" w:type="dxa"/>
        <w:tblLayout w:type="fixed"/>
        <w:tblCellMar>
          <w:top w:w="28" w:type="dxa"/>
          <w:left w:w="28" w:type="dxa"/>
          <w:bottom w:w="28" w:type="dxa"/>
          <w:right w:w="28" w:type="dxa"/>
        </w:tblCellMar>
      </w:tblPr>
      <w:tblGrid>
        <w:gridCol w:w="1278"/>
        <w:gridCol w:w="1122"/>
        <w:gridCol w:w="1124"/>
        <w:gridCol w:w="449"/>
        <w:gridCol w:w="451"/>
        <w:gridCol w:w="196"/>
        <w:gridCol w:w="109"/>
        <w:gridCol w:w="109"/>
        <w:gridCol w:w="109"/>
        <w:gridCol w:w="384"/>
        <w:gridCol w:w="931"/>
        <w:gridCol w:w="199"/>
        <w:gridCol w:w="109"/>
        <w:gridCol w:w="109"/>
        <w:gridCol w:w="109"/>
        <w:gridCol w:w="519"/>
        <w:gridCol w:w="519"/>
        <w:gridCol w:w="521"/>
        <w:gridCol w:w="109"/>
        <w:gridCol w:w="109"/>
        <w:gridCol w:w="109"/>
        <w:gridCol w:w="211"/>
        <w:gridCol w:w="82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 xml:space="preserve">Exercise </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 xml:space="preserve">Remaining </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Value</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2024</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forfeited and expired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 April 30,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 January 31, 2024</w:t>
            </w:r>
          </w:p>
        </w:tc>
        <w:tc>
          <w:tcPr>
            <w:tcW w:w="9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 April 30, 2024</w:t>
            </w:r>
          </w:p>
        </w:tc>
        <w:tc>
          <w:tcPr>
            <w:tcW w:w="9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703,006 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Restricted Stock Units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2016 Plan provides for the issuance of RSUs to eligible employees, directors and consultants. RSUs granted to new employees generally vest over a period of four years with 25% vesting on the one-year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for the three months ended April 30, 2024:</w:t>
      </w:r>
    </w:p>
    <w:tbl>
      <w:tblPr>
        <w:tblW w:w="7812" w:type="dxa"/>
        <w:jc w:val="left"/>
        <w:tblInd w:w="0" w:type="dxa"/>
        <w:tblLayout w:type="fixed"/>
        <w:tblCellMar>
          <w:top w:w="28" w:type="dxa"/>
          <w:left w:w="28" w:type="dxa"/>
          <w:bottom w:w="28" w:type="dxa"/>
          <w:right w:w="28" w:type="dxa"/>
        </w:tblCellMar>
      </w:tblPr>
      <w:tblGrid>
        <w:gridCol w:w="880"/>
        <w:gridCol w:w="773"/>
        <w:gridCol w:w="776"/>
        <w:gridCol w:w="488"/>
        <w:gridCol w:w="488"/>
        <w:gridCol w:w="196"/>
        <w:gridCol w:w="109"/>
        <w:gridCol w:w="109"/>
        <w:gridCol w:w="109"/>
        <w:gridCol w:w="753"/>
        <w:gridCol w:w="2578"/>
        <w:gridCol w:w="553"/>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RSU</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3,566,406 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290.59 </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353.42 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274.70 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and canceled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295.72 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Unvested - April 30, 2024</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4,004,275 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308.32 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2C2C2C"/>
          <w:sz w:val="20"/>
        </w:rPr>
      </w:pPr>
      <w:r>
        <w:rPr>
          <w:rFonts w:ascii="Times New Roman;sans-serif" w:hAnsi="Times New Roman;sans-serif"/>
          <w:b/>
          <w:color w:val="2C2C2C"/>
          <w:sz w:val="20"/>
        </w:rPr>
        <w:t>2017 Employee Stock Purchase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The Company’s current offering period began on December 15, 2023 and is expected to end June 14,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color w:val="2C2C2C"/>
          <w:sz w:val="20"/>
        </w:rPr>
      </w:pPr>
      <w:r>
        <w:rPr>
          <w:rFonts w:ascii="Times New Roman;sans-serif" w:hAnsi="Times New Roman;sans-serif"/>
          <w:b/>
          <w:color w:val="2C2C2C"/>
          <w:sz w:val="20"/>
        </w:rPr>
        <w:t>Stock-Based Compensation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Company’s interim condensed consolidated statements of operations is as follows (in thousands):</w:t>
      </w:r>
    </w:p>
    <w:tbl>
      <w:tblPr>
        <w:tblW w:w="7525" w:type="dxa"/>
        <w:jc w:val="left"/>
        <w:tblInd w:w="0" w:type="dxa"/>
        <w:tblLayout w:type="fixed"/>
        <w:tblCellMar>
          <w:top w:w="28" w:type="dxa"/>
          <w:left w:w="28" w:type="dxa"/>
          <w:bottom w:w="28" w:type="dxa"/>
          <w:right w:w="28" w:type="dxa"/>
        </w:tblCellMar>
      </w:tblPr>
      <w:tblGrid>
        <w:gridCol w:w="1266"/>
        <w:gridCol w:w="1111"/>
        <w:gridCol w:w="1118"/>
        <w:gridCol w:w="109"/>
        <w:gridCol w:w="109"/>
        <w:gridCol w:w="183"/>
        <w:gridCol w:w="183"/>
        <w:gridCol w:w="355"/>
        <w:gridCol w:w="1390"/>
        <w:gridCol w:w="183"/>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Net Loss Per Share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2232"/>
        <w:gridCol w:w="1963"/>
        <w:gridCol w:w="1987"/>
        <w:gridCol w:w="109"/>
        <w:gridCol w:w="109"/>
        <w:gridCol w:w="182"/>
        <w:gridCol w:w="182"/>
        <w:gridCol w:w="361"/>
        <w:gridCol w:w="1332"/>
        <w:gridCol w:w="182"/>
        <w:gridCol w:w="109"/>
        <w:gridCol w:w="109"/>
        <w:gridCol w:w="109"/>
        <w:gridCol w:w="240"/>
        <w:gridCol w:w="841"/>
        <w:gridCol w:w="158"/>
      </w:tblGrid>
      <w:tr>
        <w:trPr/>
        <w:tc>
          <w:tcPr>
            <w:tcW w:w="223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566" w:type="dxa"/>
            <w:gridSpan w:val="6"/>
            <w:tcBorders/>
          </w:tcPr>
          <w:p>
            <w:pPr>
              <w:pStyle w:val="TableContents"/>
              <w:bidi w:val="0"/>
              <w:spacing w:before="0" w:after="283"/>
              <w:jc w:val="left"/>
              <w:rPr>
                <w:sz w:val="4"/>
                <w:szCs w:val="4"/>
              </w:rPr>
            </w:pPr>
            <w:r>
              <w:rPr>
                <w:sz w:val="4"/>
                <w:szCs w:val="4"/>
              </w:rPr>
            </w:r>
          </w:p>
        </w:tc>
      </w:tr>
      <w:tr>
        <w:trPr/>
        <w:tc>
          <w:tcPr>
            <w:tcW w:w="6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to compute net loss per share,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72,990,141 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70,177,499 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pPr>
      <w:r>
        <w:rPr>
          <w:rFonts w:ascii="Times New Roman;sans-serif" w:hAnsi="Times New Roman;sans-serif"/>
          <w:b w:val="false"/>
          <w:color w:val="000000"/>
          <w:sz w:val="20"/>
        </w:rPr>
        <w:t xml:space="preserve">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refer to Note 5. </w:t>
      </w:r>
      <w:r>
        <w:rPr>
          <w:rFonts w:ascii="Times New Roman;sans-serif" w:hAnsi="Times New Roman;sans-serif"/>
          <w:b w:val="false"/>
          <w:i/>
          <w:color w:val="000000"/>
          <w:sz w:val="20"/>
        </w:rPr>
        <w:t>Convertible Senior Notes</w:t>
      </w:r>
      <w:r>
        <w:rPr>
          <w:color w:val="000000"/>
        </w:rPr>
        <w:t xml:space="preserve"> </w:t>
      </w:r>
      <w:r>
        <w:rPr>
          <w:rFonts w:ascii="Times New Roman;sans-serif" w:hAnsi="Times New Roman;sans-serif"/>
          <w:b w:val="false"/>
          <w:color w:val="000000"/>
          <w:sz w:val="20"/>
        </w:rPr>
        <w:t>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potentially dilutive shares of common stock were excluded from the computation of diluted net loss per share for the periods presented because the impact of including them would have been anti-dilutive:</w:t>
      </w:r>
    </w:p>
    <w:tbl>
      <w:tblPr>
        <w:tblW w:w="9311" w:type="dxa"/>
        <w:jc w:val="left"/>
        <w:tblInd w:w="0" w:type="dxa"/>
        <w:tblLayout w:type="fixed"/>
        <w:tblCellMar>
          <w:top w:w="28" w:type="dxa"/>
          <w:left w:w="28" w:type="dxa"/>
          <w:bottom w:w="28" w:type="dxa"/>
          <w:right w:w="28" w:type="dxa"/>
        </w:tblCellMar>
      </w:tblPr>
      <w:tblGrid>
        <w:gridCol w:w="1776"/>
        <w:gridCol w:w="1561"/>
        <w:gridCol w:w="1567"/>
        <w:gridCol w:w="109"/>
        <w:gridCol w:w="109"/>
        <w:gridCol w:w="109"/>
        <w:gridCol w:w="458"/>
        <w:gridCol w:w="458"/>
        <w:gridCol w:w="599"/>
        <w:gridCol w:w="482"/>
        <w:gridCol w:w="462"/>
        <w:gridCol w:w="109"/>
        <w:gridCol w:w="109"/>
        <w:gridCol w:w="109"/>
        <w:gridCol w:w="540"/>
        <w:gridCol w:w="541"/>
        <w:gridCol w:w="213"/>
      </w:tblGrid>
      <w:tr>
        <w:trPr/>
        <w:tc>
          <w:tcPr>
            <w:tcW w:w="17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621" w:type="dxa"/>
            <w:gridSpan w:val="6"/>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pursuant to the 2016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350,634 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504,452 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pursuant to the 2008 Stock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395,055 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1,152,990 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3,833,040 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4,054,925 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executive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201,457 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the conversion option of the 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5,445,002 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5,445,002 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10,225,188 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11,331,488 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provision for income taxes of $2.6 million and $2.5 million for the three months ended April 30, 2024 and 2023, respectively. The provisions recorded during both the three months ended April 30, 2024 and 2023 were driven by the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 assesses uncertain tax positions in accordance with ASC 740-10, </w:t>
      </w:r>
      <w:r>
        <w:rPr>
          <w:rFonts w:ascii="Times New Roman;sans-serif" w:hAnsi="Times New Roman;sans-serif"/>
          <w:b w:val="false"/>
          <w:i/>
          <w:color w:val="000000"/>
          <w:sz w:val="20"/>
        </w:rPr>
        <w:t>Accounting for Uncertainties in Tax</w:t>
      </w:r>
      <w:r>
        <w:rPr>
          <w:rFonts w:ascii="Times New Roman;sans-serif" w:hAnsi="Times New Roman;sans-serif"/>
          <w:b w:val="false"/>
          <w:color w:val="000000"/>
          <w:sz w:val="20"/>
        </w:rPr>
        <w:t>. As of January 31, 2024, the Company’s net unrecognized tax benefits totaled $81.6 million, $0.7 million of which would have an impact on the Company’s effective tax rate if recognized.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for Economic Cooperation and Development (“OECD”) published Pillar Two Model Rules defining a global minimum tax, which calls for the taxation of large corporations at a minimum rate of 15%. The OECD has since issued administrative guidance providing transition and safe harbor rules around the implementation of the Pillar Two global minimum tax. Effective in the first quarter of the Company’s fiscal year ending January 31, 2025, a number of countries have proposed or enacted legislation to implement core elements of the Pillar Two proposal. Pillar Two did not have a significant impact on the Company’s condensed consolidated financial statements for the three months ended April 30, 2024. While the Company is monitoring developments and evaluating the potential impact on future periods, the Company does not expect Pillar Two to have a significant impact on its consolidated financial statements for the fiscal year ending January 31, 2025.</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2024 (the “2024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This Quarterly Report on Form 10-Q contains “forward-looking statements” within the meaning of Section 27A of the </w:t>
      </w:r>
      <w:r>
        <w:rPr>
          <w:rFonts w:ascii="Times New Roman;sans-serif" w:hAnsi="Times New Roman;sans-serif"/>
          <w:b w:val="false"/>
          <w:color w:val="000000"/>
          <w:sz w:val="20"/>
          <w:shd w:fill="FFFFFF" w:val="clear"/>
        </w:rPr>
        <w:t>Securities Act of 1933, as amended (the “Securities Act”),</w:t>
      </w:r>
      <w:r>
        <w:rPr>
          <w:color w:val="000000"/>
        </w:rPr>
        <w:t xml:space="preserve"> </w:t>
      </w:r>
      <w:r>
        <w:rPr>
          <w:rFonts w:ascii="Times New Roman;sans-serif" w:hAnsi="Times New Roman;sans-serif"/>
          <w:b w:val="false"/>
          <w:color w:val="000000"/>
          <w:sz w:val="20"/>
        </w:rPr>
        <w:t>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Our corporate website is located at </w:t>
      </w:r>
      <w:r>
        <w:rPr>
          <w:rFonts w:ascii="Times New Roman;sans-serif" w:hAnsi="Times New Roman;sans-serif"/>
          <w:b w:val="false"/>
          <w:i/>
          <w:color w:val="000000"/>
          <w:sz w:val="20"/>
        </w:rPr>
        <w:t>www.mongodb.com</w:t>
      </w:r>
      <w:r>
        <w:rPr>
          <w:rFonts w:ascii="Times New Roman;sans-serif" w:hAnsi="Times New Roman;sans-serif"/>
          <w:b w:val="false"/>
          <w:color w:val="000000"/>
          <w:sz w:val="20"/>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5,213 as of April 30, 2024, from 4,527 as of April 30, 2023.</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We generate revenue primarily from sales of subscriptions, which accounted for 97% and 96% of our total revenue for the</w:t>
      </w:r>
      <w:r>
        <w:rPr>
          <w:color w:val="000000"/>
        </w:rPr>
        <w:t xml:space="preserve"> </w:t>
      </w:r>
      <w:r>
        <w:rPr>
          <w:rFonts w:ascii="Times New Roman;sans-serif" w:hAnsi="Times New Roman;sans-serif"/>
          <w:b w:val="false"/>
          <w:color w:val="000000"/>
          <w:sz w:val="20"/>
        </w:rPr>
        <w:t>three months ended April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MongoD</w:t>
      </w:r>
      <w:r>
        <w:rPr>
          <w:rFonts w:ascii="Times New Roman;sans-serif" w:hAnsi="Times New Roman;sans-serif"/>
          <w:b w:val="false"/>
          <w:color w:val="000000"/>
          <w:sz w:val="20"/>
        </w:rPr>
        <w:t>B Atlas is our hosted multi-cloud database-as-a-service (“DBaaS”) offering, which we run and manage in the cloud, and includes comprehensive infrastructure and management, as well as a host of additional features, such as MongoDB Atlas Search, vector search, time series and application-driven analytics. During the three months ended April 30, 2024, MongoDB Atlas revenue represented 70%, as compared to 65% of our total revenue during the three months ended April 30, 2023,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MongoDB Enterprise Advanced is our proprietary commercial database server offering for enterprise customers that can run in the cloud, on-premises or in a hybrid environment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MongoDB Enterprise Advanced revenue represented 25% and 28% of our subscription revenue for the three months ended April 30, 2024 and 2023,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Many of our enterprise customers initially get to know our software by using Community Server, which is our free-to-download version of our database that includes the core functionality developers need to get started with MongoDB without all the features of our commercial platform. </w:t>
      </w:r>
      <w:r>
        <w:rPr>
          <w:rFonts w:ascii="Times New Roman;sans-serif" w:hAnsi="Times New Roman;sans-serif"/>
          <w:b w:val="false"/>
          <w:color w:val="000000"/>
          <w:sz w:val="20"/>
          <w:shd w:fill="FFFFFF" w:val="clear"/>
        </w:rPr>
        <w:t xml:space="preserve">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w:t>
      </w:r>
      <w:r>
        <w:rPr>
          <w:rFonts w:ascii="Times New Roman;sans-serif" w:hAnsi="Times New Roman;sans-serif"/>
          <w:b w:val="false"/>
          <w:color w:val="000000"/>
          <w:sz w:val="20"/>
        </w:rPr>
        <w:t>As a result, with the availability of both Community Server and MongoDB Atlas free tier offerings, our direct sales prospects are often familiar with our platform and may have already built applications using our technology. A core component of our growth strategy</w:t>
      </w:r>
      <w:r>
        <w:rPr>
          <w:color w:val="000000"/>
          <w:shd w:fill="FFFFFF" w:val="clear"/>
        </w:rPr>
        <w:t xml:space="preserve"> </w:t>
      </w:r>
      <w:r>
        <w:rPr>
          <w:rFonts w:ascii="Times New Roman;sans-serif" w:hAnsi="Times New Roman;sans-serif"/>
          <w:b w:val="false"/>
          <w:color w:val="000000"/>
          <w:sz w:val="20"/>
          <w:shd w:fill="FFFFFF" w:val="clear"/>
        </w:rPr>
        <w:t>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We also generate revenue from services, which consist primarily of fees associated with consulting and training services. Revenue from services accoun</w:t>
      </w:r>
      <w:r>
        <w:rPr>
          <w:rFonts w:ascii="Times New Roman;sans-serif" w:hAnsi="Times New Roman;sans-serif"/>
          <w:b w:val="false"/>
          <w:color w:val="000000"/>
          <w:sz w:val="20"/>
          <w:shd w:fill="FFFFFF" w:val="clear"/>
        </w:rPr>
        <w:t xml:space="preserve">ted for 3% and </w:t>
      </w:r>
      <w:r>
        <w:rPr>
          <w:rFonts w:ascii="Times New Roman;sans-serif" w:hAnsi="Times New Roman;sans-serif"/>
          <w:b w:val="false"/>
          <w:color w:val="000000"/>
          <w:sz w:val="20"/>
        </w:rPr>
        <w:t>4%</w:t>
      </w:r>
      <w:r>
        <w:rPr>
          <w:color w:val="000000"/>
          <w:shd w:fill="FFFFFF" w:val="clear"/>
        </w:rPr>
        <w:t xml:space="preserve"> </w:t>
      </w:r>
      <w:r>
        <w:rPr>
          <w:rFonts w:ascii="Times New Roman;sans-serif" w:hAnsi="Times New Roman;sans-serif"/>
          <w:b w:val="false"/>
          <w:color w:val="000000"/>
          <w:sz w:val="20"/>
          <w:shd w:fill="FFFFFF" w:val="clear"/>
        </w:rPr>
        <w:t xml:space="preserve">of our total revenue for the </w:t>
      </w:r>
      <w:r>
        <w:rPr>
          <w:rFonts w:ascii="Times New Roman;sans-serif" w:hAnsi="Times New Roman;sans-serif"/>
          <w:b w:val="false"/>
          <w:color w:val="000000"/>
          <w:sz w:val="20"/>
        </w:rPr>
        <w:t>three months ended April 30, 2024 and 2023 respectively</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We expect to continue to invest in our services organization as we believe it plays an important role in accelerating our customers’ realization of the benefits of our platform, which helps drive customer retention and expansion.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market for our offerings is large and growing. According to IDC, the worldwide database software market, which it refers to as the database management software market, was $93 billion in 2023 growing to approximately $170 billion in 2028. This represents a 13% compound annual growth 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and have made substantial investments in developing our platform and expanding our sales and marketing footprint. We intend to continue to invest to grow our business to take advantage of our market opportunity.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Macroeconomic and Other Factors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operational and financial performance is subject to risks including those caused by the adverse macroeconomic environment and the geopolitical landscape.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Adverse macroeconomic conditions include slower or negative economic growth, higher inflation and higher interest rates. During the three months ended April 30, 2024,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monitor the developments of the macroeconomic environment and the geopolitical landscape. As these factors develop and we evaluate their impact on our business, we may adjust our business practices accordingly. For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discussion of the potential impacts of these and other factors on our business, operating results, and financial condition, see the section titled “Risk Factors” included in Part II, Item 1A of this Quarterly Report on Form 10-Q.</w:t>
      </w:r>
    </w:p>
    <w:p>
      <w:pPr>
        <w:pStyle w:val="TextBody"/>
        <w:bidi w:val="0"/>
        <w:spacing w:lineRule="auto" w:line="288" w:before="0" w:after="180"/>
        <w:jc w:val="left"/>
        <w:rPr>
          <w:rFonts w:ascii="Times New Roman;sans-serif" w:hAnsi="Times New Roman;sans-serif"/>
          <w:b w:val="false"/>
          <w:i/>
          <w:color w:val="2C2C2C"/>
          <w:sz w:val="20"/>
          <w:shd w:fill="FFFFFF" w:val="clear"/>
        </w:rPr>
      </w:pPr>
      <w:r>
        <w:rPr>
          <w:rFonts w:ascii="Times New Roman;sans-serif" w:hAnsi="Times New Roman;sans-serif"/>
          <w:b w:val="false"/>
          <w:i/>
          <w:color w:val="2C2C2C"/>
          <w:sz w:val="20"/>
          <w:shd w:fill="FFFFFF" w:val="clear"/>
        </w:rPr>
        <w:t>Growing Our Customer Base and Expanding Our Global Reach</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We are intensely focused on continuing to grow our customer base. We have invested, and expect to continue to invest, in our sales and marketi</w:t>
      </w:r>
      <w:r>
        <w:rPr>
          <w:rFonts w:ascii="Times New Roman;sans-serif" w:hAnsi="Times New Roman;sans-serif"/>
          <w:b w:val="false"/>
          <w:color w:val="000000"/>
          <w:sz w:val="20"/>
        </w:rPr>
        <w:t>ng efforts and developer community outreach, which are critical to driving customer acquisition. As of April 30, 2024, we had over 49,200 customers across a wide range of industries and in over 100 countries, compared to over 43,100 customers as of April 30, 2023. All affiliated entities are counted as a single customer and our definition of “customer” excludes users of our free offerings.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As of April 30, 2024, we had over 7,100 customers that were sold through our direct sales force and channel partners, as compared to over 6,700 such customers as of April 30, 2023. These customers, which we refer to as our Direct Sales Customers, accounted for 87% of our subscription revenue for the three months ended April 30, 2024</w:t>
      </w:r>
      <w:r>
        <w:rPr>
          <w:color w:val="000000"/>
          <w:shd w:fill="FFFFFF" w:val="clear"/>
        </w:rPr>
        <w:t xml:space="preserve"> </w:t>
      </w:r>
      <w:r>
        <w:rPr>
          <w:rFonts w:ascii="Times New Roman;sans-serif" w:hAnsi="Times New Roman;sans-serif"/>
          <w:b w:val="false"/>
          <w:color w:val="000000"/>
          <w:sz w:val="20"/>
        </w:rPr>
        <w:t xml:space="preserve">and 88% </w:t>
      </w:r>
      <w:r>
        <w:rPr>
          <w:rFonts w:ascii="Times New Roman;sans-serif" w:hAnsi="Times New Roman;sans-serif"/>
          <w:b w:val="false"/>
          <w:color w:val="000000"/>
          <w:sz w:val="20"/>
          <w:shd w:fill="FFFFFF" w:val="clear"/>
        </w:rPr>
        <w:t xml:space="preserve">of our subscription revenue for the </w:t>
      </w:r>
      <w:r>
        <w:rPr>
          <w:rFonts w:ascii="Times New Roman;sans-serif" w:hAnsi="Times New Roman;sans-serif"/>
          <w:b w:val="false"/>
          <w:color w:val="000000"/>
          <w:sz w:val="20"/>
        </w:rPr>
        <w:t>three months ended April 30, 2023. We plan to continue to invest in acquiring new customers and additional workloads from existing customers across all of our channels. We had over 47,700 Mo</w:t>
      </w:r>
      <w:r>
        <w:rPr>
          <w:rFonts w:ascii="Times New Roman;sans-serif" w:hAnsi="Times New Roman;sans-serif"/>
          <w:b w:val="false"/>
          <w:color w:val="000000"/>
          <w:sz w:val="20"/>
          <w:shd w:fill="FFFFFF" w:val="clear"/>
        </w:rPr>
        <w:t xml:space="preserve">ngoDB Atlas customers as of </w:t>
      </w:r>
      <w:r>
        <w:rPr>
          <w:rFonts w:ascii="Times New Roman;sans-serif" w:hAnsi="Times New Roman;sans-serif"/>
          <w:b w:val="false"/>
          <w:color w:val="000000"/>
          <w:sz w:val="20"/>
        </w:rPr>
        <w:t>April 30, 2024 compared to over 41,600 as of April 30, 2023</w:t>
      </w:r>
      <w:r>
        <w:rPr>
          <w:rFonts w:ascii="Times New Roman;sans-serif" w:hAnsi="Times New Roman;sans-serif"/>
          <w:b w:val="false"/>
          <w:color w:val="000000"/>
          <w:sz w:val="20"/>
          <w:shd w:fill="FFFFFF" w:val="clear"/>
        </w:rPr>
        <w:t>. The growth in MongoDB Atlas customers included new customers to MongoDB and existing MongoDB Enterprise Advanced customers adding incremental MongoDB Atlas workloads.</w:t>
      </w:r>
    </w:p>
    <w:p>
      <w:pPr>
        <w:pStyle w:val="TextBody"/>
        <w:bidi w:val="0"/>
        <w:spacing w:lineRule="auto" w:line="288" w:before="0" w:after="180"/>
        <w:jc w:val="left"/>
        <w:rPr>
          <w:rFonts w:ascii="Times New Roman;sans-serif" w:hAnsi="Times New Roman;sans-serif"/>
          <w:b w:val="false"/>
          <w:i/>
          <w:color w:val="2C2C2C"/>
          <w:sz w:val="20"/>
          <w:shd w:fill="FFFFFF" w:val="clear"/>
        </w:rPr>
      </w:pPr>
      <w:r>
        <w:rPr>
          <w:rFonts w:ascii="Times New Roman;sans-serif" w:hAnsi="Times New Roman;sans-serif"/>
          <w:b w:val="false"/>
          <w:i/>
          <w:color w:val="2C2C2C"/>
          <w:sz w:val="20"/>
          <w:shd w:fill="FFFFFF" w:val="clear"/>
        </w:rPr>
        <w:t>Retaining and Expanding Revenue from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months ended April 30, 2024,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2,137 and 1,761 as of April 30,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pStyle w:val="TextBody"/>
        <w:bidi w:val="0"/>
        <w:spacing w:before="8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Our subscription revenue is comprised of term licenses and hosted as-a-service solutions. Revenue from our MongoDB Atlas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Services Revenue.</w:t>
      </w:r>
      <w:r>
        <w:rPr>
          <w:color w:val="000000"/>
        </w:rPr>
        <w:t xml:space="preserve"> </w:t>
      </w:r>
      <w:r>
        <w:rPr>
          <w:rFonts w:ascii="Times New Roman;sans-serif" w:hAnsi="Times New Roman;sans-serif"/>
          <w:b w:val="false"/>
          <w:color w:val="000000"/>
          <w:sz w:val="20"/>
        </w:rPr>
        <w:t>Services revenue is comprised of consulting and training services and is recognized over the period of delivery of the applicable services. We recognize revenue from services agreements as services are delivered.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 of Revenue</w:t>
      </w:r>
    </w:p>
    <w:p>
      <w:pPr>
        <w:pStyle w:val="TextBody"/>
        <w:bidi w:val="0"/>
        <w:spacing w:lineRule="auto" w:line="268" w:before="0" w:after="0"/>
        <w:ind w:left="0" w:right="0" w:firstLine="540"/>
        <w:jc w:val="left"/>
        <w:rPr/>
      </w:pPr>
      <w:r>
        <w:rPr>
          <w:rFonts w:ascii="Times New Roman;sans-serif" w:hAnsi="Times New Roman;sans-serif"/>
          <w:b w:val="false"/>
          <w:i/>
          <w:color w:val="000000"/>
          <w:sz w:val="20"/>
        </w:rPr>
        <w:t>Cost of Subscription Revenue.</w:t>
      </w:r>
      <w:r>
        <w:rPr>
          <w:color w:val="000000"/>
        </w:rPr>
        <w:t xml:space="preserve"> </w:t>
      </w:r>
      <w:r>
        <w:rPr>
          <w:rFonts w:ascii="Times New Roman;sans-serif" w:hAnsi="Times New Roman;sans-serif"/>
          <w:b w:val="false"/>
          <w:color w:val="000000"/>
          <w:sz w:val="20"/>
        </w:rPr>
        <w:t>Cost of subscription revenue primarily includes third-party cloud infrastructure expenses for our hosted as-a-service 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pStyle w:val="TextBody"/>
        <w:bidi w:val="0"/>
        <w:spacing w:before="0" w:after="0"/>
        <w:jc w:val="left"/>
        <w:rPr/>
      </w:pPr>
      <w:r>
        <w:rPr/>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Cost of Services Revenue. </w:t>
      </w:r>
      <w:r>
        <w:rPr>
          <w:rFonts w:ascii="Times New Roman;sans-serif" w:hAnsi="Times New Roman;sans-serif"/>
          <w:b w:val="false"/>
          <w:color w:val="000000"/>
          <w:sz w:val="20"/>
        </w:rPr>
        <w:t>Cost of services revenue primarily includes personnel costs, including salaries, bonuses and benefits, and stock</w:t>
        <w:noBreakHyphen/>
        <w:t>based 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Gross Profit and Gross Margin</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represents revenue less cost of 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or gross profit as a percentage of revenue, has been and will continue to be affected by a 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Operating Expenses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 consists primarily of personnel costs, including salaries, sales commission and benefits, bonuses and stock</w:t>
        <w:noBreakHyphen/>
        <w:t>based compensation. These expenses also include costs related to marketing programs, travel</w:t>
        <w:noBreakHyphen/>
        <w:t>related expenses and allocated overhead. Marketing programs consist of advertising, events, corporate communications, and brand</w:t>
        <w:noBreakHyphen/>
        <w:t>building and developer</w:t>
        <w:noBreakHyphen/>
        <w:t>community activities. We expect our sales and marketing expense to increase in absolute dollars over time as we expand our sales force and increase our marketing resources, expand into new markets and further develop our self-serve and partner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 consists primarily of personnel costs, including salaries, bonuses and benefits, and stock</w:t>
        <w:noBreakHyphen/>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 consists primarily of personnel costs, including salaries, bonuses and benefits, and stock</w:t>
        <w:noBreakHyphen/>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pStyle w:val="TextBody"/>
        <w:bidi w:val="0"/>
        <w:spacing w:lineRule="auto" w:line="288" w:before="0" w:after="18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interest income, interest expense, gains and losses on financial instruments and gains and losses from foreign currency transactions.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Provision for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state income taxes in the United States and income taxes in certain foreign jurisdictions in which we conduct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Three Months Ended April 30, 2024 Summary</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April 30, 2024</w:t>
      </w:r>
      <w:r>
        <w:rPr>
          <w:rFonts w:ascii="Times New Roman;sans-serif" w:hAnsi="Times New Roman;sans-serif"/>
          <w:b w:val="false"/>
          <w:color w:val="000000"/>
          <w:sz w:val="20"/>
          <w:shd w:fill="FFFFFF" w:val="clear"/>
        </w:rPr>
        <w:t xml:space="preserve">, our total revenue increased to </w:t>
      </w:r>
      <w:r>
        <w:rPr>
          <w:rFonts w:ascii="Times New Roman;sans-serif" w:hAnsi="Times New Roman;sans-serif"/>
          <w:b w:val="false"/>
          <w:color w:val="000000"/>
          <w:sz w:val="20"/>
        </w:rPr>
        <w:t>$450.6 million</w:t>
      </w:r>
      <w:r>
        <w:rPr>
          <w:color w:val="000000"/>
          <w:shd w:fill="FFFFFF" w:val="clear"/>
        </w:rPr>
        <w:t xml:space="preserve">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$368.3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April 30, 2023, primarily driven by an increase in subscription revenue from our Direct Sales Customers</w:t>
      </w:r>
      <w:r>
        <w:rPr>
          <w:rFonts w:ascii="Times New Roman;sans-serif" w:hAnsi="Times New Roman;sans-serif"/>
          <w:b w:val="false"/>
          <w:color w:val="000000"/>
          <w:sz w:val="20"/>
          <w:shd w:fill="FFFFFF" w:val="clear"/>
        </w:rPr>
        <w:t xml:space="preserve">. Our net loss increased to </w:t>
      </w:r>
      <w:r>
        <w:rPr>
          <w:rFonts w:ascii="Times New Roman;sans-serif" w:hAnsi="Times New Roman;sans-serif"/>
          <w:b w:val="false"/>
          <w:color w:val="000000"/>
          <w:sz w:val="20"/>
        </w:rPr>
        <w:t>$80.6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April 30, 2024</w:t>
      </w:r>
      <w:r>
        <w:rPr>
          <w:color w:val="000000"/>
          <w:shd w:fill="FFFFFF" w:val="clear"/>
        </w:rPr>
        <w:t xml:space="preserve">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$54.2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April 30, 2023, primarily driven by higher sales and marketing spend and research and development costs during the three months ended April 30, 2024, partially offset by</w:t>
      </w:r>
      <w:r>
        <w:rPr>
          <w:color w:val="000000"/>
          <w:shd w:fill="FFFFFF" w:val="clear"/>
        </w:rPr>
        <w:t xml:space="preserve"> </w:t>
      </w:r>
      <w:r>
        <w:rPr>
          <w:rFonts w:ascii="Times New Roman;sans-serif" w:hAnsi="Times New Roman;sans-serif"/>
          <w:b w:val="false"/>
          <w:color w:val="000000"/>
          <w:sz w:val="20"/>
        </w:rPr>
        <w:t>the increase in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cash flow was $63.6 million and $53.7 million for the three months ended April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in U.S. dollars (unaudited, in thousands) and as a percentage of our total revenue. Percentage of revenue figures are rounded and therefore may not subtotal exactly.</w:t>
      </w:r>
    </w:p>
    <w:tbl>
      <w:tblPr>
        <w:tblW w:w="7930" w:type="dxa"/>
        <w:jc w:val="left"/>
        <w:tblInd w:w="0" w:type="dxa"/>
        <w:tblLayout w:type="fixed"/>
        <w:tblCellMar>
          <w:top w:w="28" w:type="dxa"/>
          <w:left w:w="28" w:type="dxa"/>
          <w:bottom w:w="28" w:type="dxa"/>
          <w:right w:w="28" w:type="dxa"/>
        </w:tblCellMar>
      </w:tblPr>
      <w:tblGrid>
        <w:gridCol w:w="1413"/>
        <w:gridCol w:w="1242"/>
        <w:gridCol w:w="1245"/>
        <w:gridCol w:w="109"/>
        <w:gridCol w:w="109"/>
        <w:gridCol w:w="183"/>
        <w:gridCol w:w="183"/>
        <w:gridCol w:w="355"/>
        <w:gridCol w:w="1390"/>
        <w:gridCol w:w="183"/>
        <w:gridCol w:w="109"/>
        <w:gridCol w:w="109"/>
        <w:gridCol w:w="109"/>
        <w:gridCol w:w="211"/>
        <w:gridCol w:w="82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ans-serif" w:hAnsi="Times New Roman;sans-serif"/>
                <w:b w:val="false"/>
                <w:color w:val="000000"/>
                <w:sz w:val="20"/>
              </w:rPr>
              <w:t>Services</w:t>
            </w:r>
            <w:r>
              <w:rPr>
                <w:rFonts w:ascii="Times New Roman;sans-serif" w:hAnsi="Times New Roman;sans-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426,050 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(80,593)</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stock</w:t>
        <w:noBreakHyphen/>
        <w:t>based compensation expense as follows (unaudited, in thousands):</w:t>
      </w:r>
    </w:p>
    <w:tbl>
      <w:tblPr>
        <w:tblW w:w="6909" w:type="dxa"/>
        <w:jc w:val="left"/>
        <w:tblInd w:w="0" w:type="dxa"/>
        <w:tblLayout w:type="fixed"/>
        <w:tblCellMar>
          <w:top w:w="28" w:type="dxa"/>
          <w:left w:w="28" w:type="dxa"/>
          <w:bottom w:w="28" w:type="dxa"/>
          <w:right w:w="28" w:type="dxa"/>
        </w:tblCellMar>
      </w:tblPr>
      <w:tblGrid>
        <w:gridCol w:w="1081"/>
        <w:gridCol w:w="950"/>
        <w:gridCol w:w="954"/>
        <w:gridCol w:w="109"/>
        <w:gridCol w:w="109"/>
        <w:gridCol w:w="198"/>
        <w:gridCol w:w="198"/>
        <w:gridCol w:w="357"/>
        <w:gridCol w:w="1342"/>
        <w:gridCol w:w="198"/>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Total stock</w:t>
              <w:noBreakHyphen/>
              <w:t xml:space="preserve">based compensation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120,763 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tbl>
      <w:tblPr>
        <w:tblW w:w="6918" w:type="dxa"/>
        <w:jc w:val="left"/>
        <w:tblInd w:w="0" w:type="dxa"/>
        <w:tblLayout w:type="fixed"/>
        <w:tblCellMar>
          <w:top w:w="28" w:type="dxa"/>
          <w:left w:w="28" w:type="dxa"/>
          <w:bottom w:w="28" w:type="dxa"/>
          <w:right w:w="28" w:type="dxa"/>
        </w:tblCellMar>
      </w:tblPr>
      <w:tblGrid>
        <w:gridCol w:w="1194"/>
        <w:gridCol w:w="1049"/>
        <w:gridCol w:w="1056"/>
        <w:gridCol w:w="109"/>
        <w:gridCol w:w="109"/>
        <w:gridCol w:w="353"/>
        <w:gridCol w:w="353"/>
        <w:gridCol w:w="353"/>
        <w:gridCol w:w="353"/>
        <w:gridCol w:w="880"/>
        <w:gridCol w:w="109"/>
        <w:gridCol w:w="109"/>
        <w:gridCol w:w="109"/>
        <w:gridCol w:w="232"/>
        <w:gridCol w:w="234"/>
        <w:gridCol w:w="316"/>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109" w:type="dxa"/>
            <w:gridSpan w:val="6"/>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Percentage of Revenue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April 30, 2024 and 2023</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w:t>
      </w:r>
    </w:p>
    <w:tbl>
      <w:tblPr>
        <w:tblW w:w="6940"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 reflects increased demand for our platform and related services. Subscription revenue increased by $82.2 million primarily due to an increase of $71.1 million from our Direct Sales Customers, inclusive of the impact from Direct Sales Customers who were self-serve customers of MongoDB Atlas in the prior-year period. The increase in services revenue was driven primarily by an increase in delivery of training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 Percentage</w:t>
      </w:r>
    </w:p>
    <w:tbl>
      <w:tblPr>
        <w:tblW w:w="7789" w:type="dxa"/>
        <w:jc w:val="left"/>
        <w:tblInd w:w="0" w:type="dxa"/>
        <w:tblLayout w:type="fixed"/>
        <w:tblCellMar>
          <w:top w:w="28" w:type="dxa"/>
          <w:left w:w="28" w:type="dxa"/>
          <w:bottom w:w="28" w:type="dxa"/>
          <w:right w:w="28" w:type="dxa"/>
        </w:tblCellMar>
      </w:tblPr>
      <w:tblGrid>
        <w:gridCol w:w="895"/>
        <w:gridCol w:w="787"/>
        <w:gridCol w:w="792"/>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cost of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subscription cost of revenue was primarily due to a $16.7 million increase in third</w:t>
        <w:noBreakHyphen/>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$3.9 million increase in personnel costs and stock-based compensation associated with increased headcount in our support organization. The increase in services cost of revenue was primarily due to a $1.2 million increase in personnel costs and stock-based compensation, associated with increased headcount in our services organization, and a $0.7 million increase in third-party consultant costs related to the delivery of consulting and training services. Total headcount in our support and services organizations increased 13% from April 30, 2023 to April 30, 2024.</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gross margin declined slightly to 73%. Our subscription gross margin declined to 77% due to an increase in subscription revenue from MongoDB Atlas as a percentage of our total revenue. Services gross margin declined due to the impact of higher services personnel costs and stock-based compensation.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Sales and Marketing</w:t>
      </w:r>
    </w:p>
    <w:tbl>
      <w:tblPr>
        <w:tblW w:w="6940"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sales and marketing expense was driven by a $13.1 million increase in costs associated with certain in-person events, a $11.8 million increase in personnel costs and stock-based compensation expense, a $6.0 million increase in marketing programs and a $4.8 million increase in commission expense. Our sales and marketing headcount was 2,470 as of April 30, 2024, compared to 2,157 as of April 30, 2023.</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Research and Development</w:t>
      </w:r>
    </w:p>
    <w:tbl>
      <w:tblPr>
        <w:tblW w:w="7346" w:type="dxa"/>
        <w:jc w:val="left"/>
        <w:tblInd w:w="0" w:type="dxa"/>
        <w:tblLayout w:type="fixed"/>
        <w:tblCellMar>
          <w:top w:w="28" w:type="dxa"/>
          <w:left w:w="28" w:type="dxa"/>
          <w:bottom w:w="28" w:type="dxa"/>
          <w:right w:w="28" w:type="dxa"/>
        </w:tblCellMar>
      </w:tblPr>
      <w:tblGrid>
        <w:gridCol w:w="852"/>
        <w:gridCol w:w="749"/>
        <w:gridCol w:w="75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 was primarily driven by a $22.1 million increase in personnel costs and stock-based compensation as we grew our research and development headcount by 19%. In addition, research and development costs increased $4.4 million due to higher third-party infrastructure expenses related to development costs of our MongoDB Atlas offering.</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General and Administrative</w:t>
      </w:r>
    </w:p>
    <w:tbl>
      <w:tblPr>
        <w:tblW w:w="7136" w:type="dxa"/>
        <w:jc w:val="left"/>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 was due to higher costs to support the growth of our business. In particular, these higher costs were driven by an increase in general and administrative personnel headcount resulting in $8.5 million higher personnel costs and stock-based compensation. General and administrative expense also increased $8.1 million due to value-added tax expense related to our operations in certain non-US jurisdictions. In addition, general and administrative expenses increased due to higher professional fees and higher software costs.</w:t>
      </w:r>
    </w:p>
    <w:p>
      <w:pPr>
        <w:pStyle w:val="TextBody"/>
        <w:bidi w:val="0"/>
        <w:spacing w:lineRule="auto" w:line="288" w:before="0" w:after="2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Other Income, Net</w:t>
      </w:r>
    </w:p>
    <w:tbl>
      <w:tblPr>
        <w:tblW w:w="6625" w:type="dxa"/>
        <w:jc w:val="left"/>
        <w:tblInd w:w="0" w:type="dxa"/>
        <w:tblLayout w:type="fixed"/>
        <w:tblCellMar>
          <w:top w:w="28" w:type="dxa"/>
          <w:left w:w="28" w:type="dxa"/>
          <w:bottom w:w="28" w:type="dxa"/>
          <w:right w:w="28" w:type="dxa"/>
        </w:tblCellMar>
      </w:tblPr>
      <w:tblGrid>
        <w:gridCol w:w="705"/>
        <w:gridCol w:w="620"/>
        <w:gridCol w:w="62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three months ended April 30, 2024 improved primarily due to higher interest income from our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bl>
      <w:tblPr>
        <w:tblW w:w="6522" w:type="dxa"/>
        <w:jc w:val="left"/>
        <w:tblInd w:w="0" w:type="dxa"/>
        <w:tblLayout w:type="fixed"/>
        <w:tblCellMar>
          <w:top w:w="28" w:type="dxa"/>
          <w:left w:w="28" w:type="dxa"/>
          <w:bottom w:w="28" w:type="dxa"/>
          <w:right w:w="28" w:type="dxa"/>
        </w:tblCellMar>
      </w:tblPr>
      <w:tblGrid>
        <w:gridCol w:w="841"/>
        <w:gridCol w:w="739"/>
        <w:gridCol w:w="744"/>
        <w:gridCol w:w="220"/>
        <w:gridCol w:w="643"/>
        <w:gridCol w:w="113"/>
        <w:gridCol w:w="113"/>
        <w:gridCol w:w="113"/>
        <w:gridCol w:w="113"/>
        <w:gridCol w:w="220"/>
        <w:gridCol w:w="643"/>
        <w:gridCol w:w="113"/>
        <w:gridCol w:w="109"/>
        <w:gridCol w:w="109"/>
        <w:gridCol w:w="109"/>
        <w:gridCol w:w="211"/>
        <w:gridCol w:w="361"/>
        <w:gridCol w:w="109"/>
        <w:gridCol w:w="109"/>
        <w:gridCol w:w="109"/>
        <w:gridCol w:w="109"/>
        <w:gridCol w:w="128"/>
        <w:gridCol w:w="12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during the three months ended April 30, 2024 and 2023 was primarily due to foreign taxes as we continue our global expansion.</w:t>
      </w:r>
    </w:p>
    <w:p>
      <w:pPr>
        <w:pStyle w:val="TextBody"/>
        <w:bidi w:val="0"/>
        <w:spacing w:before="80" w:after="18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2024, our principal sources of liquidity were cash, cash equivalents, short-term investments and restricted cash totaling $2.1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2024, the Company elected to cash settle its Capped Calls associated with the 2024 Notes. As of April 30, 2024, the fair value of the derivative asset related to the Capped Calls associated with the 2024 Notes was $170.2 million and is included in prepaid expenses and other current assets on our condensed consolidated balance sheet. We expect the settlement to be completed in June 2024.</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generated significant operating losses and negative cash flows from operations as reflected in our accumulated deficit and historical consolidated statements of cash flows. As of April 30, 2024, we had an accumulated deficit of $1.8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and recent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(unaudited, in thousands):</w:t>
      </w:r>
    </w:p>
    <w:tbl>
      <w:tblPr>
        <w:tblW w:w="6714" w:type="dxa"/>
        <w:jc w:val="left"/>
        <w:tblInd w:w="0" w:type="dxa"/>
        <w:tblLayout w:type="fixed"/>
        <w:tblCellMar>
          <w:top w:w="28" w:type="dxa"/>
          <w:left w:w="28" w:type="dxa"/>
          <w:bottom w:w="28" w:type="dxa"/>
          <w:right w:w="28" w:type="dxa"/>
        </w:tblCellMar>
      </w:tblPr>
      <w:tblGrid>
        <w:gridCol w:w="1541"/>
        <w:gridCol w:w="1357"/>
        <w:gridCol w:w="1362"/>
        <w:gridCol w:w="211"/>
        <w:gridCol w:w="721"/>
        <w:gridCol w:w="109"/>
        <w:gridCol w:w="109"/>
        <w:gridCol w:w="109"/>
        <w:gridCol w:w="109"/>
        <w:gridCol w:w="211"/>
        <w:gridCol w:w="72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investing activities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financing activities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Operating Activities</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three months ended April 30, 2024 was $63.6 million, driven primarily by an increase in our cash collections reflecting overall growth of our sales and expansion of our customer base. Accordingly, our accounts receivable decreased by $59.3 million. In addition, our net loss of $80.6 million, includes non</w:t>
        <w:noBreakHyphen/>
        <w:t>cash charges of $120.8 million for stock</w:t>
        <w:noBreakHyphen/>
        <w:t xml:space="preserve">based compensation and $4.8 million for depreciation and amortization. Our accrued liabilities increased by $6.5 million reflecting our increase in expenses and timing of payments and other net non-cash charges increased cash from operating activities by $2.8 million. Partially offsetting these benefits to our operating cash flow were a decrease in deferred revenue of $37.4 million, amortization of premium and accretion of discount on short-term investments, net of $7.8 million, and an increase in deferred commissions of $4.8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three months ended April 30, 2023 was $53.7 million, driven primarily by an increase in our cash collections reflecting overall growth of our sales and expansion of our customer base. Accordingly, our accounts receivable decreased by $73.4 million. In addition, our net loss of $54.2 million, includes non</w:t>
        <w:noBreakHyphen/>
        <w:t>cash charges of $104.0 million for stock</w:t>
        <w:noBreakHyphen/>
        <w:t>based compensation and $4.4 million for depreciation and amortization. Partially offsetting these benefits to our operating cash flow were a decrease of $12.6 million in accrued liabilities, reflecting lower expenses and timing of payments, and a decrease in deferred revenue of $47.3 million.</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Investing Activities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the three months ended April 30, 2024 was $48.1 million, due to purchases of marketable securities, net of maturities, of $47.6 million, and cash used for purchases of property and equipment of $0.5 million.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three months ended April 30, 2023 was $211.3 million, primarily due to maturities of marketable securities, net of purchases, of $213.2 million and $1.3 million of additional investment in non-marketable securities.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Financing Activities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during the three months ended April 30, 2024 was $1.1 million, due to principal repayments of finance leases, partly offset by proceeds from the exercise of stock options.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three months ended April 30, 2023 was $0.1 million, due to proceeds from the exercise of stock options, partly offset by principal repayments of finance leases.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During the three months ended April 30, 2024, there were no material changes outside the ordinary course of business to our contractual obligations and commitments from those disclosed in our 2024 Form 10-K. Refer to Note 6,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 our Notes to Unaudited Condensed Consolidated Financial Statements included in Part I, Item 1 of this Quarterly Report on Form 10-Q for further details.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estimates from those disclosed in Part II, Item 7, “Management’s Discussion and Analysis of Financial Condition and Results of Operations” of the 2024 Form 10-K.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Refer to Note </w:t>
      </w:r>
      <w:r>
        <w:rPr>
          <w:rFonts w:ascii="Times New Roman;sans-serif" w:hAnsi="Times New Roman;sans-serif"/>
          <w:b w:val="false"/>
          <w:i/>
          <w:color w:val="000000"/>
          <w:sz w:val="20"/>
        </w:rPr>
        <w:t>2, Summary of Significant Accounting Policies</w:t>
      </w:r>
      <w:r>
        <w:rPr>
          <w:rFonts w:ascii="Times New Roman;sans-serif" w:hAnsi="Times New Roman;sans-serif"/>
          <w:b w:val="false"/>
          <w:color w:val="000000"/>
          <w:sz w:val="20"/>
        </w:rPr>
        <w:t>, in our Notes to Unaudited Condensed Consolidated Financial Statements included in Part I, Item 1 of this Quarterly Report on Form 10-Q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Interest Rate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primarily consist of bank deposits and money market funds, and our short-term investments consist of U.S. government treasury securities. As of April 30, 2024, we had cash, cash equivalents, restricted cash and short-term investments of $2.1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April 30, 2024.</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Foreign Currency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either of the three-month periods ended April 30, 2024 and 2023.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Market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For each of April 30, 2024 and January 31, 2024, the total amount of non-marketable securities included in other assets on our balance sheets was $12.9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hanging="99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4. CONTROLS AND PROCEDURES.</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Our management, with the participation of our Chief Executive Officer and our Chief Financial Officer, evaluated the effectiveness of our disclosure controls and procedures as of </w:t>
      </w:r>
      <w:r>
        <w:rPr>
          <w:rFonts w:ascii="Times New Roman;sans-serif" w:hAnsi="Times New Roman;sans-serif"/>
          <w:b w:val="false"/>
          <w:color w:val="000000"/>
          <w:sz w:val="20"/>
        </w:rPr>
        <w:t>April 30, 2024</w:t>
      </w:r>
      <w:r>
        <w:rPr>
          <w:rFonts w:ascii="Times New Roman;sans-serif" w:hAnsi="Times New Roman;sans-serif"/>
          <w:b w:val="false"/>
          <w:color w:val="000000"/>
          <w:sz w:val="20"/>
          <w:shd w:fill="FFFFFF" w:val="clear"/>
        </w:rPr>
        <w:t xml:space="preserve">. Based on the evaluation of our disclosure controls and procedures as of </w:t>
      </w:r>
      <w:r>
        <w:rPr>
          <w:rFonts w:ascii="Times New Roman;sans-serif" w:hAnsi="Times New Roman;sans-serif"/>
          <w:b w:val="false"/>
          <w:color w:val="000000"/>
          <w:sz w:val="20"/>
        </w:rPr>
        <w:t>April 30, 2024</w:t>
      </w:r>
      <w:r>
        <w:rPr>
          <w:rFonts w:ascii="Times New Roman;sans-serif" w:hAnsi="Times New Roman;sans-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There was no change in our internal control over financial reporting identified in connection with the evaluation required by Rule 13a-15(d) and Rule 15d-15(d) of the Exchange Act that occurred during the </w:t>
      </w:r>
      <w:r>
        <w:rPr>
          <w:rFonts w:ascii="Times New Roman;sans-serif" w:hAnsi="Times New Roman;sans-serif"/>
          <w:b w:val="false"/>
          <w:color w:val="000000"/>
          <w:sz w:val="20"/>
        </w:rPr>
        <w:t>three months ended April 30, 2024</w:t>
      </w:r>
      <w:r>
        <w:rPr>
          <w:color w:val="000000"/>
          <w:shd w:fill="FFFFFF" w:val="clear"/>
        </w:rPr>
        <w:t xml:space="preserve"> </w:t>
      </w:r>
      <w:r>
        <w:rPr>
          <w:rFonts w:ascii="Times New Roman;sans-serif" w:hAnsi="Times New Roman;sans-serif"/>
          <w:b w:val="false"/>
          <w:color w:val="000000"/>
          <w:sz w:val="20"/>
          <w:shd w:fill="FFFFFF" w:val="clear"/>
        </w:rPr>
        <w:t>that has materially affected, or is reasonably likely to materially affect, our internal control over financial reporting.</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Inherent Limitations on Effectiveness of Controls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1. LEGAL PROCEEDINGS.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information required to be set forth under this Item 1 is incorporated by reference to Note 7,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of the Notes to Condensed Consolidated Financial Statements included in this Form 10-Q.</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legal proceedings and claims in the ordinary course of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1A. RISK FACTORS.</w:t>
      </w:r>
    </w:p>
    <w:p>
      <w:pPr>
        <w:pStyle w:val="TextBody"/>
        <w:bidi w:val="0"/>
        <w:spacing w:lineRule="auto" w:line="288" w:before="0" w:after="18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have a limited operating history, which makes it difficult to predict our future results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have a history of losses and as our costs increase, we may not be able to generate sufficient revenue to achieve or sustain profitability.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currently face significant competition and expect that intense competition will continue.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decision to offer Community Server under the Server Side Public License (“SSPL”) may harm the adoption of Community Server.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could be negatively impacted if the GNU Affero General Public License Version 3 (the “AGPL”), the SSPL and other open source licenses under which some of our software is licensed are not enforceable.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licensing model for Community Server could negatively affect our ability to monetize and protect our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not able to maintain and enhance our brand, especially among developers, our business and results of operations may be adversely affected.</w:t>
      </w:r>
    </w:p>
    <w:p>
      <w:pPr>
        <w:pStyle w:val="TextBody"/>
        <w:bidi w:val="0"/>
        <w:spacing w:lineRule="auto" w:line="276"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may have similar negative impacts.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makes it difficult to predict our future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each period since our inception, including net losses of $176.6 million, $345.4 million and $306.9 million for the fiscal years ended January 31, 2024, 2023 and 2022, respectively. We had an accumulated deficit of $1.7 billion as of January 31, 2024.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maintain profitability in future periods. As a result, we expect to continue to generate losses. We cannot assure you that we will achieve profitability in the future or that, if we do become profitable, we will be able to sustain profitability.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three months ended April 30, 2024.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offerings are term-based and a majority of our subscription contracts were one year in duration in fiscal year 2024.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sans-serif" w:hAnsi="Times New Roman;sans-serif"/>
          <w:b w:val="false"/>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before="0" w:after="0"/>
        <w:ind w:left="0" w:right="0" w:firstLine="54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currently face significant competition and expect that intense competition will continue.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non-relational database software providers. In addition, other large software and internet companies may seek to enter our market.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adoption strategies include offering Community Server and a free tier of MongoDB Atlas and we may not be able to realize the intended benefits of these strategies.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decision to offer Community Server under the SSPL, may harm the adoption of Community Server.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could be negatively impacted if the AGPL, the SSPL and other open source licenses under which some of our software is licensed are not enforceable.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software incorporates third-party open source software, which could negatively affect our ability to sell our products and subject us to possible litigation.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risks could be difficult to eliminate or manage and if not addressed, could have a negative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success is highly dependent on our ability to penetrate the existing market for database products, as well as the growth and expansion of the market for database products.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future quarterly results may fluctuate significantly and if we fail to meet the expectations of analysts or investors, our stock price could decline substantially.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actual and anticipated growth rates of our revenue, customers and other key operating metrics;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new product announcements, pricing changes and other actions by competitors;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mix of revenue and associated costs attributable to subscriptions for our MongoDB Atlas and MongoDB Enterprise Advanced offerings (such as our non-cancelable multi-year cloud infrastructure capacity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which require us to pay for such capacity irrespective of actual usage) and professional services, as such relative mix may impact our gross margins and operating income;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mix of revenue and associated costs attributable to sales where subscriptions are bundled with services versus sold on a standalone basis and sales by us and our partners;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attract new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timely and effectively expand our sales and marketing capabilities and teams;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retain customers and expand their usage of our software, particularly for our largest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enforce the AGPL or SSPL;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delays in closing sales, including the timing of renewals, which may result in revenue being pushed into the next quarter, particularly because a large portion of our sales occur toward the end of each quarter;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of revenue recognition;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mix of revenue attributable to larger transactions as opposed to smaller transactions;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customers’ budgets and in the timing of their budgeting cycles and purchasing decisions;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customers’ consumption of our platform;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customers and potential customers opting for alternative products, including developing their own in-house solutions, or opting to use only the free version of our products;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control costs, including our operating expenses;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and success of new products, features and services offered by us and our competitors or any other change in the competitive dynamics of our industry, including consolidation among competitors, customers or strategic partners;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security breaches or other security incidents, technical difficulties, or interruptions with respect to the delivery and use of our software;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failure to maintain the level of service uptime and performance required by our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collectability of receivables from customers and resellers, which may be hindered or delayed if these customers or resellers experience financial distress;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political and economic conditions, in domestic or international markets;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new accounting pronouncements;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stock-based compensation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materially and adversely affect our business, results of operations and financial condition. For instance, among other factors, the adverse macroeconomic conditions resulted in slower than historical growth of our existing Atlas applications for the three months ended April 30, 2024.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in our business, operations and employee headcount. For fiscal years 2024, 2023 and 2022, our total revenue was $1,683.0 million, $1,284.0 million and $873.8 million, respectively, representing a 31% and 47% growth rate, respectively. We have also significantly increased the size of our customer base from over 3,200 customers as of January 31, 2017 to over 47,800 customers as of January 31, 2024, and we grew from 713 employees as of January 31, 2017 to 5,037 employees as of January 31, 2024. We expect to continue to expand our operations and employee headcount in the near term. Our success will depend in part on our ability to continue to grow and to manage this growth, domestically and internationally, effectively.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Ransomware attacks, including by organized criminal threat actors, nation-states, and nation-state-supported actors, are becoming increasingly prevalent and severe and can lead to significant interruptions in our operations, loss of data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sales cycle may be long and is unpredictable and our sales efforts require considerable time and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sales force, in particular new sales people as we increase the size of our sales force;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discretionary nature of purchasing and budget cycles and decisions;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obstacles placed by a customer’s procurement process;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convert users of our free offerings to paying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economic conditions and other factors impacting customer budgets;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 evaluation of competing products during the purchasing process;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evolving customer demands.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forced to reduce prices for our subscription offerings and as a result our revenue and results of operations will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in a manner that is cost-effective and assures customer success, we will not be able to grow our business, which would adversely affect our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do attract new customers, the cost of new customer acquisition, product implementation and ongoing customer support may prove so high as to prevent us from achieving or sustaining profitability. For example, in fiscal years 2024, 2023 and 2022, total sales and marketing expense represented 47%, 54%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offer high quality support, our business and reputation could suffer.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(“Sephora”) for failing to satisfy certain obligations under the CCPA, including the disclosure and processing of opt-out requests, with respect to using third-party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under the CCPA.</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self-certified under the EU-U.S. Data Privacy Framework, however such new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 Extension to the EU-U.S. Data Privacy Framework (“U.K. Data Privacy Framework”). We are currently self-certified under the U.K. Data Privacy Framework, and have also self-certified under the Swiss Data Privacy Framework in anticipation of a similar adequacy decision from the Swiss government.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require us to increase our personal data processing capabilities and infrastructure in foreign jurisdictions at significant expense.</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upon our intellectual property rights. As of January 31, 2024, we had 77 issued patents and 35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been and may in the future be, subject to intellectual property rights claims by third parties, which may be costly to defend, could require us to pay significant damages and could limit our ability to use certain technologies.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maintain successful relationships with our partners, our business, results of operations and financial condition could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upon third-party cloud providers to host our cloud offering; any disruption of or interference with our use of third-party cloud providers would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Interruptions or performance problems associated with our technology and infrastructure may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Incorrect or improper implementation or use of our software could result in customer dissatisfaction and harm our business, results of operations, financial condition and growth prospects.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meet our service level commitments, our business, results of operations and financial condition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continue to maintain and develop our corporate culture, we may be unable to execute effectively and foster the innovation, creativity and entrepreneurial spirit we believe we need to support our growth, which could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depend and rely upon SaaS technologies from third parties to operate our business and interruptions or performance problems with these technologies may adversely affect our business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could expose us to substantial liability for data breaches, intellectual property infringement and other losses.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Because our long-term growth strategy involves sales to customers outside the United States, our business is susceptible to risks associated with international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derived internationally and we are susceptible to risks related to our international operations. In the fiscal years ended January 31, 2024, 2023 and 2022, total revenue generated from customers outside the United States was 46%, 45% and 46%,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a specific country’s or region’s political or economic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need to adapt and localize our products for specific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greater difficulty collecting accounts receivable and longer payment cycles;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unexpected changes in laws, regulatory requirements, taxes or trade laws;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shelter-in-place, occupancy limitations or similar orders, private travel limitation, or business disruption in regions affecting our operations, stemming from actual, imminent or perceived outbreak of contagious disease;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more stringent regulations relating to data privacy and security and the unauthorized use of, or access to, commercial and personal data, particularly in EMEA;</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differing labor regulations, especially in EMEA, where labor laws are generally more advantageous to employees as compared to the United States, including deemed hourly wage and overtime regulations in these locations;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associated with international operations, including travel, real estate, infrastructure and legal compliance costs;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 of other economic factors, including inflation, pricing and currency devaluation;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laws and business practices favoring local competitors or general preferences for local vendors;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operating in new, developing or other markets in which there are significant uncertainties regarding the interpretation, application and enforceability of laws and regulations, including relating to contract and intellectual property rights;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limited or insufficient intellectual property protection or difficulties enforcing our intellectual property;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exposure to liabilities under anti-corruption and anti-money laundering laws, including the U.S. Foreign Corrupt Practices Act, U.K. Bribery Act and similar laws and regulations in other jurisdictions;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tax burdens and foreign exchange controls that could make it difficult to repatriate earnings and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financial results, which are reported in U.S. dollars,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software and could have a negative impact on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expand through acquisitions or investments in strategic partnerships, each of which may divert our management’s attention, result in additional dilution to our stockholders, increase expenses, disrupt our operations, and harm our results of operations.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grow our business in response to changing technologies, customer demands and competitive pressures. In some circumstances, we may choose to do so through acquisitions or investments in strategic partnerships, rather than through internal development. The identification of suitable acquisition candidates can be difficult, time-consuming and costly and we may not be able to successfully complete identified acquisitions.</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risks we face in connection with any acquisitions or strategic investments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not be able to realize anticipated synergies;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acquisition or strategic investment may disrupt our ongoing business, divert resources, increase our expenses and distract our management;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encounter challenges integrating the employees of the acquired company into our company culture;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for international transactions, we may face additional challenges related to the integration of operations across different cultures and languages and the economic, political and regulatory risks associated with specific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unable to successfully sell any acquired products or increase adoption or usage of acquired products, or increase spend by acquired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use of cash to pay for acquisitions or strategic investment would limit other potential uses for our cash;</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incur debt to fund any acquisitions, such debt may subject us to material restrictions on our ability to conduct our business, including financial maintenance covenants;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issue a significant amount of equity securities in connection with future acquisitions, existing stockholders may be diluted and earnings per share may decrease.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non-marketable securities, including partial or complete loss of invested capital. Significant changes in the fair value of our private investment portfolio could negatively impact our financial results.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non-marketable equity securities in privately-held companies. The financial success of our investments in any privately-held company is typically dependent on a liquidity event, such as a public offering, acquisition or other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 event reflecting appreciation to the cost of our initial investment. In addition, valuations of privately-held companies are inherently complex due to the lack of readily available market data.</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Failure to comply with anti-bribery, anti-corruption and anti-money laundering laws could subject us to penalties and other adverse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a multinational organization with a distributed workforce facing increasingly complex tax issues in many jurisdictions and we could be obligated to pay additional taxes in various jurisdictions.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enactment of legislation implementing changes in U.S. taxation of international business activities or the adoption of other tax reform policies could materially impact our financial position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E.U. member states formally adopted the EU’s Pillar Two Directive, which was established by the Organisation for Economic Co-operation and Development (“OECD”). Pillar Two generally imposes a 15 percent minimum effective tax rate in the jurisdictions where multinational enterprises operate and is effective for accounting periods beginning on or after December 31, 2023.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2024,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pStyle w:val="TextBody"/>
        <w:bidi w:val="0"/>
        <w:spacing w:lineRule="auto" w:line="288" w:before="0" w:after="180"/>
        <w:jc w:val="left"/>
        <w:rPr/>
      </w:pPr>
      <w:r>
        <w:rPr>
          <w:rFonts w:ascii="Times New Roman;sans-serif" w:hAnsi="Times New Roman;sans-serif"/>
          <w:b/>
          <w:i/>
          <w:color w:val="000000"/>
          <w:sz w:val="20"/>
        </w:rPr>
        <w:t>We are subject to risks related to our environmental, social, and governance activities and disclosures</w:t>
      </w:r>
      <w:r>
        <w:rPr>
          <w:rFonts w:ascii="Times New Roman;sans-serif" w:hAnsi="Times New Roman;sans-serif"/>
          <w:b w:val="false"/>
          <w:color w:val="000000"/>
          <w:sz w:val="20"/>
        </w:rPr>
        <w:t>.</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pStyle w:val="TextBody"/>
        <w:bidi w:val="0"/>
        <w:spacing w:before="0" w:after="0"/>
        <w:ind w:left="0" w:right="0" w:firstLine="72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 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Social, ethical, security and regulatory issues relating to the use of new and evolving technologies, such as AI, in our offerings or partnerships may result in reputational harm and liability.</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Social, ethical, security and regulatory issues relating to the use of new and evolving technologies such as AI, including generative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No assurance can be provided that our use of AI will enhance our products or services or produce the intended results. For example, AI algorithms may be flawed, insufficient, of poor quality, reflect unwanted forms of bias, or contain other errors or inadequacies, any of which may not be easily detectable and AI, particularly generative AI, has been known to produce false or “hallucinatory” inferences or outputs.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cybersecurity threats, and businesses that are slow to adopt or fail to adopt such new technologies may face a competitive disadvantage. The rapid evolution of AI will require the application of resources to develop, test and maintain any potential offerings or partnerships to help ensure that AI is implemented ethically in order to minimize unintended, harmful impact.</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AI may enhance intellectual property, cybersecurity, operational and technological risks. As the regulatory framework for AI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or related technologies, our financial condition and our results of operations, including as a result of the cost to comply with such laws or regulations. 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AI-generated works and the potential for security flaws in output code.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In particular, we are monitoring the development of EU AI Act, which was approved in a political agreement in December 2023.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has been and is likely to continue to be volatile, which could cause the value of our common stock to decline.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whether our results of operations meet the expectations of securities analysts or investors;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announcements of new products or technologies, commercial relationships, acquisitions or other events by us or our competitors;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how customers perceive the benefits of our product and future product offerings and releases;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sales of large blocks of our common stock;</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actual or future expectations of investors or securities analysts;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data breach or other security incident involving our software;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litigation involving us, our industry, or both;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general economic conditions and trends;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major catastrophic events in our domestic and foreign markets;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flash crashes,” “freeze flashes” or other glitches that disrupt trading on the securities exchange on which we are listed.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for the foreseeable future.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requirements of being a public company may strain our resources, divert management's attention and affect our ability to attract and retain additional executive management and qualified board members.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sans-serif" w:hAnsi="Times New Roman;sans-serif"/>
          <w:b w:val="false"/>
          <w:color w:val="212529"/>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Delaware law and our corporate charter and bylaws contain anti-takeover provisions that could delay or discourage takeover attempts that stockholders may consider favorable.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requirement for the affirmative vote of holders of a majority of the voting power of all of the then outstanding shares of the voting stock to amend the provisions of our amended and restated certificate of incorporation relating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 the management of our business (including our classified board structure) or certain provisions of our amended and restated bylaws, which may inhibit the ability of an acquirer to effect such amendments to facilitate an unsolicited takeover attempt;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into the public market, particularly sales by our directors, executive officers, and principal stockholders, or the perception that these sales might occur, could cause the market price of our common stock to decline.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Outstanding Notes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incurred a significant amount of debt and may in the future incur additional indebtedness. We may not have sufficient cash flow from our business to make payments on our substantial debt when due.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 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conditional conversion feature of the 2026 Notes was triggered during the three months ended April 30, 2024, as the last reported sale price of our common stock was more than or equal to 130% of the applicable conversion price for at least 20 trading days in the period of 30 consecutive trading days ending on April 30, 2024 (the last trading day of the fiscal quarter). Therefore, the 2026 Notes are currently convertible at the option of the holders thereof, in whole or in part, from May 1, 2024 through July 31, 2024. Whether the 2026 Notes will be convertible following such fiscal quarter will depend on the continued satisfaction of this condition or another conversion condition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2026 Notes and our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312" w:before="0" w:after="18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(a)Recent Sales of Unregistered Equity Securities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(b)Use of Proceeds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pStyle w:val="TextBody"/>
        <w:bidi w:val="0"/>
        <w:spacing w:lineRule="auto" w:line="288" w:before="0" w:after="18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(c)Issuer Purchases of Equity Securities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rPr>
      </w:pPr>
      <w:r>
        <w:rPr>
          <w:rFonts w:ascii="Times New Roman;sans-serif" w:hAnsi="Times New Roman;sans-serif"/>
          <w:b/>
          <w:color w:val="000000"/>
          <w:sz w:val="24"/>
        </w:rPr>
        <w:t>ITEM 3. DEFAULTS UPON SENIOR SECURITIES.</w:t>
      </w:r>
    </w:p>
    <w:p>
      <w:pPr>
        <w:pStyle w:val="TextBody"/>
        <w:bidi w:val="0"/>
        <w:spacing w:lineRule="auto" w:line="288" w:before="12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rPr>
      </w:pPr>
      <w:r>
        <w:rPr>
          <w:rFonts w:ascii="Times New Roman;sans-serif" w:hAnsi="Times New Roman;sans-serif"/>
          <w:b/>
          <w:color w:val="000000"/>
          <w:sz w:val="24"/>
        </w:rPr>
        <w:t>ITEM 4. MINE SAFETY DISCLOSURES.</w:t>
      </w:r>
    </w:p>
    <w:p>
      <w:pPr>
        <w:pStyle w:val="TextBody"/>
        <w:bidi w:val="0"/>
        <w:spacing w:lineRule="auto" w:line="288" w:before="12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rPr>
      </w:pPr>
      <w:r>
        <w:rPr>
          <w:rFonts w:ascii="Times New Roman;sans-serif" w:hAnsi="Times New Roman;sans-serif"/>
          <w:b/>
          <w:color w:val="000000"/>
          <w:sz w:val="24"/>
        </w:rPr>
        <w:t xml:space="preserve">ITEM 5. OTHER INFORMATION. </w:t>
      </w:r>
    </w:p>
    <w:p>
      <w:pPr>
        <w:pStyle w:val="TextBody"/>
        <w:bidi w:val="0"/>
        <w:spacing w:lineRule="auto" w:line="26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and Non-Rule 10b5-1 Trading Arrangements</w:t>
      </w:r>
    </w:p>
    <w:p>
      <w:pPr>
        <w:pStyle w:val="TextBody"/>
        <w:bidi w:val="0"/>
        <w:spacing w:before="0" w:after="0"/>
        <w:ind w:left="0" w:right="0" w:firstLine="495"/>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executive officers and directors of the Company may execute purchases and sales of the Company's common stock through Rule 10b5-1 equity trading plans and “non-Rule 10b5-1 equity trading arrangements” (as defined in Item 408(c) of Regulation S-K).</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2024, one member of our board of directors and two of our officers adopted the following Rule 10b5-1 trading arrangements: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2024, Dwight Merriman, a member of our board of directors, adopted a trading plan intended to satisfy the conditions under Rule 10b5-1(c) of the Exchange Act. Mr. Merriman’s plan is for the sale of shares of our common stock held by Mr. Merriman and certain of his affiliated entities in amounts of up to (i) 156,000 shares, (ii) shares worth approximately $3.7 million and (iii) all shares received upon the vesting, if any, of RSUs granted to Mr. Merriman as part of his 2024 annual equity award grant for his board and committee service, in each case at prices determined in accordance with a formula set forth in the plan. The plan terminates on the earlier of the date that all the shares under the plan are sold and July 31, 2025, subject to early termination for certain specified events set forth in the plan.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2024, Michael Gordon, our Chief Operating Officer and Chief Financial Officer adopted a trading plan intended to satisfy the conditions under Rule 10b5-1(c) of the Exchange Act. Mr. Gordon’s plan is for the sale of up to 50,000 shares of common stock underlying stock options in amounts and prices determined in accordance with a formula set forth in the plan and terminates on the earlier of the date that all the shares under the plan are sold and January 14, 2025, subject to early termination for certain specified events set forth in the plan.</w:t>
      </w:r>
    </w:p>
    <w:p>
      <w:pPr>
        <w:pStyle w:val="TextBody"/>
        <w:bidi w:val="0"/>
        <w:spacing w:before="0" w:after="0"/>
        <w:ind w:left="0" w:right="0" w:firstLine="450"/>
        <w:jc w:val="both"/>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9, 2024, Cedric Pech, our Chief Revenue Officer adopted a trading plan intended to satisfy the conditions under Rule 10b5-1(c) of the Exchange Act. Mr. Pech’s plan is for the sale of up to 100% of the (net) shares of common stock resulting from the vesting of an aggregate of 30,132 RSUs and PSUs in amounts and prices determined in accordance with a formula set forth in the plan (net shares are net of tax withholding). The plan terminates on the earlier of the date all the shares under the plan are sold and April 30, 2025, subject to early termination for certain specified events set forth in the plan.</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2024, other than noted above, none of our executive officers or directors terminated or modified a 10b5-1 equity trading plan, or adopted, terminated, or modified any “non-Rule 10b5-1 equity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312" w:before="0" w:after="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68"/>
        <w:gridCol w:w="237"/>
        <w:gridCol w:w="238"/>
        <w:gridCol w:w="109"/>
        <w:gridCol w:w="109"/>
        <w:gridCol w:w="109"/>
        <w:gridCol w:w="1724"/>
        <w:gridCol w:w="1598"/>
        <w:gridCol w:w="1614"/>
        <w:gridCol w:w="109"/>
        <w:gridCol w:w="109"/>
        <w:gridCol w:w="109"/>
        <w:gridCol w:w="171"/>
        <w:gridCol w:w="171"/>
        <w:gridCol w:w="169"/>
        <w:gridCol w:w="339"/>
        <w:gridCol w:w="259"/>
        <w:gridCol w:w="225"/>
        <w:gridCol w:w="210"/>
        <w:gridCol w:w="210"/>
        <w:gridCol w:w="211"/>
        <w:gridCol w:w="217"/>
        <w:gridCol w:w="217"/>
        <w:gridCol w:w="218"/>
        <w:gridCol w:w="109"/>
        <w:gridCol w:w="109"/>
        <w:gridCol w:w="109"/>
        <w:gridCol w:w="269"/>
        <w:gridCol w:w="269"/>
        <w:gridCol w:w="390"/>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Retirement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43024x10q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43024x10q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43024x10qx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43024x10qx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w:t>
              <w:br/>
              <w:t>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312" w:before="0" w:after="160"/>
        <w:jc w:val="left"/>
        <w:rPr/>
      </w:pPr>
      <w:hyperlink w:anchor="i17dbccf28ddb4e8d932ac47335b3d52e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24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28" w:type="dxa"/>
        <w:jc w:val="center"/>
        <w:tblInd w:w="0" w:type="dxa"/>
        <w:tblLayout w:type="fixed"/>
        <w:tblCellMar>
          <w:top w:w="28" w:type="dxa"/>
          <w:left w:w="28" w:type="dxa"/>
          <w:bottom w:w="28" w:type="dxa"/>
          <w:right w:w="28" w:type="dxa"/>
        </w:tblCellMar>
      </w:tblPr>
      <w:tblGrid>
        <w:gridCol w:w="629"/>
        <w:gridCol w:w="554"/>
        <w:gridCol w:w="557"/>
        <w:gridCol w:w="175"/>
        <w:gridCol w:w="175"/>
        <w:gridCol w:w="175"/>
        <w:gridCol w:w="219"/>
        <w:gridCol w:w="219"/>
        <w:gridCol w:w="221"/>
        <w:gridCol w:w="1239"/>
        <w:gridCol w:w="1239"/>
        <w:gridCol w:w="182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MONGODB,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2024</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before="0" w:after="18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Dev Ittycheria,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12"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219"/>
        <w:gridCol w:w="219"/>
        <w:gridCol w:w="221"/>
        <w:gridCol w:w="937"/>
        <w:gridCol w:w="937"/>
        <w:gridCol w:w="13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20"/>
                        <w:ind w:left="0" w:right="0" w:firstLine="54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Gordon,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107"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219"/>
        <w:gridCol w:w="219"/>
        <w:gridCol w:w="221"/>
        <w:gridCol w:w="1258"/>
        <w:gridCol w:w="1258"/>
        <w:gridCol w:w="17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Dev Ittycheria, certify, pursuant to 18 U.S.C. Section 1350, as adopted pursuant to Section 906 of the Sarbanes-Oxley Act of 2002, that the Quarterly Report on Form 10-Q of MongoDB, Inc. for the period ended April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6012"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219"/>
        <w:gridCol w:w="219"/>
        <w:gridCol w:w="221"/>
        <w:gridCol w:w="937"/>
        <w:gridCol w:w="937"/>
        <w:gridCol w:w="13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Gordon, certify, pursuant to 18 U.S.C. Section 1350, as adopted pursuant to Section 906 of the Sarbanes-Oxley Act of 2002, that the Quarterly Report on Form 10-Q of MongoDB, Inc. for the period ended April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7107" w:type="dxa"/>
        <w:jc w:val="center"/>
        <w:tblInd w:w="0" w:type="dxa"/>
        <w:tblLayout w:type="fixed"/>
        <w:tblCellMar>
          <w:top w:w="28" w:type="dxa"/>
          <w:left w:w="28" w:type="dxa"/>
          <w:bottom w:w="28" w:type="dxa"/>
          <w:right w:w="28" w:type="dxa"/>
        </w:tblCellMar>
      </w:tblPr>
      <w:tblGrid>
        <w:gridCol w:w="629"/>
        <w:gridCol w:w="554"/>
        <w:gridCol w:w="557"/>
        <w:gridCol w:w="134"/>
        <w:gridCol w:w="134"/>
        <w:gridCol w:w="136"/>
        <w:gridCol w:w="219"/>
        <w:gridCol w:w="219"/>
        <w:gridCol w:w="221"/>
        <w:gridCol w:w="1258"/>
        <w:gridCol w:w="1258"/>
        <w:gridCol w:w="17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1816/000110465917063753/a17-24439_1ex3d1.htm" TargetMode="External"/><Relationship Id="rId3" Type="http://schemas.openxmlformats.org/officeDocument/2006/relationships/hyperlink" Target="http://www.sec.gov/Archives/edgar/data/1441816/000144181620000114/mdb-certificateofretir.htm" TargetMode="External"/><Relationship Id="rId4" Type="http://schemas.openxmlformats.org/officeDocument/2006/relationships/hyperlink" Target="http://www.sec.gov/Archives/edgar/data/1441816/000104746917006014/a2233365zex-3_4.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45649</Words>
  <Characters>254918</Characters>
  <CharactersWithSpaces>299043</CharactersWithSpaces>
  <Paragraphs>2428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