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25, 2018</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MONGODB,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154"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001-38240</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26-1463205</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80"/>
          </w:cols>
          <w:pgMar w:left="240" w:top="544" w:right="259" w:bottom="154"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229 W. 43rd Street, 5th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544" w:right="259" w:bottom="154"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646-727-4092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ind w:left="380" w:hanging="373"/>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80" w:hanging="373"/>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Purchase Agreement</w:t>
      </w:r>
    </w:p>
    <w:p>
      <w:pPr>
        <w:spacing w:after="0" w:line="225"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On June 25, 2018, MongoDB, Inc. (“MongoDB”) entered into a purchase agreement (the “Purchase Agreement”) with Morgan Stanley &amp; Co. LLC, Goldman Sachs &amp; Co. LLC and Barclays Capital Inc., as representatives of the several initial purchasers named therein (the “Initial Purchasers”), relating to the sale by MongoDB of an aggregate of $250.0 million principal amount of its 0.75% Convertible Senior Notes due 2024 (the “Notes”) to qualified institutional buyers pursuant to Rule 144A under the Securities Act of 1933, as amended (the “Securities Act”). MongoDB also granted the Initial Purchasers an option to purchase, within a 13-day period from, and including, the initial issuance date of the Notes, up to an aggregate of $50.0 million additional principal amount of Notes. Pursuant to the terms of the Purchase Agreement, the parties have agreed to indemnify each other against certain liabilities, including certain liabilities under the Securities Act.</w:t>
      </w:r>
    </w:p>
    <w:p>
      <w:pPr>
        <w:spacing w:after="0" w:line="189" w:lineRule="exact"/>
        <w:rPr>
          <w:sz w:val="24"/>
          <w:szCs w:val="24"/>
          <w:color w:val="auto"/>
        </w:rPr>
      </w:pPr>
    </w:p>
    <w:p>
      <w:pPr>
        <w:ind w:right="580"/>
        <w:spacing w:after="0" w:line="308" w:lineRule="auto"/>
        <w:rPr>
          <w:sz w:val="20"/>
          <w:szCs w:val="20"/>
          <w:color w:val="auto"/>
        </w:rPr>
      </w:pPr>
      <w:r>
        <w:rPr>
          <w:rFonts w:ascii="Arial" w:cs="Arial" w:eastAsia="Arial" w:hAnsi="Arial"/>
          <w:sz w:val="17"/>
          <w:szCs w:val="17"/>
          <w:color w:val="auto"/>
        </w:rPr>
        <w:t>A copy of the Purchase Agreement is filed as Exhibit 99.1 to this Current Report on Form 8-K and is incorporated by reference herein. The foregoing description of the Purchase Agreement does not purport to be complete and is qualified in its entirety by reference to such exhibit.</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Indenture and Notes</w:t>
      </w:r>
    </w:p>
    <w:p>
      <w:pPr>
        <w:sectPr>
          <w:pgSz w:w="11900" w:h="16838" w:orient="portrait"/>
          <w:cols w:equalWidth="0" w:num="1">
            <w:col w:w="11400"/>
          </w:cols>
          <w:pgMar w:left="240" w:top="544" w:right="259" w:bottom="154" w:gutter="0" w:footer="0" w:header="0"/>
          <w:type w:val="continuous"/>
        </w:sectPr>
      </w:pPr>
    </w:p>
    <w:bookmarkStart w:id="1" w:name="page2"/>
    <w:bookmarkEnd w:id="1"/>
    <w:p>
      <w:pPr>
        <w:ind w:right="100"/>
        <w:spacing w:after="0" w:line="259" w:lineRule="auto"/>
        <w:rPr>
          <w:sz w:val="20"/>
          <w:szCs w:val="20"/>
          <w:color w:val="auto"/>
        </w:rPr>
      </w:pPr>
      <w:r>
        <w:rPr>
          <w:rFonts w:ascii="Arial" w:cs="Arial" w:eastAsia="Arial" w:hAnsi="Arial"/>
          <w:sz w:val="18"/>
          <w:szCs w:val="18"/>
          <w:color w:val="auto"/>
        </w:rPr>
        <w:t>On June 28, 2018, MongoDB issued an aggregate of $250.0 million principal amount of Notes pursuant to an Indenture, dated June 28, 2018 (the “Indenture”), between MongoDB and U.S. Bank National Association, as trustee (the “Trustee”). The Notes will bear interest from June 28, 2018 at a rate of 0.75% per annum payable semiannually in arrears on June 15 and December 15 of each year, beginning on December 15, 2018. The Notes will mature on June 15, 2024, unless earlier converted, redeemed or repurchased.</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net proceeds from this offering are expected to be approximately $241.8 million, after deducting the Initial Purchasers’ discount and estimated offering expenses payable by MongoDB. MongoDB used a portion of the net proceeds from this offering to pay the cost of the capped call transactions described below. MongoDB intends to use the remainder of the proceeds from this offering for working capital and other general corporate purposes, including continued investments in its product offerings, growing its customer base, expanding the subscriptions of its existing customers, driving usage of MongoDB Atlas, fostering the MongoDB developer community and expanding MongoDB’s international footprint. MongoDB may also use a portion of the proceeds from this offering for acquisitions or strategic investments in businesses or technologies, although it does not currently have any plans for any such acquisitions or investments.</w:t>
      </w:r>
    </w:p>
    <w:p>
      <w:pPr>
        <w:spacing w:after="0" w:line="18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Holders of the Notes may convert their Notes at their option at any time prior to the close of business on the business day immediately preceding March 15, 2024, only under the following circumstances: (1) during any fiscal quarter commencing after the fiscal quarter ending on October 31, 2018 (and only during such fiscal quarter), if the last reported sale price of MongoDB’s Class A common stock for at least 20 trading days (whether or not consecutive) during a period of 30 consecutive trading days ending on, and including, the last trading day of the immediately preceding fiscal quarter is greater than or equal to 130% of the conversion price on each applicable trading day; (2) during the five-business day period after any five consecutive trading day period (the ‘‘measurement period’’) in which the trading price (as defined in the Indenture) per $1,000 principal amount of Notes for each trading day of the measurement period was less than 98% of the product of the last reported sale price of MongoDB’s Class A common stock and the conversion rate for the Notes on each such trading day; (3) if MongoDB calls any or all of the Notes for redemption, at any time prior to the close of business on the scheduled trading day immediately preceding the redemption date; or (4) upon the occurrence of specified corporate events. On or after March 15, 2024, holders may convert all or any portion of their Notes at any time prior to the close of business on the scheduled trading day immediately preceding the maturity date regardless of the foregoing conditions. Upon conversion, MongoDB will satisfy its conversion obligation by paying or delivering, as the case may be, cash, shares of Class A common stock or a combination of cash and shares of Class A common stock, at MongoDB’s election.</w:t>
      </w:r>
    </w:p>
    <w:p>
      <w:pPr>
        <w:spacing w:after="0" w:line="16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conversion rate for the Notes is initially 14.6738 shares of MongoDB’s Class A common stock per $1,000 principal amount of Notes (equivalent to an initial conversion price of approximately $68.15 per share of Class A common stock). The conversion rate is subject to adjustment in some events but will not be adjusted for any accrued and unpaid interest. In addition, following certain corporate events that occur prior to the maturity date or following MongoDB’s issuance of a notice of redemption, MongoDB will increase the conversion rate for a holder who elects to convert its Notes in connection with such a corporate event or during the related redemption period in certain circumstances.</w:t>
      </w:r>
    </w:p>
    <w:p>
      <w:pPr>
        <w:spacing w:after="0" w:line="1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MongoDB may not redeem the Notes prior to June 20, 2021. On or after June 20, 2021, MongoDB may redeem for cash all or any portion of the Notes, at its option, if the last reported sale price of MongoDB’s Class A common stock has been at least 130% of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conversion price then in effect for at least 20 trading days (whether or not consecutive) during any 30 consecutive trading day period (including the last trading day of such period) ending on, and including, the trading day immediately preceding the date on which MongoDB provides notice of redemption at a redemption price equal to 100% of the principal amount of the Notes to be redeemed, plus accrued and unpaid interest to, but excluding, the redemption date. No sinking fund is provided for the Notes.</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If MongoDB undergoes a fundamental change (as defined in the Indenture) at any time prior to the maturity date, holders will have the right, at their option, to require MongoDB to repurchase for cash all or any portion of their Notes at a fundamental change repurchase price equal to 100% of the principal amount of the Notes to be repurchased, plus accrued and unpaid interest to, but excluding, the fundamental change repurchase date.</w:t>
      </w:r>
    </w:p>
    <w:p>
      <w:pPr>
        <w:spacing w:after="0" w:line="16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Indenture includes customary terms and covenants, including certain events of default. The following events are considered “events of default” with respect to the Notes, which may result in the acceleration of the maturity of the Notes: (1) MongoDB defaults in any payment of interest on any Note when due and payable and the default continues for a period of 30 days; (2) MongoDB defaults in the payment of principal of any Note when due and payable at its stated maturity, upon redemption, upon any required repurchase, upon declaration of acceleration or otherwise; (3) failure by MongoDB to comply with MongoDB’s obligation to convert the Notes in accordance with the Indenture upon exercise of a holder’s conversion right and such failure continues for three business days; (4) failure by MongoDB to give a fundamental change notice, notice of a make-whole fundamental change (as defined in the Indenture) or notice of a specified corporate transaction, in each case when due; (5) failure by MongoDB to comply with its obligations under the Indenture with respect to consolidation, merger and sale of MongoDB’s assets; (6) failure by MongoDB for 60 days after written notice from the Trustee or the holders of at least 25% in aggregate principal amount of the Notes then outstanding has been received to comply with any of MongoDB’s other agreements contained in the Notes or Indenture; (7) MongoDB or any of its significant subsidiaries (as defined in the Indenture) defaults with respect to any mortgage, agreement or other instrument under which there may be outstanding, or by which there may be secured or evidenced, any indebtedness for money borrowed in excess of $30.0 million (or its foreign currency equivalent) in the aggregate of MongoDB and/or any such significant subsidiary, whether such indebtedness now exists or shall hereafter be created (a) resulting in such indebtedness becoming or being declared due and payable prior to its stated maturity date or (b) constituting a failure to pay the principal of any such indebtedness when due and payable (after the expiration of all applicable grace periods) at its stated maturity, upon required repurchase, upon declaration of acceleration or otherwise, and, in the cases of clauses (a) and (b), such acceleration shall not, after the expiration of any applicable grace period, have been rescinded or annulled or such failure to pay or default shall not have been cured or waived, or such indebtedness is not paid or discharged, as the case may be, within 30 days after written notice to MongoDB by the Trustee or to MongoDB and the trustee by holders of at least 25% in aggregate principal amount of Notes then outstanding in accordance with the Indenture; or (8) certain events of bankruptcy, insolvency, or reorganization of MongoDB or any of its significant subsidiaries. Generally, if an event of default occurs and is continuing under the Indenture, either the Trustee or the holders of at least 25% in aggregate principal amount of the Notes then outstanding may declare the principal amount plus any accrued and unpaid interest on the Notes to be immediately due and payable.</w:t>
      </w:r>
    </w:p>
    <w:p>
      <w:pPr>
        <w:spacing w:after="0" w:line="18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Notes are MongoDB’s general unsecured obligations and rank senior in right of payment to all of MongoDB’s indebtedness that is expressly subordinated in right of payment to the Notes; equal in right of payment with all of MongoDB’s liabilities that are not so subordinated; effectively junior to any of MongoDB’s secured indebtedness to the extent of the value of the assets securing such indebtedness; and structurally junior to all indebtedness and other liabilities (including trade payables) of MongoDB’s subsidiaries.</w:t>
      </w:r>
    </w:p>
    <w:p>
      <w:pPr>
        <w:sectPr>
          <w:pgSz w:w="11900" w:h="16838" w:orient="portrait"/>
          <w:cols w:equalWidth="0" w:num="1">
            <w:col w:w="11400"/>
          </w:cols>
          <w:pgMar w:left="240" w:top="125" w:right="259" w:bottom="61" w:gutter="0" w:footer="0" w:header="0"/>
        </w:sectPr>
      </w:pPr>
    </w:p>
    <w:bookmarkStart w:id="2" w:name="page3"/>
    <w:bookmarkEnd w:id="2"/>
    <w:p>
      <w:pPr>
        <w:ind w:right="220"/>
        <w:spacing w:after="0" w:line="264" w:lineRule="auto"/>
        <w:rPr>
          <w:sz w:val="20"/>
          <w:szCs w:val="20"/>
          <w:color w:val="auto"/>
        </w:rPr>
      </w:pPr>
      <w:r>
        <w:rPr>
          <w:rFonts w:ascii="Arial" w:cs="Arial" w:eastAsia="Arial" w:hAnsi="Arial"/>
          <w:sz w:val="18"/>
          <w:szCs w:val="18"/>
          <w:color w:val="auto"/>
        </w:rPr>
        <w:t>A copy of the Indenture and form of Note are filed as Exhibit 4.1 and Exhibit 4.2, respectively, to this Current Report on Form 8-K and are incorporated by reference herein. The foregoing description of the Indenture and Notes does not purport to be complete and is qualified in its entirety by reference to such exhibits.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Capped Call Transactions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June 25, 2018, concurrently with the pricing of the Notes, MongoDB entered into capped call transactions with one or more of the Initial Purchasers and/or their respective affiliates or other financial institutions (the “Option Counterparties”). The capped call transactions are expected to offset the potential dilution to MongoDB’s Class A common stock upon any conversion of Notes, with such reduction and/or offset subject to a cap initially equal to $106.90 per share (which represents a premium of 100% over the last reported sale price of MongoDB’s Class A common stock on June 25, 2018). The capped call transactions are separate transactions, entered into by MongoDB with the Option Counterparties, and are not part of the terms of the Notes.</w:t>
      </w:r>
    </w:p>
    <w:p>
      <w:pPr>
        <w:spacing w:after="0" w:line="158"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 copy of the form of confirmation for the capped call transactions is filed as Exhibit 99.2 to this Current Report on Form 8-K and is incorporated by reference herein. The foregoing description of the terms of the capped call transaction does not purport to be complete and is qualified in its entirety by reference to such exhibit.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Notes were sold to the Initial Purchasers pursuant to the Purchase Agreement in reliance on the exemption from the registration requirements provided by Section 4(a)(2) of the Securities Act and the Notes were resold to qualified institutional buyers as defined in, and in reliance on, Rule 144A of the Securities Act. To the extent that any shares of Class A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Class A common stock.</w:t>
      </w:r>
    </w:p>
    <w:p>
      <w:pPr>
        <w:spacing w:after="0" w:line="1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offer and sale of the Notes and the Class A common stock issuable upon conversion of the Notes have not been and will not be registered under the Securities Act or the securities laws of any other jurisdiction, and such securities may not be offered or sold in the United States absent registration or an applicable exemption from registration requirements. This Current Report on Form 8-K does not constitute an offer to sell, or a solicitation of an offer to buy, any security and shall not constitute an offer, solicitation or sale in any jurisdiction in which such offering would be unlawful.</w:t>
      </w:r>
    </w:p>
    <w:p>
      <w:pPr>
        <w:spacing w:after="0" w:line="16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June 25, 2018, MongoDB issued a press release announcing the proposed Note offering. A copy of the press release is filed herewith as Exhibit 99.3.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On June 26, 2018, MongoDB issued a press release announcing the pricing of the Note offering. A copy of the press release is filed herewith as Exhibit 99.4.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Current Report on Form 8-K contains forward-looking statements within the meaning of the federal securities laws. These statements include, but are not limited to, statements regarding the offering of the Notes, the effects of the capped call transactions, and MongoDB’s expectations regarding the expected net proceeds from the offering and use of those net proceeds. Forward-looking statements include all statements that are not historical facts. In some cases, forward-looking statements can be identified by terms such as “anticipates,” “believes,” “could,” “estimates,” “expects,” “intends,” “may,” “plans,” “potential,” “will,” or similar expressions and the negatives of those words. Forward-looking statements involve substantial risks and uncertainties that may cause actual results to differ materially from those that MongoDB expects. These risks and uncertainties include market risks, trends and conditions. These and other risks are more fully described in MongoDB’s filings with the Securities and Exchange Commission, including in the section titled “Risk Factors” in MongoDB’s Annual Report on Form 10-K for the fiscal year ended January 31, 2018 and its Quarterly Report on Form 10-Q for the fiscal quarter ended April 30, 2018. In light of these risks, you should not place undue reliance on such forward-looking statements. Forward-looking statements represent MongoDB’s beliefs and assumptions only as of the date of this Current Report on Form 8-K. MongoDB disclaims any obligation to update forward-looking statements.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10"/>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20" w:type="dxa"/>
            <w:vAlign w:val="bottom"/>
            <w:gridSpan w:val="4"/>
          </w:tcPr>
          <w:p>
            <w:pPr>
              <w:ind w:left="40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4.1</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top w:val="single" w:sz="8" w:color="auto"/>
            </w:tcBorders>
            <w:gridSpan w:val="8"/>
          </w:tcPr>
          <w:p>
            <w:pPr>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Indenture, dated as of June 28, 2018, by and between MongoDB, Inc. and U.S. Bank National Association, as Trustee.</w:t>
              </w:r>
            </w:hyperlink>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340" w:type="dxa"/>
            <w:vAlign w:val="bottom"/>
          </w:tcPr>
          <w:p>
            <w:pPr>
              <w:spacing w:after="0"/>
              <w:rPr>
                <w:sz w:val="17"/>
                <w:szCs w:val="17"/>
                <w:color w:val="auto"/>
              </w:rPr>
            </w:pPr>
          </w:p>
        </w:tc>
        <w:tc>
          <w:tcPr>
            <w:tcW w:w="9920" w:type="dxa"/>
            <w:vAlign w:val="bottom"/>
            <w:gridSpan w:val="9"/>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Form of Global Note, representing MongoDB, Inc.’s 0.75% Convertible Senior Notes due 2024 (included as Exhibit A to the Indenture</w:t>
              </w:r>
            </w:hyperlink>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filed as Exhibit 4.1).</w:t>
              </w:r>
            </w:hyperlink>
          </w:p>
        </w:tc>
        <w:tc>
          <w:tcPr>
            <w:tcW w:w="200" w:type="dxa"/>
            <w:vAlign w:val="bottom"/>
            <w:gridSpan w:val="2"/>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7"/>
                <w:szCs w:val="17"/>
                <w:color w:val="auto"/>
              </w:rPr>
            </w:pPr>
          </w:p>
        </w:tc>
        <w:tc>
          <w:tcPr>
            <w:tcW w:w="9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Purchase Agreement, dated June 25, 2018, by and among MongoDB, Inc. and Morgan Stanley &amp; Co. LLC, Goldman Sachs &amp; Co. LLC</w:t>
              </w:r>
            </w:hyperlink>
          </w:p>
        </w:tc>
        <w:tc>
          <w:tcPr>
            <w:tcW w:w="1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and Barclays Capital Inc.</w:t>
              </w:r>
            </w:hyperlink>
          </w:p>
        </w:tc>
        <w:tc>
          <w:tcPr>
            <w:tcW w:w="8100" w:type="dxa"/>
            <w:vAlign w:val="bottom"/>
            <w:gridSpan w:val="6"/>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99.2</w:t>
            </w:r>
          </w:p>
        </w:tc>
        <w:tc>
          <w:tcPr>
            <w:tcW w:w="340" w:type="dxa"/>
            <w:vAlign w:val="bottom"/>
          </w:tcPr>
          <w:p>
            <w:pPr>
              <w:spacing w:after="0"/>
              <w:rPr>
                <w:sz w:val="17"/>
                <w:szCs w:val="17"/>
                <w:color w:val="auto"/>
              </w:rPr>
            </w:pPr>
          </w:p>
        </w:tc>
        <w:tc>
          <w:tcPr>
            <w:tcW w:w="38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Form of Confirmation for Capped Call Transactions.</w:t>
              </w:r>
            </w:hyperlink>
          </w:p>
        </w:tc>
        <w:tc>
          <w:tcPr>
            <w:tcW w:w="6120" w:type="dxa"/>
            <w:vAlign w:val="bottom"/>
            <w:gridSpan w:val="5"/>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99.3</w:t>
            </w:r>
          </w:p>
        </w:tc>
        <w:tc>
          <w:tcPr>
            <w:tcW w:w="340" w:type="dxa"/>
            <w:vAlign w:val="bottom"/>
          </w:tcPr>
          <w:p>
            <w:pPr>
              <w:spacing w:after="0"/>
              <w:rPr>
                <w:sz w:val="17"/>
                <w:szCs w:val="17"/>
                <w:color w:val="auto"/>
              </w:rPr>
            </w:pPr>
          </w:p>
        </w:tc>
        <w:tc>
          <w:tcPr>
            <w:tcW w:w="42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90">
              <w:r>
                <w:rPr>
                  <w:rFonts w:ascii="Arial" w:cs="Arial" w:eastAsia="Arial" w:hAnsi="Arial"/>
                  <w:sz w:val="18"/>
                  <w:szCs w:val="18"/>
                  <w:color w:val="0000EE"/>
                  <w:w w:val="88"/>
                </w:rPr>
                <w:t>Press Release issued by MongoDB, Inc. on June 25, 2018.</w:t>
              </w:r>
            </w:hyperlink>
          </w:p>
        </w:tc>
        <w:tc>
          <w:tcPr>
            <w:tcW w:w="5720" w:type="dxa"/>
            <w:vAlign w:val="bottom"/>
            <w:gridSpan w:val="4"/>
          </w:tcPr>
          <w:p>
            <w:pPr>
              <w:spacing w:after="0"/>
              <w:rPr>
                <w:sz w:val="17"/>
                <w:szCs w:val="17"/>
                <w:color w:val="auto"/>
              </w:rPr>
            </w:pPr>
          </w:p>
        </w:tc>
      </w:tr>
      <w:tr>
        <w:trPr>
          <w:trHeight w:val="196"/>
        </w:trPr>
        <w:tc>
          <w:tcPr>
            <w:tcW w:w="1160" w:type="dxa"/>
            <w:vAlign w:val="bottom"/>
            <w:gridSpan w:val="2"/>
          </w:tcPr>
          <w:p>
            <w:pPr>
              <w:spacing w:after="0" w:line="196" w:lineRule="exact"/>
              <w:rPr>
                <w:sz w:val="20"/>
                <w:szCs w:val="20"/>
                <w:color w:val="auto"/>
              </w:rPr>
            </w:pPr>
            <w:r>
              <w:rPr>
                <w:rFonts w:ascii="Arial" w:cs="Arial" w:eastAsia="Arial" w:hAnsi="Arial"/>
                <w:sz w:val="18"/>
                <w:szCs w:val="18"/>
                <w:color w:val="auto"/>
              </w:rPr>
              <w:t>99.4</w:t>
            </w:r>
          </w:p>
        </w:tc>
        <w:tc>
          <w:tcPr>
            <w:tcW w:w="340" w:type="dxa"/>
            <w:vAlign w:val="bottom"/>
          </w:tcPr>
          <w:p>
            <w:pPr>
              <w:spacing w:after="0"/>
              <w:rPr>
                <w:sz w:val="17"/>
                <w:szCs w:val="17"/>
                <w:color w:val="auto"/>
              </w:rPr>
            </w:pPr>
          </w:p>
        </w:tc>
        <w:tc>
          <w:tcPr>
            <w:tcW w:w="42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92">
              <w:r>
                <w:rPr>
                  <w:rFonts w:ascii="Arial" w:cs="Arial" w:eastAsia="Arial" w:hAnsi="Arial"/>
                  <w:sz w:val="18"/>
                  <w:szCs w:val="18"/>
                  <w:color w:val="0000EE"/>
                  <w:w w:val="88"/>
                </w:rPr>
                <w:t>Press Release issued by MongoDB, Inc. on June 26, 2018.</w:t>
              </w:r>
            </w:hyperlink>
          </w:p>
        </w:tc>
        <w:tc>
          <w:tcPr>
            <w:tcW w:w="5720" w:type="dxa"/>
            <w:vAlign w:val="bottom"/>
            <w:gridSpan w:val="4"/>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6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65" w:gutter="0" w:footer="0" w:header="0"/>
          <w:type w:val="continuous"/>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8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MONGODB, INC.</w:t>
      </w:r>
    </w:p>
    <w:p>
      <w:pPr>
        <w:spacing w:after="0" w:line="229"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Andrew Stephens</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Andrew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28, 2018</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4" w:name="page5"/>
    <w:bookmarkEnd w:id="4"/>
    <w:p>
      <w:pPr>
        <w:ind w:left="10580"/>
        <w:spacing w:after="0"/>
        <w:rPr>
          <w:sz w:val="20"/>
          <w:szCs w:val="20"/>
          <w:color w:val="auto"/>
        </w:rPr>
      </w:pPr>
      <w:r>
        <w:rPr>
          <w:rFonts w:ascii="Arial" w:cs="Arial" w:eastAsia="Arial" w:hAnsi="Arial"/>
          <w:sz w:val="17"/>
          <w:szCs w:val="17"/>
          <w:b w:val="1"/>
          <w:bCs w:val="1"/>
          <w:color w:val="auto"/>
        </w:rPr>
        <w:t>Exhibit 4.1</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p>
        </w:tc>
        <w:tc>
          <w:tcPr>
            <w:tcW w:w="9200" w:type="dxa"/>
            <w:vAlign w:val="bottom"/>
          </w:tcPr>
          <w:p>
            <w:pPr>
              <w:jc w:val="center"/>
              <w:ind w:right="90"/>
              <w:spacing w:after="0"/>
              <w:rPr>
                <w:sz w:val="20"/>
                <w:szCs w:val="20"/>
                <w:color w:val="auto"/>
              </w:rPr>
            </w:pPr>
            <w:r>
              <w:rPr>
                <w:rFonts w:ascii="Arial" w:cs="Arial" w:eastAsia="Arial" w:hAnsi="Arial"/>
                <w:sz w:val="18"/>
                <w:szCs w:val="18"/>
                <w:color w:val="auto"/>
                <w:w w:val="97"/>
              </w:rPr>
              <w:t>MONGODB, INC.</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00" w:type="dxa"/>
            <w:vAlign w:val="bottom"/>
          </w:tcPr>
          <w:p>
            <w:pPr>
              <w:spacing w:after="0"/>
              <w:rPr>
                <w:sz w:val="24"/>
                <w:szCs w:val="24"/>
                <w:color w:val="auto"/>
              </w:rPr>
            </w:pPr>
          </w:p>
        </w:tc>
        <w:tc>
          <w:tcPr>
            <w:tcW w:w="9200" w:type="dxa"/>
            <w:vAlign w:val="bottom"/>
          </w:tcPr>
          <w:p>
            <w:pPr>
              <w:jc w:val="center"/>
              <w:ind w:right="90"/>
              <w:spacing w:after="0"/>
              <w:rPr>
                <w:sz w:val="20"/>
                <w:szCs w:val="20"/>
                <w:color w:val="auto"/>
              </w:rPr>
            </w:pPr>
            <w:r>
              <w:rPr>
                <w:rFonts w:ascii="Arial" w:cs="Arial" w:eastAsia="Arial" w:hAnsi="Arial"/>
                <w:sz w:val="18"/>
                <w:szCs w:val="18"/>
                <w:color w:val="auto"/>
                <w:w w:val="99"/>
              </w:rPr>
              <w:t>AND</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9200" w:type="dxa"/>
            <w:vAlign w:val="bottom"/>
          </w:tcPr>
          <w:p>
            <w:pPr>
              <w:jc w:val="center"/>
              <w:ind w:right="90"/>
              <w:spacing w:after="0"/>
              <w:rPr>
                <w:sz w:val="20"/>
                <w:szCs w:val="20"/>
                <w:color w:val="auto"/>
              </w:rPr>
            </w:pPr>
            <w:r>
              <w:rPr>
                <w:rFonts w:ascii="Arial" w:cs="Arial" w:eastAsia="Arial" w:hAnsi="Arial"/>
                <w:sz w:val="18"/>
                <w:szCs w:val="18"/>
                <w:color w:val="auto"/>
                <w:w w:val="97"/>
              </w:rPr>
              <w:t>U.S. BANK NATIONAL ASSOCIATION,</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9200" w:type="dxa"/>
            <w:vAlign w:val="bottom"/>
          </w:tcPr>
          <w:p>
            <w:pPr>
              <w:jc w:val="center"/>
              <w:ind w:right="90"/>
              <w:spacing w:after="0"/>
              <w:rPr>
                <w:sz w:val="20"/>
                <w:szCs w:val="20"/>
                <w:color w:val="auto"/>
              </w:rPr>
            </w:pPr>
            <w:r>
              <w:rPr>
                <w:rFonts w:ascii="Arial" w:cs="Arial" w:eastAsia="Arial" w:hAnsi="Arial"/>
                <w:sz w:val="18"/>
                <w:szCs w:val="18"/>
                <w:color w:val="auto"/>
                <w:w w:val="86"/>
              </w:rPr>
              <w:t>as Trustee</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9200" w:type="dxa"/>
            <w:vAlign w:val="bottom"/>
          </w:tcPr>
          <w:p>
            <w:pPr>
              <w:jc w:val="center"/>
              <w:ind w:right="90"/>
              <w:spacing w:after="0"/>
              <w:rPr>
                <w:sz w:val="20"/>
                <w:szCs w:val="20"/>
                <w:color w:val="auto"/>
              </w:rPr>
            </w:pPr>
            <w:r>
              <w:rPr>
                <w:rFonts w:ascii="Arial" w:cs="Arial" w:eastAsia="Arial" w:hAnsi="Arial"/>
                <w:sz w:val="18"/>
                <w:szCs w:val="18"/>
                <w:color w:val="auto"/>
                <w:w w:val="97"/>
              </w:rPr>
              <w:t>INDENTURE</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9200" w:type="dxa"/>
            <w:vAlign w:val="bottom"/>
          </w:tcPr>
          <w:p>
            <w:pPr>
              <w:jc w:val="center"/>
              <w:ind w:right="90"/>
              <w:spacing w:after="0"/>
              <w:rPr>
                <w:sz w:val="20"/>
                <w:szCs w:val="20"/>
                <w:color w:val="auto"/>
              </w:rPr>
            </w:pPr>
            <w:r>
              <w:rPr>
                <w:rFonts w:ascii="Arial" w:cs="Arial" w:eastAsia="Arial" w:hAnsi="Arial"/>
                <w:sz w:val="18"/>
                <w:szCs w:val="18"/>
                <w:color w:val="auto"/>
                <w:w w:val="88"/>
              </w:rPr>
              <w:t>Dated as of June 28, 2018</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9200" w:type="dxa"/>
            <w:vAlign w:val="bottom"/>
          </w:tcPr>
          <w:p>
            <w:pPr>
              <w:jc w:val="center"/>
              <w:ind w:right="90"/>
              <w:spacing w:after="0"/>
              <w:rPr>
                <w:sz w:val="20"/>
                <w:szCs w:val="20"/>
                <w:color w:val="auto"/>
              </w:rPr>
            </w:pPr>
            <w:r>
              <w:rPr>
                <w:rFonts w:ascii="Arial" w:cs="Arial" w:eastAsia="Arial" w:hAnsi="Arial"/>
                <w:sz w:val="18"/>
                <w:szCs w:val="18"/>
                <w:color w:val="auto"/>
                <w:w w:val="91"/>
              </w:rPr>
              <w:t>0.75% Convertible Senior Notes due 2024</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1200" w:type="dxa"/>
            <w:vAlign w:val="bottom"/>
            <w:tcBorders>
              <w:bottom w:val="single" w:sz="8" w:color="808080"/>
            </w:tcBorders>
          </w:tcPr>
          <w:p>
            <w:pPr>
              <w:spacing w:after="0"/>
              <w:rPr>
                <w:sz w:val="24"/>
                <w:szCs w:val="24"/>
                <w:color w:val="auto"/>
              </w:rPr>
            </w:pPr>
          </w:p>
        </w:tc>
        <w:tc>
          <w:tcPr>
            <w:tcW w:w="92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780"/>
        </w:trPr>
        <w:tc>
          <w:tcPr>
            <w:tcW w:w="1200" w:type="dxa"/>
            <w:vAlign w:val="bottom"/>
          </w:tcPr>
          <w:p>
            <w:pPr>
              <w:spacing w:after="0"/>
              <w:rPr>
                <w:sz w:val="24"/>
                <w:szCs w:val="24"/>
                <w:color w:val="auto"/>
              </w:rPr>
            </w:pPr>
          </w:p>
        </w:tc>
        <w:tc>
          <w:tcPr>
            <w:tcW w:w="920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TABLE OF CONTENTS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20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398"/>
        </w:trPr>
        <w:tc>
          <w:tcPr>
            <w:tcW w:w="1200" w:type="dxa"/>
            <w:vAlign w:val="bottom"/>
          </w:tcPr>
          <w:p>
            <w:pPr>
              <w:spacing w:after="0"/>
              <w:rPr>
                <w:sz w:val="24"/>
                <w:szCs w:val="24"/>
                <w:color w:val="auto"/>
              </w:rPr>
            </w:pPr>
          </w:p>
        </w:tc>
        <w:tc>
          <w:tcPr>
            <w:tcW w:w="9200" w:type="dxa"/>
            <w:vAlign w:val="bottom"/>
          </w:tcPr>
          <w:p>
            <w:pPr>
              <w:jc w:val="center"/>
              <w:ind w:right="70"/>
              <w:spacing w:after="0"/>
              <w:rPr>
                <w:sz w:val="20"/>
                <w:szCs w:val="20"/>
                <w:color w:val="auto"/>
              </w:rPr>
            </w:pPr>
            <w:r>
              <w:rPr>
                <w:rFonts w:ascii="Arial" w:cs="Arial" w:eastAsia="Arial" w:hAnsi="Arial"/>
                <w:sz w:val="18"/>
                <w:szCs w:val="18"/>
                <w:color w:val="auto"/>
                <w:w w:val="96"/>
              </w:rPr>
              <w:t>ARTICLE 1</w:t>
            </w:r>
          </w:p>
        </w:tc>
        <w:tc>
          <w:tcPr>
            <w:tcW w:w="1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9200" w:type="dxa"/>
            <w:vAlign w:val="bottom"/>
          </w:tcPr>
          <w:p>
            <w:pPr>
              <w:jc w:val="center"/>
              <w:ind w:right="70"/>
              <w:spacing w:after="0"/>
              <w:rPr>
                <w:sz w:val="20"/>
                <w:szCs w:val="20"/>
                <w:color w:val="auto"/>
              </w:rPr>
            </w:pPr>
            <w:r>
              <w:rPr>
                <w:rFonts w:ascii="Arial" w:cs="Arial" w:eastAsia="Arial" w:hAnsi="Arial"/>
                <w:sz w:val="18"/>
                <w:szCs w:val="18"/>
                <w:color w:val="auto"/>
                <w:w w:val="98"/>
              </w:rPr>
              <w:t>DEFINITIONS</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Definitions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1.02</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References to Interest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18"/>
        </w:trPr>
        <w:tc>
          <w:tcPr>
            <w:tcW w:w="1200" w:type="dxa"/>
            <w:vAlign w:val="bottom"/>
          </w:tcPr>
          <w:p>
            <w:pPr>
              <w:spacing w:after="0"/>
              <w:rPr>
                <w:sz w:val="24"/>
                <w:szCs w:val="24"/>
                <w:color w:val="auto"/>
              </w:rPr>
            </w:pPr>
          </w:p>
        </w:tc>
        <w:tc>
          <w:tcPr>
            <w:tcW w:w="9200" w:type="dxa"/>
            <w:vAlign w:val="bottom"/>
          </w:tcPr>
          <w:p>
            <w:pPr>
              <w:jc w:val="center"/>
              <w:ind w:right="70"/>
              <w:spacing w:after="0"/>
              <w:rPr>
                <w:sz w:val="20"/>
                <w:szCs w:val="20"/>
                <w:color w:val="auto"/>
              </w:rPr>
            </w:pPr>
            <w:r>
              <w:rPr>
                <w:rFonts w:ascii="Arial" w:cs="Arial" w:eastAsia="Arial" w:hAnsi="Arial"/>
                <w:sz w:val="18"/>
                <w:szCs w:val="18"/>
                <w:color w:val="auto"/>
                <w:w w:val="96"/>
              </w:rPr>
              <w:t>ARTICLE 2</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9200" w:type="dxa"/>
            <w:vAlign w:val="bottom"/>
          </w:tcPr>
          <w:p>
            <w:pPr>
              <w:jc w:val="center"/>
              <w:ind w:right="90"/>
              <w:spacing w:after="0"/>
              <w:rPr>
                <w:sz w:val="20"/>
                <w:szCs w:val="20"/>
                <w:color w:val="auto"/>
              </w:rPr>
            </w:pPr>
            <w:r>
              <w:rPr>
                <w:rFonts w:ascii="Arial" w:cs="Arial" w:eastAsia="Arial" w:hAnsi="Arial"/>
                <w:sz w:val="18"/>
                <w:szCs w:val="18"/>
                <w:color w:val="auto"/>
                <w:w w:val="95"/>
              </w:rPr>
              <w:t>ISSUE, DESCRIPTION, EXECUTION, REGISTRATION AND EXCHANGE OF NOTES</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2.01</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Designation and Amount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Form of Notes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Date and Denomination of Notes; Payments of Interest and Defaulted Amounts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Execution, Authentication and Delivery of Notes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2.05</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Exchange and Registration of Transfer of Notes; Restrictions on Transfer; Depositary</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2.06</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Mutilated, Destroyed, Lost or Stolen Notes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2.07</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Temporary Notes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2.08</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Cancellation of Notes Paid, Converted, Etc.</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2.09</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CUSIP Numbers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2.10</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Additional Notes; Repurchases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418"/>
        </w:trPr>
        <w:tc>
          <w:tcPr>
            <w:tcW w:w="1200" w:type="dxa"/>
            <w:vAlign w:val="bottom"/>
          </w:tcPr>
          <w:p>
            <w:pPr>
              <w:spacing w:after="0"/>
              <w:rPr>
                <w:sz w:val="24"/>
                <w:szCs w:val="24"/>
                <w:color w:val="auto"/>
              </w:rPr>
            </w:pPr>
          </w:p>
        </w:tc>
        <w:tc>
          <w:tcPr>
            <w:tcW w:w="9200" w:type="dxa"/>
            <w:vAlign w:val="bottom"/>
          </w:tcPr>
          <w:p>
            <w:pPr>
              <w:jc w:val="center"/>
              <w:ind w:right="70"/>
              <w:spacing w:after="0"/>
              <w:rPr>
                <w:sz w:val="20"/>
                <w:szCs w:val="20"/>
                <w:color w:val="auto"/>
              </w:rPr>
            </w:pPr>
            <w:r>
              <w:rPr>
                <w:rFonts w:ascii="Arial" w:cs="Arial" w:eastAsia="Arial" w:hAnsi="Arial"/>
                <w:sz w:val="18"/>
                <w:szCs w:val="18"/>
                <w:color w:val="auto"/>
                <w:w w:val="96"/>
              </w:rPr>
              <w:t>ARTICLE 3</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9200" w:type="dxa"/>
            <w:vAlign w:val="bottom"/>
          </w:tcPr>
          <w:p>
            <w:pPr>
              <w:jc w:val="center"/>
              <w:ind w:right="70"/>
              <w:spacing w:after="0"/>
              <w:rPr>
                <w:sz w:val="20"/>
                <w:szCs w:val="20"/>
                <w:color w:val="auto"/>
              </w:rPr>
            </w:pPr>
            <w:r>
              <w:rPr>
                <w:rFonts w:ascii="Arial" w:cs="Arial" w:eastAsia="Arial" w:hAnsi="Arial"/>
                <w:sz w:val="18"/>
                <w:szCs w:val="18"/>
                <w:color w:val="auto"/>
                <w:w w:val="96"/>
              </w:rPr>
              <w:t>SATISFACTION AND DISCHARGE</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Section 3.01</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Satisfaction and Discharge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18"/>
        </w:trPr>
        <w:tc>
          <w:tcPr>
            <w:tcW w:w="1200" w:type="dxa"/>
            <w:vAlign w:val="bottom"/>
          </w:tcPr>
          <w:p>
            <w:pPr>
              <w:spacing w:after="0"/>
              <w:rPr>
                <w:sz w:val="24"/>
                <w:szCs w:val="24"/>
                <w:color w:val="auto"/>
              </w:rPr>
            </w:pPr>
          </w:p>
        </w:tc>
        <w:tc>
          <w:tcPr>
            <w:tcW w:w="9200" w:type="dxa"/>
            <w:vAlign w:val="bottom"/>
          </w:tcPr>
          <w:p>
            <w:pPr>
              <w:jc w:val="center"/>
              <w:ind w:right="70"/>
              <w:spacing w:after="0"/>
              <w:rPr>
                <w:sz w:val="20"/>
                <w:szCs w:val="20"/>
                <w:color w:val="auto"/>
              </w:rPr>
            </w:pPr>
            <w:r>
              <w:rPr>
                <w:rFonts w:ascii="Arial" w:cs="Arial" w:eastAsia="Arial" w:hAnsi="Arial"/>
                <w:sz w:val="18"/>
                <w:szCs w:val="18"/>
                <w:color w:val="auto"/>
                <w:w w:val="96"/>
              </w:rPr>
              <w:t>ARTICLE 4</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9200" w:type="dxa"/>
            <w:vAlign w:val="bottom"/>
          </w:tcPr>
          <w:p>
            <w:pPr>
              <w:jc w:val="center"/>
              <w:ind w:right="70"/>
              <w:spacing w:after="0"/>
              <w:rPr>
                <w:sz w:val="20"/>
                <w:szCs w:val="20"/>
                <w:color w:val="auto"/>
              </w:rPr>
            </w:pPr>
            <w:r>
              <w:rPr>
                <w:rFonts w:ascii="Arial" w:cs="Arial" w:eastAsia="Arial" w:hAnsi="Arial"/>
                <w:sz w:val="18"/>
                <w:szCs w:val="18"/>
                <w:color w:val="auto"/>
                <w:w w:val="96"/>
              </w:rPr>
              <w:t>PARTICULAR COVENANTS OF THE COMPANY</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Payment of Principal and Interest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4.02</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Maintenance of Office or Agency</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4.03</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Appointments to Fill Vacancies in Trustee’s Office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Provisions as to Paying Agent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Existence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4.06</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Rule 144A Information Requirement and Annual Reports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4.07</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Stay, Extension and Usury Laws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4.08</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Compliance Certificate; Statements as to Defaults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4.09</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Further Instruments and Acts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432"/>
        </w:trPr>
        <w:tc>
          <w:tcPr>
            <w:tcW w:w="1200" w:type="dxa"/>
            <w:vAlign w:val="bottom"/>
          </w:tcPr>
          <w:p>
            <w:pPr>
              <w:spacing w:after="0"/>
              <w:rPr>
                <w:sz w:val="24"/>
                <w:szCs w:val="24"/>
                <w:color w:val="auto"/>
              </w:rPr>
            </w:pPr>
          </w:p>
        </w:tc>
        <w:tc>
          <w:tcPr>
            <w:tcW w:w="9200" w:type="dxa"/>
            <w:vAlign w:val="bottom"/>
          </w:tcPr>
          <w:p>
            <w:pPr>
              <w:jc w:val="center"/>
              <w:ind w:right="90"/>
              <w:spacing w:after="0"/>
              <w:rPr>
                <w:sz w:val="20"/>
                <w:szCs w:val="20"/>
                <w:color w:val="auto"/>
              </w:rPr>
            </w:pPr>
            <w:r>
              <w:rPr>
                <w:rFonts w:ascii="Arial" w:cs="Arial" w:eastAsia="Arial" w:hAnsi="Arial"/>
                <w:sz w:val="18"/>
                <w:szCs w:val="18"/>
                <w:color w:val="auto"/>
              </w:rPr>
              <w:t>i</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00" w:type="dxa"/>
            <w:vAlign w:val="bottom"/>
            <w:tcBorders>
              <w:bottom w:val="single" w:sz="8" w:color="808080"/>
            </w:tcBorders>
          </w:tcPr>
          <w:p>
            <w:pPr>
              <w:spacing w:after="0"/>
              <w:rPr>
                <w:sz w:val="11"/>
                <w:szCs w:val="11"/>
                <w:color w:val="auto"/>
              </w:rPr>
            </w:pPr>
          </w:p>
        </w:tc>
        <w:tc>
          <w:tcPr>
            <w:tcW w:w="92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66"/>
        </w:trPr>
        <w:tc>
          <w:tcPr>
            <w:tcW w:w="1200" w:type="dxa"/>
            <w:vAlign w:val="bottom"/>
          </w:tcPr>
          <w:p>
            <w:pPr>
              <w:spacing w:after="0"/>
              <w:rPr>
                <w:sz w:val="24"/>
                <w:szCs w:val="24"/>
                <w:color w:val="auto"/>
              </w:rPr>
            </w:pPr>
          </w:p>
        </w:tc>
        <w:tc>
          <w:tcPr>
            <w:tcW w:w="9200" w:type="dxa"/>
            <w:vAlign w:val="bottom"/>
          </w:tcPr>
          <w:p>
            <w:pPr>
              <w:jc w:val="center"/>
              <w:ind w:right="70"/>
              <w:spacing w:after="0"/>
              <w:rPr>
                <w:sz w:val="20"/>
                <w:szCs w:val="20"/>
                <w:color w:val="auto"/>
              </w:rPr>
            </w:pPr>
            <w:r>
              <w:rPr>
                <w:rFonts w:ascii="Arial" w:cs="Arial" w:eastAsia="Arial" w:hAnsi="Arial"/>
                <w:sz w:val="18"/>
                <w:szCs w:val="18"/>
                <w:color w:val="auto"/>
                <w:w w:val="96"/>
              </w:rPr>
              <w:t>ARTICLE 5</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9200" w:type="dxa"/>
            <w:vAlign w:val="bottom"/>
          </w:tcPr>
          <w:p>
            <w:pPr>
              <w:jc w:val="center"/>
              <w:ind w:right="90"/>
              <w:spacing w:after="0"/>
              <w:rPr>
                <w:sz w:val="20"/>
                <w:szCs w:val="20"/>
                <w:color w:val="auto"/>
              </w:rPr>
            </w:pPr>
            <w:r>
              <w:rPr>
                <w:rFonts w:ascii="Arial" w:cs="Arial" w:eastAsia="Arial" w:hAnsi="Arial"/>
                <w:sz w:val="18"/>
                <w:szCs w:val="18"/>
                <w:color w:val="auto"/>
                <w:w w:val="95"/>
              </w:rPr>
              <w:t>LISTS OF HOLDERS AND REPORTS BY THE COMPANY AND THE TRUSTEE</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Lists of Holders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5.02</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Preservation and Disclosure of Lists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418"/>
        </w:trPr>
        <w:tc>
          <w:tcPr>
            <w:tcW w:w="1200" w:type="dxa"/>
            <w:vAlign w:val="bottom"/>
          </w:tcPr>
          <w:p>
            <w:pPr>
              <w:spacing w:after="0"/>
              <w:rPr>
                <w:sz w:val="24"/>
                <w:szCs w:val="24"/>
                <w:color w:val="auto"/>
              </w:rPr>
            </w:pPr>
          </w:p>
        </w:tc>
        <w:tc>
          <w:tcPr>
            <w:tcW w:w="9200" w:type="dxa"/>
            <w:vAlign w:val="bottom"/>
          </w:tcPr>
          <w:p>
            <w:pPr>
              <w:jc w:val="center"/>
              <w:ind w:right="70"/>
              <w:spacing w:after="0"/>
              <w:rPr>
                <w:sz w:val="20"/>
                <w:szCs w:val="20"/>
                <w:color w:val="auto"/>
              </w:rPr>
            </w:pPr>
            <w:r>
              <w:rPr>
                <w:rFonts w:ascii="Arial" w:cs="Arial" w:eastAsia="Arial" w:hAnsi="Arial"/>
                <w:sz w:val="18"/>
                <w:szCs w:val="18"/>
                <w:color w:val="auto"/>
                <w:w w:val="96"/>
              </w:rPr>
              <w:t>ARTICLE 6</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9200" w:type="dxa"/>
            <w:vAlign w:val="bottom"/>
          </w:tcPr>
          <w:p>
            <w:pPr>
              <w:jc w:val="center"/>
              <w:ind w:right="90"/>
              <w:spacing w:after="0"/>
              <w:rPr>
                <w:sz w:val="20"/>
                <w:szCs w:val="20"/>
                <w:color w:val="auto"/>
              </w:rPr>
            </w:pPr>
            <w:r>
              <w:rPr>
                <w:rFonts w:ascii="Arial" w:cs="Arial" w:eastAsia="Arial" w:hAnsi="Arial"/>
                <w:sz w:val="18"/>
                <w:szCs w:val="18"/>
                <w:color w:val="auto"/>
                <w:w w:val="95"/>
              </w:rPr>
              <w:t>DEFAULTS AND REMEDIES</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Events of Default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6.02.</w:t>
            </w:r>
          </w:p>
        </w:tc>
        <w:tc>
          <w:tcPr>
            <w:tcW w:w="9200" w:type="dxa"/>
            <w:vAlign w:val="bottom"/>
          </w:tcPr>
          <w:p>
            <w:pPr>
              <w:ind w:left="240"/>
              <w:spacing w:after="0"/>
              <w:rPr>
                <w:sz w:val="20"/>
                <w:szCs w:val="20"/>
                <w:color w:val="auto"/>
              </w:rPr>
            </w:pPr>
            <w:r>
              <w:rPr>
                <w:rFonts w:ascii="Arial" w:cs="Arial" w:eastAsia="Arial" w:hAnsi="Arial"/>
                <w:sz w:val="18"/>
                <w:szCs w:val="18"/>
                <w:i w:val="1"/>
                <w:iCs w:val="1"/>
                <w:color w:val="auto"/>
              </w:rPr>
              <w:t>Acceleration; Rescission and Annulment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-8208645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-8208645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-1896745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6.03.</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Additional Interest</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6.04</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Payments of Notes on Default; Suit Therefor</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6.05</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Application of Monies Collected by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6.06</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Proceedings by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6.07</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Proceedings by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6.08</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Remedies Cumulative and Continuing</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6.09</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Direction of Proceedings and Waiver of Defaults by Majority of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6.10</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Notice of Defaults</w:t>
            </w: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6.11</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Undertaking to Pay Costs</w:t>
            </w: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1240" w:type="dxa"/>
            <w:vAlign w:val="bottom"/>
          </w:tcPr>
          <w:p>
            <w:pPr>
              <w:spacing w:after="0"/>
              <w:rPr>
                <w:sz w:val="24"/>
                <w:szCs w:val="24"/>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6"/>
              </w:rPr>
              <w:t>ARTICLE 7</w:t>
            </w:r>
          </w:p>
        </w:tc>
        <w:tc>
          <w:tcPr>
            <w:tcW w:w="13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5"/>
              </w:rPr>
              <w:t>CONCERNING THE TRUSTEE</w:t>
            </w:r>
          </w:p>
        </w:tc>
        <w:tc>
          <w:tcPr>
            <w:tcW w:w="132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7.01</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Duties and Responsibilities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Reliance on Documents, Opinions, Etc.</w:t>
            </w: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7.03</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No Responsibility for Recitals, Etc.</w:t>
            </w: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7.04</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Trustee, Paying Agents, Conversion Agents, Bid Solicitation Agent or Note Registrar May Own Notes</w:t>
            </w: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7.05</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Monies and Shares of Common Stock to Be Held in Trust</w:t>
            </w: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7.06</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Compensation and Expenses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7.07</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Officer’s Certificate as Evidence</w:t>
            </w: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7.08</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Eligibility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7.09</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Resignation or Removal of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7.10</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Acceptance by Successor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7.11</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Succession by Merger, Etc.</w:t>
            </w: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7.12</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Trustee’s Application for Instructions from the Company</w:t>
            </w: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18"/>
        </w:trPr>
        <w:tc>
          <w:tcPr>
            <w:tcW w:w="1240" w:type="dxa"/>
            <w:vAlign w:val="bottom"/>
          </w:tcPr>
          <w:p>
            <w:pPr>
              <w:spacing w:after="0"/>
              <w:rPr>
                <w:sz w:val="24"/>
                <w:szCs w:val="24"/>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6"/>
              </w:rPr>
              <w:t>ARTICLE 8</w:t>
            </w:r>
          </w:p>
        </w:tc>
        <w:tc>
          <w:tcPr>
            <w:tcW w:w="13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6"/>
              </w:rPr>
              <w:t>CONCERNING THE HOLDERS</w:t>
            </w:r>
          </w:p>
        </w:tc>
        <w:tc>
          <w:tcPr>
            <w:tcW w:w="132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8.01</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Action by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8.02</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Proof of Execution by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8.03</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Who Are Deemed Absolute Owners</w:t>
            </w: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8.04</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Company-Owned Notes Disregarded</w:t>
            </w: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8.05</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Revocation of Consents; Future Holders Bound</w:t>
            </w: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240" w:type="dxa"/>
            <w:vAlign w:val="bottom"/>
          </w:tcPr>
          <w:p>
            <w:pPr>
              <w:spacing w:after="0"/>
              <w:rPr>
                <w:sz w:val="24"/>
                <w:szCs w:val="24"/>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rPr>
              <w:t>ii</w:t>
            </w:r>
          </w:p>
        </w:tc>
        <w:tc>
          <w:tcPr>
            <w:tcW w:w="1320" w:type="dxa"/>
            <w:vAlign w:val="bottom"/>
          </w:tcPr>
          <w:p>
            <w:pPr>
              <w:spacing w:after="0"/>
              <w:rPr>
                <w:sz w:val="24"/>
                <w:szCs w:val="24"/>
                <w:color w:val="auto"/>
              </w:rPr>
            </w:pPr>
          </w:p>
        </w:tc>
      </w:tr>
      <w:tr>
        <w:trPr>
          <w:trHeight w:val="132"/>
        </w:trPr>
        <w:tc>
          <w:tcPr>
            <w:tcW w:w="1240" w:type="dxa"/>
            <w:vAlign w:val="bottom"/>
            <w:tcBorders>
              <w:bottom w:val="single" w:sz="8" w:color="808080"/>
            </w:tcBorders>
          </w:tcPr>
          <w:p>
            <w:pPr>
              <w:spacing w:after="0"/>
              <w:rPr>
                <w:sz w:val="11"/>
                <w:szCs w:val="11"/>
                <w:color w:val="auto"/>
              </w:rPr>
            </w:pPr>
          </w:p>
        </w:tc>
        <w:tc>
          <w:tcPr>
            <w:tcW w:w="890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r>
      <w:tr>
        <w:trPr>
          <w:trHeight w:val="766"/>
        </w:trPr>
        <w:tc>
          <w:tcPr>
            <w:tcW w:w="1240" w:type="dxa"/>
            <w:vAlign w:val="bottom"/>
          </w:tcPr>
          <w:p>
            <w:pPr>
              <w:spacing w:after="0"/>
              <w:rPr>
                <w:sz w:val="24"/>
                <w:szCs w:val="24"/>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6"/>
              </w:rPr>
              <w:t>ARTICLE 9</w:t>
            </w:r>
          </w:p>
        </w:tc>
        <w:tc>
          <w:tcPr>
            <w:tcW w:w="13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6"/>
              </w:rPr>
              <w:t>HOLDERS’ MEETINGS</w:t>
            </w:r>
          </w:p>
        </w:tc>
        <w:tc>
          <w:tcPr>
            <w:tcW w:w="132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9.01</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Purpose of Meetings</w:t>
            </w: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9.02</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Call of Meetings by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9.03</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Call of Meetings by Company or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9.04</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Qualifications for Voting</w:t>
            </w:r>
          </w:p>
        </w:tc>
        <w:tc>
          <w:tcPr>
            <w:tcW w:w="13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9.05</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Regulations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9.06</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Voting</w:t>
            </w: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9.07</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No Delay of Rights by Meeting</w:t>
            </w: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418"/>
        </w:trPr>
        <w:tc>
          <w:tcPr>
            <w:tcW w:w="1240" w:type="dxa"/>
            <w:vAlign w:val="bottom"/>
          </w:tcPr>
          <w:p>
            <w:pPr>
              <w:spacing w:after="0"/>
              <w:rPr>
                <w:sz w:val="24"/>
                <w:szCs w:val="24"/>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6"/>
              </w:rPr>
              <w:t>ARTICLE 10</w:t>
            </w:r>
          </w:p>
        </w:tc>
        <w:tc>
          <w:tcPr>
            <w:tcW w:w="13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6"/>
              </w:rPr>
              <w:t>SUPPLEMENTAL INDENTURES</w:t>
            </w:r>
          </w:p>
        </w:tc>
        <w:tc>
          <w:tcPr>
            <w:tcW w:w="132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10.01</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Supplemental Indentures Without Consent of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10.02</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Supplemental Indentures with Consent of 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10.03</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Effect of 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10.04</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Notation on Notes</w:t>
            </w: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10.05</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Evidence of Compliance of Supplemental Indenture to Be Furnished Trustee</w:t>
            </w: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18"/>
        </w:trPr>
        <w:tc>
          <w:tcPr>
            <w:tcW w:w="1240" w:type="dxa"/>
            <w:vAlign w:val="bottom"/>
          </w:tcPr>
          <w:p>
            <w:pPr>
              <w:spacing w:after="0"/>
              <w:rPr>
                <w:sz w:val="24"/>
                <w:szCs w:val="24"/>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4"/>
              </w:rPr>
              <w:t>ARTICLE 11</w:t>
            </w:r>
          </w:p>
        </w:tc>
        <w:tc>
          <w:tcPr>
            <w:tcW w:w="13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6"/>
              </w:rPr>
              <w:t>CONSOLIDATION, MERGER, SALE, CONVEYANCE AND LEASE</w:t>
            </w:r>
          </w:p>
        </w:tc>
        <w:tc>
          <w:tcPr>
            <w:tcW w:w="132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Company May Consolidate, Etc. on Certain Terms</w:t>
            </w: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11.02</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Successor Corporation to Be Substituted</w:t>
            </w:r>
          </w:p>
        </w:tc>
        <w:tc>
          <w:tcPr>
            <w:tcW w:w="1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8"/>
        </w:trPr>
        <w:tc>
          <w:tcPr>
            <w:tcW w:w="1240" w:type="dxa"/>
            <w:vAlign w:val="bottom"/>
          </w:tcPr>
          <w:p>
            <w:pPr>
              <w:spacing w:after="0"/>
              <w:rPr>
                <w:sz w:val="24"/>
                <w:szCs w:val="24"/>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6"/>
              </w:rPr>
              <w:t>ARTICLE 12</w:t>
            </w:r>
          </w:p>
        </w:tc>
        <w:tc>
          <w:tcPr>
            <w:tcW w:w="13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5"/>
              </w:rPr>
              <w:t>IMMUNITY OF INCORPORATORS, STOCKHOLDERS, OFFICERS AND DIRECTORS</w:t>
            </w:r>
          </w:p>
        </w:tc>
        <w:tc>
          <w:tcPr>
            <w:tcW w:w="132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12.01</w:t>
            </w:r>
            <w:r>
              <w:rPr>
                <w:rFonts w:ascii="Arial" w:cs="Arial" w:eastAsia="Arial" w:hAnsi="Arial"/>
                <w:sz w:val="18"/>
                <w:szCs w:val="18"/>
                <w:i w:val="1"/>
                <w:iCs w:val="1"/>
                <w:color w:val="auto"/>
              </w:rPr>
              <w:t>.</w:t>
            </w:r>
          </w:p>
        </w:tc>
        <w:tc>
          <w:tcPr>
            <w:tcW w:w="8900" w:type="dxa"/>
            <w:vAlign w:val="bottom"/>
          </w:tcPr>
          <w:p>
            <w:pPr>
              <w:ind w:left="200"/>
              <w:spacing w:after="0"/>
              <w:rPr>
                <w:sz w:val="20"/>
                <w:szCs w:val="20"/>
                <w:color w:val="auto"/>
              </w:rPr>
            </w:pPr>
            <w:r>
              <w:rPr>
                <w:rFonts w:ascii="Arial" w:cs="Arial" w:eastAsia="Arial" w:hAnsi="Arial"/>
                <w:sz w:val="18"/>
                <w:szCs w:val="18"/>
                <w:i w:val="1"/>
                <w:iCs w:val="1"/>
                <w:color w:val="auto"/>
              </w:rPr>
              <w:t>Indenture and Notes Solely Corporate Obligations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8"/>
        </w:trPr>
        <w:tc>
          <w:tcPr>
            <w:tcW w:w="1240" w:type="dxa"/>
            <w:vAlign w:val="bottom"/>
          </w:tcPr>
          <w:p>
            <w:pPr>
              <w:spacing w:after="0"/>
              <w:rPr>
                <w:sz w:val="24"/>
                <w:szCs w:val="24"/>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w w:val="96"/>
              </w:rPr>
              <w:t>ARTICLE 13</w:t>
            </w:r>
          </w:p>
        </w:tc>
        <w:tc>
          <w:tcPr>
            <w:tcW w:w="13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8900" w:type="dxa"/>
            <w:vAlign w:val="bottom"/>
          </w:tcPr>
          <w:p>
            <w:pPr>
              <w:jc w:val="center"/>
              <w:spacing w:after="0"/>
              <w:rPr>
                <w:sz w:val="20"/>
                <w:szCs w:val="20"/>
                <w:color w:val="auto"/>
              </w:rPr>
            </w:pPr>
            <w:r>
              <w:rPr>
                <w:rFonts w:ascii="Arial" w:cs="Arial" w:eastAsia="Arial" w:hAnsi="Arial"/>
                <w:sz w:val="18"/>
                <w:szCs w:val="18"/>
                <w:color w:val="auto"/>
              </w:rPr>
              <w:t>INTENTIONALLY OMITTED</w:t>
            </w: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-4915535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-4915535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14</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CONVERSION OF NOTES</w:t>
      </w:r>
    </w:p>
    <w:p>
      <w:pPr>
        <w:sectPr>
          <w:pgSz w:w="11900" w:h="16838" w:orient="portrait"/>
          <w:cols w:equalWidth="0" w:num="1">
            <w:col w:w="11460"/>
          </w:cols>
          <w:pgMar w:left="240" w:top="125" w:right="19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14.01</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Conversion Privilege</w:t>
            </w: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14.02</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Conversion Procedure; Settlement Upon Conversion</w:t>
            </w: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14.03</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w w:val="98"/>
              </w:rPr>
              <w:t>Increased Conversion Rate Applicable to Certain Notes Surrendered in Connection with Make-Whole Fundamental</w:t>
            </w:r>
          </w:p>
        </w:tc>
        <w:tc>
          <w:tcPr>
            <w:tcW w:w="100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Changes or During a Redemption Period</w:t>
            </w: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14.04</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Adjustment of Conversion Rate</w:t>
            </w: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14.05</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Adjustments of Prices</w:t>
            </w: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14.06</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Shares to Be Fully Paid</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1240" w:type="dxa"/>
            <w:vAlign w:val="bottom"/>
          </w:tcPr>
          <w:p>
            <w:pPr>
              <w:spacing w:after="0"/>
              <w:rPr>
                <w:sz w:val="24"/>
                <w:szCs w:val="24"/>
                <w:color w:val="auto"/>
              </w:rPr>
            </w:pPr>
          </w:p>
        </w:tc>
        <w:tc>
          <w:tcPr>
            <w:tcW w:w="9220" w:type="dxa"/>
            <w:vAlign w:val="bottom"/>
          </w:tcPr>
          <w:p>
            <w:pPr>
              <w:jc w:val="center"/>
              <w:ind w:right="190"/>
              <w:spacing w:after="0"/>
              <w:rPr>
                <w:sz w:val="20"/>
                <w:szCs w:val="20"/>
                <w:color w:val="auto"/>
              </w:rPr>
            </w:pPr>
            <w:r>
              <w:rPr>
                <w:rFonts w:ascii="Arial" w:cs="Arial" w:eastAsia="Arial" w:hAnsi="Arial"/>
                <w:sz w:val="18"/>
                <w:szCs w:val="18"/>
                <w:color w:val="auto"/>
              </w:rPr>
              <w:t>iii</w:t>
            </w:r>
          </w:p>
        </w:tc>
        <w:tc>
          <w:tcPr>
            <w:tcW w:w="1000" w:type="dxa"/>
            <w:vAlign w:val="bottom"/>
          </w:tcPr>
          <w:p>
            <w:pPr>
              <w:spacing w:after="0"/>
              <w:rPr>
                <w:sz w:val="24"/>
                <w:szCs w:val="24"/>
                <w:color w:val="auto"/>
              </w:rPr>
            </w:pPr>
          </w:p>
        </w:tc>
      </w:tr>
      <w:tr>
        <w:trPr>
          <w:trHeight w:val="132"/>
        </w:trPr>
        <w:tc>
          <w:tcPr>
            <w:tcW w:w="1240" w:type="dxa"/>
            <w:vAlign w:val="bottom"/>
            <w:tcBorders>
              <w:bottom w:val="single" w:sz="8" w:color="808080"/>
            </w:tcBorders>
          </w:tcPr>
          <w:p>
            <w:pPr>
              <w:spacing w:after="0"/>
              <w:rPr>
                <w:sz w:val="11"/>
                <w:szCs w:val="11"/>
                <w:color w:val="auto"/>
              </w:rPr>
            </w:pPr>
          </w:p>
        </w:tc>
        <w:tc>
          <w:tcPr>
            <w:tcW w:w="92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r>
        <w:trPr>
          <w:trHeight w:val="766"/>
        </w:trPr>
        <w:tc>
          <w:tcPr>
            <w:tcW w:w="1240" w:type="dxa"/>
            <w:vAlign w:val="bottom"/>
          </w:tcPr>
          <w:p>
            <w:pPr>
              <w:spacing w:after="0"/>
              <w:rPr>
                <w:sz w:val="20"/>
                <w:szCs w:val="20"/>
                <w:color w:val="auto"/>
              </w:rPr>
            </w:pPr>
            <w:r>
              <w:rPr>
                <w:rFonts w:ascii="Arial" w:cs="Arial" w:eastAsia="Arial" w:hAnsi="Arial"/>
                <w:sz w:val="18"/>
                <w:szCs w:val="18"/>
                <w:color w:val="auto"/>
              </w:rPr>
              <w:t>Section 14.07</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Effect of Recapitalizations, Reclassifications and Changes of the Common Stock</w:t>
            </w: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14.08</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Certain Covenants</w:t>
            </w: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14.09</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Responsibility of Trustee</w:t>
            </w:r>
          </w:p>
        </w:tc>
        <w:tc>
          <w:tcPr>
            <w:tcW w:w="10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14.10</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Notice to Holders Prior to Certain Actions</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14.11</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Stockholder Rights Plans</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14.12</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Exchange In Lieu Of Conversion</w:t>
            </w: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418"/>
        </w:trPr>
        <w:tc>
          <w:tcPr>
            <w:tcW w:w="1240" w:type="dxa"/>
            <w:vAlign w:val="bottom"/>
          </w:tcPr>
          <w:p>
            <w:pPr>
              <w:spacing w:after="0"/>
              <w:rPr>
                <w:sz w:val="24"/>
                <w:szCs w:val="24"/>
                <w:color w:val="auto"/>
              </w:rPr>
            </w:pPr>
          </w:p>
        </w:tc>
        <w:tc>
          <w:tcPr>
            <w:tcW w:w="9220" w:type="dxa"/>
            <w:vAlign w:val="bottom"/>
          </w:tcPr>
          <w:p>
            <w:pPr>
              <w:jc w:val="center"/>
              <w:ind w:right="190"/>
              <w:spacing w:after="0"/>
              <w:rPr>
                <w:sz w:val="20"/>
                <w:szCs w:val="20"/>
                <w:color w:val="auto"/>
              </w:rPr>
            </w:pPr>
            <w:r>
              <w:rPr>
                <w:rFonts w:ascii="Arial" w:cs="Arial" w:eastAsia="Arial" w:hAnsi="Arial"/>
                <w:sz w:val="18"/>
                <w:szCs w:val="18"/>
                <w:color w:val="auto"/>
                <w:w w:val="96"/>
              </w:rPr>
              <w:t>ARTICLE 15</w:t>
            </w:r>
          </w:p>
        </w:tc>
        <w:tc>
          <w:tcPr>
            <w:tcW w:w="10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220" w:type="dxa"/>
            <w:vAlign w:val="bottom"/>
          </w:tcPr>
          <w:p>
            <w:pPr>
              <w:jc w:val="center"/>
              <w:ind w:right="190"/>
              <w:spacing w:after="0"/>
              <w:rPr>
                <w:sz w:val="20"/>
                <w:szCs w:val="20"/>
                <w:color w:val="auto"/>
              </w:rPr>
            </w:pPr>
            <w:r>
              <w:rPr>
                <w:rFonts w:ascii="Arial" w:cs="Arial" w:eastAsia="Arial" w:hAnsi="Arial"/>
                <w:sz w:val="18"/>
                <w:szCs w:val="18"/>
                <w:color w:val="auto"/>
                <w:w w:val="93"/>
              </w:rPr>
              <w:t>REPURCHASE OF NOTES AT OPTION OF HOLDERS</w:t>
            </w:r>
          </w:p>
        </w:tc>
        <w:tc>
          <w:tcPr>
            <w:tcW w:w="100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15.01</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Intentionally Omitted</w:t>
            </w: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15.02</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Repurchase at Option of Holders Upon a Fundamental Change</w:t>
            </w: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15.03</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Withdrawal of Fundamental Change Repurchase Notice</w:t>
            </w: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15.04</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Deposit of Fundamental Change Repurchase Price</w:t>
            </w: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15.05.</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Covenant to Comply with Applicable Laws Upon Repurchase of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418"/>
        </w:trPr>
        <w:tc>
          <w:tcPr>
            <w:tcW w:w="1240" w:type="dxa"/>
            <w:vAlign w:val="bottom"/>
          </w:tcPr>
          <w:p>
            <w:pPr>
              <w:spacing w:after="0"/>
              <w:rPr>
                <w:sz w:val="24"/>
                <w:szCs w:val="24"/>
                <w:color w:val="auto"/>
              </w:rPr>
            </w:pPr>
          </w:p>
        </w:tc>
        <w:tc>
          <w:tcPr>
            <w:tcW w:w="9220" w:type="dxa"/>
            <w:vAlign w:val="bottom"/>
          </w:tcPr>
          <w:p>
            <w:pPr>
              <w:jc w:val="center"/>
              <w:ind w:right="190"/>
              <w:spacing w:after="0"/>
              <w:rPr>
                <w:sz w:val="20"/>
                <w:szCs w:val="20"/>
                <w:color w:val="auto"/>
              </w:rPr>
            </w:pPr>
            <w:r>
              <w:rPr>
                <w:rFonts w:ascii="Arial" w:cs="Arial" w:eastAsia="Arial" w:hAnsi="Arial"/>
                <w:sz w:val="18"/>
                <w:szCs w:val="18"/>
                <w:color w:val="auto"/>
                <w:w w:val="96"/>
              </w:rPr>
              <w:t>ARTICLE 16</w:t>
            </w:r>
          </w:p>
        </w:tc>
        <w:tc>
          <w:tcPr>
            <w:tcW w:w="10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220" w:type="dxa"/>
            <w:vAlign w:val="bottom"/>
          </w:tcPr>
          <w:p>
            <w:pPr>
              <w:jc w:val="center"/>
              <w:ind w:right="190"/>
              <w:spacing w:after="0"/>
              <w:rPr>
                <w:sz w:val="20"/>
                <w:szCs w:val="20"/>
                <w:color w:val="auto"/>
              </w:rPr>
            </w:pPr>
            <w:r>
              <w:rPr>
                <w:rFonts w:ascii="Arial" w:cs="Arial" w:eastAsia="Arial" w:hAnsi="Arial"/>
                <w:sz w:val="18"/>
                <w:szCs w:val="18"/>
                <w:color w:val="auto"/>
                <w:w w:val="97"/>
              </w:rPr>
              <w:t>OPTIONAL REDEMPTION</w:t>
            </w:r>
          </w:p>
        </w:tc>
        <w:tc>
          <w:tcPr>
            <w:tcW w:w="100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16.01.</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Optional Redemption</w:t>
            </w: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16.02.</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Notice of Optional Redemption; Selection of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16.03.</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Payment of Notes Called for Redemption</w:t>
            </w: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16.04.</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Restrictions on Redemption</w:t>
            </w: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18"/>
        </w:trPr>
        <w:tc>
          <w:tcPr>
            <w:tcW w:w="1240" w:type="dxa"/>
            <w:vAlign w:val="bottom"/>
          </w:tcPr>
          <w:p>
            <w:pPr>
              <w:spacing w:after="0"/>
              <w:rPr>
                <w:sz w:val="24"/>
                <w:szCs w:val="24"/>
                <w:color w:val="auto"/>
              </w:rPr>
            </w:pPr>
          </w:p>
        </w:tc>
        <w:tc>
          <w:tcPr>
            <w:tcW w:w="9220" w:type="dxa"/>
            <w:vAlign w:val="bottom"/>
          </w:tcPr>
          <w:p>
            <w:pPr>
              <w:jc w:val="center"/>
              <w:ind w:right="190"/>
              <w:spacing w:after="0"/>
              <w:rPr>
                <w:sz w:val="20"/>
                <w:szCs w:val="20"/>
                <w:color w:val="auto"/>
              </w:rPr>
            </w:pPr>
            <w:r>
              <w:rPr>
                <w:rFonts w:ascii="Arial" w:cs="Arial" w:eastAsia="Arial" w:hAnsi="Arial"/>
                <w:sz w:val="18"/>
                <w:szCs w:val="18"/>
                <w:color w:val="auto"/>
                <w:w w:val="96"/>
              </w:rPr>
              <w:t>ARTICLE 17</w:t>
            </w:r>
          </w:p>
        </w:tc>
        <w:tc>
          <w:tcPr>
            <w:tcW w:w="100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220" w:type="dxa"/>
            <w:vAlign w:val="bottom"/>
          </w:tcPr>
          <w:p>
            <w:pPr>
              <w:jc w:val="center"/>
              <w:ind w:right="170"/>
              <w:spacing w:after="0"/>
              <w:rPr>
                <w:sz w:val="20"/>
                <w:szCs w:val="20"/>
                <w:color w:val="auto"/>
              </w:rPr>
            </w:pPr>
            <w:r>
              <w:rPr>
                <w:rFonts w:ascii="Arial" w:cs="Arial" w:eastAsia="Arial" w:hAnsi="Arial"/>
                <w:sz w:val="18"/>
                <w:szCs w:val="18"/>
                <w:color w:val="auto"/>
                <w:w w:val="96"/>
              </w:rPr>
              <w:t>MISCELLANEOUS PROVISIONS</w:t>
            </w:r>
          </w:p>
        </w:tc>
        <w:tc>
          <w:tcPr>
            <w:tcW w:w="1000" w:type="dxa"/>
            <w:vAlign w:val="bottom"/>
          </w:tcPr>
          <w:p>
            <w:pPr>
              <w:spacing w:after="0"/>
              <w:rPr>
                <w:sz w:val="20"/>
                <w:szCs w:val="20"/>
                <w:color w:val="auto"/>
              </w:rPr>
            </w:pP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Section 17.01</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Provisions Binding on Company’s Successors</w:t>
            </w: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17.02</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Official Acts by Successor Corporation</w:t>
            </w: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17.03</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Addresses for Notices, Etc.</w:t>
            </w: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17.04</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Governing Law; Jurisdiction</w:t>
            </w: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17.05</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Evidence of Compliance with Conditions Precedent; Certificates and Opinions of Counsel to Trustee</w:t>
            </w: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17.06</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Legal Holidays</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17.07</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No Security Interest Created</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17.08</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Benefits of Indenture</w:t>
            </w: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17.09</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Table of Contents, Headings, Etc.</w:t>
            </w: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17.10</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Authenticating Agent</w:t>
            </w:r>
          </w:p>
        </w:tc>
        <w:tc>
          <w:tcPr>
            <w:tcW w:w="10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17.11</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Execution in Counterparts</w:t>
            </w: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17.12</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Severability</w:t>
            </w: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17.13</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Waiver of Jury Trial</w:t>
            </w: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17.14</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Force Majeure</w:t>
            </w: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17.15</w:t>
            </w:r>
            <w:r>
              <w:rPr>
                <w:rFonts w:ascii="Arial" w:cs="Arial" w:eastAsia="Arial" w:hAnsi="Arial"/>
                <w:sz w:val="18"/>
                <w:szCs w:val="18"/>
                <w:i w:val="1"/>
                <w:iCs w:val="1"/>
                <w:color w:val="auto"/>
              </w:rPr>
              <w:t>.</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Calculations</w:t>
            </w:r>
          </w:p>
        </w:tc>
        <w:tc>
          <w:tcPr>
            <w:tcW w:w="10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17.16.</w:t>
            </w:r>
          </w:p>
        </w:tc>
        <w:tc>
          <w:tcPr>
            <w:tcW w:w="9220" w:type="dxa"/>
            <w:vAlign w:val="bottom"/>
          </w:tcPr>
          <w:p>
            <w:pPr>
              <w:ind w:left="200"/>
              <w:spacing w:after="0"/>
              <w:rPr>
                <w:sz w:val="20"/>
                <w:szCs w:val="20"/>
                <w:color w:val="auto"/>
              </w:rPr>
            </w:pPr>
            <w:r>
              <w:rPr>
                <w:rFonts w:ascii="Arial" w:cs="Arial" w:eastAsia="Arial" w:hAnsi="Arial"/>
                <w:sz w:val="18"/>
                <w:szCs w:val="18"/>
                <w:i w:val="1"/>
                <w:iCs w:val="1"/>
                <w:color w:val="auto"/>
              </w:rPr>
              <w:t>U.S.A. Patriot Act</w:t>
            </w: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2"/>
        </w:trPr>
        <w:tc>
          <w:tcPr>
            <w:tcW w:w="1240" w:type="dxa"/>
            <w:vAlign w:val="bottom"/>
          </w:tcPr>
          <w:p>
            <w:pPr>
              <w:spacing w:after="0"/>
              <w:rPr>
                <w:sz w:val="24"/>
                <w:szCs w:val="24"/>
                <w:color w:val="auto"/>
              </w:rPr>
            </w:pPr>
          </w:p>
        </w:tc>
        <w:tc>
          <w:tcPr>
            <w:tcW w:w="9220" w:type="dxa"/>
            <w:vAlign w:val="bottom"/>
          </w:tcPr>
          <w:p>
            <w:pPr>
              <w:jc w:val="center"/>
              <w:ind w:right="190"/>
              <w:spacing w:after="0"/>
              <w:rPr>
                <w:sz w:val="20"/>
                <w:szCs w:val="20"/>
                <w:color w:val="auto"/>
              </w:rPr>
            </w:pPr>
            <w:r>
              <w:rPr>
                <w:rFonts w:ascii="Arial" w:cs="Arial" w:eastAsia="Arial" w:hAnsi="Arial"/>
                <w:sz w:val="18"/>
                <w:szCs w:val="18"/>
                <w:color w:val="auto"/>
              </w:rPr>
              <w:t>iv</w:t>
            </w:r>
          </w:p>
        </w:tc>
        <w:tc>
          <w:tcPr>
            <w:tcW w:w="1000" w:type="dxa"/>
            <w:vAlign w:val="bottom"/>
          </w:tcPr>
          <w:p>
            <w:pPr>
              <w:spacing w:after="0"/>
              <w:rPr>
                <w:sz w:val="24"/>
                <w:szCs w:val="24"/>
                <w:color w:val="auto"/>
              </w:rPr>
            </w:pPr>
          </w:p>
        </w:tc>
      </w:tr>
      <w:tr>
        <w:trPr>
          <w:trHeight w:val="132"/>
        </w:trPr>
        <w:tc>
          <w:tcPr>
            <w:tcW w:w="1240" w:type="dxa"/>
            <w:vAlign w:val="bottom"/>
            <w:tcBorders>
              <w:bottom w:val="single" w:sz="8" w:color="808080"/>
            </w:tcBorders>
          </w:tcPr>
          <w:p>
            <w:pPr>
              <w:spacing w:after="0"/>
              <w:rPr>
                <w:sz w:val="11"/>
                <w:szCs w:val="11"/>
                <w:color w:val="auto"/>
              </w:rPr>
            </w:pPr>
          </w:p>
        </w:tc>
        <w:tc>
          <w:tcPr>
            <w:tcW w:w="92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r>
        <w:trPr>
          <w:trHeight w:val="780"/>
        </w:trPr>
        <w:tc>
          <w:tcPr>
            <w:tcW w:w="1240" w:type="dxa"/>
            <w:vAlign w:val="bottom"/>
          </w:tcPr>
          <w:p>
            <w:pPr>
              <w:spacing w:after="0"/>
              <w:rPr>
                <w:sz w:val="24"/>
                <w:szCs w:val="24"/>
                <w:color w:val="auto"/>
              </w:rPr>
            </w:pPr>
          </w:p>
        </w:tc>
        <w:tc>
          <w:tcPr>
            <w:tcW w:w="9220" w:type="dxa"/>
            <w:vAlign w:val="bottom"/>
          </w:tcPr>
          <w:p>
            <w:pPr>
              <w:jc w:val="center"/>
              <w:ind w:right="190"/>
              <w:spacing w:after="0"/>
              <w:rPr>
                <w:sz w:val="20"/>
                <w:szCs w:val="20"/>
                <w:color w:val="auto"/>
              </w:rPr>
            </w:pPr>
            <w:r>
              <w:rPr>
                <w:rFonts w:ascii="Arial" w:cs="Arial" w:eastAsia="Arial" w:hAnsi="Arial"/>
                <w:sz w:val="18"/>
                <w:szCs w:val="18"/>
                <w:b w:val="1"/>
                <w:bCs w:val="1"/>
                <w:color w:val="auto"/>
              </w:rPr>
              <w:t>EXHIBIT</w:t>
            </w:r>
          </w:p>
        </w:tc>
        <w:tc>
          <w:tcPr>
            <w:tcW w:w="1000" w:type="dxa"/>
            <w:vAlign w:val="bottom"/>
          </w:tcPr>
          <w:p>
            <w:pPr>
              <w:spacing w:after="0"/>
              <w:rPr>
                <w:sz w:val="24"/>
                <w:szCs w:val="24"/>
                <w:color w:val="auto"/>
              </w:rPr>
            </w:pP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Exhibit A</w:t>
            </w:r>
          </w:p>
        </w:tc>
        <w:tc>
          <w:tcPr>
            <w:tcW w:w="9220" w:type="dxa"/>
            <w:vAlign w:val="bottom"/>
          </w:tcPr>
          <w:p>
            <w:pPr>
              <w:ind w:left="200"/>
              <w:spacing w:after="0"/>
              <w:rPr>
                <w:sz w:val="20"/>
                <w:szCs w:val="20"/>
                <w:color w:val="auto"/>
              </w:rPr>
            </w:pPr>
            <w:r>
              <w:rPr>
                <w:rFonts w:ascii="Arial" w:cs="Arial" w:eastAsia="Arial" w:hAnsi="Arial"/>
                <w:sz w:val="18"/>
                <w:szCs w:val="18"/>
                <w:color w:val="auto"/>
              </w:rPr>
              <w:t>Form of Note</w:t>
            </w:r>
          </w:p>
        </w:tc>
        <w:tc>
          <w:tcPr>
            <w:tcW w:w="10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432"/>
        </w:trPr>
        <w:tc>
          <w:tcPr>
            <w:tcW w:w="1240" w:type="dxa"/>
            <w:vAlign w:val="bottom"/>
          </w:tcPr>
          <w:p>
            <w:pPr>
              <w:spacing w:after="0"/>
              <w:rPr>
                <w:sz w:val="24"/>
                <w:szCs w:val="24"/>
                <w:color w:val="auto"/>
              </w:rPr>
            </w:pPr>
          </w:p>
        </w:tc>
        <w:tc>
          <w:tcPr>
            <w:tcW w:w="9220" w:type="dxa"/>
            <w:vAlign w:val="bottom"/>
          </w:tcPr>
          <w:p>
            <w:pPr>
              <w:jc w:val="center"/>
              <w:ind w:right="190"/>
              <w:spacing w:after="0"/>
              <w:rPr>
                <w:sz w:val="20"/>
                <w:szCs w:val="20"/>
                <w:color w:val="auto"/>
              </w:rPr>
            </w:pPr>
            <w:r>
              <w:rPr>
                <w:rFonts w:ascii="Arial" w:cs="Arial" w:eastAsia="Arial" w:hAnsi="Arial"/>
                <w:sz w:val="18"/>
                <w:szCs w:val="18"/>
                <w:color w:val="auto"/>
              </w:rPr>
              <w:t>v</w:t>
            </w:r>
          </w:p>
        </w:tc>
        <w:tc>
          <w:tcPr>
            <w:tcW w:w="1000" w:type="dxa"/>
            <w:vAlign w:val="bottom"/>
          </w:tcPr>
          <w:p>
            <w:pPr>
              <w:spacing w:after="0"/>
              <w:rPr>
                <w:sz w:val="24"/>
                <w:szCs w:val="24"/>
                <w:color w:val="auto"/>
              </w:rPr>
            </w:pPr>
          </w:p>
        </w:tc>
      </w:tr>
      <w:tr>
        <w:trPr>
          <w:trHeight w:val="132"/>
        </w:trPr>
        <w:tc>
          <w:tcPr>
            <w:tcW w:w="1240" w:type="dxa"/>
            <w:vAlign w:val="bottom"/>
            <w:tcBorders>
              <w:bottom w:val="single" w:sz="8" w:color="808080"/>
            </w:tcBorders>
          </w:tcPr>
          <w:p>
            <w:pPr>
              <w:spacing w:after="0"/>
              <w:rPr>
                <w:sz w:val="11"/>
                <w:szCs w:val="11"/>
                <w:color w:val="auto"/>
              </w:rPr>
            </w:pPr>
          </w:p>
        </w:tc>
        <w:tc>
          <w:tcPr>
            <w:tcW w:w="92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-7799070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-7799070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-1169670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-1169670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INDENTURE, dated as of June 28, 2018, between MONGODB, INC., a Delaware corporation, as issuer (the “</w:t>
      </w:r>
      <w:r>
        <w:rPr>
          <w:rFonts w:ascii="Arial" w:cs="Arial" w:eastAsia="Arial" w:hAnsi="Arial"/>
          <w:sz w:val="18"/>
          <w:szCs w:val="18"/>
          <w:b w:val="1"/>
          <w:bCs w:val="1"/>
          <w:color w:val="auto"/>
        </w:rPr>
        <w:t>Company</w:t>
      </w:r>
      <w:r>
        <w:rPr>
          <w:rFonts w:ascii="Arial" w:cs="Arial" w:eastAsia="Arial" w:hAnsi="Arial"/>
          <w:sz w:val="18"/>
          <w:szCs w:val="18"/>
          <w:color w:val="auto"/>
        </w:rPr>
        <w:t>”, as more fully set forth in Section 1.01) and U.S. BANK NATIONAL ASSOCIATION, a national banking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more fully set forth in Section 1.01).</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 I T N E S S E T H:</w:t>
      </w:r>
    </w:p>
    <w:p>
      <w:pPr>
        <w:sectPr>
          <w:pgSz w:w="11900" w:h="16838" w:orient="portrait"/>
          <w:cols w:equalWidth="0" w:num="1">
            <w:col w:w="11460"/>
          </w:cols>
          <w:pgMar w:left="240" w:top="125" w:right="199" w:bottom="181" w:gutter="0" w:footer="0" w:header="0"/>
        </w:sectPr>
      </w:pPr>
    </w:p>
    <w:bookmarkStart w:id="7" w:name="page8"/>
    <w:bookmarkEnd w:id="7"/>
    <w:p>
      <w:pPr>
        <w:ind w:right="200" w:firstLine="648"/>
        <w:spacing w:after="0" w:line="257" w:lineRule="auto"/>
        <w:rPr>
          <w:sz w:val="20"/>
          <w:szCs w:val="20"/>
          <w:color w:val="auto"/>
        </w:rPr>
      </w:pPr>
      <w:r>
        <w:rPr>
          <w:rFonts w:ascii="Arial" w:cs="Arial" w:eastAsia="Arial" w:hAnsi="Arial"/>
          <w:sz w:val="18"/>
          <w:szCs w:val="18"/>
          <w:color w:val="auto"/>
        </w:rPr>
        <w:t>WHEREAS, for its lawful corporate purposes, the Company has duly authorized the issuance of its 0.75% Convertible Senior Notes due 2024 (the “</w:t>
      </w:r>
      <w:r>
        <w:rPr>
          <w:rFonts w:ascii="Arial" w:cs="Arial" w:eastAsia="Arial" w:hAnsi="Arial"/>
          <w:sz w:val="18"/>
          <w:szCs w:val="18"/>
          <w:b w:val="1"/>
          <w:bCs w:val="1"/>
          <w:color w:val="auto"/>
        </w:rPr>
        <w:t>Notes</w:t>
      </w:r>
      <w:r>
        <w:rPr>
          <w:rFonts w:ascii="Arial" w:cs="Arial" w:eastAsia="Arial" w:hAnsi="Arial"/>
          <w:sz w:val="18"/>
          <w:szCs w:val="18"/>
          <w:color w:val="auto"/>
        </w:rPr>
        <w:t>”), initially in an aggregate principal amount not to exceed $250,000,000 (as increased by an amount equal to the aggregate principal amount of any additional Notes purchased by the Initial Purchasers pursuant to the exercise of their option to purchase additional Notes as set forth in the Purchase Agreement), and in order to provide the terms and conditions upon which the Notes are to be authenticated, issued and delivered, the Company has duly authorized the execution and delivery of this Indenture; and</w:t>
      </w:r>
    </w:p>
    <w:p>
      <w:pPr>
        <w:spacing w:after="0" w:line="18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81"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Section 1.01</w:t>
      </w:r>
      <w:r>
        <w:rPr>
          <w:rFonts w:ascii="Arial" w:cs="Arial" w:eastAsia="Arial" w:hAnsi="Arial"/>
          <w:sz w:val="18"/>
          <w:szCs w:val="18"/>
          <w:i w:val="1"/>
          <w:iCs w:val="1"/>
          <w:color w:val="auto"/>
        </w:rPr>
        <w:t>. Definitions.</w:t>
      </w:r>
      <w:r>
        <w:rPr>
          <w:rFonts w:ascii="Arial" w:cs="Arial" w:eastAsia="Arial" w:hAnsi="Arial"/>
          <w:sz w:val="18"/>
          <w:szCs w:val="18"/>
          <w:color w:val="auto"/>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refer to this Indenture as a whole and not to any particular Article, Section or other subdivision. The terms defined in this Article include the plural as well as the singular.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w:t>
      </w:r>
      <w:r>
        <w:rPr>
          <w:rFonts w:ascii="Arial" w:cs="Arial" w:eastAsia="Arial" w:hAnsi="Arial"/>
          <w:sz w:val="18"/>
          <w:szCs w:val="18"/>
          <w:color w:val="auto"/>
        </w:rPr>
        <w:t>” means all amounts, if any, payable pursuant to Section 4.06(d), Section 4.06(e) and Section 6.03,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 shall have the meaning specified in Section 14.03(a).</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“Affiliate” of another Person for purposes of this Indenture shall be made based on the facts at the time such determination is made or required to be made, as the case may be, hereunder.</w:t>
      </w:r>
    </w:p>
    <w:p>
      <w:pPr>
        <w:spacing w:after="0" w:line="188"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Solicitation Agent</w:t>
      </w:r>
      <w:r>
        <w:rPr>
          <w:rFonts w:ascii="Arial" w:cs="Arial" w:eastAsia="Arial" w:hAnsi="Arial"/>
          <w:sz w:val="18"/>
          <w:szCs w:val="18"/>
          <w:color w:val="auto"/>
        </w:rPr>
        <w:t>” means the Company or the Person appointed by the Company to solicit bids for the Trading Price of the Notes in accordance with Section 14.01(b)(i). The Company shall initially act as the Bid Solicitation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Company or a committee of such board duly authorized to act for it hereunder.</w:t>
      </w:r>
    </w:p>
    <w:p>
      <w:pPr>
        <w:spacing w:after="0" w:line="237"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62"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w:t>
      </w:r>
      <w:r>
        <w:rPr>
          <w:rFonts w:ascii="Arial" w:cs="Arial" w:eastAsia="Arial" w:hAnsi="Arial"/>
          <w:sz w:val="18"/>
          <w:szCs w:val="18"/>
          <w:color w:val="auto"/>
        </w:rPr>
        <w:t>” shall have the meaning specified in Section 14.02(a).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A Distribution</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Settlement</w:t>
      </w:r>
      <w:r>
        <w:rPr>
          <w:rFonts w:ascii="Arial" w:cs="Arial" w:eastAsia="Arial" w:hAnsi="Arial"/>
          <w:sz w:val="18"/>
          <w:szCs w:val="18"/>
          <w:color w:val="auto"/>
        </w:rPr>
        <w:t>” shall have the meaning specified in Section 14.02(a).</w:t>
      </w:r>
    </w:p>
    <w:p>
      <w:pPr>
        <w:sectPr>
          <w:pgSz w:w="11900" w:h="16838" w:orient="portrait"/>
          <w:cols w:equalWidth="0" w:num="1">
            <w:col w:w="11420"/>
          </w:cols>
          <w:pgMar w:left="240" w:top="125" w:right="239" w:bottom="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Equity</w:t>
      </w:r>
      <w:r>
        <w:rPr>
          <w:rFonts w:ascii="Arial" w:cs="Arial" w:eastAsia="Arial" w:hAnsi="Arial"/>
          <w:sz w:val="18"/>
          <w:szCs w:val="18"/>
          <w:color w:val="auto"/>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spacing w:after="0" w:line="176" w:lineRule="exact"/>
        <w:rPr>
          <w:sz w:val="20"/>
          <w:szCs w:val="20"/>
          <w:color w:val="auto"/>
        </w:rPr>
      </w:pPr>
    </w:p>
    <w:p>
      <w:pPr>
        <w:ind w:right="9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Class A common stock of the Company, par value $0.001 per share, at the date of this Indenture, subject to Section 14.07.</w:t>
      </w:r>
    </w:p>
    <w:p>
      <w:pPr>
        <w:spacing w:after="0" w:line="162"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specified in the first paragraph of this Indenture, and subject to the provisions of Article 11, shall include its successors and assigns.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of the Company, signed by any of its Officers, and delivered to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 shall have the meaning specified in Section 4.02.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Consideration</w:t>
      </w:r>
      <w:r>
        <w:rPr>
          <w:rFonts w:ascii="Arial" w:cs="Arial" w:eastAsia="Arial" w:hAnsi="Arial"/>
          <w:sz w:val="18"/>
          <w:szCs w:val="18"/>
          <w:color w:val="auto"/>
        </w:rPr>
        <w:t>” shall have the meaning specified in Section 14.12(a).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shall have the meaning specified in Section 14.02(c).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Obligation</w:t>
      </w:r>
      <w:r>
        <w:rPr>
          <w:rFonts w:ascii="Arial" w:cs="Arial" w:eastAsia="Arial" w:hAnsi="Arial"/>
          <w:sz w:val="18"/>
          <w:szCs w:val="18"/>
          <w:color w:val="auto"/>
        </w:rPr>
        <w:t>” shall have the meaning specified in Section 14.01(a).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time,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as of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shall have the meaning specified in Section 14.01(a).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Event</w:t>
      </w:r>
      <w:r>
        <w:rPr>
          <w:rFonts w:ascii="Arial" w:cs="Arial" w:eastAsia="Arial" w:hAnsi="Arial"/>
          <w:sz w:val="18"/>
          <w:szCs w:val="18"/>
          <w:color w:val="auto"/>
        </w:rPr>
        <w:t>” shall have the meaning specified in Section 14.01(b)(iii).</w:t>
      </w:r>
    </w:p>
    <w:p>
      <w:pPr>
        <w:spacing w:after="0" w:line="225"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designated office of the Trustee at which at any time this Indenture shall be administered, which office at the date hereof is located at 60 Livingston Avenue, Saint Paul, MN 55107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Custodian</w:t>
      </w:r>
      <w:r>
        <w:rPr>
          <w:rFonts w:ascii="Arial" w:cs="Arial" w:eastAsia="Arial" w:hAnsi="Arial"/>
          <w:sz w:val="16"/>
          <w:szCs w:val="16"/>
          <w:color w:val="auto"/>
        </w:rPr>
        <w:t>” means the Trustee, as custodian for The Depository Trust Company, with respect to the Global Notes, or any successor entity thereto.</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Conversion Value</w:t>
      </w:r>
      <w:r>
        <w:rPr>
          <w:rFonts w:ascii="Arial" w:cs="Arial" w:eastAsia="Arial" w:hAnsi="Arial"/>
          <w:sz w:val="17"/>
          <w:szCs w:val="17"/>
          <w:color w:val="auto"/>
        </w:rPr>
        <w:t>” means, for each of the 40 consecutive Trading Days during the relevant Observation Period, 2.5% of the product of</w:t>
      </w:r>
    </w:p>
    <w:p>
      <w:pPr>
        <w:spacing w:after="0" w:line="39" w:lineRule="exact"/>
        <w:rPr>
          <w:sz w:val="20"/>
          <w:szCs w:val="20"/>
          <w:color w:val="auto"/>
        </w:rPr>
      </w:pPr>
    </w:p>
    <w:p>
      <w:pPr>
        <w:ind w:left="5660" w:right="4740" w:hanging="5652"/>
        <w:spacing w:after="0" w:line="555" w:lineRule="auto"/>
        <w:tabs>
          <w:tab w:leader="none" w:pos="24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Conversion Rate on such Trading Day and (b) the Daily VWAP on such Trading Day.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Measurement Value</w:t>
      </w:r>
      <w:r>
        <w:rPr>
          <w:rFonts w:ascii="Arial" w:cs="Arial" w:eastAsia="Arial" w:hAnsi="Arial"/>
          <w:sz w:val="18"/>
          <w:szCs w:val="18"/>
          <w:color w:val="auto"/>
        </w:rPr>
        <w:t xml:space="preserve">” means the Specified Dollar Amount (if any),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40.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Settlement Amount</w:t>
      </w:r>
      <w:r>
        <w:rPr>
          <w:rFonts w:ascii="Arial" w:cs="Arial" w:eastAsia="Arial" w:hAnsi="Arial"/>
          <w:sz w:val="18"/>
          <w:szCs w:val="18"/>
          <w:color w:val="auto"/>
        </w:rPr>
        <w:t>,” for each of the 40 consecutive Trading Days during the relevant Observation Period, shall consist of:</w:t>
      </w:r>
    </w:p>
    <w:p>
      <w:pPr>
        <w:spacing w:after="0" w:line="229" w:lineRule="exact"/>
        <w:rPr>
          <w:sz w:val="20"/>
          <w:szCs w:val="20"/>
          <w:color w:val="auto"/>
        </w:rPr>
      </w:pPr>
    </w:p>
    <w:p>
      <w:pPr>
        <w:ind w:left="1940" w:hanging="635"/>
        <w:spacing w:after="0"/>
        <w:tabs>
          <w:tab w:leader="none" w:pos="1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cash in an amount equal to the lesser of (i) the Daily Measurement Value and (ii) the Daily Conversion Value on such Trading Day;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jc w:val="both"/>
        <w:ind w:left="660" w:right="140" w:firstLine="645"/>
        <w:spacing w:after="0" w:line="264" w:lineRule="auto"/>
        <w:tabs>
          <w:tab w:leader="none" w:pos="196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if the Daily Conversion Value on such Trading Day exceeds the Daily Measurement Value, a number of shares of Common Stock equal to (i) the difference between the Daily Conversion Value and the Daily Measurement Value,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the Daily VWAP for such Trading Day.</w:t>
      </w:r>
    </w:p>
    <w:p>
      <w:pPr>
        <w:spacing w:after="0" w:line="17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VWAP</w:t>
      </w:r>
      <w:r>
        <w:rPr>
          <w:rFonts w:ascii="Arial" w:cs="Arial" w:eastAsia="Arial" w:hAnsi="Arial"/>
          <w:sz w:val="18"/>
          <w:szCs w:val="18"/>
          <w:color w:val="auto"/>
        </w:rPr>
        <w:t>” means the per share volume-weighted average price as displayed under the heading “Bloomberg VWAP” on Bloomberg page “MDB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reasonably determined, using a volume-weighted average method, by a nationally recognized independent investment banking firm retained for this purpose by the Company). The “</w:t>
      </w:r>
      <w:r>
        <w:rPr>
          <w:rFonts w:ascii="Arial" w:cs="Arial" w:eastAsia="Arial" w:hAnsi="Arial"/>
          <w:sz w:val="18"/>
          <w:szCs w:val="18"/>
          <w:b w:val="1"/>
          <w:bCs w:val="1"/>
          <w:color w:val="auto"/>
        </w:rPr>
        <w:t>Daily VWAP</w:t>
      </w:r>
      <w:r>
        <w:rPr>
          <w:rFonts w:ascii="Arial" w:cs="Arial" w:eastAsia="Arial" w:hAnsi="Arial"/>
          <w:sz w:val="18"/>
          <w:szCs w:val="18"/>
          <w:color w:val="auto"/>
        </w:rPr>
        <w:t>” shall be determined without regard to after-hours trading or any other trading outside of the regular trading session trading hours.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Amounts</w:t>
      </w:r>
      <w:r>
        <w:rPr>
          <w:rFonts w:ascii="Arial" w:cs="Arial" w:eastAsia="Arial" w:hAnsi="Arial"/>
          <w:sz w:val="18"/>
          <w:szCs w:val="18"/>
          <w:color w:val="auto"/>
        </w:rPr>
        <w:t>” means any amounts on any Note (including, without limitation, the Redemption Price, the Fundamental Change Repurchase Price, principal and interest) that are payable but are not punctually paid or duly provided for.</w:t>
      </w:r>
    </w:p>
    <w:p>
      <w:pPr>
        <w:spacing w:after="0" w:line="162"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delivered</w:t>
      </w:r>
      <w:r>
        <w:rPr>
          <w:rFonts w:ascii="Arial" w:cs="Arial" w:eastAsia="Arial" w:hAnsi="Arial"/>
          <w:sz w:val="18"/>
          <w:szCs w:val="18"/>
          <w:color w:val="auto"/>
        </w:rPr>
        <w:t>” with respect to any notice to be delivered, given or mailed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each case in accordance with Section 17.03. Notice so “delivered” shall be deemed to include any notice to be “mailed” or “given,” as applicable, under this Indenture.</w:t>
      </w:r>
    </w:p>
    <w:p>
      <w:pPr>
        <w:spacing w:after="0" w:line="184"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such successor.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Institution</w:t>
      </w:r>
      <w:r>
        <w:rPr>
          <w:rFonts w:ascii="Arial" w:cs="Arial" w:eastAsia="Arial" w:hAnsi="Arial"/>
          <w:sz w:val="18"/>
          <w:szCs w:val="18"/>
          <w:color w:val="auto"/>
        </w:rPr>
        <w:t>” shall have the meaning specified in Section 14.12(a).</w:t>
      </w:r>
    </w:p>
    <w:p>
      <w:pPr>
        <w:sectPr>
          <w:pgSz w:w="11900" w:h="16838" w:orient="portrait"/>
          <w:cols w:equalWidth="0" w:num="1">
            <w:col w:w="11420"/>
          </w:cols>
          <w:pgMar w:left="240" w:top="121" w:right="2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Distributed Property</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specified in Section 14.03(c), except that, as used in Section 14.04 and Section 14.05,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first date on which shares of the Common Stock trade on the applicable exchange or in the applicable market, regular way, reflecting the relevant share split or share combination, as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any alternative trading convention on the applicable exchange or market in respect of shares of the Common Stock under a separate ticker symbol or CUSIP number will not be considered “regular way” for purposes of this definition).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shall have the meaning specified in Section 6.01.</w:t>
      </w:r>
    </w:p>
    <w:p>
      <w:pPr>
        <w:spacing w:after="0" w:line="225" w:lineRule="exact"/>
        <w:rPr>
          <w:sz w:val="20"/>
          <w:szCs w:val="20"/>
          <w:color w:val="auto"/>
        </w:rPr>
      </w:pPr>
    </w:p>
    <w:p>
      <w:pPr>
        <w:ind w:right="1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Common Stock under a separate ticker symbol or CUSIP number will not be considered “regular way” for this purpose.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Election</w:t>
      </w:r>
      <w:r>
        <w:rPr>
          <w:rFonts w:ascii="Arial" w:cs="Arial" w:eastAsia="Arial" w:hAnsi="Arial"/>
          <w:sz w:val="18"/>
          <w:szCs w:val="18"/>
          <w:color w:val="auto"/>
        </w:rPr>
        <w:t>” shall have the meaning specified in Section 14.12(a).</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Assignment and Transfer</w:t>
      </w:r>
      <w:r>
        <w:rPr>
          <w:rFonts w:ascii="Arial" w:cs="Arial" w:eastAsia="Arial" w:hAnsi="Arial"/>
          <w:sz w:val="18"/>
          <w:szCs w:val="18"/>
          <w:color w:val="auto"/>
        </w:rPr>
        <w:t>” shall mean the “Form of Assignment and Transfer” attached as Attachment 3 to the Form of Note attached hereto as Exhibit A.</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Fundamental Change Repurchase Notice</w:t>
      </w:r>
      <w:r>
        <w:rPr>
          <w:rFonts w:ascii="Arial" w:cs="Arial" w:eastAsia="Arial" w:hAnsi="Arial"/>
          <w:sz w:val="18"/>
          <w:szCs w:val="18"/>
          <w:color w:val="auto"/>
        </w:rPr>
        <w:t>” shall mean the “Form of Fundamental Change Repurchase Notice” attached as Attachment 2 to the Form of Note attached hereto as Exhibit 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Note</w:t>
      </w:r>
      <w:r>
        <w:rPr>
          <w:rFonts w:ascii="Arial" w:cs="Arial" w:eastAsia="Arial" w:hAnsi="Arial"/>
          <w:sz w:val="18"/>
          <w:szCs w:val="18"/>
          <w:color w:val="auto"/>
        </w:rPr>
        <w:t>” shall mean the “Form of Note” attached hereto as Exhibit A.</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Notice of Conversion</w:t>
      </w:r>
      <w:r>
        <w:rPr>
          <w:rFonts w:ascii="Arial" w:cs="Arial" w:eastAsia="Arial" w:hAnsi="Arial"/>
          <w:sz w:val="18"/>
          <w:szCs w:val="18"/>
          <w:color w:val="auto"/>
        </w:rPr>
        <w:t>” shall mean the “Form of Notice of Conversion” attached as Attachment 1 to the Form of Note attached hereto as Exhibit 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Fundamental Change</w:t>
      </w:r>
      <w:r>
        <w:rPr>
          <w:rFonts w:ascii="Arial" w:cs="Arial" w:eastAsia="Arial" w:hAnsi="Arial"/>
          <w:sz w:val="16"/>
          <w:szCs w:val="16"/>
          <w:color w:val="auto"/>
        </w:rPr>
        <w:t>” shall be deemed to have occurred at the time after the Notes are originally issued if any of the following occurs prior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211" w:lineRule="exact"/>
        <w:rPr>
          <w:sz w:val="20"/>
          <w:szCs w:val="20"/>
          <w:color w:val="auto"/>
        </w:rPr>
      </w:pPr>
    </w:p>
    <w:p>
      <w:pPr>
        <w:ind w:left="660" w:right="260" w:firstLine="645"/>
        <w:spacing w:after="0" w:line="257" w:lineRule="auto"/>
        <w:tabs>
          <w:tab w:leader="none" w:pos="1954"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“person” or “group” within the meaning of Section 13(d) of the Exchange Act, other than the Company, its Wholly-Owned Subsidiaries and the employee benefit plans of the Company and its Wholly-Owned Subsidiaries, files a Schedule TO (or any successor schedule, form or report) or any schedule, form or report under the Exchange Act disclosing that such person or group has become the direct or indirect “beneficial owner,” as defined in Rule 13d-3 under the Exchange Act, of Common Stock (or such other Common Equity into which the Common Stock has been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 xml:space="preserve">reclassified) representing more than 50% of the voting power of the Common Stock (or such other Common Equity into which the Common Stock has been reclassified );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voting power of Common Stock (or such Common Equity into which Common Stock has been reclassified) directly or indirectly “beneficially owned,” as defined in Rule 13d-3 under the Exchange Act, by the Permitted Holders or a “group” (that includes the Permitted Holders) will exclude (A) any shares of Common Stock (or such Common Equity into which the Common Stock has been reclassified) directly or indirectly beneficially owned by the Permitted Holders on the date hereof and (B) any shares of Common Stock (or such Common Equity into which the Common Stock has been reclassified) directly or indirectly beneficially owned by the Permitted Holders as a result of the acquisition by either of the Permitted Holders of equity grants (or the exercise or conversion thereof) outstanding on the date hereof or subsequently granted, in each case, made under the Company’s equity incentive plans;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no person or group shall be deemed to be the beneficial owner of any securities tendered pursuant to a tender or exchange offer made by or on behalf of such “person” or “group” until such tendered securities are accepted for purchase or exchange under such offer;</w:t>
      </w:r>
    </w:p>
    <w:p>
      <w:pPr>
        <w:spacing w:after="0" w:line="178" w:lineRule="exact"/>
        <w:rPr>
          <w:sz w:val="20"/>
          <w:szCs w:val="20"/>
          <w:color w:val="auto"/>
        </w:rPr>
      </w:pPr>
    </w:p>
    <w:p>
      <w:pPr>
        <w:ind w:left="660" w:firstLine="645"/>
        <w:spacing w:after="0" w:line="270" w:lineRule="auto"/>
        <w:tabs>
          <w:tab w:leader="none" w:pos="196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consummation of (A) any recapitalization, reclassification or change of the Common Stock (other than changes resulting from a subdivision , a combination or a change in par value) as a result of which the Common Stock would be converted into, or exchanged for, stock, other securities, other property or assets; (B) any share exchange, consolidation or merger of the Company pursuant to which all of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Wholly-Owned Subsidiaries; provided, however, that a transaction described in clause (A) or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spacing w:after="0" w:line="177" w:lineRule="exact"/>
        <w:rPr>
          <w:rFonts w:ascii="Arial" w:cs="Arial" w:eastAsia="Arial" w:hAnsi="Arial"/>
          <w:sz w:val="17"/>
          <w:szCs w:val="17"/>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 or</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Common Stock (or other common stock underlying the Notes) ceases to be listed or quoted on any of The New York Stock Exchange, the Nasdaq Global Select Market or the Nasdaq Global Market (or any of their respective successors);</w:t>
      </w:r>
    </w:p>
    <w:p>
      <w:pPr>
        <w:sectPr>
          <w:pgSz w:w="11900" w:h="16838" w:orient="portrait"/>
          <w:cols w:equalWidth="0" w:num="1">
            <w:col w:w="11420"/>
          </w:cols>
          <w:pgMar w:left="240" w:top="341" w:right="239" w:bottom="0" w:gutter="0" w:footer="0" w:header="0"/>
        </w:sectPr>
      </w:pPr>
    </w:p>
    <w:bookmarkStart w:id="10" w:name="page11"/>
    <w:bookmarkEnd w:id="10"/>
    <w:p>
      <w:pPr>
        <w:spacing w:after="0" w:line="32"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a transaction or transactions described in clauses (a) or (b) above shall not constitute a Fundamental Change if at least 90%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received or to be received by the common stockholders of the Company, excluding cash payments for fractional shares and cash payments made in respect of dissenters’ appraisal rights, in connection with such transaction or transactions consists of shares of common stock or other Common Equity that are listed or quoted on any of The New York Stock Exchange, the Nasdaq Global Select Market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Nasdaq Global Market (or any of their respective successors) or will be so listed or quoted when issued or exchanged in connection with such transaction or transactions and as a result of such transaction or transactions such consideration becomes Reference Property for the Notes, excluding cash payments for fractional shares and cash payments made in respect of dissenters’ appraisal rights (subject to the provisions of Section 14.07). If any Merger Event in which the Common Stock is replaced by the common stock of another entity occurs, following completion of any related Make-Whole Fundamental Change Period (or, in the case of a transaction that would have been a Fundamental Change or a Make-Whole Fundamental Change but for the proviso immediately following clause (d) of the definition thereof, following the effective date of such transaction) references to the Company in this definition shall instead be references to such other entity.</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definition of “Fundamental Change” above, any transaction that constitutes a Fundamental Change pursuant to both clause (a) and clause</w:t>
      </w:r>
    </w:p>
    <w:p>
      <w:pPr>
        <w:spacing w:after="0" w:line="46" w:lineRule="exact"/>
        <w:rPr>
          <w:sz w:val="20"/>
          <w:szCs w:val="20"/>
          <w:color w:val="auto"/>
        </w:rPr>
      </w:pPr>
    </w:p>
    <w:p>
      <w:pPr>
        <w:ind w:right="340"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of such definition (without giving effect to the proviso in clause (b)) shall be deemed a Fundamental Change solely under clause (b) of such definition (subject to the proviso in clause (b)).</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Company Notice</w:t>
      </w:r>
      <w:r>
        <w:rPr>
          <w:rFonts w:ascii="Arial" w:cs="Arial" w:eastAsia="Arial" w:hAnsi="Arial"/>
          <w:sz w:val="18"/>
          <w:szCs w:val="18"/>
          <w:color w:val="auto"/>
        </w:rPr>
        <w:t>” shall have the meaning specified in Section 15.02(c).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shall have the meaning specified in Section 15.02(a).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shall have the meaning specified in Section 15.02(b)(i).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shall have the meaning specified in Section 15.02(a).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shall have the meaning specified in Section 2.05(b).</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as applied to any Note, or other similar terms (but excluding the term “beneficial holder”), shall mean any Person in whose name at the time a particular Note is registered on the Note Register.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or, if amended or supplemented as herein provided, as so amended or supplemented.</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Morgan Stanley &amp; Co. LLC, Goldman Sachs &amp; Co. LLC and Barclays Capital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June 15 and December 15 of each year, beginning on December 15, 2018.</w:t>
      </w:r>
    </w:p>
    <w:p>
      <w:pPr>
        <w:spacing w:after="0" w:line="225" w:lineRule="exact"/>
        <w:rPr>
          <w:sz w:val="20"/>
          <w:szCs w:val="20"/>
          <w:color w:val="auto"/>
        </w:rPr>
      </w:pPr>
    </w:p>
    <w:p>
      <w:pPr>
        <w:ind w:right="4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Stock (or other security for which a closing sale price must be determined) on any date means the closing sale price per share (or if no closing sale price is reported, the average of the bid and ask prices or, if more than one in either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w:t>
      </w:r>
      <w:r>
        <w:rPr>
          <w:rFonts w:ascii="Arial" w:cs="Arial" w:eastAsia="Arial" w:hAnsi="Arial"/>
          <w:sz w:val="18"/>
          <w:szCs w:val="18"/>
          <w:b w:val="1"/>
          <w:bCs w:val="1"/>
          <w:color w:val="auto"/>
        </w:rPr>
        <w:t>Last Reported Sale Price</w:t>
      </w:r>
      <w:r>
        <w:rPr>
          <w:rFonts w:ascii="Arial" w:cs="Arial" w:eastAsia="Arial" w:hAnsi="Arial"/>
          <w:sz w:val="18"/>
          <w:szCs w:val="18"/>
          <w:color w:val="auto"/>
        </w:rPr>
        <w:t>” shall be the last quoted bid price for the Common Stock (or such other security) in the over-the-counter market on the relevant date as reported by OTC Markets Group Inc. or a similar organization. If the Common Stock (or such other security) is not so quoted, the “</w:t>
      </w:r>
      <w:r>
        <w:rPr>
          <w:rFonts w:ascii="Arial" w:cs="Arial" w:eastAsia="Arial" w:hAnsi="Arial"/>
          <w:sz w:val="18"/>
          <w:szCs w:val="18"/>
          <w:b w:val="1"/>
          <w:bCs w:val="1"/>
          <w:color w:val="auto"/>
        </w:rPr>
        <w:t>Last Reported Sale Price</w:t>
      </w:r>
      <w:r>
        <w:rPr>
          <w:rFonts w:ascii="Arial" w:cs="Arial" w:eastAsia="Arial" w:hAnsi="Arial"/>
          <w:sz w:val="18"/>
          <w:szCs w:val="18"/>
          <w:color w:val="auto"/>
        </w:rPr>
        <w:t>” shall be the average of the mid-point of the last bid and ask prices for the Common Stock (or such other security) on the relevant date from each of at least three nationally recognized independent investment banking firms selected by the Company for this purpose. The “</w:t>
      </w:r>
      <w:r>
        <w:rPr>
          <w:rFonts w:ascii="Arial" w:cs="Arial" w:eastAsia="Arial" w:hAnsi="Arial"/>
          <w:sz w:val="18"/>
          <w:szCs w:val="18"/>
          <w:b w:val="1"/>
          <w:bCs w:val="1"/>
          <w:color w:val="auto"/>
        </w:rPr>
        <w:t>Last Reported Sale Price</w:t>
      </w:r>
      <w:r>
        <w:rPr>
          <w:rFonts w:ascii="Arial" w:cs="Arial" w:eastAsia="Arial" w:hAnsi="Arial"/>
          <w:sz w:val="18"/>
          <w:szCs w:val="18"/>
          <w:color w:val="auto"/>
        </w:rPr>
        <w:t>” will be determined without regard to after-hours trading or any other trading outside of the regular trading session hours.</w:t>
      </w:r>
    </w:p>
    <w:p>
      <w:pPr>
        <w:spacing w:after="0" w:line="188" w:lineRule="exact"/>
        <w:rPr>
          <w:sz w:val="20"/>
          <w:szCs w:val="20"/>
          <w:color w:val="auto"/>
        </w:rPr>
      </w:pPr>
    </w:p>
    <w:p>
      <w:pPr>
        <w:ind w:right="3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Fundamental Change</w:t>
      </w:r>
      <w:r>
        <w:rPr>
          <w:rFonts w:ascii="Arial" w:cs="Arial" w:eastAsia="Arial" w:hAnsi="Arial"/>
          <w:sz w:val="16"/>
          <w:szCs w:val="16"/>
          <w:color w:val="auto"/>
        </w:rPr>
        <w:t xml:space="preserve">” means any transaction or event that constitutes a Fundamental Change (as defined above and determined after giving effect to any exceptions to or exclusions from such definition, but without regard to the </w:t>
      </w:r>
      <w:r>
        <w:rPr>
          <w:rFonts w:ascii="Arial" w:cs="Arial" w:eastAsia="Arial" w:hAnsi="Arial"/>
          <w:sz w:val="16"/>
          <w:szCs w:val="16"/>
          <w:i w:val="1"/>
          <w:iCs w:val="1"/>
          <w:color w:val="auto"/>
        </w:rPr>
        <w:t>proviso</w:t>
      </w:r>
      <w:r>
        <w:rPr>
          <w:rFonts w:ascii="Arial" w:cs="Arial" w:eastAsia="Arial" w:hAnsi="Arial"/>
          <w:sz w:val="16"/>
          <w:szCs w:val="16"/>
          <w:color w:val="auto"/>
        </w:rPr>
        <w:t xml:space="preserve"> in clause (b) of the definition thereof).</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 Period</w:t>
      </w:r>
      <w:r>
        <w:rPr>
          <w:rFonts w:ascii="Arial" w:cs="Arial" w:eastAsia="Arial" w:hAnsi="Arial"/>
          <w:sz w:val="18"/>
          <w:szCs w:val="18"/>
          <w:color w:val="auto"/>
        </w:rPr>
        <w:t>” shall have the meaning specified in Section 14.03(a).</w:t>
      </w:r>
    </w:p>
    <w:p>
      <w:pPr>
        <w:spacing w:after="0" w:line="225"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Disruption Event</w:t>
      </w:r>
      <w:r>
        <w:rPr>
          <w:rFonts w:ascii="Arial" w:cs="Arial" w:eastAsia="Arial" w:hAnsi="Arial"/>
          <w:sz w:val="16"/>
          <w:szCs w:val="16"/>
          <w:color w:val="auto"/>
        </w:rPr>
        <w:t>” means, for the purposes of determining amounts due upon conversion (a) a failure by the primary U.S. national or regional securities exchange or market on which the Common Stock is listed or admitted for trading to open for trading during its regular trading session or</w:t>
      </w:r>
    </w:p>
    <w:p>
      <w:pPr>
        <w:spacing w:after="0" w:line="1" w:lineRule="exact"/>
        <w:rPr>
          <w:sz w:val="20"/>
          <w:szCs w:val="20"/>
          <w:color w:val="auto"/>
        </w:rPr>
      </w:pPr>
    </w:p>
    <w:p>
      <w:pPr>
        <w:jc w:val="both"/>
        <w:ind w:right="180" w:firstLine="8"/>
        <w:spacing w:after="0" w:line="302" w:lineRule="auto"/>
        <w:tabs>
          <w:tab w:leader="none" w:pos="25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June 15, 2024.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shall have the meaning specified in Section 14.01(b)(i).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Event</w:t>
      </w:r>
      <w:r>
        <w:rPr>
          <w:rFonts w:ascii="Arial" w:cs="Arial" w:eastAsia="Arial" w:hAnsi="Arial"/>
          <w:sz w:val="18"/>
          <w:szCs w:val="18"/>
          <w:color w:val="auto"/>
        </w:rPr>
        <w:t>” shall have the meaning specified in Section 14.07(a).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shall have the meaning specified in the first paragraph of the recitals of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Register</w:t>
      </w:r>
      <w:r>
        <w:rPr>
          <w:rFonts w:ascii="Arial" w:cs="Arial" w:eastAsia="Arial" w:hAnsi="Arial"/>
          <w:sz w:val="18"/>
          <w:szCs w:val="18"/>
          <w:color w:val="auto"/>
        </w:rPr>
        <w:t>” shall have the meaning specified in Section 2.05(a).</w:t>
      </w:r>
    </w:p>
    <w:p>
      <w:pPr>
        <w:sectPr>
          <w:pgSz w:w="11900" w:h="16870" w:orient="portrait"/>
          <w:cols w:equalWidth="0" w:num="1">
            <w:col w:w="11420"/>
          </w:cols>
          <w:pgMar w:left="240" w:top="125" w:right="239" w:bottom="0" w:gutter="0" w:footer="0" w:header="0"/>
        </w:sectPr>
      </w:pPr>
    </w:p>
    <w:bookmarkStart w:id="11" w:name="page12"/>
    <w:bookmarkEnd w:id="11"/>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Registrar</w:t>
      </w:r>
      <w:r>
        <w:rPr>
          <w:rFonts w:ascii="Arial" w:cs="Arial" w:eastAsia="Arial" w:hAnsi="Arial"/>
          <w:sz w:val="18"/>
          <w:szCs w:val="18"/>
          <w:color w:val="auto"/>
        </w:rPr>
        <w:t>” shall have the meaning specified in Section 2.05(a).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shall have the meaning specified in Section 14.02(b).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Observation Period</w:t>
      </w:r>
      <w:r>
        <w:rPr>
          <w:rFonts w:ascii="Arial" w:cs="Arial" w:eastAsia="Arial" w:hAnsi="Arial"/>
          <w:sz w:val="18"/>
          <w:szCs w:val="18"/>
          <w:color w:val="auto"/>
        </w:rPr>
        <w:t>” with respect to any Note surrendered for conversion means: (i) subject to clause (ii), if the relevant Conversion Date occurs prior to March 15, 2024, the 40 consecutive Trading Day period beginning on, and including, the second Trading Day immediately succeeding such Conversion Date; (ii) if the relevant Conversion Date occurs on or after the date of the Company’s issuance of a Redemption Notice with respect to the Notes pursuant to Section 16.02 and prior to the relevant Redemption Date (as such Redemption Date may be extended), the 40 consecutive Trading Days beginning on, and including, the 41st Scheduled Trading Day immediately preceding such Redemption Date; and (iii) subject to clause (ii), if the relevant Conversion Date occurs on or after March 15, 2024, the 40 consecutive Trading Days beginning on, and including, the 41st Scheduled Trading Day immediately preceding the Maturity Date.</w:t>
      </w:r>
    </w:p>
    <w:p>
      <w:pPr>
        <w:spacing w:after="0" w:line="189"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preliminary offering memorandum dated June 25, 2018 as supplemented by the related pricing term sheet dated June 25, 2018, relating to the offering and sale of the Notes.</w:t>
      </w:r>
    </w:p>
    <w:p>
      <w:pPr>
        <w:spacing w:after="0" w:line="162"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Chief Executive Officer, the Chief Financial Officer, the Chief Accounting Officer, the Treasurer, the Secretary, or any President or Vice President (whether or not designated by a number or numbers or word or words added before or after the title “President” or “Vice President”).</w:t>
      </w:r>
    </w:p>
    <w:p>
      <w:pPr>
        <w:spacing w:after="0" w:line="176" w:lineRule="exact"/>
        <w:rPr>
          <w:sz w:val="20"/>
          <w:szCs w:val="20"/>
          <w:color w:val="auto"/>
        </w:rPr>
      </w:pPr>
    </w:p>
    <w:p>
      <w:pPr>
        <w:ind w:right="10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when used with respect to the Company, means a certificate that is delivered to the Trustee and that is signed by an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may be an employee of or counsel to the Company, or other counsel reasonably acceptable to the Trustee, that is delivered to the Trustee, which opinion may contain customary exceptions and qualifications as to the matters set forth therein. Each such opinion shall include the statements provided for in Section 17.05 if and to the extent required by the provisions of such Section 17.05.</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Redemption</w:t>
      </w:r>
      <w:r>
        <w:rPr>
          <w:rFonts w:ascii="Arial" w:cs="Arial" w:eastAsia="Arial" w:hAnsi="Arial"/>
          <w:sz w:val="18"/>
          <w:szCs w:val="18"/>
          <w:color w:val="auto"/>
        </w:rPr>
        <w:t>” shall have the meaning specified in Section 16.01.</w:t>
      </w:r>
    </w:p>
    <w:p>
      <w:pPr>
        <w:spacing w:after="0" w:line="22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166" w:lineRule="exact"/>
        <w:rPr>
          <w:sz w:val="20"/>
          <w:szCs w:val="20"/>
          <w:color w:val="auto"/>
        </w:rPr>
      </w:pPr>
    </w:p>
    <w:p>
      <w:pPr>
        <w:ind w:left="1940" w:hanging="635"/>
        <w:spacing w:after="0"/>
        <w:tabs>
          <w:tab w:leader="none" w:pos="19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theretofore canceled by the Trustee or accepted by the Trustee for cancellation;</w:t>
      </w:r>
    </w:p>
    <w:p>
      <w:pPr>
        <w:spacing w:after="0" w:line="225" w:lineRule="exact"/>
        <w:rPr>
          <w:rFonts w:ascii="Arial" w:cs="Arial" w:eastAsia="Arial" w:hAnsi="Arial"/>
          <w:sz w:val="18"/>
          <w:szCs w:val="18"/>
          <w:color w:val="auto"/>
        </w:rPr>
      </w:pPr>
    </w:p>
    <w:p>
      <w:pPr>
        <w:ind w:left="660" w:right="200" w:firstLine="645"/>
        <w:spacing w:after="0" w:line="277" w:lineRule="auto"/>
        <w:tabs>
          <w:tab w:leader="none" w:pos="1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Notes, or portions thereof, that have become due and payable and in respect of which monies in the necessary amount shall have been deposited in trust with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the Trustee or with any Paying Agent (other than the Company) or shall have been set aside and segregated in trust by the Company (if the Company shall act as its own Paying Agent);</w:t>
      </w:r>
    </w:p>
    <w:p>
      <w:pPr>
        <w:spacing w:after="0" w:line="170" w:lineRule="exact"/>
        <w:rPr>
          <w:sz w:val="20"/>
          <w:szCs w:val="20"/>
          <w:color w:val="auto"/>
        </w:rPr>
      </w:pPr>
    </w:p>
    <w:p>
      <w:pPr>
        <w:jc w:val="both"/>
        <w:ind w:left="660" w:right="220" w:firstLine="645"/>
        <w:spacing w:after="0" w:line="264" w:lineRule="auto"/>
        <w:tabs>
          <w:tab w:leader="none" w:pos="19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Notes converted pursuant to Article 14 and required to be cancelled pursuant to Section 2.08;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Notes redeemed pursuant to Article 16.</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shall have the meaning specified in Section 4.02.</w:t>
      </w:r>
    </w:p>
    <w:p>
      <w:pPr>
        <w:spacing w:after="0" w:line="225" w:lineRule="exact"/>
        <w:rPr>
          <w:sz w:val="20"/>
          <w:szCs w:val="20"/>
          <w:color w:val="auto"/>
        </w:rPr>
      </w:pPr>
    </w:p>
    <w:p>
      <w:pPr>
        <w:ind w:right="26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Holder</w:t>
      </w:r>
      <w:r>
        <w:rPr>
          <w:rFonts w:ascii="Arial" w:cs="Arial" w:eastAsia="Arial" w:hAnsi="Arial"/>
          <w:sz w:val="16"/>
          <w:szCs w:val="16"/>
          <w:color w:val="auto"/>
        </w:rPr>
        <w:t>” means each of Sequoia Capital, Flybridge Capital, New Enterprise Associates, Future Fund Investment Company No. 4 Pty Ltd, Dev Ittycheria, Dwight Merriman, Eliot Horowitz and Kevin P. Ryan, in each case, together with (a) in the case of each of Dev Ittycheria, Dwight Merriman, Eliot Horowitz and Kevin P. Ryan, (i) his spouse and lineal descendants and spouses of lineal descendants, (ii) his estate or legal representative,</w:t>
      </w:r>
    </w:p>
    <w:p>
      <w:pPr>
        <w:spacing w:after="0" w:line="2" w:lineRule="exact"/>
        <w:rPr>
          <w:sz w:val="20"/>
          <w:szCs w:val="20"/>
          <w:color w:val="auto"/>
        </w:rPr>
      </w:pPr>
    </w:p>
    <w:p>
      <w:pPr>
        <w:ind w:right="140" w:firstLine="8"/>
        <w:spacing w:after="0" w:line="255"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trusts established for his benefit or for the benefit of his spouse or lineal descendants or spouses of his lineal descendants or (iv) any entity solely owned and controlled, directly or indirectly, by him and (b) in the case of each of Sequoia Capital, Flybridge Capital, New Enterprise Associates or Future Fund Investment Company No. 4 Pty Ltd, each of their respective affiliates.</w:t>
      </w:r>
    </w:p>
    <w:p>
      <w:pPr>
        <w:spacing w:after="0" w:line="186"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Physical Notes</w:t>
      </w:r>
      <w:r>
        <w:rPr>
          <w:rFonts w:ascii="Arial" w:cs="Arial" w:eastAsia="Arial" w:hAnsi="Arial"/>
          <w:sz w:val="16"/>
          <w:szCs w:val="16"/>
          <w:color w:val="auto"/>
        </w:rPr>
        <w:t>” means permanent certificated Notes in registered form issued in denominations of $1,000 principal amount and integral multiples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Settlement</w:t>
      </w:r>
      <w:r>
        <w:rPr>
          <w:rFonts w:ascii="Arial" w:cs="Arial" w:eastAsia="Arial" w:hAnsi="Arial"/>
          <w:sz w:val="18"/>
          <w:szCs w:val="18"/>
          <w:color w:val="auto"/>
        </w:rPr>
        <w:t>” shall have the meaning specified in Section 14.02(a).</w:t>
      </w:r>
    </w:p>
    <w:p>
      <w:pPr>
        <w:sectPr>
          <w:pgSz w:w="11900" w:h="16870" w:orient="portrait"/>
          <w:cols w:equalWidth="0" w:num="1">
            <w:col w:w="11420"/>
          </w:cols>
          <w:pgMar w:left="240" w:top="337" w:right="239" w:bottom="0" w:gutter="0" w:footer="0" w:header="0"/>
        </w:sectPr>
      </w:pPr>
    </w:p>
    <w:bookmarkStart w:id="12" w:name="page13"/>
    <w:bookmarkEnd w:id="12"/>
    <w:p>
      <w:pPr>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Predecessor Note</w:t>
      </w:r>
      <w:r>
        <w:rPr>
          <w:rFonts w:ascii="Arial" w:cs="Arial" w:eastAsia="Arial" w:hAnsi="Arial"/>
          <w:sz w:val="17"/>
          <w:szCs w:val="17"/>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 Agreement</w:t>
      </w:r>
      <w:r>
        <w:rPr>
          <w:rFonts w:ascii="Arial" w:cs="Arial" w:eastAsia="Arial" w:hAnsi="Arial"/>
          <w:sz w:val="17"/>
          <w:szCs w:val="17"/>
          <w:color w:val="auto"/>
        </w:rPr>
        <w:t>” means that certain Purchase Agreement, dated as of June 25, 2018, among the Company and the Initial Purchasers.</w:t>
      </w:r>
    </w:p>
    <w:p>
      <w:pPr>
        <w:spacing w:after="0" w:line="237" w:lineRule="exact"/>
        <w:rPr>
          <w:sz w:val="20"/>
          <w:szCs w:val="20"/>
          <w:color w:val="auto"/>
        </w:rPr>
      </w:pPr>
    </w:p>
    <w:p>
      <w:pPr>
        <w:ind w:right="44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Record Date</w:t>
      </w:r>
      <w:r>
        <w:rPr>
          <w:rFonts w:ascii="Arial" w:cs="Arial" w:eastAsia="Arial" w:hAnsi="Arial"/>
          <w:sz w:val="17"/>
          <w:szCs w:val="17"/>
          <w:color w:val="auto"/>
        </w:rPr>
        <w:t>” means, with respect to any dividend, distribution or other transaction or event in which the holders of Common Stock (or other applicable security) have the right to receive any cash, securities or other property or in which the Common Stock (or such other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by contract or otherwise).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shall have the meaning specified in Section 16.02(a).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w:t>
      </w:r>
      <w:r>
        <w:rPr>
          <w:rFonts w:ascii="Arial" w:cs="Arial" w:eastAsia="Arial" w:hAnsi="Arial"/>
          <w:sz w:val="18"/>
          <w:szCs w:val="18"/>
          <w:color w:val="auto"/>
        </w:rPr>
        <w:t>” shall have the meaning specified in Section 16.02(a).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Notice Date</w:t>
      </w:r>
      <w:r>
        <w:rPr>
          <w:rFonts w:ascii="Arial" w:cs="Arial" w:eastAsia="Arial" w:hAnsi="Arial"/>
          <w:sz w:val="18"/>
          <w:szCs w:val="18"/>
          <w:color w:val="auto"/>
        </w:rPr>
        <w:t>” means the date on which a Redemption Notice is delivered pursuant to Section 16.02.</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Period</w:t>
      </w:r>
      <w:r>
        <w:rPr>
          <w:rFonts w:ascii="Arial" w:cs="Arial" w:eastAsia="Arial" w:hAnsi="Arial"/>
          <w:sz w:val="18"/>
          <w:szCs w:val="18"/>
          <w:color w:val="auto"/>
        </w:rPr>
        <w:t>” means the period from, and including, the relevant Redemption Notice Date until the close of business on the Scheduled Trading Day immediately preceding the related Redemption Date.</w:t>
      </w:r>
    </w:p>
    <w:p>
      <w:pPr>
        <w:spacing w:after="0" w:line="162"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means, for any Notes to be redeemed pursuant to Section 16.01, 100% of the principal amount of such Notes,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if any, to, but excluding, the Redemption Date (unless the Redemption Date falls after a Regular Record Date but on or prior to the Business Day immediately succeeding the corresponding Interest Payment Date, in which case interest accrued to the Interest Payment Date will be paid to Holders of record of such Notes on such Regular Record Date, and the Redemption Price will be equal to 100% of the principal amount of such Notes).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 shall have the meaning specified in Section 14.07(a).</w:t>
      </w:r>
    </w:p>
    <w:p>
      <w:pPr>
        <w:spacing w:after="0" w:line="22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with respect to any Interest Payment Date, shall mean the June 1 or December 1 (whether or not such day is a Business Day) immediately preceding the applicable June 15 and December 15 Interest Payment Date, respectively.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shall have the meaning specified in Section 2.05(c).</w:t>
      </w:r>
    </w:p>
    <w:p>
      <w:pPr>
        <w:spacing w:after="0" w:line="22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as promulgated under the Securities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as promulgated under the Securities Act.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4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Arial" w:cs="Arial" w:eastAsia="Arial" w:hAnsi="Arial"/>
          <w:sz w:val="18"/>
          <w:szCs w:val="18"/>
          <w:b w:val="1"/>
          <w:bCs w:val="1"/>
          <w:color w:val="auto"/>
        </w:rPr>
        <w:t>Scheduled Trading</w:t>
      </w:r>
      <w:r>
        <w:rPr>
          <w:rFonts w:ascii="Arial" w:cs="Arial" w:eastAsia="Arial" w:hAnsi="Arial"/>
          <w:sz w:val="18"/>
          <w:szCs w:val="18"/>
          <w:color w:val="auto"/>
        </w:rPr>
        <w:t xml:space="preserve"> </w:t>
      </w:r>
      <w:r>
        <w:rPr>
          <w:rFonts w:ascii="Arial" w:cs="Arial" w:eastAsia="Arial" w:hAnsi="Arial"/>
          <w:sz w:val="18"/>
          <w:szCs w:val="18"/>
          <w:b w:val="1"/>
          <w:bCs w:val="1"/>
          <w:color w:val="auto"/>
        </w:rPr>
        <w:t>Day</w:t>
      </w:r>
      <w:r>
        <w:rPr>
          <w:rFonts w:ascii="Arial" w:cs="Arial" w:eastAsia="Arial" w:hAnsi="Arial"/>
          <w:sz w:val="18"/>
          <w:szCs w:val="18"/>
          <w:color w:val="auto"/>
        </w:rPr>
        <w:t>” means a Business Day.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Amount</w:t>
      </w:r>
      <w:r>
        <w:rPr>
          <w:rFonts w:ascii="Arial" w:cs="Arial" w:eastAsia="Arial" w:hAnsi="Arial"/>
          <w:sz w:val="18"/>
          <w:szCs w:val="18"/>
          <w:color w:val="auto"/>
        </w:rPr>
        <w:t>” has the meaning specified in Section 14.02(a)(iv).</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Method</w:t>
      </w:r>
      <w:r>
        <w:rPr>
          <w:rFonts w:ascii="Arial" w:cs="Arial" w:eastAsia="Arial" w:hAnsi="Arial"/>
          <w:sz w:val="18"/>
          <w:szCs w:val="18"/>
          <w:color w:val="auto"/>
        </w:rPr>
        <w:t>” means, with respect to any conversion of Notes, Physical Settlement, Cash Settlement or Combination Settlement, as elected (or deemed to have been elected) by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Notice</w:t>
      </w:r>
      <w:r>
        <w:rPr>
          <w:rFonts w:ascii="Arial" w:cs="Arial" w:eastAsia="Arial" w:hAnsi="Arial"/>
          <w:sz w:val="18"/>
          <w:szCs w:val="18"/>
          <w:color w:val="auto"/>
        </w:rPr>
        <w:t>” has the meaning specified in Section 14.02(a)(iii).</w:t>
      </w:r>
    </w:p>
    <w:p>
      <w:pPr>
        <w:spacing w:after="0" w:line="22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for purposes of Section 6.01(g)-(i), means a Subsidiary of the Company that meets the definition of “significant subsidiary” in Article 1, Rule 1-02 of Regulation S-X under the Exchange Act promulgated by the Commission; provided that, in the case of a Subsidiary of the Company that meets the criteria of clause (3) of the definition thereof but not clause (1) or (2) thereof, such Subsidiary shall not be deemed to be a Significant Subsidiary unless the Subsidiary’s income (or loss) from continuing operations before income taxes, extraordinary items and cumulative effect of a change in accounting principle exclusive of amounts attributable to any non-controlling interests for the last completed fiscal year prior to the date of such determination exceeds $15,000,000.</w:t>
      </w:r>
    </w:p>
    <w:p>
      <w:pPr>
        <w:sectPr>
          <w:pgSz w:w="11900" w:h="16838" w:orient="portrait"/>
          <w:cols w:equalWidth="0" w:num="1">
            <w:col w:w="11400"/>
          </w:cols>
          <w:pgMar w:left="240" w:top="337" w:right="259" w:bottom="0" w:gutter="0" w:footer="0" w:header="0"/>
        </w:sectPr>
      </w:pPr>
    </w:p>
    <w:bookmarkStart w:id="13" w:name="page14"/>
    <w:bookmarkEnd w:id="13"/>
    <w:p>
      <w:pPr>
        <w:spacing w:after="0" w:line="11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Dollar Amount</w:t>
      </w:r>
      <w:r>
        <w:rPr>
          <w:rFonts w:ascii="Arial" w:cs="Arial" w:eastAsia="Arial" w:hAnsi="Arial"/>
          <w:sz w:val="18"/>
          <w:szCs w:val="18"/>
          <w:color w:val="auto"/>
        </w:rPr>
        <w:t>” means the maximum cash amount per $1,000 principal amount of Notes to be received upon conversion as specified in the Settlement Notice related to any converted Notes (or deemed specified pursuant to Section 14.02(a)).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Price</w:t>
      </w:r>
      <w:r>
        <w:rPr>
          <w:rFonts w:ascii="Arial" w:cs="Arial" w:eastAsia="Arial" w:hAnsi="Arial"/>
          <w:sz w:val="18"/>
          <w:szCs w:val="18"/>
          <w:color w:val="auto"/>
        </w:rPr>
        <w:t>” shall have the meaning specified in Section 14.03(c).</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w:t>
      </w:r>
    </w:p>
    <w:p>
      <w:pPr>
        <w:spacing w:after="0" w:line="2" w:lineRule="exact"/>
        <w:rPr>
          <w:sz w:val="20"/>
          <w:szCs w:val="20"/>
          <w:color w:val="auto"/>
        </w:rPr>
      </w:pPr>
    </w:p>
    <w:p>
      <w:pPr>
        <w:ind w:left="660" w:right="3480" w:hanging="652"/>
        <w:spacing w:after="0" w:line="490" w:lineRule="auto"/>
        <w:tabs>
          <w:tab w:leader="none" w:pos="2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Person and one or more Subsidiaries of such Person; or (iii) one or more Subsidiaries of such Person. “</w:t>
      </w:r>
      <w:r>
        <w:rPr>
          <w:rFonts w:ascii="Arial" w:cs="Arial" w:eastAsia="Arial" w:hAnsi="Arial"/>
          <w:sz w:val="18"/>
          <w:szCs w:val="18"/>
          <w:b w:val="1"/>
          <w:bCs w:val="1"/>
          <w:color w:val="auto"/>
        </w:rPr>
        <w:t>Successor Company</w:t>
      </w:r>
      <w:r>
        <w:rPr>
          <w:rFonts w:ascii="Arial" w:cs="Arial" w:eastAsia="Arial" w:hAnsi="Arial"/>
          <w:sz w:val="18"/>
          <w:szCs w:val="18"/>
          <w:color w:val="auto"/>
        </w:rPr>
        <w:t>” shall have the meaning specified in Section 11.01(a).</w:t>
      </w:r>
    </w:p>
    <w:p>
      <w:pPr>
        <w:spacing w:after="0" w:line="1" w:lineRule="exact"/>
        <w:rPr>
          <w:sz w:val="20"/>
          <w:szCs w:val="20"/>
          <w:color w:val="auto"/>
        </w:rPr>
      </w:pPr>
    </w:p>
    <w:p>
      <w:pPr>
        <w:ind w:right="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except for purposes determining amounts due upon conversion as set forth below, a day on which (i) trading in the Common Stock (or other security for which a closing sale price must be determined) generally occurs on the Nasdaq Global Market or, if the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Common Stock (or such other security) is not then listed on the Nasdaq Global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Common Stock (or such other security) is not so listed or traded, “</w:t>
      </w:r>
      <w:r>
        <w:rPr>
          <w:rFonts w:ascii="Arial" w:cs="Arial" w:eastAsia="Arial" w:hAnsi="Arial"/>
          <w:sz w:val="17"/>
          <w:szCs w:val="17"/>
          <w:b w:val="1"/>
          <w:bCs w:val="1"/>
          <w:color w:val="auto"/>
        </w:rPr>
        <w:t>Trading Day</w:t>
      </w:r>
      <w:r>
        <w:rPr>
          <w:rFonts w:ascii="Arial" w:cs="Arial" w:eastAsia="Arial" w:hAnsi="Arial"/>
          <w:sz w:val="17"/>
          <w:szCs w:val="17"/>
          <w:color w:val="auto"/>
        </w:rPr>
        <w:t xml:space="preserve">” means a Business Day;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for purposes of determining amounts due upon conversion only, “</w:t>
      </w:r>
      <w:r>
        <w:rPr>
          <w:rFonts w:ascii="Arial" w:cs="Arial" w:eastAsia="Arial" w:hAnsi="Arial"/>
          <w:sz w:val="17"/>
          <w:szCs w:val="17"/>
          <w:b w:val="1"/>
          <w:bCs w:val="1"/>
          <w:color w:val="auto"/>
        </w:rPr>
        <w:t>Trading Day</w:t>
      </w:r>
      <w:r>
        <w:rPr>
          <w:rFonts w:ascii="Arial" w:cs="Arial" w:eastAsia="Arial" w:hAnsi="Arial"/>
          <w:sz w:val="17"/>
          <w:szCs w:val="17"/>
          <w:color w:val="auto"/>
        </w:rPr>
        <w:t>” means a day on which (x) there is no Market Disruption Event and (y) trading in the Common Stock generally occurs on the Nasdaq Global Market or, if the Common Stock is not then listed on the Nasdaq Global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Arial" w:cs="Arial" w:eastAsia="Arial" w:hAnsi="Arial"/>
          <w:sz w:val="17"/>
          <w:szCs w:val="17"/>
          <w:b w:val="1"/>
          <w:bCs w:val="1"/>
          <w:color w:val="auto"/>
        </w:rPr>
        <w:t>Trading Day</w:t>
      </w:r>
      <w:r>
        <w:rPr>
          <w:rFonts w:ascii="Arial" w:cs="Arial" w:eastAsia="Arial" w:hAnsi="Arial"/>
          <w:sz w:val="17"/>
          <w:szCs w:val="17"/>
          <w:color w:val="auto"/>
        </w:rPr>
        <w:t>” means a Business Day.</w:t>
      </w:r>
    </w:p>
    <w:p>
      <w:pPr>
        <w:spacing w:after="0" w:line="17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Price</w:t>
      </w:r>
      <w:r>
        <w:rPr>
          <w:rFonts w:ascii="Arial" w:cs="Arial" w:eastAsia="Arial" w:hAnsi="Arial"/>
          <w:sz w:val="18"/>
          <w:szCs w:val="18"/>
          <w:color w:val="auto"/>
        </w:rPr>
        <w:t xml:space="preserve">” of the Notes on any date of determination means the average of the secondary market bid quotations obtained by the Bid Solicitation Agent for $5,000,000 principal amount of Notes at approximately 3:30 p.m., New York City time, on such determination date from three independent nationally recognized securities dealers the Company selects for this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on any determination date, the Bid Solicitation Agent cannot reasonably obtain at least one bid for $5,000,000 principal amount of Notes on such date from a nationally recognized securities dealer, then the Trading Price per $1,000 principal amount of Notes on such determination date shall be deemed to be less than 98% of the product of the Last Reported Sale Price of the Common Stock and the Conversion Rate.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specified in Section 2.05(c).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xml:space="preserve">” means the Trust Indenture Act of 1939, as amended, as it was in force at the date of execution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Trust Indenture Act of 1939 is amended after the date hereof, the term “Trust Indenture Act” shall mean, to the extent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by such amendment, the Trust Indenture Act of 1939, as so amended.</w:t>
      </w:r>
    </w:p>
    <w:p>
      <w:pPr>
        <w:spacing w:after="0" w:line="176" w:lineRule="exact"/>
        <w:rPr>
          <w:sz w:val="20"/>
          <w:szCs w:val="20"/>
          <w:color w:val="auto"/>
        </w:rPr>
      </w:pPr>
    </w:p>
    <w:p>
      <w:pPr>
        <w:ind w:right="6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Person named as the “</w:t>
      </w:r>
      <w:r>
        <w:rPr>
          <w:rFonts w:ascii="Arial" w:cs="Arial" w:eastAsia="Arial" w:hAnsi="Arial"/>
          <w:sz w:val="16"/>
          <w:szCs w:val="16"/>
          <w:b w:val="1"/>
          <w:bCs w:val="1"/>
          <w:color w:val="auto"/>
        </w:rPr>
        <w:t>Trustee</w:t>
      </w:r>
      <w:r>
        <w:rPr>
          <w:rFonts w:ascii="Arial" w:cs="Arial" w:eastAsia="Arial" w:hAnsi="Arial"/>
          <w:sz w:val="16"/>
          <w:szCs w:val="16"/>
          <w:color w:val="auto"/>
        </w:rPr>
        <w:t>” in the first paragraph of this Indenture until a successor trustee shall have become such pursuant to the applicable provisions of this Indenture, and thereafter “</w:t>
      </w:r>
      <w:r>
        <w:rPr>
          <w:rFonts w:ascii="Arial" w:cs="Arial" w:eastAsia="Arial" w:hAnsi="Arial"/>
          <w:sz w:val="16"/>
          <w:szCs w:val="16"/>
          <w:b w:val="1"/>
          <w:bCs w:val="1"/>
          <w:color w:val="auto"/>
        </w:rPr>
        <w:t>Trustee</w:t>
      </w:r>
      <w:r>
        <w:rPr>
          <w:rFonts w:ascii="Arial" w:cs="Arial" w:eastAsia="Arial" w:hAnsi="Arial"/>
          <w:sz w:val="16"/>
          <w:szCs w:val="16"/>
          <w:color w:val="auto"/>
        </w:rPr>
        <w:t>” shall mean or include each Person who is then a Trustee hereunder.</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of Reference Property</w:t>
      </w:r>
      <w:r>
        <w:rPr>
          <w:rFonts w:ascii="Arial" w:cs="Arial" w:eastAsia="Arial" w:hAnsi="Arial"/>
          <w:sz w:val="18"/>
          <w:szCs w:val="18"/>
          <w:color w:val="auto"/>
        </w:rPr>
        <w:t>” shall have the meaning specified in Section 14.07(a).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shall have the meaning specified in Section 14.04(c).</w:t>
      </w:r>
    </w:p>
    <w:p>
      <w:pPr>
        <w:spacing w:after="0" w:line="225"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means, with respect to any Person, any direct or indirect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spacing w:after="0" w:line="18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Section 1.02</w:t>
      </w:r>
      <w:r>
        <w:rPr>
          <w:rFonts w:ascii="Arial" w:cs="Arial" w:eastAsia="Arial" w:hAnsi="Arial"/>
          <w:sz w:val="17"/>
          <w:szCs w:val="17"/>
          <w:i w:val="1"/>
          <w:iCs w:val="1"/>
          <w:color w:val="auto"/>
        </w:rPr>
        <w:t>. References to Interest.</w:t>
      </w:r>
      <w:r>
        <w:rPr>
          <w:rFonts w:ascii="Arial" w:cs="Arial" w:eastAsia="Arial" w:hAnsi="Arial"/>
          <w:sz w:val="17"/>
          <w:szCs w:val="17"/>
          <w:color w:val="auto"/>
        </w:rPr>
        <w:t xml:space="preserve">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hereof shall not be construed as excluding Additional Interest in those provisions hereof where such express mention is not made.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ISSUE, DESCRIPTION, EXECUTION, REGISTRATION AND EXCHANGE OF NOTES</w:t>
      </w:r>
    </w:p>
    <w:p>
      <w:pPr>
        <w:spacing w:after="0" w:line="21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Section 2.01</w:t>
      </w:r>
      <w:r>
        <w:rPr>
          <w:rFonts w:ascii="Arial" w:cs="Arial" w:eastAsia="Arial" w:hAnsi="Arial"/>
          <w:sz w:val="16"/>
          <w:szCs w:val="16"/>
          <w:i w:val="1"/>
          <w:iCs w:val="1"/>
          <w:color w:val="auto"/>
        </w:rPr>
        <w:t>. Designation and Amount.</w:t>
      </w:r>
      <w:r>
        <w:rPr>
          <w:rFonts w:ascii="Arial" w:cs="Arial" w:eastAsia="Arial" w:hAnsi="Arial"/>
          <w:sz w:val="16"/>
          <w:szCs w:val="16"/>
          <w:color w:val="auto"/>
        </w:rPr>
        <w:t xml:space="preserve"> The Notes shall be designated as the “0.75% Convertible Senior Notes due 2024.” The aggregate principal amount of Notes that may be authenticated and delivered under this Indenture is initially limited to $250,00,000 (as increased by an amount equal to the aggregate principal amount of any additional Notes purchased by the Initial Purchasers pursuant to the exercise of their option to purchase additional Notes as</w:t>
      </w:r>
    </w:p>
    <w:p>
      <w:pPr>
        <w:sectPr>
          <w:pgSz w:w="11900" w:h="16952" w:orient="portrait"/>
          <w:cols w:equalWidth="0" w:num="1">
            <w:col w:w="11420"/>
          </w:cols>
          <w:pgMar w:left="240" w:top="121" w:right="239" w:bottom="0" w:gutter="0" w:footer="0" w:header="0"/>
        </w:sectPr>
      </w:pPr>
    </w:p>
    <w:bookmarkStart w:id="14" w:name="page15"/>
    <w:bookmarkEnd w:id="14"/>
    <w:p>
      <w:pPr>
        <w:spacing w:after="0" w:line="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set forth in the Purchase Agreement), subject to Section 2.10 and except for Notes authenticated and delivered upon registration or transfer of, or in exchange for, or in lieu of other Notes to the extent expressly permitted hereunder.</w:t>
      </w:r>
    </w:p>
    <w:p>
      <w:pPr>
        <w:spacing w:after="0" w:line="17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Section 2.02</w:t>
      </w:r>
      <w:r>
        <w:rPr>
          <w:rFonts w:ascii="Arial" w:cs="Arial" w:eastAsia="Arial" w:hAnsi="Arial"/>
          <w:sz w:val="18"/>
          <w:szCs w:val="18"/>
          <w:i w:val="1"/>
          <w:iCs w:val="1"/>
          <w:color w:val="auto"/>
        </w:rPr>
        <w:t>. Form of Notes.</w:t>
      </w:r>
      <w:r>
        <w:rPr>
          <w:rFonts w:ascii="Arial" w:cs="Arial" w:eastAsia="Arial" w:hAnsi="Arial"/>
          <w:sz w:val="18"/>
          <w:szCs w:val="18"/>
          <w:color w:val="auto"/>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8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spacing w:after="0" w:line="17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Section 2.03</w:t>
      </w:r>
      <w:r>
        <w:rPr>
          <w:rFonts w:ascii="Arial" w:cs="Arial" w:eastAsia="Arial" w:hAnsi="Arial"/>
          <w:sz w:val="17"/>
          <w:szCs w:val="17"/>
          <w:i w:val="1"/>
          <w:iCs w:val="1"/>
          <w:color w:val="auto"/>
        </w:rPr>
        <w:t>. Date and Denomination of Notes; Payments of Interest and Defaulted Amounts.</w:t>
      </w:r>
      <w:r>
        <w:rPr>
          <w:rFonts w:ascii="Arial" w:cs="Arial" w:eastAsia="Arial" w:hAnsi="Arial"/>
          <w:sz w:val="17"/>
          <w:szCs w:val="17"/>
          <w:color w:val="auto"/>
        </w:rPr>
        <w:t xml:space="preserve"> (a) The Notes shall be issuable in registered form without coupons in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spacing w:after="0" w:line="171" w:lineRule="exact"/>
        <w:rPr>
          <w:sz w:val="20"/>
          <w:szCs w:val="20"/>
          <w:color w:val="auto"/>
        </w:rPr>
      </w:pPr>
    </w:p>
    <w:p>
      <w:pPr>
        <w:ind w:right="120" w:firstLine="656"/>
        <w:spacing w:after="0" w:line="270" w:lineRule="auto"/>
        <w:tabs>
          <w:tab w:leader="none" w:pos="130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The Company shall pay (or cause the Paying Agent to pay) the principal amount of any Note (x) in the case of any Physical Note, at the office or agency of the Company designated by the Company for such purposes in the United States of America, which shall initially be the Corporate Trust Office and (y) in the case of any Global Note,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such Holder or, upon application by such a Holder to the Note Registrar (containing the requisite information for the Trustee or Paying Agent to make such wire transfer) not later than the relevant Regular Record Date, by wire transfer in immediately available funds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to that Holder’s account within the United States of America, which application shall remain in effect until the Holder notifies, in writing, the Note Registrar to the contrary or (ii) on any Global Note by wire transfer of immediately available funds to the account of the Depositary or its nominee.</w:t>
      </w:r>
    </w:p>
    <w:p>
      <w:pPr>
        <w:spacing w:after="0" w:line="147" w:lineRule="exact"/>
        <w:rPr>
          <w:sz w:val="20"/>
          <w:szCs w:val="20"/>
          <w:color w:val="auto"/>
        </w:rPr>
      </w:pPr>
    </w:p>
    <w:p>
      <w:pPr>
        <w:jc w:val="both"/>
        <w:ind w:right="40" w:firstLine="656"/>
        <w:spacing w:after="0" w:line="264" w:lineRule="auto"/>
        <w:tabs>
          <w:tab w:leader="none" w:pos="1172"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Defaulted Amounts shall forthwith cease to be payable to the Holder on the relevant payment date but shall accrue interest per annum at the rate borne by the Notes from, and including, such relevant payment date, and such Defaulted Amounts together with such interest thereon shall be paid by the Company, at its election in each case, as provided in clause (i) or (ii) below:</w:t>
      </w:r>
    </w:p>
    <w:p>
      <w:pPr>
        <w:spacing w:after="0" w:line="181" w:lineRule="exact"/>
        <w:rPr>
          <w:rFonts w:ascii="Arial" w:cs="Arial" w:eastAsia="Arial" w:hAnsi="Arial"/>
          <w:sz w:val="18"/>
          <w:szCs w:val="18"/>
          <w:color w:val="auto"/>
        </w:rPr>
      </w:pPr>
    </w:p>
    <w:p>
      <w:pPr>
        <w:ind w:left="660" w:firstLine="645"/>
        <w:spacing w:after="0" w:line="286" w:lineRule="auto"/>
        <w:tabs>
          <w:tab w:leader="none" w:pos="1978"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at its address as it appears in the Note Register, or by electronic means to the Depositary in the case of Global Notes,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w:t>
      </w:r>
    </w:p>
    <w:p>
      <w:pPr>
        <w:sectPr>
          <w:pgSz w:w="11900" w:h="16931" w:orient="portrait"/>
          <w:cols w:equalWidth="0" w:num="1">
            <w:col w:w="11420"/>
          </w:cols>
          <w:pgMar w:left="240" w:top="125" w:right="239" w:bottom="0" w:gutter="0" w:footer="0" w:header="0"/>
        </w:sectPr>
      </w:pPr>
    </w:p>
    <w:bookmarkStart w:id="15" w:name="page16"/>
    <w:bookmarkEnd w:id="15"/>
    <w:p>
      <w:pPr>
        <w:spacing w:after="0" w:line="114"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pursuant to the following clause (ii) of this Section 2.03(c). The Trustee shall have no responsibility whatsoever for the calculation of the Defaulted Amounts.</w:t>
      </w:r>
    </w:p>
    <w:p>
      <w:pPr>
        <w:spacing w:after="0" w:line="170" w:lineRule="exact"/>
        <w:rPr>
          <w:sz w:val="20"/>
          <w:szCs w:val="20"/>
          <w:color w:val="auto"/>
        </w:rPr>
      </w:pPr>
    </w:p>
    <w:p>
      <w:pPr>
        <w:jc w:val="both"/>
        <w:ind w:left="660" w:firstLine="645"/>
        <w:spacing w:after="0" w:line="279" w:lineRule="auto"/>
        <w:tabs>
          <w:tab w:leader="none" w:pos="198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Section 2.04</w:t>
      </w:r>
      <w:r>
        <w:rPr>
          <w:rFonts w:ascii="Arial" w:cs="Arial" w:eastAsia="Arial" w:hAnsi="Arial"/>
          <w:sz w:val="18"/>
          <w:szCs w:val="18"/>
          <w:i w:val="1"/>
          <w:iCs w:val="1"/>
          <w:color w:val="auto"/>
        </w:rPr>
        <w:t>. Execution, Authentication and Delivery of Notes.</w:t>
      </w:r>
      <w:r>
        <w:rPr>
          <w:rFonts w:ascii="Arial" w:cs="Arial" w:eastAsia="Arial" w:hAnsi="Arial"/>
          <w:sz w:val="18"/>
          <w:szCs w:val="18"/>
          <w:color w:val="auto"/>
        </w:rPr>
        <w:t xml:space="preserve"> The Notes shall be signed in the name and on behalf of the Company by the manual or facsimile signature of any of its Chief Executive Officer, President, Chief Financial Officer, Treasurer, Secretary or any of its Executive or Senior Vice Presidents.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 provided that, as set forth in Section 17.05, the Trustee shall be entitled to receive an Officer’s Certificate and an Opinion of Counsel of the Company with respect to the issuance, authentication and delivery of such Notes.</w:t>
      </w:r>
    </w:p>
    <w:p>
      <w:pPr>
        <w:spacing w:after="0" w:line="18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Section 2.05</w:t>
      </w:r>
      <w:r>
        <w:rPr>
          <w:rFonts w:ascii="Arial" w:cs="Arial" w:eastAsia="Arial" w:hAnsi="Arial"/>
          <w:sz w:val="17"/>
          <w:szCs w:val="17"/>
          <w:i w:val="1"/>
          <w:iCs w:val="1"/>
          <w:color w:val="auto"/>
        </w:rPr>
        <w:t>. Exchange and Registration of Transfer of Notes; Restrictions on Transfer; Depositary.</w:t>
      </w:r>
      <w:r>
        <w:rPr>
          <w:rFonts w:ascii="Arial" w:cs="Arial" w:eastAsia="Arial" w:hAnsi="Arial"/>
          <w:sz w:val="17"/>
          <w:szCs w:val="17"/>
          <w:color w:val="auto"/>
        </w:rPr>
        <w:t xml:space="preserve"> (a) The Company shall cause to be kept at the Corporate Trust Office a register (the register maintained in such office or in any other office or agency of the Company designated pursuant to Section 4.02, the “</w:t>
      </w:r>
      <w:r>
        <w:rPr>
          <w:rFonts w:ascii="Arial" w:cs="Arial" w:eastAsia="Arial" w:hAnsi="Arial"/>
          <w:sz w:val="17"/>
          <w:szCs w:val="17"/>
          <w:b w:val="1"/>
          <w:bCs w:val="1"/>
          <w:color w:val="auto"/>
        </w:rPr>
        <w:t>Note Register</w:t>
      </w:r>
      <w:r>
        <w:rPr>
          <w:rFonts w:ascii="Arial" w:cs="Arial" w:eastAsia="Arial" w:hAnsi="Arial"/>
          <w:sz w:val="17"/>
          <w:szCs w:val="17"/>
          <w:color w:val="auto"/>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Arial" w:cs="Arial" w:eastAsia="Arial" w:hAnsi="Arial"/>
          <w:sz w:val="17"/>
          <w:szCs w:val="17"/>
          <w:b w:val="1"/>
          <w:bCs w:val="1"/>
          <w:color w:val="auto"/>
        </w:rPr>
        <w:t>Note Registrar</w:t>
      </w:r>
      <w:r>
        <w:rPr>
          <w:rFonts w:ascii="Arial" w:cs="Arial" w:eastAsia="Arial" w:hAnsi="Arial"/>
          <w:sz w:val="17"/>
          <w:szCs w:val="17"/>
          <w:color w:val="auto"/>
        </w:rPr>
        <w:t>” for the purpose of registering Notes and transfers of Notes as herein provided. The Company may appoint one or more co-Note Registrars in accordance with Section 4.02.</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Upon surrender for registration of transfer of any Note to the Note Registrar or any co-Note Registrar, and satisfaction of the requirements for such transfer set forth in this Section 2.05, the Company shall execute, and the Trustee shall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w:t>
      </w:r>
    </w:p>
    <w:p>
      <w:pPr>
        <w:spacing w:after="0" w:line="187"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6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spacing w:after="0" w:line="17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repurchase (and not withdrawn) in accordance with Article 15 or (iii) any Notes selected for redemption in accordance with Article 16, except the unredeemed portion of any Note being redeemed in part.</w:t>
      </w:r>
    </w:p>
    <w:p>
      <w:pPr>
        <w:spacing w:after="0" w:line="187"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81" w:lineRule="exact"/>
        <w:rPr>
          <w:sz w:val="20"/>
          <w:szCs w:val="20"/>
          <w:color w:val="auto"/>
        </w:rPr>
      </w:pPr>
    </w:p>
    <w:p>
      <w:pPr>
        <w:ind w:right="100" w:firstLine="656"/>
        <w:spacing w:after="0" w:line="312" w:lineRule="auto"/>
        <w:tabs>
          <w:tab w:leader="none" w:pos="1169" w:val="left"/>
        </w:tabs>
        <w:numPr>
          <w:ilvl w:val="0"/>
          <w:numId w:val="16"/>
        </w:numPr>
        <w:rPr>
          <w:rFonts w:ascii="Arial" w:cs="Arial" w:eastAsia="Arial" w:hAnsi="Arial"/>
          <w:sz w:val="16"/>
          <w:szCs w:val="16"/>
          <w:color w:val="auto"/>
        </w:rPr>
      </w:pPr>
      <w:r>
        <w:rPr>
          <w:rFonts w:ascii="Arial" w:cs="Arial" w:eastAsia="Arial" w:hAnsi="Arial"/>
          <w:sz w:val="16"/>
          <w:szCs w:val="16"/>
          <w:color w:val="auto"/>
        </w:rPr>
        <w:t>So long as the Notes are eligible for book-entry settlement with the Depositary, unless otherwise required by law, subject to the fourth paragraph from the end of Section 2.05(c) all Notes shall be represented by one or more Notes in global form (each, a “</w:t>
      </w:r>
      <w:r>
        <w:rPr>
          <w:rFonts w:ascii="Arial" w:cs="Arial" w:eastAsia="Arial" w:hAnsi="Arial"/>
          <w:sz w:val="16"/>
          <w:szCs w:val="16"/>
          <w:b w:val="1"/>
          <w:bCs w:val="1"/>
          <w:color w:val="auto"/>
        </w:rPr>
        <w:t>Global Note</w:t>
      </w:r>
      <w:r>
        <w:rPr>
          <w:rFonts w:ascii="Arial" w:cs="Arial" w:eastAsia="Arial" w:hAnsi="Arial"/>
          <w:sz w:val="16"/>
          <w:szCs w:val="16"/>
          <w:color w:val="auto"/>
        </w:rPr>
        <w:t>”) registered in the name of the Depositary or the nominee of the Depositary. Each Global Note shall bear the legend required on a Global Note set forth in Exhibit A hereto. The</w:t>
      </w:r>
    </w:p>
    <w:p>
      <w:pPr>
        <w:sectPr>
          <w:pgSz w:w="11900" w:h="16952" w:orient="portrait"/>
          <w:cols w:equalWidth="0" w:num="1">
            <w:col w:w="11400"/>
          </w:cols>
          <w:pgMar w:left="240" w:top="125" w:right="259" w:bottom="0" w:gutter="0" w:footer="0" w:header="0"/>
        </w:sectPr>
      </w:pPr>
    </w:p>
    <w:bookmarkStart w:id="16" w:name="page17"/>
    <w:bookmarkEnd w:id="16"/>
    <w:p>
      <w:pPr>
        <w:spacing w:after="0" w:line="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181" w:lineRule="exact"/>
        <w:rPr>
          <w:sz w:val="20"/>
          <w:szCs w:val="20"/>
          <w:color w:val="auto"/>
        </w:rPr>
      </w:pPr>
    </w:p>
    <w:p>
      <w:pPr>
        <w:ind w:right="80" w:firstLine="656"/>
        <w:spacing w:after="0" w:line="259" w:lineRule="auto"/>
        <w:tabs>
          <w:tab w:leader="none" w:pos="1172"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Every Note that bears or is required under this Section 2.05(c) to bear the legend set forth in this Section 2.05(c) (together with any Common Stock issued upon conversion of the Notes that is required to bear the legend set forth in Section 2.05(d), collectively, the “</w:t>
      </w:r>
      <w:r>
        <w:rPr>
          <w:rFonts w:ascii="Arial" w:cs="Arial" w:eastAsia="Arial" w:hAnsi="Arial"/>
          <w:sz w:val="18"/>
          <w:szCs w:val="18"/>
          <w:b w:val="1"/>
          <w:bCs w:val="1"/>
          <w:color w:val="auto"/>
        </w:rPr>
        <w:t>Restricted Securities</w:t>
      </w:r>
      <w:r>
        <w:rPr>
          <w:rFonts w:ascii="Arial" w:cs="Arial" w:eastAsia="Arial" w:hAnsi="Arial"/>
          <w:sz w:val="18"/>
          <w:szCs w:val="18"/>
          <w:color w:val="auto"/>
        </w:rPr>
        <w:t>”) shall be subject to the restrictions on transfer set forth in this Section 2.05(c) (including those contained in the legend set forth below), unless such restrictions on transfer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Arial" w:cs="Arial" w:eastAsia="Arial" w:hAnsi="Arial"/>
          <w:sz w:val="18"/>
          <w:szCs w:val="18"/>
          <w:b w:val="1"/>
          <w:bCs w:val="1"/>
          <w:color w:val="auto"/>
        </w:rPr>
        <w:t>transfer</w:t>
      </w:r>
      <w:r>
        <w:rPr>
          <w:rFonts w:ascii="Arial" w:cs="Arial" w:eastAsia="Arial" w:hAnsi="Arial"/>
          <w:sz w:val="18"/>
          <w:szCs w:val="18"/>
          <w:color w:val="auto"/>
        </w:rPr>
        <w:t>” encompasses any sale, pledge, transfer or other disposition whatsoever of any Restricted Security.</w:t>
      </w:r>
    </w:p>
    <w:p>
      <w:pPr>
        <w:spacing w:after="0" w:line="177" w:lineRule="exact"/>
        <w:rPr>
          <w:sz w:val="20"/>
          <w:szCs w:val="20"/>
          <w:color w:val="auto"/>
        </w:rPr>
      </w:pPr>
    </w:p>
    <w:p>
      <w:pPr>
        <w:ind w:firstLine="648"/>
        <w:spacing w:after="0" w:line="292" w:lineRule="auto"/>
        <w:rPr>
          <w:sz w:val="20"/>
          <w:szCs w:val="20"/>
          <w:color w:val="auto"/>
        </w:rPr>
      </w:pPr>
      <w:r>
        <w:rPr>
          <w:rFonts w:ascii="Arial" w:cs="Arial" w:eastAsia="Arial" w:hAnsi="Arial"/>
          <w:sz w:val="16"/>
          <w:szCs w:val="16"/>
          <w:color w:val="auto"/>
        </w:rPr>
        <w:t>Until the date (the “</w:t>
      </w:r>
      <w:r>
        <w:rPr>
          <w:rFonts w:ascii="Arial" w:cs="Arial" w:eastAsia="Arial" w:hAnsi="Arial"/>
          <w:sz w:val="16"/>
          <w:szCs w:val="16"/>
          <w:b w:val="1"/>
          <w:bCs w:val="1"/>
          <w:color w:val="auto"/>
        </w:rPr>
        <w:t>Resale Restriction Termination Date</w:t>
      </w:r>
      <w:r>
        <w:rPr>
          <w:rFonts w:ascii="Arial" w:cs="Arial" w:eastAsia="Arial" w:hAnsi="Arial"/>
          <w:sz w:val="16"/>
          <w:szCs w:val="16"/>
          <w:color w:val="auto"/>
        </w:rPr>
        <w:t>”)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187" w:lineRule="exact"/>
        <w:rPr>
          <w:sz w:val="20"/>
          <w:szCs w:val="20"/>
          <w:color w:val="auto"/>
        </w:rPr>
      </w:pPr>
    </w:p>
    <w:p>
      <w:pPr>
        <w:ind w:left="660" w:right="40" w:firstLine="645"/>
        <w:spacing w:after="0" w:line="264" w:lineRule="auto"/>
        <w:tabs>
          <w:tab w:leader="none" w:pos="1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7" w:lineRule="exact"/>
        <w:rPr>
          <w:rFonts w:ascii="Arial" w:cs="Arial" w:eastAsia="Arial" w:hAnsi="Arial"/>
          <w:sz w:val="18"/>
          <w:szCs w:val="18"/>
          <w:color w:val="auto"/>
        </w:rPr>
      </w:pPr>
    </w:p>
    <w:p>
      <w:pPr>
        <w:ind w:left="660" w:right="20" w:firstLine="645"/>
        <w:spacing w:after="0" w:line="276" w:lineRule="auto"/>
        <w:tabs>
          <w:tab w:leader="none" w:pos="1964" w:val="left"/>
        </w:tabs>
        <w:numPr>
          <w:ilvl w:val="1"/>
          <w:numId w:val="18"/>
        </w:numPr>
        <w:rPr>
          <w:rFonts w:ascii="Arial" w:cs="Arial" w:eastAsia="Arial" w:hAnsi="Arial"/>
          <w:sz w:val="17"/>
          <w:szCs w:val="17"/>
          <w:color w:val="auto"/>
        </w:rPr>
      </w:pPr>
      <w:r>
        <w:rPr>
          <w:rFonts w:ascii="Arial" w:cs="Arial" w:eastAsia="Arial" w:hAnsi="Arial"/>
          <w:sz w:val="17"/>
          <w:szCs w:val="17"/>
          <w:color w:val="auto"/>
        </w:rPr>
        <w:t>AGREES FOR THE BENEFIT OF MONGODB, INC. (THE “</w:t>
      </w:r>
      <w:r>
        <w:rPr>
          <w:rFonts w:ascii="Arial" w:cs="Arial" w:eastAsia="Arial" w:hAnsi="Arial"/>
          <w:sz w:val="17"/>
          <w:szCs w:val="17"/>
          <w:b w:val="1"/>
          <w:bCs w:val="1"/>
          <w:color w:val="auto"/>
        </w:rPr>
        <w:t>COMPANY</w:t>
      </w:r>
      <w:r>
        <w:rPr>
          <w:rFonts w:ascii="Arial" w:cs="Arial" w:eastAsia="Arial" w:hAnsi="Arial"/>
          <w:sz w:val="17"/>
          <w:szCs w:val="17"/>
          <w:color w:val="auto"/>
        </w:rPr>
        <w:t>”) THAT IT WILL NOT OFFER, SELL, PLEDGE OR OTHERWISE TRANSFER THIS SECURITY OR ANY BENEFICIAL INTEREST HEREIN PRIOR TO THE DATE THAT IS THE LATER OF</w:t>
      </w:r>
    </w:p>
    <w:p>
      <w:pPr>
        <w:ind w:left="960" w:hanging="304"/>
        <w:spacing w:after="0"/>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ONE YEAR AFTER THE LAST ORIGINAL ISSUE DATE HEREOF OR SUCH SHORTER PERIOD OF TIME AS PERMITTED BY RULE</w:t>
      </w:r>
    </w:p>
    <w:p>
      <w:pPr>
        <w:spacing w:after="0" w:line="20" w:lineRule="exact"/>
        <w:rPr>
          <w:rFonts w:ascii="Arial" w:cs="Arial" w:eastAsia="Arial" w:hAnsi="Arial"/>
          <w:sz w:val="17"/>
          <w:szCs w:val="17"/>
          <w:color w:val="auto"/>
        </w:rPr>
      </w:pPr>
    </w:p>
    <w:p>
      <w:pPr>
        <w:ind w:left="660" w:right="220"/>
        <w:spacing w:after="0" w:line="261" w:lineRule="auto"/>
        <w:rPr>
          <w:rFonts w:ascii="Arial" w:cs="Arial" w:eastAsia="Arial" w:hAnsi="Arial"/>
          <w:sz w:val="17"/>
          <w:szCs w:val="17"/>
          <w:color w:val="auto"/>
        </w:rPr>
      </w:pPr>
      <w:r>
        <w:rPr>
          <w:rFonts w:ascii="Arial" w:cs="Arial" w:eastAsia="Arial" w:hAnsi="Arial"/>
          <w:sz w:val="18"/>
          <w:szCs w:val="18"/>
          <w:color w:val="auto"/>
        </w:rPr>
        <w:t>144 UNDER THE SECURITIES ACT OR ANY SUCCESSOR PROVISION THERETO AND (Y) SUCH LATER DATE, IF ANY, AS MAY BE REQUIRED BY APPLICABLE LAW, EXCEPT:</w:t>
      </w:r>
    </w:p>
    <w:p>
      <w:pPr>
        <w:spacing w:after="0" w:line="183" w:lineRule="exact"/>
        <w:rPr>
          <w:rFonts w:ascii="Arial" w:cs="Arial" w:eastAsia="Arial" w:hAnsi="Arial"/>
          <w:sz w:val="17"/>
          <w:szCs w:val="17"/>
          <w:color w:val="auto"/>
        </w:rPr>
      </w:pPr>
    </w:p>
    <w:p>
      <w:pPr>
        <w:ind w:left="2620" w:hanging="667"/>
        <w:spacing w:after="0"/>
        <w:tabs>
          <w:tab w:leader="none" w:pos="26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19"/>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ACT, OR</w:t>
      </w:r>
    </w:p>
    <w:p>
      <w:pPr>
        <w:spacing w:after="0" w:line="210" w:lineRule="exact"/>
        <w:rPr>
          <w:rFonts w:ascii="Arial" w:cs="Arial" w:eastAsia="Arial" w:hAnsi="Arial"/>
          <w:sz w:val="17"/>
          <w:szCs w:val="17"/>
          <w:color w:val="auto"/>
        </w:rPr>
      </w:pPr>
    </w:p>
    <w:p>
      <w:pPr>
        <w:ind w:left="2620" w:hanging="667"/>
        <w:spacing w:after="0"/>
        <w:tabs>
          <w:tab w:leader="none" w:pos="2620" w:val="left"/>
        </w:tabs>
        <w:numPr>
          <w:ilvl w:val="2"/>
          <w:numId w:val="19"/>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ACT,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firstLine="653"/>
        <w:spacing w:after="0" w:line="308" w:lineRule="auto"/>
        <w:tabs>
          <w:tab w:leader="none" w:pos="2617"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14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7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No transfer of any Note prior to the Resale Restriction Termination Date will be registered by the Note Registrar unless the applicable box on the Form of Assignment and Transfer has been checked.</w:t>
      </w:r>
    </w:p>
    <w:p>
      <w:pPr>
        <w:spacing w:after="0" w:line="170"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legend specified in this Section 2.05(c) and shall not be assigned a restricted CUSIP number. The Company shall promptly notify the Trustee upon the occurrence of the Resale Restriction Termination Date and promptly after a registration statement, if any, with respect to the Notes or any Common Stock issued upon conversion of the Notes has been declared effective under the Securities Act. Any exchange pursuant to the foregoing paragraph shall be in accordance with the applicable procedures of the Depositary.</w:t>
      </w:r>
    </w:p>
    <w:p>
      <w:pPr>
        <w:sectPr>
          <w:pgSz w:w="11900" w:h="16919" w:orient="portrait"/>
          <w:cols w:equalWidth="0" w:num="1">
            <w:col w:w="11420"/>
          </w:cols>
          <w:pgMar w:left="240" w:top="125" w:right="239" w:bottom="0" w:gutter="0" w:footer="0" w:header="0"/>
        </w:sectPr>
      </w:pPr>
    </w:p>
    <w:bookmarkStart w:id="17" w:name="page18"/>
    <w:bookmarkEnd w:id="17"/>
    <w:p>
      <w:pPr>
        <w:ind w:right="160" w:firstLine="648"/>
        <w:spacing w:after="0" w:line="255" w:lineRule="auto"/>
        <w:rPr>
          <w:sz w:val="20"/>
          <w:szCs w:val="20"/>
          <w:color w:val="auto"/>
        </w:rPr>
      </w:pPr>
      <w:r>
        <w:rPr>
          <w:rFonts w:ascii="Arial" w:cs="Arial" w:eastAsia="Arial" w:hAnsi="Arial"/>
          <w:sz w:val="18"/>
          <w:szCs w:val="18"/>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transfers of portions of a Global Note in certificated form made upon request of a member of, or a participant in, the Depositary (for itself or on behalf of a beneficial owner) by written notice given to the Trustee by or on behalf of the Depositary in accordance with applicable procedures of the Depositary and in compliance with this Section 2.05(c).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spacing w:after="0" w:line="18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At such time as all interests in a Global Note have been converted, canceled, redeemed, repurchased upon a Fundamental Change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redeemed, repurchased upon a Fundamental Change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None of the Company, the Trustee or any agent of the Company or the Trustee shall have any responsibility or liability for any act or omission of the Depositary or for the payment of amounts to owners of beneficial interest in a Global Note, for any aspect of the records relating to or payments made on account of beneficial ownership interests of a Global Note or maintaining, supervising or reviewing any records relating to such beneficial ownership interests.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91" w:lineRule="auto"/>
        <w:tabs>
          <w:tab w:leader="none" w:pos="1169" w:val="left"/>
        </w:tabs>
        <w:numPr>
          <w:ilvl w:val="0"/>
          <w:numId w:val="21"/>
        </w:numPr>
        <w:rPr>
          <w:rFonts w:ascii="Arial" w:cs="Arial" w:eastAsia="Arial" w:hAnsi="Arial"/>
          <w:sz w:val="16"/>
          <w:szCs w:val="16"/>
          <w:color w:val="auto"/>
        </w:rPr>
      </w:pPr>
      <w:r>
        <w:rPr>
          <w:rFonts w:ascii="Arial" w:cs="Arial" w:eastAsia="Arial" w:hAnsi="Arial"/>
          <w:sz w:val="16"/>
          <w:szCs w:val="16"/>
          <w:color w:val="auto"/>
        </w:rPr>
        <w:t>Until the Resale Restriction Termination Date, any stock certificate representing Common Stock issued upon conversion of such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163"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THIS SECURITY HAS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180" w:lineRule="exact"/>
        <w:rPr>
          <w:sz w:val="20"/>
          <w:szCs w:val="20"/>
          <w:color w:val="auto"/>
        </w:rPr>
      </w:pPr>
    </w:p>
    <w:p>
      <w:pPr>
        <w:ind w:left="660" w:right="40" w:firstLine="645"/>
        <w:spacing w:after="0" w:line="264" w:lineRule="auto"/>
        <w:tabs>
          <w:tab w:leader="none" w:pos="1964" w:val="left"/>
        </w:tabs>
        <w:numPr>
          <w:ilvl w:val="1"/>
          <w:numId w:val="22"/>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77" w:lineRule="exact"/>
        <w:rPr>
          <w:rFonts w:ascii="Arial" w:cs="Arial" w:eastAsia="Arial" w:hAnsi="Arial"/>
          <w:sz w:val="18"/>
          <w:szCs w:val="18"/>
          <w:color w:val="auto"/>
        </w:rPr>
      </w:pPr>
    </w:p>
    <w:p>
      <w:pPr>
        <w:ind w:left="660" w:right="20" w:firstLine="645"/>
        <w:spacing w:after="0" w:line="276" w:lineRule="auto"/>
        <w:tabs>
          <w:tab w:leader="none" w:pos="1964" w:val="left"/>
        </w:tabs>
        <w:numPr>
          <w:ilvl w:val="1"/>
          <w:numId w:val="22"/>
        </w:numPr>
        <w:rPr>
          <w:rFonts w:ascii="Arial" w:cs="Arial" w:eastAsia="Arial" w:hAnsi="Arial"/>
          <w:sz w:val="17"/>
          <w:szCs w:val="17"/>
          <w:color w:val="auto"/>
        </w:rPr>
      </w:pPr>
      <w:r>
        <w:rPr>
          <w:rFonts w:ascii="Arial" w:cs="Arial" w:eastAsia="Arial" w:hAnsi="Arial"/>
          <w:sz w:val="17"/>
          <w:szCs w:val="17"/>
          <w:color w:val="auto"/>
        </w:rPr>
        <w:t>AGREES FOR THE BENEFIT OF MONGODB, INC. (THE “</w:t>
      </w:r>
      <w:r>
        <w:rPr>
          <w:rFonts w:ascii="Arial" w:cs="Arial" w:eastAsia="Arial" w:hAnsi="Arial"/>
          <w:sz w:val="17"/>
          <w:szCs w:val="17"/>
          <w:b w:val="1"/>
          <w:bCs w:val="1"/>
          <w:color w:val="auto"/>
        </w:rPr>
        <w:t>COMPANY</w:t>
      </w:r>
      <w:r>
        <w:rPr>
          <w:rFonts w:ascii="Arial" w:cs="Arial" w:eastAsia="Arial" w:hAnsi="Arial"/>
          <w:sz w:val="17"/>
          <w:szCs w:val="17"/>
          <w:color w:val="auto"/>
        </w:rPr>
        <w:t>”) THAT IT WILL NOT OFFER, SELL, PLEDGE OR OTHERWISE TRANSFER THIS SECURITY OR ANY BENEFICIAL INTEREST HEREIN PRIOR TO THE DATE THAT IS THE LATER OF</w:t>
      </w:r>
    </w:p>
    <w:p>
      <w:pPr>
        <w:jc w:val="both"/>
        <w:ind w:left="660" w:right="360" w:hanging="4"/>
        <w:spacing w:after="0" w:line="254" w:lineRule="auto"/>
        <w:tabs>
          <w:tab w:leader="none" w:pos="9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spacing w:after="0" w:line="189" w:lineRule="exact"/>
        <w:rPr>
          <w:rFonts w:ascii="Arial" w:cs="Arial" w:eastAsia="Arial" w:hAnsi="Arial"/>
          <w:sz w:val="18"/>
          <w:szCs w:val="18"/>
          <w:color w:val="auto"/>
        </w:rPr>
      </w:pPr>
    </w:p>
    <w:p>
      <w:pPr>
        <w:ind w:left="2620" w:hanging="667"/>
        <w:spacing w:after="0"/>
        <w:tabs>
          <w:tab w:leader="none" w:pos="26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2"/>
          <w:numId w:val="23"/>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ACT, OR</w:t>
      </w:r>
    </w:p>
    <w:p>
      <w:pPr>
        <w:sectPr>
          <w:pgSz w:w="11900" w:h="16838" w:orient="portrait"/>
          <w:cols w:equalWidth="0" w:num="1">
            <w:col w:w="11420"/>
          </w:cols>
          <w:pgMar w:left="240" w:top="341" w:right="239" w:bottom="0" w:gutter="0" w:footer="0" w:header="0"/>
        </w:sectPr>
      </w:pPr>
    </w:p>
    <w:bookmarkStart w:id="18" w:name="page19"/>
    <w:bookmarkEnd w:id="18"/>
    <w:p>
      <w:pPr>
        <w:spacing w:after="0" w:line="114" w:lineRule="exact"/>
        <w:rPr>
          <w:sz w:val="20"/>
          <w:szCs w:val="20"/>
          <w:color w:val="auto"/>
        </w:rPr>
      </w:pPr>
    </w:p>
    <w:p>
      <w:pPr>
        <w:ind w:left="2620" w:hanging="667"/>
        <w:spacing w:after="0"/>
        <w:tabs>
          <w:tab w:leader="none" w:pos="2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ACT, OR</w:t>
      </w:r>
    </w:p>
    <w:p>
      <w:pPr>
        <w:spacing w:after="0" w:line="210" w:lineRule="exact"/>
        <w:rPr>
          <w:rFonts w:ascii="Arial" w:cs="Arial" w:eastAsia="Arial" w:hAnsi="Arial"/>
          <w:sz w:val="18"/>
          <w:szCs w:val="18"/>
          <w:color w:val="auto"/>
        </w:rPr>
      </w:pPr>
    </w:p>
    <w:p>
      <w:pPr>
        <w:ind w:left="1300" w:right="80" w:firstLine="653"/>
        <w:spacing w:after="0" w:line="308" w:lineRule="auto"/>
        <w:tabs>
          <w:tab w:leader="none" w:pos="2617"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PRIOR TO THE REGISTRATION OF ANY TRANSFER IN ACCORDANCE WITH CLAUSE (2)(D) ABOVE, THE COMPANY AND THE TRANSFER AGENT FOR THE COMPANY’S COMMON STOCK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193" w:lineRule="exact"/>
        <w:rPr>
          <w:sz w:val="20"/>
          <w:szCs w:val="20"/>
          <w:color w:val="auto"/>
        </w:rPr>
      </w:pPr>
    </w:p>
    <w:p>
      <w:pPr>
        <w:ind w:right="40" w:firstLine="656"/>
        <w:spacing w:after="0" w:line="297" w:lineRule="auto"/>
        <w:tabs>
          <w:tab w:leader="none" w:pos="11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Note or Common Stock issued upon the conversion or exchange of a Note that is repurchased or owned by any Affiliate of the Company (or any Person who was an Affiliate of the Company at any time during the three months preceding) may not be resold by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 The Company may cause any Note that is repurchased or owned by it to be surrendered to the Trustee for cancellation in accordance with Section 2.08.</w:t>
      </w:r>
    </w:p>
    <w:p>
      <w:pPr>
        <w:spacing w:after="0" w:line="158" w:lineRule="exact"/>
        <w:rPr>
          <w:rFonts w:ascii="Arial" w:cs="Arial" w:eastAsia="Arial" w:hAnsi="Arial"/>
          <w:sz w:val="16"/>
          <w:szCs w:val="16"/>
          <w:color w:val="auto"/>
        </w:rPr>
      </w:pPr>
    </w:p>
    <w:p>
      <w:pPr>
        <w:ind w:firstLine="656"/>
        <w:spacing w:after="0" w:line="257" w:lineRule="auto"/>
        <w:tabs>
          <w:tab w:leader="none" w:pos="116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rFonts w:ascii="Arial" w:cs="Arial" w:eastAsia="Arial" w:hAnsi="Arial"/>
          <w:sz w:val="18"/>
          <w:szCs w:val="18"/>
          <w:color w:val="auto"/>
        </w:rPr>
      </w:pPr>
    </w:p>
    <w:p>
      <w:pPr>
        <w:ind w:left="1200" w:hanging="544"/>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Neither the Trustee nor any agent shall have any responsibility or liability for any actions taken or not taken by the Depositary.</w:t>
      </w:r>
    </w:p>
    <w:p>
      <w:pPr>
        <w:spacing w:after="0" w:line="225" w:lineRule="exact"/>
        <w:rPr>
          <w:sz w:val="20"/>
          <w:szCs w:val="20"/>
          <w:color w:val="auto"/>
        </w:rPr>
      </w:pPr>
    </w:p>
    <w:p>
      <w:pPr>
        <w:jc w:val="both"/>
        <w:ind w:right="140" w:firstLine="648"/>
        <w:spacing w:after="0" w:line="302" w:lineRule="auto"/>
        <w:rPr>
          <w:sz w:val="20"/>
          <w:szCs w:val="20"/>
          <w:color w:val="auto"/>
        </w:rPr>
      </w:pPr>
      <w:r>
        <w:rPr>
          <w:rFonts w:ascii="Arial" w:cs="Arial" w:eastAsia="Arial" w:hAnsi="Arial"/>
          <w:sz w:val="16"/>
          <w:szCs w:val="16"/>
          <w:color w:val="auto"/>
        </w:rPr>
        <w:t>Section 2.06</w:t>
      </w:r>
      <w:r>
        <w:rPr>
          <w:rFonts w:ascii="Arial" w:cs="Arial" w:eastAsia="Arial" w:hAnsi="Arial"/>
          <w:sz w:val="16"/>
          <w:szCs w:val="16"/>
          <w:i w:val="1"/>
          <w:iCs w:val="1"/>
          <w:color w:val="auto"/>
        </w:rPr>
        <w:t>. Mutilated, Destroyed, Lost or Stolen Notes.</w:t>
      </w:r>
      <w:r>
        <w:rPr>
          <w:rFonts w:ascii="Arial" w:cs="Arial" w:eastAsia="Arial" w:hAnsi="Arial"/>
          <w:sz w:val="16"/>
          <w:szCs w:val="16"/>
          <w:color w:val="auto"/>
        </w:rPr>
        <w:t xml:space="preserve">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8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of the destruction, loss or theft of such Note and of the ownership thereof.</w:t>
      </w:r>
    </w:p>
    <w:p>
      <w:pPr>
        <w:spacing w:after="0" w:line="18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conversion, redemption or repurchase of mutilated, destroyed, lost or stolen Notes and shall preclude any and all other rights or remedies notwithstanding any law or statute existing or hereafter enacted to the contrary with respect to the replacement, payment, conversion, redemption or repurchase of negotiable instruments or other securities without their surrender.</w:t>
      </w:r>
    </w:p>
    <w:p>
      <w:pPr>
        <w:spacing w:after="0" w:line="178"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Section 2.07</w:t>
      </w:r>
      <w:r>
        <w:rPr>
          <w:rFonts w:ascii="Arial" w:cs="Arial" w:eastAsia="Arial" w:hAnsi="Arial"/>
          <w:sz w:val="16"/>
          <w:szCs w:val="16"/>
          <w:i w:val="1"/>
          <w:iCs w:val="1"/>
          <w:color w:val="auto"/>
        </w:rPr>
        <w:t>. Temporary Notes.</w:t>
      </w:r>
      <w:r>
        <w:rPr>
          <w:rFonts w:ascii="Arial" w:cs="Arial" w:eastAsia="Arial" w:hAnsi="Arial"/>
          <w:sz w:val="16"/>
          <w:szCs w:val="16"/>
          <w:color w:val="auto"/>
        </w:rPr>
        <w:t xml:space="preserve">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w:t>
      </w:r>
    </w:p>
    <w:p>
      <w:pPr>
        <w:sectPr>
          <w:pgSz w:w="11900" w:h="16952" w:orient="portrait"/>
          <w:cols w:equalWidth="0" w:num="1">
            <w:col w:w="11420"/>
          </w:cols>
          <w:pgMar w:left="240" w:top="125" w:right="239" w:bottom="0" w:gutter="0" w:footer="0" w:header="0"/>
        </w:sectPr>
      </w:pPr>
    </w:p>
    <w:bookmarkStart w:id="19" w:name="page20"/>
    <w:bookmarkEnd w:id="19"/>
    <w:p>
      <w:pPr>
        <w:ind w:right="440"/>
        <w:spacing w:after="0" w:line="277" w:lineRule="auto"/>
        <w:rPr>
          <w:sz w:val="20"/>
          <w:szCs w:val="20"/>
          <w:color w:val="auto"/>
        </w:rPr>
      </w:pPr>
      <w:r>
        <w:rPr>
          <w:rFonts w:ascii="Arial" w:cs="Arial" w:eastAsia="Arial" w:hAnsi="Arial"/>
          <w:sz w:val="18"/>
          <w:szCs w:val="18"/>
          <w:color w:val="auto"/>
        </w:rPr>
        <w:t>may be appropriate for temporary Notes, all as may be determined by the Company. Every such temporary Note shall be executed by the Company and authenticated by the Trustee or such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2.08</w:t>
      </w:r>
      <w:r>
        <w:rPr>
          <w:rFonts w:ascii="Arial" w:cs="Arial" w:eastAsia="Arial" w:hAnsi="Arial"/>
          <w:sz w:val="16"/>
          <w:szCs w:val="16"/>
          <w:i w:val="1"/>
          <w:iCs w:val="1"/>
          <w:color w:val="auto"/>
        </w:rPr>
        <w:t>. Cancellation of Notes Paid, Converted, Etc.</w:t>
      </w:r>
      <w:r>
        <w:rPr>
          <w:rFonts w:ascii="Arial" w:cs="Arial" w:eastAsia="Arial" w:hAnsi="Arial"/>
          <w:sz w:val="16"/>
          <w:szCs w:val="16"/>
          <w:color w:val="auto"/>
        </w:rPr>
        <w:t xml:space="preserve"> The Company shall cause all Notes surrendered for the purpose of payment at maturity,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repurchase upon a Fundamental Change, redemption, registration of transfer or exchange or conversion (other than any Notes exchanged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14.12), if surrendered to the Company or any of its agents, Subsidiaries or Affiliates, in each case, that the Company controls, to be surrendered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Trustee for cancellation. All Notes delivered to the Trustee shall be canceled promptly by it, in accordance with its customary procedures. Except for Notes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surrendered for registration of transfer or exchange, no Notes shall be authenticated in exchange therefor except as expressly permitted by any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provisions of this Indenture. The Trustee shall dispose of canceled Notes in accordance with its customary procedures and, after such disposition, shall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deliver evidence of such disposition to the Company upon the Company’s written request.</w:t>
      </w:r>
    </w:p>
    <w:p>
      <w:pPr>
        <w:spacing w:after="0" w:line="21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Section 2.09</w:t>
      </w:r>
      <w:r>
        <w:rPr>
          <w:rFonts w:ascii="Arial" w:cs="Arial" w:eastAsia="Arial" w:hAnsi="Arial"/>
          <w:sz w:val="17"/>
          <w:szCs w:val="17"/>
          <w:i w:val="1"/>
          <w:iCs w:val="1"/>
          <w:color w:val="auto"/>
        </w:rPr>
        <w:t>. CUSIP Numbers.</w:t>
      </w:r>
      <w:r>
        <w:rPr>
          <w:rFonts w:ascii="Arial" w:cs="Arial" w:eastAsia="Arial" w:hAnsi="Arial"/>
          <w:sz w:val="17"/>
          <w:szCs w:val="17"/>
          <w:color w:val="auto"/>
        </w:rPr>
        <w:t xml:space="preserve"> The Company in issuing the Notes may use “CUSIP” numbers (if then generally in use), and, if so, the Trustee shall use “CUSIP” numbers in all notices issued to Holders as a convenience to such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2.10</w:t>
      </w:r>
      <w:r>
        <w:rPr>
          <w:rFonts w:ascii="Arial" w:cs="Arial" w:eastAsia="Arial" w:hAnsi="Arial"/>
          <w:sz w:val="18"/>
          <w:szCs w:val="18"/>
          <w:i w:val="1"/>
          <w:iCs w:val="1"/>
          <w:color w:val="auto"/>
        </w:rPr>
        <w:t>. Additional Notes; Repurchases.</w:t>
      </w:r>
      <w:r>
        <w:rPr>
          <w:rFonts w:ascii="Arial" w:cs="Arial" w:eastAsia="Arial" w:hAnsi="Arial"/>
          <w:sz w:val="18"/>
          <w:szCs w:val="18"/>
          <w:color w:val="auto"/>
        </w:rPr>
        <w:t xml:space="preserve"> The Company may, without the consent, or notice to, of the Holders and notwithstanding</w:t>
      </w:r>
    </w:p>
    <w:p>
      <w:pPr>
        <w:spacing w:after="0" w:line="2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Section 2.01,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(including pursuant to Section 2.05 hereunder)) in an unlimited aggregate principal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such additional Notes are not fungible with the Notes initially issued hereunder for U.S. federal securities law or income tax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required by Section 17.05. In addition, the Company may, to the extent permitted by law, and, without the consent of Holders, directly or indirectly (regardless of whether such Notes are surrendered to the Company), repurchase Notes in the open market or otherwise, whether by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Company or its Subsidiaries or through a privately negotiated transaction or public tender or exchange offer or through counterparties to private agreements, including by cash-settled swaps or other derivatives. The Company may, at its option and to the extent permitted by applicable law, reissue, resell or surrender to the Trustee for cancellation in accordance with Section 2.08 any Notes that the Company may repurchase, in the case of a reissuance or resale, so long as such Notes do not constitute restricted securities upon such reissuance or resale. Any Notes that the Company may repurchase will be considered “outstanding” for all purposes under this Indenture (other than, at any time when such Notes are owned by the Company, by any Subsidiary thereof or by any Affiliate of the Company or any Subsidiary thereof, as set forth in Section 8.04) unless and until such time the Company surrenders them to the Trustee for cancellation and, upon receipt of a written order from the Company, the Trustee will cancel all Notes so surrendered.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SATISFACTION AND DISCHARGE</w:t>
      </w:r>
    </w:p>
    <w:p>
      <w:pPr>
        <w:spacing w:after="0" w:line="211" w:lineRule="exact"/>
        <w:rPr>
          <w:sz w:val="20"/>
          <w:szCs w:val="20"/>
          <w:color w:val="auto"/>
        </w:rPr>
      </w:pPr>
    </w:p>
    <w:p>
      <w:pPr>
        <w:ind w:right="280" w:firstLine="648"/>
        <w:spacing w:after="0" w:line="291" w:lineRule="auto"/>
        <w:rPr>
          <w:sz w:val="20"/>
          <w:szCs w:val="20"/>
          <w:color w:val="auto"/>
        </w:rPr>
      </w:pPr>
      <w:r>
        <w:rPr>
          <w:rFonts w:ascii="Arial" w:cs="Arial" w:eastAsia="Arial" w:hAnsi="Arial"/>
          <w:sz w:val="16"/>
          <w:szCs w:val="16"/>
          <w:color w:val="auto"/>
        </w:rPr>
        <w:t>Section 3.01</w:t>
      </w:r>
      <w:r>
        <w:rPr>
          <w:rFonts w:ascii="Arial" w:cs="Arial" w:eastAsia="Arial" w:hAnsi="Arial"/>
          <w:sz w:val="16"/>
          <w:szCs w:val="16"/>
          <w:i w:val="1"/>
          <w:iCs w:val="1"/>
          <w:color w:val="auto"/>
        </w:rPr>
        <w:t>. Satisfaction and Discharge.</w:t>
      </w:r>
      <w:r>
        <w:rPr>
          <w:rFonts w:ascii="Arial" w:cs="Arial" w:eastAsia="Arial" w:hAnsi="Arial"/>
          <w:sz w:val="16"/>
          <w:szCs w:val="16"/>
          <w:color w:val="auto"/>
        </w:rPr>
        <w:t xml:space="preserve"> (a) This Indenture shall cease to be of further effect when (i) all Notes theretofore authenticated and delivered (other than (x) Notes which have been destroyed, lost or stolen and which have been replaced, paid or converted as provided in Section 2.06 and</w:t>
      </w:r>
    </w:p>
    <w:p>
      <w:pPr>
        <w:ind w:firstLine="8"/>
        <w:spacing w:after="0" w:line="268" w:lineRule="auto"/>
        <w:tabs>
          <w:tab w:leader="none" w:pos="255"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or cash, shares of Common Stock or a combination thereof, as applicable, solely to satisfy the Company’s Conversion Obligation, sufficient to pay all of the outstanding Notes and all other sums due and payable under this Indenture by the Company; and (b) the Trustee upon request of the Company contained in an Officer’s Certificate and at the expense of the Company, shall execute proper instruments acknowledging satisfaction and discharge of this Indenture, when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PARTICULAR COVENANTS OF THE COMPANY</w:t>
      </w:r>
    </w:p>
    <w:p>
      <w:pPr>
        <w:spacing w:after="0" w:line="21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Section 4.01</w:t>
      </w:r>
      <w:r>
        <w:rPr>
          <w:rFonts w:ascii="Arial" w:cs="Arial" w:eastAsia="Arial" w:hAnsi="Arial"/>
          <w:sz w:val="18"/>
          <w:szCs w:val="18"/>
          <w:i w:val="1"/>
          <w:iCs w:val="1"/>
          <w:color w:val="auto"/>
        </w:rPr>
        <w:t>. Payment of Principal and Interest.</w:t>
      </w:r>
      <w:r>
        <w:rPr>
          <w:rFonts w:ascii="Arial" w:cs="Arial" w:eastAsia="Arial" w:hAnsi="Arial"/>
          <w:sz w:val="18"/>
          <w:szCs w:val="18"/>
          <w:color w:val="auto"/>
        </w:rPr>
        <w:t xml:space="preserve"> The Company covenants and agrees that it will cause to be paid the principal (including the Redemption Price, the Fundamental Change Repurchase Price, if applicable) of, and accrued and unpaid interest on, each of the Notes at the places, at the respective times and in the manner provided herein and in the Notes.</w:t>
      </w:r>
    </w:p>
    <w:p>
      <w:pPr>
        <w:sectPr>
          <w:pgSz w:w="11900" w:h="16838" w:orient="portrait"/>
          <w:cols w:equalWidth="0" w:num="1">
            <w:col w:w="11400"/>
          </w:cols>
          <w:pgMar w:left="240" w:top="125" w:right="259" w:bottom="55"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5" w:gutter="0" w:footer="0" w:header="0"/>
          <w:type w:val="continuous"/>
        </w:sectPr>
      </w:pPr>
    </w:p>
    <w:bookmarkStart w:id="20" w:name="page21"/>
    <w:bookmarkEnd w:id="20"/>
    <w:p>
      <w:pPr>
        <w:ind w:right="120" w:firstLine="648"/>
        <w:spacing w:after="0" w:line="293" w:lineRule="auto"/>
        <w:rPr>
          <w:sz w:val="20"/>
          <w:szCs w:val="20"/>
          <w:color w:val="auto"/>
        </w:rPr>
      </w:pPr>
      <w:r>
        <w:rPr>
          <w:rFonts w:ascii="Arial" w:cs="Arial" w:eastAsia="Arial" w:hAnsi="Arial"/>
          <w:sz w:val="16"/>
          <w:szCs w:val="16"/>
          <w:color w:val="auto"/>
        </w:rPr>
        <w:t>Section 4.02</w:t>
      </w:r>
      <w:r>
        <w:rPr>
          <w:rFonts w:ascii="Arial" w:cs="Arial" w:eastAsia="Arial" w:hAnsi="Arial"/>
          <w:sz w:val="16"/>
          <w:szCs w:val="16"/>
          <w:i w:val="1"/>
          <w:iCs w:val="1"/>
          <w:color w:val="auto"/>
        </w:rPr>
        <w:t>. Maintenance of Office or Agency.</w:t>
      </w:r>
      <w:r>
        <w:rPr>
          <w:rFonts w:ascii="Arial" w:cs="Arial" w:eastAsia="Arial" w:hAnsi="Arial"/>
          <w:sz w:val="16"/>
          <w:szCs w:val="16"/>
          <w:color w:val="auto"/>
        </w:rPr>
        <w:t xml:space="preserve"> The Company will maintain in the United States of America an office or agency where the Notes may be surrendered for registration of transfer or exchange or for presentation for payment or repurchase (“</w:t>
      </w:r>
      <w:r>
        <w:rPr>
          <w:rFonts w:ascii="Arial" w:cs="Arial" w:eastAsia="Arial" w:hAnsi="Arial"/>
          <w:sz w:val="16"/>
          <w:szCs w:val="16"/>
          <w:b w:val="1"/>
          <w:bCs w:val="1"/>
          <w:color w:val="auto"/>
        </w:rPr>
        <w:t>Paying Agent</w:t>
      </w:r>
      <w:r>
        <w:rPr>
          <w:rFonts w:ascii="Arial" w:cs="Arial" w:eastAsia="Arial" w:hAnsi="Arial"/>
          <w:sz w:val="16"/>
          <w:szCs w:val="16"/>
          <w:color w:val="auto"/>
        </w:rPr>
        <w:t>”) or for conversion (“</w:t>
      </w:r>
      <w:r>
        <w:rPr>
          <w:rFonts w:ascii="Arial" w:cs="Arial" w:eastAsia="Arial" w:hAnsi="Arial"/>
          <w:sz w:val="16"/>
          <w:szCs w:val="16"/>
          <w:b w:val="1"/>
          <w:bCs w:val="1"/>
          <w:color w:val="auto"/>
        </w:rPr>
        <w:t>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and where notices and demands to or upon the Company in respect of the Notes and this Indenture may be served. The Company will give prompt</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in the United States of America as a place where Notes may be presented for payment or for registration of transfer.</w:t>
      </w:r>
    </w:p>
    <w:p>
      <w:pPr>
        <w:spacing w:after="0" w:line="16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designation or rescission shall in any manner relieve the Company of its obligation to maintain an office or agency in the United States of America so designated by the Trustee as a place for such purposes. The Company will give prompt written notice to the Trustee of any such designation or rescission and of any change in the location of any such other office or agency. The terms “</w:t>
      </w:r>
      <w:r>
        <w:rPr>
          <w:rFonts w:ascii="Arial" w:cs="Arial" w:eastAsia="Arial" w:hAnsi="Arial"/>
          <w:sz w:val="16"/>
          <w:szCs w:val="16"/>
          <w:b w:val="1"/>
          <w:bCs w:val="1"/>
          <w:color w:val="auto"/>
        </w:rPr>
        <w:t>Paying Agent</w:t>
      </w:r>
      <w:r>
        <w:rPr>
          <w:rFonts w:ascii="Arial" w:cs="Arial" w:eastAsia="Arial" w:hAnsi="Arial"/>
          <w:sz w:val="16"/>
          <w:szCs w:val="16"/>
          <w:color w:val="auto"/>
        </w:rPr>
        <w:t>” and “</w:t>
      </w:r>
      <w:r>
        <w:rPr>
          <w:rFonts w:ascii="Arial" w:cs="Arial" w:eastAsia="Arial" w:hAnsi="Arial"/>
          <w:sz w:val="16"/>
          <w:szCs w:val="16"/>
          <w:b w:val="1"/>
          <w:bCs w:val="1"/>
          <w:color w:val="auto"/>
        </w:rPr>
        <w:t>Conversion Agent</w:t>
      </w:r>
      <w:r>
        <w:rPr>
          <w:rFonts w:ascii="Arial" w:cs="Arial" w:eastAsia="Arial" w:hAnsi="Arial"/>
          <w:sz w:val="16"/>
          <w:szCs w:val="16"/>
          <w:color w:val="auto"/>
        </w:rPr>
        <w:t>” include any such additional or other offices or agencies, as applicable.</w:t>
      </w:r>
    </w:p>
    <w:p>
      <w:pPr>
        <w:spacing w:after="0" w:line="15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Company hereby initially designates the Trustee as the Paying Agent, Note Registrar, Custodian and Conversion Agent and the Corporate Trust Office as the office or agency in the United States of America where Notes may be surrendered for registration of transfer or exchange or for presentation for payment or repurchase or for conversion and where notices and demands to or upon the Company in respect of the Notes and this Indenture may be served; provided that the Corporate Trust Office shall not be a place for service of legal process on the Company.</w:t>
      </w:r>
    </w:p>
    <w:p>
      <w:pPr>
        <w:spacing w:after="0" w:line="171"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Section 4.03</w:t>
      </w:r>
      <w:r>
        <w:rPr>
          <w:rFonts w:ascii="Arial" w:cs="Arial" w:eastAsia="Arial" w:hAnsi="Arial"/>
          <w:sz w:val="17"/>
          <w:szCs w:val="17"/>
          <w:i w:val="1"/>
          <w:iCs w:val="1"/>
          <w:color w:val="auto"/>
        </w:rPr>
        <w:t>. Appointments to Fill Vacancies in Trustee’s Office.</w:t>
      </w:r>
      <w:r>
        <w:rPr>
          <w:rFonts w:ascii="Arial" w:cs="Arial" w:eastAsia="Arial" w:hAnsi="Arial"/>
          <w:sz w:val="17"/>
          <w:szCs w:val="17"/>
          <w:color w:val="auto"/>
        </w:rPr>
        <w:t xml:space="preserve"> The Company, whenever necessary to avoid or fill a vacancy in the office of Trustee, will appoint, in the manner provided in Section 7.09, a Trustee, so that there shall at all times be a Trustee hereunder.</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Section 4.04</w:t>
      </w:r>
      <w:r>
        <w:rPr>
          <w:rFonts w:ascii="Arial" w:cs="Arial" w:eastAsia="Arial" w:hAnsi="Arial"/>
          <w:sz w:val="18"/>
          <w:szCs w:val="18"/>
          <w:i w:val="1"/>
          <w:iCs w:val="1"/>
          <w:color w:val="auto"/>
        </w:rPr>
        <w:t>. Provisions as to Paying Agent.</w:t>
      </w:r>
      <w:r>
        <w:rPr>
          <w:rFonts w:ascii="Arial" w:cs="Arial" w:eastAsia="Arial" w:hAnsi="Arial"/>
          <w:sz w:val="18"/>
          <w:szCs w:val="18"/>
          <w:color w:val="auto"/>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181" w:lineRule="exact"/>
        <w:rPr>
          <w:sz w:val="20"/>
          <w:szCs w:val="20"/>
          <w:color w:val="auto"/>
        </w:rPr>
      </w:pPr>
    </w:p>
    <w:p>
      <w:pPr>
        <w:ind w:left="660" w:right="160" w:firstLine="645"/>
        <w:spacing w:after="0" w:line="264" w:lineRule="auto"/>
        <w:tabs>
          <w:tab w:leader="none" w:pos="19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(including the Redemption Price, the Fundamental Change Repurchase Price, if applicable) of, and accrued and unpaid interest on, the Notes in trust for the benefit of the Holders of the Notes;</w:t>
      </w:r>
    </w:p>
    <w:p>
      <w:pPr>
        <w:spacing w:after="0" w:line="181" w:lineRule="exact"/>
        <w:rPr>
          <w:rFonts w:ascii="Arial" w:cs="Arial" w:eastAsia="Arial" w:hAnsi="Arial"/>
          <w:sz w:val="18"/>
          <w:szCs w:val="18"/>
          <w:color w:val="auto"/>
        </w:rPr>
      </w:pPr>
    </w:p>
    <w:p>
      <w:pPr>
        <w:ind w:left="660" w:right="100" w:firstLine="645"/>
        <w:spacing w:after="0" w:line="277" w:lineRule="auto"/>
        <w:tabs>
          <w:tab w:leader="none" w:pos="19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it will give the Trustee prompt written notice of any failure by the Company to make any payment of the principal (including the Redemption Price,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Fundamental Change Repurchase Price, if applicable) of, and accrued and unpaid interest on, the Notes when the same shall be due and payable; and</w:t>
      </w:r>
    </w:p>
    <w:p>
      <w:pPr>
        <w:spacing w:after="0" w:line="248" w:lineRule="exact"/>
        <w:rPr>
          <w:sz w:val="20"/>
          <w:szCs w:val="20"/>
          <w:color w:val="auto"/>
        </w:rPr>
      </w:pPr>
    </w:p>
    <w:p>
      <w:pPr>
        <w:ind w:left="660" w:right="140" w:firstLine="969"/>
        <w:spacing w:after="0" w:line="277" w:lineRule="auto"/>
        <w:tabs>
          <w:tab w:leader="none" w:pos="21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at any time during the continuance of an Event of Default, upon request of the Trustee, it will forthwith pay to the Trustee all sums so held in trust.</w:t>
      </w:r>
    </w:p>
    <w:p>
      <w:pPr>
        <w:spacing w:after="0" w:line="170"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 xml:space="preserve">The Company shall, on or before each due date of the principal (including the Redemption Price, the Fundamental Change Repurchase Price, if applicable) of, or accrued and unpaid interest on, the Notes, deposit with the Paying Agent a sum sufficient to pay such principal (including the Redemption Price, the Fundamental Change Repurchase Price, if applicable) or accrued and unpaid interest, and (unless such Paying Agent is the Trustee) the Company will promptly notify the Trustee in writing of any failure to take such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deposit is made on the due date, such deposit must be received by the Paying Agent by 11:00 a.m., New York City time, on such date.</w:t>
      </w:r>
    </w:p>
    <w:p>
      <w:pPr>
        <w:spacing w:after="0" w:line="173" w:lineRule="exact"/>
        <w:rPr>
          <w:sz w:val="20"/>
          <w:szCs w:val="20"/>
          <w:color w:val="auto"/>
        </w:rPr>
      </w:pPr>
    </w:p>
    <w:p>
      <w:pPr>
        <w:ind w:firstLine="656"/>
        <w:spacing w:after="0" w:line="273" w:lineRule="auto"/>
        <w:tabs>
          <w:tab w:leader="none" w:pos="1169"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the Company shall act as its own Paying Agent, it will, on or before each due date of the principal (including the Redemption Price, the Fundamental Change Repurchase Price, if applicable) of, and accrued and unpaid interest on, the Notes, set aside, segregate and hold in trust for the benefit of the Holders of the Notes a sum sufficient to pay such principal (including the Redemption Price,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the Fundamental Change Repurchase Price, if applicable) of, or accrued and unpaid interest on, the Notes when the same shall become due and payable.</w:t>
      </w:r>
    </w:p>
    <w:p>
      <w:pPr>
        <w:spacing w:after="0" w:line="178" w:lineRule="exact"/>
        <w:rPr>
          <w:rFonts w:ascii="Arial" w:cs="Arial" w:eastAsia="Arial" w:hAnsi="Arial"/>
          <w:sz w:val="17"/>
          <w:szCs w:val="17"/>
          <w:color w:val="auto"/>
        </w:rPr>
      </w:pPr>
    </w:p>
    <w:p>
      <w:pPr>
        <w:ind w:right="120" w:firstLine="656"/>
        <w:spacing w:after="0" w:line="255" w:lineRule="auto"/>
        <w:tabs>
          <w:tab w:leader="none" w:pos="11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 Upon the occurrence of any event specified in Section 6.01(h) or Section 6.01(i), the Trustee shall automatically become the Paying Agent.</w:t>
      </w:r>
    </w:p>
    <w:p>
      <w:pPr>
        <w:spacing w:after="0" w:line="193" w:lineRule="exact"/>
        <w:rPr>
          <w:rFonts w:ascii="Arial" w:cs="Arial" w:eastAsia="Arial" w:hAnsi="Arial"/>
          <w:sz w:val="18"/>
          <w:szCs w:val="18"/>
          <w:color w:val="auto"/>
        </w:rPr>
      </w:pPr>
    </w:p>
    <w:p>
      <w:pPr>
        <w:ind w:firstLine="656"/>
        <w:spacing w:after="0" w:line="272" w:lineRule="auto"/>
        <w:tabs>
          <w:tab w:leader="none" w:pos="1169"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Subject to applicable escheatment laws, any money or property deposited with the Trustee or any Paying Agent, or then held by the Company, in trust for the payment of the principal (including the Redemption Price, the Fundamental Change Repurchase Price, if applicable) of, accrued and unpaid interest on and the consideration due upon conversion of any Note and remaining unclaimed for two years after such principal (including the Redemption Price,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Trustee shall have no further liability with respect to such funds; and the Holder of such Note shall thereafter, as an unsecured general creditor, look only to the Company for payment thereof, and all liability of the Trustee or such Paying Agent with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505" w:gutter="0" w:footer="0" w:header="0"/>
        </w:sectPr>
      </w:pPr>
    </w:p>
    <w:bookmarkStart w:id="21" w:name="page22"/>
    <w:bookmarkEnd w:id="21"/>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respect to such trust money and shares of Common Stock, and all liability of the Company as trustee thereof, shall thereupon cease.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Section 4.05</w:t>
      </w:r>
      <w:r>
        <w:rPr>
          <w:rFonts w:ascii="Arial" w:cs="Arial" w:eastAsia="Arial" w:hAnsi="Arial"/>
          <w:sz w:val="18"/>
          <w:szCs w:val="18"/>
          <w:i w:val="1"/>
          <w:iCs w:val="1"/>
          <w:color w:val="auto"/>
        </w:rPr>
        <w:t>. Existence.</w:t>
      </w:r>
      <w:r>
        <w:rPr>
          <w:rFonts w:ascii="Arial" w:cs="Arial" w:eastAsia="Arial" w:hAnsi="Arial"/>
          <w:sz w:val="18"/>
          <w:szCs w:val="18"/>
          <w:color w:val="auto"/>
        </w:rPr>
        <w:t xml:space="preserve"> Subject to Article 11, the Company shall do or cause to be done all things necessary to preserve and keep in full force and effect its corporate existence.</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4.06</w:t>
      </w:r>
      <w:r>
        <w:rPr>
          <w:rFonts w:ascii="Arial" w:cs="Arial" w:eastAsia="Arial" w:hAnsi="Arial"/>
          <w:sz w:val="18"/>
          <w:szCs w:val="18"/>
          <w:i w:val="1"/>
          <w:iCs w:val="1"/>
          <w:color w:val="auto"/>
        </w:rPr>
        <w:t>. Rule 144A Information Requirement and Annual Reports.</w:t>
      </w:r>
      <w:r>
        <w:rPr>
          <w:rFonts w:ascii="Arial" w:cs="Arial" w:eastAsia="Arial" w:hAnsi="Arial"/>
          <w:sz w:val="18"/>
          <w:szCs w:val="18"/>
          <w:color w:val="auto"/>
        </w:rPr>
        <w:t xml:space="preserve">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will, upon written request, provide to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spacing w:after="0" w:line="193" w:lineRule="exact"/>
        <w:rPr>
          <w:sz w:val="20"/>
          <w:szCs w:val="20"/>
          <w:color w:val="auto"/>
        </w:rPr>
      </w:pPr>
    </w:p>
    <w:p>
      <w:pPr>
        <w:ind w:right="100" w:firstLine="656"/>
        <w:spacing w:after="0" w:line="291" w:lineRule="auto"/>
        <w:tabs>
          <w:tab w:leader="none" w:pos="1169"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Company shall file with the Trustee, within 15 days after the same are required to be filed with the Commission (giving effect to any grace period provided by Rule 12b-25 (or any successor rule) under the Exchange Act), copies of any annual or quarterly reports (on Form 10-K or Form 10-Q or any respective successive form) that the Company is required to file with the Commission pursuant to Section 13 or 15(d) of the Exchange Act (excluding any such information, documents or reports, or portions thereof, subject to confidential treatment and any correspondence with the Commission). Any such document or report that the Company files with the Commission via the Commission’s EDGAR system (or any successor thereto) shall be deemed to be filed with the Trustee for purposes of this Section 4.06(b) at the time such documents are filed via the EDGAR system (or any successor thereto), it being understood that the Trustee shall not be responsible for determining whether such filings have been made.</w:t>
      </w:r>
    </w:p>
    <w:p>
      <w:pPr>
        <w:spacing w:after="0" w:line="167" w:lineRule="exact"/>
        <w:rPr>
          <w:rFonts w:ascii="Arial" w:cs="Arial" w:eastAsia="Arial" w:hAnsi="Arial"/>
          <w:sz w:val="16"/>
          <w:szCs w:val="16"/>
          <w:color w:val="auto"/>
        </w:rPr>
      </w:pPr>
    </w:p>
    <w:p>
      <w:pPr>
        <w:ind w:right="60" w:firstLine="656"/>
        <w:spacing w:after="0" w:line="312" w:lineRule="auto"/>
        <w:tabs>
          <w:tab w:leader="none" w:pos="1172"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Delivery of the reports and documents described in subsection (b) above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w:t>
      </w:r>
    </w:p>
    <w:p>
      <w:pPr>
        <w:spacing w:after="0" w:line="146" w:lineRule="exact"/>
        <w:rPr>
          <w:rFonts w:ascii="Arial" w:cs="Arial" w:eastAsia="Arial" w:hAnsi="Arial"/>
          <w:sz w:val="16"/>
          <w:szCs w:val="16"/>
          <w:color w:val="auto"/>
        </w:rPr>
      </w:pPr>
    </w:p>
    <w:p>
      <w:pPr>
        <w:ind w:right="40" w:firstLine="656"/>
        <w:spacing w:after="0" w:line="290" w:lineRule="auto"/>
        <w:tabs>
          <w:tab w:leader="none" w:pos="1169"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(after giving effect to all applicable grace periods thereunder and other than reports on Form 8-K),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the Company shall pay Additional Interest on the Notes. Such Additional Interest shall accrue on the Notes at the rate of 0.50% per annum of the principal amount of the Notes outstanding for each day during such period for which the Company’s failure to file has occurred and is continuing or the Notes are not otherwise freely tradable pursuant to Rule 144 by Holders other than the Company’s Affiliates (or Holders that have been the Company’s Affiliates at any time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Further, as used in this Section 4.06(d), the phrase “restrictions pursuant to U.S. securities laws or the terms of this Indenture of the Notes” shall not include, for the avoidance of doubt, the assignment of a restricted CUSIP number or the existence of a restrictive notes legend on the Notes in compliance with this Indenture, in either case, during the six-month period described in this Section 4.06(d).</w:t>
      </w:r>
    </w:p>
    <w:p>
      <w:pPr>
        <w:spacing w:after="0" w:line="178" w:lineRule="exact"/>
        <w:rPr>
          <w:sz w:val="20"/>
          <w:szCs w:val="20"/>
          <w:color w:val="auto"/>
        </w:rPr>
      </w:pPr>
    </w:p>
    <w:p>
      <w:pPr>
        <w:ind w:right="160" w:firstLine="656"/>
        <w:spacing w:after="0" w:line="290" w:lineRule="auto"/>
        <w:tabs>
          <w:tab w:leader="none" w:pos="1172"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and for so long as, the restrictive legend on the Notes specified in Section 2.05(c) has not been removed (or deemed removed pursuant to this Indenture),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380th day after the last date of original issuance of the Notes, the Company shall pay Additional Interest on the Notes at a rate equal to 0.50% per annum of the principal amount of Notes outstanding until the restrictive legend on the Notes has been removed in accordance with Section 2.05(c), the Notes are assigned an unrestricted CUSIP number and the Notes are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w:t>
      </w:r>
    </w:p>
    <w:p>
      <w:pPr>
        <w:spacing w:after="0" w:line="166" w:lineRule="exact"/>
        <w:rPr>
          <w:rFonts w:ascii="Arial" w:cs="Arial" w:eastAsia="Arial" w:hAnsi="Arial"/>
          <w:sz w:val="16"/>
          <w:szCs w:val="16"/>
          <w:color w:val="auto"/>
        </w:rPr>
      </w:pPr>
    </w:p>
    <w:p>
      <w:pPr>
        <w:ind w:left="1180" w:hanging="524"/>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Additional Interest will be payable in arrears on each Interest Payment Date following accrual in the same manner as regular interest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Notes.</w:t>
      </w:r>
    </w:p>
    <w:p>
      <w:pPr>
        <w:spacing w:after="0" w:line="210" w:lineRule="exact"/>
        <w:rPr>
          <w:rFonts w:ascii="Arial" w:cs="Arial" w:eastAsia="Arial" w:hAnsi="Arial"/>
          <w:sz w:val="16"/>
          <w:szCs w:val="16"/>
          <w:color w:val="auto"/>
        </w:rPr>
      </w:pPr>
    </w:p>
    <w:p>
      <w:pPr>
        <w:ind w:right="120" w:firstLine="656"/>
        <w:spacing w:after="0" w:line="257" w:lineRule="auto"/>
        <w:tabs>
          <w:tab w:leader="none" w:pos="11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Additional Interest that is payable in accordance with Section 4.06(d) or Section 4.06(e) shall be in addition to, and not in lieu of, any Additional Interest that may be payable as a result of the Company’s election pursuant to Section 6.03. Notwithstanding the foregoing, in no event shall Additional Interest accrue under the terms of this Indenture (aggregating any Additional Interest payable pursuant to Section 4.06(d) or Section 4.06(e) with any Additional Interest payable pursuant to Section 6.03) at a rate in excess of 0.50% per annum, regardless of the number of events or circumstances giving rise to the requirement to pay such Additional Interest.</w:t>
      </w:r>
    </w:p>
    <w:p>
      <w:pPr>
        <w:spacing w:after="0" w:line="188" w:lineRule="exact"/>
        <w:rPr>
          <w:rFonts w:ascii="Arial" w:cs="Arial" w:eastAsia="Arial" w:hAnsi="Arial"/>
          <w:sz w:val="18"/>
          <w:szCs w:val="18"/>
          <w:color w:val="auto"/>
        </w:rPr>
      </w:pPr>
    </w:p>
    <w:p>
      <w:pPr>
        <w:ind w:right="140" w:firstLine="656"/>
        <w:spacing w:after="0" w:line="276" w:lineRule="auto"/>
        <w:tabs>
          <w:tab w:leader="none" w:pos="1169"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Section 4.07</w:t>
      </w:r>
      <w:r>
        <w:rPr>
          <w:rFonts w:ascii="Arial" w:cs="Arial" w:eastAsia="Arial" w:hAnsi="Arial"/>
          <w:sz w:val="16"/>
          <w:szCs w:val="16"/>
          <w:i w:val="1"/>
          <w:iCs w:val="1"/>
          <w:color w:val="auto"/>
        </w:rPr>
        <w:t>. Stay, Extension and Usury Laws.</w:t>
      </w:r>
      <w:r>
        <w:rPr>
          <w:rFonts w:ascii="Arial" w:cs="Arial" w:eastAsia="Arial" w:hAnsi="Arial"/>
          <w:sz w:val="16"/>
          <w:szCs w:val="16"/>
          <w:color w:val="auto"/>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w:t>
      </w:r>
    </w:p>
    <w:p>
      <w:pPr>
        <w:sectPr>
          <w:pgSz w:w="11900" w:h="16945" w:orient="portrait"/>
          <w:cols w:equalWidth="0" w:num="1">
            <w:col w:w="11420"/>
          </w:cols>
          <w:pgMar w:left="240" w:top="125" w:right="239" w:bottom="0" w:gutter="0" w:footer="0" w:header="0"/>
        </w:sectPr>
      </w:pPr>
    </w:p>
    <w:bookmarkStart w:id="22" w:name="page23"/>
    <w:bookmarkEnd w:id="22"/>
    <w:p>
      <w:pPr>
        <w:ind w:right="220"/>
        <w:spacing w:after="0" w:line="342" w:lineRule="auto"/>
        <w:rPr>
          <w:sz w:val="20"/>
          <w:szCs w:val="20"/>
          <w:color w:val="auto"/>
        </w:rPr>
      </w:pPr>
      <w:r>
        <w:rPr>
          <w:rFonts w:ascii="Arial" w:cs="Arial" w:eastAsia="Arial" w:hAnsi="Arial"/>
          <w:sz w:val="16"/>
          <w:szCs w:val="16"/>
          <w:color w:val="auto"/>
        </w:rPr>
        <w:t>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24"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Section 4.08</w:t>
      </w:r>
      <w:r>
        <w:rPr>
          <w:rFonts w:ascii="Arial" w:cs="Arial" w:eastAsia="Arial" w:hAnsi="Arial"/>
          <w:sz w:val="16"/>
          <w:szCs w:val="16"/>
          <w:i w:val="1"/>
          <w:iCs w:val="1"/>
          <w:color w:val="auto"/>
        </w:rPr>
        <w:t>. Compliance Certificate; Statements as to Defaults.</w:t>
      </w:r>
      <w:r>
        <w:rPr>
          <w:rFonts w:ascii="Arial" w:cs="Arial" w:eastAsia="Arial" w:hAnsi="Arial"/>
          <w:sz w:val="16"/>
          <w:szCs w:val="16"/>
          <w:color w:val="auto"/>
        </w:rPr>
        <w:t xml:space="preserve"> The Company shall deliver to the Trustee within 120 days after the end of each fiscal year of the Company (beginning with the fiscal year ending on January 31, 2019) an Officer’s Certificate stating whether the signers thereof have knowledge of any Default under the Indenture that occurred during such fiscal year and, if so, specifying each such Default and the nature thereof.</w:t>
      </w:r>
    </w:p>
    <w:p>
      <w:pPr>
        <w:spacing w:after="0" w:line="147"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In addition, the Company shall deliver to the Trustee, within 30 days after obtaining knowledge of the occurrence of any Event of Default or Default, an Officer’s Certificate setting forth the details of such Event of Default or Default, its status and the action that the Company is taking or proposing to take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is not required to deliver such notice if such Event of Default or Default has been cured.</w:t>
      </w:r>
    </w:p>
    <w:p>
      <w:pPr>
        <w:spacing w:after="0" w:line="14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Section 4.09</w:t>
      </w:r>
      <w:r>
        <w:rPr>
          <w:rFonts w:ascii="Arial" w:cs="Arial" w:eastAsia="Arial" w:hAnsi="Arial"/>
          <w:sz w:val="17"/>
          <w:szCs w:val="17"/>
          <w:i w:val="1"/>
          <w:iCs w:val="1"/>
          <w:color w:val="auto"/>
        </w:rPr>
        <w:t>. Further Instruments and Acts.</w:t>
      </w:r>
      <w:r>
        <w:rPr>
          <w:rFonts w:ascii="Arial" w:cs="Arial" w:eastAsia="Arial" w:hAnsi="Arial"/>
          <w:sz w:val="17"/>
          <w:szCs w:val="17"/>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LISTS OF HOLDERS AND REPORTS BY THE COMPANY AND THE TRUSTEE</w:t>
      </w:r>
    </w:p>
    <w:p>
      <w:pPr>
        <w:spacing w:after="0" w:line="21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Section 5.01</w:t>
      </w:r>
      <w:r>
        <w:rPr>
          <w:rFonts w:ascii="Arial" w:cs="Arial" w:eastAsia="Arial" w:hAnsi="Arial"/>
          <w:sz w:val="16"/>
          <w:szCs w:val="16"/>
          <w:i w:val="1"/>
          <w:iCs w:val="1"/>
          <w:color w:val="auto"/>
        </w:rPr>
        <w:t>. Lists of Holders.</w:t>
      </w:r>
      <w:r>
        <w:rPr>
          <w:rFonts w:ascii="Arial" w:cs="Arial" w:eastAsia="Arial" w:hAnsi="Arial"/>
          <w:sz w:val="16"/>
          <w:szCs w:val="16"/>
          <w:color w:val="auto"/>
        </w:rPr>
        <w:t xml:space="preserve"> The Company covenants and agrees that it will furnish or cause to be furnished to the Trustee, semi-annually, not more than 15 days after each June 15 and December 15 in each year beginning with December 15, 2018,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Section 5.02</w:t>
      </w:r>
      <w:r>
        <w:rPr>
          <w:rFonts w:ascii="Arial" w:cs="Arial" w:eastAsia="Arial" w:hAnsi="Arial"/>
          <w:sz w:val="16"/>
          <w:szCs w:val="16"/>
          <w:i w:val="1"/>
          <w:iCs w:val="1"/>
          <w:color w:val="auto"/>
        </w:rPr>
        <w:t>. Preservation and Disclosure of Lists.</w:t>
      </w:r>
      <w:r>
        <w:rPr>
          <w:rFonts w:ascii="Arial" w:cs="Arial" w:eastAsia="Arial" w:hAnsi="Arial"/>
          <w:sz w:val="16"/>
          <w:szCs w:val="16"/>
          <w:color w:val="auto"/>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Events of Default.</w:t>
      </w:r>
      <w:r>
        <w:rPr>
          <w:rFonts w:ascii="Arial" w:cs="Arial" w:eastAsia="Arial" w:hAnsi="Arial"/>
          <w:sz w:val="18"/>
          <w:szCs w:val="18"/>
          <w:color w:val="auto"/>
        </w:rPr>
        <w:t xml:space="preserve"> Each of the following events shall be an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the Notes:</w:t>
      </w:r>
    </w:p>
    <w:p>
      <w:pPr>
        <w:spacing w:after="0" w:line="229" w:lineRule="exact"/>
        <w:rPr>
          <w:sz w:val="20"/>
          <w:szCs w:val="20"/>
          <w:color w:val="auto"/>
        </w:rPr>
      </w:pPr>
    </w:p>
    <w:p>
      <w:pPr>
        <w:ind w:left="1160" w:hanging="504"/>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any payment of interest on any Note when due and payable, and the default continues for a period of 30 days;</w:t>
      </w:r>
    </w:p>
    <w:p>
      <w:pPr>
        <w:spacing w:after="0" w:line="225" w:lineRule="exact"/>
        <w:rPr>
          <w:rFonts w:ascii="Arial" w:cs="Arial" w:eastAsia="Arial" w:hAnsi="Arial"/>
          <w:sz w:val="18"/>
          <w:szCs w:val="18"/>
          <w:color w:val="auto"/>
        </w:rPr>
      </w:pPr>
    </w:p>
    <w:p>
      <w:pPr>
        <w:ind w:right="200" w:firstLine="656"/>
        <w:spacing w:after="0" w:line="277" w:lineRule="auto"/>
        <w:tabs>
          <w:tab w:leader="none" w:pos="11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the payment of principal of any Note when due and payable on the Maturity Date, upon Optional Redemption, upon any required repurchase, upon declaration of acceleration or otherwise;</w:t>
      </w:r>
    </w:p>
    <w:p>
      <w:pPr>
        <w:spacing w:after="0" w:line="170" w:lineRule="exact"/>
        <w:rPr>
          <w:rFonts w:ascii="Arial" w:cs="Arial" w:eastAsia="Arial" w:hAnsi="Arial"/>
          <w:sz w:val="18"/>
          <w:szCs w:val="18"/>
          <w:color w:val="auto"/>
        </w:rPr>
      </w:pPr>
    </w:p>
    <w:p>
      <w:pPr>
        <w:ind w:right="440" w:firstLine="656"/>
        <w:spacing w:after="0" w:line="277" w:lineRule="auto"/>
        <w:tabs>
          <w:tab w:leader="none" w:pos="11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 to convert the Notes in accordance with this Indenture upon exercise of a Holder’s conversion right, and such failure continues for three (3) Business Days;</w:t>
      </w:r>
    </w:p>
    <w:p>
      <w:pPr>
        <w:spacing w:after="0" w:line="170" w:lineRule="exact"/>
        <w:rPr>
          <w:rFonts w:ascii="Arial" w:cs="Arial" w:eastAsia="Arial" w:hAnsi="Arial"/>
          <w:sz w:val="18"/>
          <w:szCs w:val="18"/>
          <w:color w:val="auto"/>
        </w:rPr>
      </w:pPr>
    </w:p>
    <w:p>
      <w:pPr>
        <w:ind w:right="640" w:firstLine="656"/>
        <w:spacing w:after="0" w:line="277" w:lineRule="auto"/>
        <w:tabs>
          <w:tab w:leader="none" w:pos="1169"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the Company to issue a Fundamental Change Company Notice in accordance with Section 15.02(c) or notice of a specified corporate event in accordance with Section 14.01(b)(ii) or (iii), in each case when due;</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obligations under Article 11;</w:t>
      </w:r>
    </w:p>
    <w:p>
      <w:pPr>
        <w:spacing w:after="0" w:line="225" w:lineRule="exact"/>
        <w:rPr>
          <w:rFonts w:ascii="Arial" w:cs="Arial" w:eastAsia="Arial" w:hAnsi="Arial"/>
          <w:sz w:val="18"/>
          <w:szCs w:val="18"/>
          <w:color w:val="auto"/>
        </w:rPr>
      </w:pPr>
    </w:p>
    <w:p>
      <w:pPr>
        <w:ind w:right="180" w:firstLine="656"/>
        <w:spacing w:after="0" w:line="308" w:lineRule="auto"/>
        <w:tabs>
          <w:tab w:leader="none" w:pos="1166"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by the Company for 60 days after written notice from the Trustee or the Holders of at least 25% in aggregate principal amount of the Notes then outstanding has been received by the Company to comply with any of its other agreements contained in the Notes or this Indenture;</w:t>
      </w:r>
    </w:p>
    <w:p>
      <w:pPr>
        <w:spacing w:after="0" w:line="146" w:lineRule="exact"/>
        <w:rPr>
          <w:rFonts w:ascii="Arial" w:cs="Arial" w:eastAsia="Arial" w:hAnsi="Arial"/>
          <w:sz w:val="17"/>
          <w:szCs w:val="17"/>
          <w:color w:val="auto"/>
        </w:rPr>
      </w:pPr>
    </w:p>
    <w:p>
      <w:pPr>
        <w:ind w:right="40" w:firstLine="656"/>
        <w:spacing w:after="0" w:line="289" w:lineRule="auto"/>
        <w:tabs>
          <w:tab w:leader="none" w:pos="1182"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$30,000,000 (or its foreign currency equivalent) in the aggregate of the Company and/or any such Significant Subsidiary, whether such indebtedness now exists or shall hereafter be created (i) resulting in such indebtedness becoming or being declared due and payable prior to its stated maturity date or (ii) constituting a failure to pay the principal of any such indebtedness when due and payable (after the expiration of all applicable grace periods) at its stated maturity, upon required repurchase, upon declaration of acceleration or otherwise, and, in the case of clauses (i) and (ii), such acceleration shall not, after the expiration of any applicable grace period, have been rescinded or annulled or such failure to pay or default shall not have been cured or waived, or such indebtedness is not paid or discharged, as the case may be, within 30 days after written notice to the Company from the Trustee or to the Company and the Trustee from Holders of at least 25% in aggregate principal amount of Notes then outstanding in accordance with this Indenture;</w:t>
      </w:r>
    </w:p>
    <w:p>
      <w:pPr>
        <w:spacing w:after="0" w:line="166" w:lineRule="exact"/>
        <w:rPr>
          <w:rFonts w:ascii="Arial" w:cs="Arial" w:eastAsia="Arial" w:hAnsi="Arial"/>
          <w:sz w:val="16"/>
          <w:szCs w:val="16"/>
          <w:color w:val="auto"/>
        </w:rPr>
      </w:pPr>
    </w:p>
    <w:p>
      <w:pPr>
        <w:ind w:right="100" w:firstLine="656"/>
        <w:spacing w:after="0" w:line="308" w:lineRule="auto"/>
        <w:tabs>
          <w:tab w:leader="none" w:pos="1169"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or any Significant Subsidiary shall commence a voluntary case or other proceeding seeking liquidation, reorganization or other relief with respect to the Company or any such Significant Subsidiary or its debts under any bankruptcy, insolvency or other similar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w:t>
      </w:r>
    </w:p>
    <w:p>
      <w:pPr>
        <w:sectPr>
          <w:pgSz w:w="11900" w:h="16838" w:orient="portrait"/>
          <w:cols w:equalWidth="0" w:num="1">
            <w:col w:w="11420"/>
          </w:cols>
          <w:pgMar w:left="240" w:top="125" w:right="239" w:bottom="0" w:gutter="0" w:footer="0" w:header="0"/>
        </w:sectPr>
      </w:pPr>
    </w:p>
    <w:bookmarkStart w:id="23" w:name="page24"/>
    <w:bookmarkEnd w:id="23"/>
    <w:p>
      <w:pPr>
        <w:ind w:right="180" w:firstLine="656"/>
        <w:spacing w:after="0" w:line="257" w:lineRule="auto"/>
        <w:tabs>
          <w:tab w:leader="none" w:pos="11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w:t>
      </w:r>
    </w:p>
    <w:p>
      <w:pPr>
        <w:spacing w:after="0" w:line="188"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Acceleration; Rescission and Annulment</w:t>
      </w:r>
      <w:r>
        <w:rPr>
          <w:rFonts w:ascii="Arial" w:cs="Arial" w:eastAsia="Arial" w:hAnsi="Arial"/>
          <w:sz w:val="16"/>
          <w:szCs w:val="16"/>
          <w:color w:val="auto"/>
        </w:rPr>
        <w:t>.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on, all the Notes to be due and payable immediately, and upon any such declaration the same shall become and shall automatically be immediately due and payable, anything in this Indenture or in the Notes contained to the contrary notwithstanding. If an Event of Default specified in Section 6.01(h) or Section 6.01(i) with respect to the Company occurs and is continuing, 100% of the principal of, and accrued and unpaid interest, if any, on, all Notes shall become and shall automatically be immediately due and payable without any declaration or other act on the part of the Trustee or any Holder.</w:t>
      </w:r>
    </w:p>
    <w:p>
      <w:pPr>
        <w:spacing w:after="0" w:line="16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other than the nonpayment of the principal of and accrued and unpaid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and the Fundamental Change Repurchase Price, if applicable) of, or accrued and unpaid interest on, any Notes, (ii) a failure to repurchase any Notes when required or (iii) a failure to pay or deliver, as the case may be, the consideration due upon conversion of the Notes.</w:t>
      </w:r>
    </w:p>
    <w:p>
      <w:pPr>
        <w:spacing w:after="0" w:line="18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i w:val="1"/>
          <w:iCs w:val="1"/>
          <w:color w:val="auto"/>
        </w:rPr>
        <w:t>Additional Interest</w:t>
      </w:r>
      <w:r>
        <w:rPr>
          <w:rFonts w:ascii="Arial" w:cs="Arial" w:eastAsia="Arial" w:hAnsi="Arial"/>
          <w:sz w:val="17"/>
          <w:szCs w:val="17"/>
          <w:color w:val="auto"/>
        </w:rPr>
        <w:t>. Notwithstanding anything in this Indenture or in the Notes to the contrary, to the extent the Company elects, the sole remedy for an Event of Default relating to the Company’s failure to comply with its obligations as set forth in Section 4.06(b) shall, for the first 360 days after the occurrence of such an Event of Default, consist exclusively of the right to receive Additional Interest on the Notes at a rate equal to (i) 0.25% per annum of the principal amount of the Notes outstanding for each day during the first 180 calendar days after the occurrence of such an Event of Default during which such Event of Default is continuing (or, if earlier, the date on which such Event of Default is cured or waived as provided for in this Indenture) and (ii) 0.50% per annum of the principal amount of the Notes outstanding for each day from, and including, the 181st calendar day to, but excluding, the 360th calendar day after the occurrence of such an Event of Default during which such Event of Default is continuing (or, if earlier, the date on which such Event of Default is cured or waived as provided for in this Indenture). Subject to the last paragraph of this Section 6.03, Additional Interest payable pursuant to this Section 6.03 shall be in addition to, not in lieu of, any Additional Interest payable pursuant to Section 4.06(d) or Section 4.06(e). If the Company so elects, such Additional Interest shall be payable in the same manner and on the same dates as the stated interest payable on the Notes. On the 361st day after such Event of Default (if the Event of Default relating to the Company’s failure to comply with its obligations as set forth in Section 4.06(b) is not cured or waived prior to such 361st day), the Notes shall be immediately subject to acceleration as provided in Section 6.02. The provisions of this paragraph will not affect the rights of Holders of Notes in the event of the occurrence of any Event of Default other than the Company’s failure to comply with its obligations as set forth in Section 4.06(b). In the event the Company does not elect to pay Additional Interest following an Event of Default in accordance with this Section 6.03 or the Company elected to make such payment but does not pay the Additional Interest when due, the Notes shall be immediately subject to acceleration as provided in Section 6.02.</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order to elect to pay Additional Interest as the sole remedy during the first 360 days after the occurrence of any Event of Default described in the immediately preceding paragraph, the Company must notify all Holders of the Notes, the Trustee and the Paying Agent in writing of such election prior to the beginning of such 360-day period. Upon the failure to timely give such notice, the Notes shall be immediately subject to acceleration as provided in Section 6.02.</w:t>
      </w:r>
    </w:p>
    <w:p>
      <w:pPr>
        <w:spacing w:after="0" w:line="18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In no event shall Additional Interest accrue under the terms of this Indenture (aggregating any Additional Interest payable pursuant to this Section 6.03 with any Additional Interest payable pursuant to Section 4.06(d) or Section 4.06(e)) at a rate in excess of 0.50% per annum, regardless of the number of events or circumstances giving rise to the requirement to pay such Additional Interest.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Section 6.04</w:t>
      </w:r>
      <w:r>
        <w:rPr>
          <w:rFonts w:ascii="Arial" w:cs="Arial" w:eastAsia="Arial" w:hAnsi="Arial"/>
          <w:sz w:val="17"/>
          <w:szCs w:val="17"/>
          <w:i w:val="1"/>
          <w:iCs w:val="1"/>
          <w:color w:val="auto"/>
        </w:rPr>
        <w:t>. Payments of Notes on Default; Suit Therefor.</w:t>
      </w:r>
      <w:r>
        <w:rPr>
          <w:rFonts w:ascii="Arial" w:cs="Arial" w:eastAsia="Arial" w:hAnsi="Arial"/>
          <w:sz w:val="17"/>
          <w:szCs w:val="17"/>
          <w:color w:val="auto"/>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sectPr>
          <w:pgSz w:w="11900" w:h="16838" w:orient="portrait"/>
          <w:cols w:equalWidth="0" w:num="1">
            <w:col w:w="11400"/>
          </w:cols>
          <w:pgMar w:left="240" w:top="125" w:right="259" w:bottom="0" w:gutter="0" w:footer="0" w:header="0"/>
        </w:sectPr>
      </w:pPr>
    </w:p>
    <w:bookmarkStart w:id="24" w:name="page25"/>
    <w:bookmarkEnd w:id="24"/>
    <w:p>
      <w:pPr>
        <w:spacing w:after="0" w:line="72"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w:t>
      </w:r>
    </w:p>
    <w:p>
      <w:pPr>
        <w:spacing w:after="0" w:line="15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81"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Section 6.05</w:t>
      </w:r>
      <w:r>
        <w:rPr>
          <w:rFonts w:ascii="Arial" w:cs="Arial" w:eastAsia="Arial" w:hAnsi="Arial"/>
          <w:sz w:val="18"/>
          <w:szCs w:val="18"/>
          <w:i w:val="1"/>
          <w:iCs w:val="1"/>
          <w:color w:val="auto"/>
        </w:rPr>
        <w:t>. Application of Monies Collected by Trustee.</w:t>
      </w:r>
      <w:r>
        <w:rPr>
          <w:rFonts w:ascii="Arial" w:cs="Arial" w:eastAsia="Arial" w:hAnsi="Arial"/>
          <w:sz w:val="18"/>
          <w:szCs w:val="18"/>
          <w:color w:val="auto"/>
        </w:rPr>
        <w:t xml:space="preserve"> Any monies or property collected by the Trustee pursuant to this Article 6 with respect to the Notes shall be applied in the following order, at the date or dates fixed by the Trustee for the distribution of such monies, upon presentation of the several Notes, and stamping thereon the payment, if only partially paid, and upon surrender thereof, if fully paid: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to the payment of all amounts due the Trustee in all of its capacities under Section 7.06;</w:t>
      </w:r>
    </w:p>
    <w:p>
      <w:pPr>
        <w:spacing w:after="0" w:line="225"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Second</w:t>
      </w:r>
      <w:r>
        <w:rPr>
          <w:rFonts w:ascii="Arial" w:cs="Arial" w:eastAsia="Arial" w:hAnsi="Arial"/>
          <w:sz w:val="18"/>
          <w:szCs w:val="18"/>
          <w:color w:val="auto"/>
        </w:rPr>
        <w:t>, in case the principal of the outstanding Notes shall not have become due and be unpaid, to the payment of interest on, and any cash due</w:t>
      </w:r>
      <w:r>
        <w:rPr>
          <w:rFonts w:ascii="Arial" w:cs="Arial" w:eastAsia="Arial" w:hAnsi="Arial"/>
          <w:sz w:val="18"/>
          <w:szCs w:val="18"/>
          <w:b w:val="1"/>
          <w:bCs w:val="1"/>
          <w:color w:val="auto"/>
        </w:rPr>
        <w:t xml:space="preserve"> </w:t>
      </w:r>
      <w:r>
        <w:rPr>
          <w:rFonts w:ascii="Arial" w:cs="Arial" w:eastAsia="Arial" w:hAnsi="Arial"/>
          <w:sz w:val="18"/>
          <w:szCs w:val="18"/>
          <w:color w:val="auto"/>
        </w:rPr>
        <w:t>upon conversion of, the Notes in default in the order of the date due of the payments of such interest and cash due upon conversion, as the case may be, with interest (to the extent that such interest has been collected by the Trustee) upon such overdue payments at the rate borne by the Notes at such time, such payments to be made ratably to the Persons entitled thereto;</w:t>
      </w:r>
    </w:p>
    <w:p>
      <w:pPr>
        <w:spacing w:after="0" w:line="180"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in case the principal of the outstanding Notes shall have become due, by declaration or otherwise, and be unpaid to the payment of the whole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(including, if applicable, the payment of the Redemption Price, the Fundamental Change Repurchase Price and any cash due upon conversion) then owing and unpaid upon the Notes for principal and interest,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the Fundamental Change Repurchase Price and any cash due upon conversion) and accrued and unpaid interest; and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to the payment of the remainder, if any, to the Company.</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6.06</w:t>
      </w:r>
      <w:r>
        <w:rPr>
          <w:rFonts w:ascii="Arial" w:cs="Arial" w:eastAsia="Arial" w:hAnsi="Arial"/>
          <w:sz w:val="18"/>
          <w:szCs w:val="18"/>
          <w:i w:val="1"/>
          <w:iCs w:val="1"/>
          <w:color w:val="auto"/>
        </w:rPr>
        <w:t>. Proceedings by Holders.</w:t>
      </w:r>
      <w:r>
        <w:rPr>
          <w:rFonts w:ascii="Arial" w:cs="Arial" w:eastAsia="Arial" w:hAnsi="Arial"/>
          <w:sz w:val="18"/>
          <w:szCs w:val="18"/>
          <w:color w:val="auto"/>
        </w:rPr>
        <w:t xml:space="preserve">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sectPr>
          <w:pgSz w:w="11900" w:h="16911" w:orient="portrait"/>
          <w:cols w:equalWidth="0" w:num="1">
            <w:col w:w="11400"/>
          </w:cols>
          <w:pgMar w:left="240" w:top="125" w:right="259" w:bottom="0" w:gutter="0" w:footer="0" w:header="0"/>
        </w:sectPr>
      </w:pPr>
    </w:p>
    <w:bookmarkStart w:id="25" w:name="page26"/>
    <w:bookmarkEnd w:id="25"/>
    <w:p>
      <w:pPr>
        <w:ind w:left="860"/>
        <w:spacing w:after="0"/>
        <w:rPr>
          <w:sz w:val="20"/>
          <w:szCs w:val="20"/>
          <w:color w:val="auto"/>
        </w:rPr>
      </w:pPr>
      <w:r>
        <w:rPr>
          <w:rFonts w:ascii="Arial" w:cs="Arial" w:eastAsia="Arial" w:hAnsi="Arial"/>
          <w:sz w:val="17"/>
          <w:szCs w:val="17"/>
          <w:color w:val="auto"/>
        </w:rPr>
        <w:t>(a)  such Holder previously shall have given to the Trustee written notice of an Event of Default and of the continuance thereof, as herein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provided;</w:t>
      </w:r>
    </w:p>
    <w:p>
      <w:pPr>
        <w:spacing w:after="0" w:line="211" w:lineRule="exact"/>
        <w:rPr>
          <w:sz w:val="20"/>
          <w:szCs w:val="20"/>
          <w:color w:val="auto"/>
        </w:rPr>
      </w:pPr>
    </w:p>
    <w:p>
      <w:pPr>
        <w:ind w:right="420" w:firstLine="851"/>
        <w:spacing w:after="0" w:line="277" w:lineRule="auto"/>
        <w:tabs>
          <w:tab w:leader="none" w:pos="11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70" w:lineRule="exact"/>
        <w:rPr>
          <w:rFonts w:ascii="Arial" w:cs="Arial" w:eastAsia="Arial" w:hAnsi="Arial"/>
          <w:sz w:val="18"/>
          <w:szCs w:val="18"/>
          <w:color w:val="auto"/>
        </w:rPr>
      </w:pPr>
    </w:p>
    <w:p>
      <w:pPr>
        <w:ind w:right="60" w:firstLine="851"/>
        <w:spacing w:after="0" w:line="277" w:lineRule="auto"/>
        <w:tabs>
          <w:tab w:leader="none" w:pos="11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Holders shall have offered to the Trustee such security or indemnity satisfactory to it against any loss, liability or expense to be incurred therein or thereby;</w:t>
      </w:r>
    </w:p>
    <w:p>
      <w:pPr>
        <w:spacing w:after="0" w:line="170" w:lineRule="exact"/>
        <w:rPr>
          <w:rFonts w:ascii="Arial" w:cs="Arial" w:eastAsia="Arial" w:hAnsi="Arial"/>
          <w:sz w:val="18"/>
          <w:szCs w:val="18"/>
          <w:color w:val="auto"/>
        </w:rPr>
      </w:pPr>
    </w:p>
    <w:p>
      <w:pPr>
        <w:ind w:right="460" w:firstLine="851"/>
        <w:spacing w:after="0" w:line="277" w:lineRule="auto"/>
        <w:tabs>
          <w:tab w:leader="none" w:pos="117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such security or indemnity, shall have neglected or refused to institute any such action, suit or proceeding; and</w:t>
      </w:r>
    </w:p>
    <w:p>
      <w:pPr>
        <w:spacing w:after="0" w:line="170" w:lineRule="exact"/>
        <w:rPr>
          <w:rFonts w:ascii="Arial" w:cs="Arial" w:eastAsia="Arial" w:hAnsi="Arial"/>
          <w:sz w:val="18"/>
          <w:szCs w:val="18"/>
          <w:color w:val="auto"/>
        </w:rPr>
      </w:pPr>
    </w:p>
    <w:p>
      <w:pPr>
        <w:ind w:right="20" w:firstLine="851"/>
        <w:spacing w:after="0" w:line="255" w:lineRule="auto"/>
        <w:tabs>
          <w:tab w:leader="none" w:pos="11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direction that, in the opinion of the Trustee, is inconsistent with such written request shall have been given to the Trustee by the Holders of a majority of the aggregate principal amount of the Notes then outstanding within such 60-day period pursuant to Section 6.09, 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(it being understood that the Trustee shall not have an affirmative duty to ascertain whether or not any such direction is unduly prejudicial to any other Holder), or to obtain or seek to obtain priority over or preference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 any other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Notwithstanding any other provision of this Indenture and any provision of any Note, the right of any Holder to receive payment or delivery, as the case may be, of (x) the principal (including the Redemption Price,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 on or after such respective dates against the Company shall not be impaired or affected without the consent of such Holder.</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Section 6.07</w:t>
      </w:r>
      <w:r>
        <w:rPr>
          <w:rFonts w:ascii="Arial" w:cs="Arial" w:eastAsia="Arial" w:hAnsi="Arial"/>
          <w:sz w:val="16"/>
          <w:szCs w:val="16"/>
          <w:i w:val="1"/>
          <w:iCs w:val="1"/>
          <w:color w:val="auto"/>
        </w:rPr>
        <w:t>. Proceedings by Trustee.</w:t>
      </w:r>
      <w:r>
        <w:rPr>
          <w:rFonts w:ascii="Arial" w:cs="Arial" w:eastAsia="Arial" w:hAnsi="Arial"/>
          <w:sz w:val="16"/>
          <w:szCs w:val="16"/>
          <w:color w:val="auto"/>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5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Section 6.08</w:t>
      </w:r>
      <w:r>
        <w:rPr>
          <w:rFonts w:ascii="Arial" w:cs="Arial" w:eastAsia="Arial" w:hAnsi="Arial"/>
          <w:sz w:val="16"/>
          <w:szCs w:val="16"/>
          <w:i w:val="1"/>
          <w:iCs w:val="1"/>
          <w:color w:val="auto"/>
        </w:rPr>
        <w:t>. Remedies Cumulative and Continuing.</w:t>
      </w:r>
      <w:r>
        <w:rPr>
          <w:rFonts w:ascii="Arial" w:cs="Arial" w:eastAsia="Arial" w:hAnsi="Arial"/>
          <w:sz w:val="16"/>
          <w:szCs w:val="16"/>
          <w:color w:val="auto"/>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Section 6.09. </w:t>
      </w:r>
      <w:r>
        <w:rPr>
          <w:rFonts w:ascii="Arial" w:cs="Arial" w:eastAsia="Arial" w:hAnsi="Arial"/>
          <w:sz w:val="17"/>
          <w:szCs w:val="17"/>
          <w:i w:val="1"/>
          <w:iCs w:val="1"/>
          <w:color w:val="auto"/>
        </w:rPr>
        <w:t>Direction of Proceedings and Waiver of Defaults by Majority of Holders</w:t>
      </w:r>
      <w:r>
        <w:rPr>
          <w:rFonts w:ascii="Arial" w:cs="Arial" w:eastAsia="Arial" w:hAnsi="Arial"/>
          <w:sz w:val="17"/>
          <w:szCs w:val="17"/>
          <w:color w:val="auto"/>
        </w:rPr>
        <w:t xml:space="preserve">.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or that would involve the Trustee in personal liability (it being understood that the Trustee shall not have an affirmative duty to ascertain whether or not any such direction is unduly prejudicial to any other Holder). The Holders of a majority in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aggregate principal amount of the Notes at the time outstanding determined in accordance with Section 8.04 may on behalf of the Holders of all of the Notes waive any past Default or Event of Default hereunder and its consequences except (i) any continuing defaults relating to the nonpayment of accrued and unpaid interest, if any, on, or the principal (including any Redemption Price, any Fundamental Change Repurchase Price)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7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Section 6.10</w:t>
      </w:r>
      <w:r>
        <w:rPr>
          <w:rFonts w:ascii="Arial" w:cs="Arial" w:eastAsia="Arial" w:hAnsi="Arial"/>
          <w:sz w:val="16"/>
          <w:szCs w:val="16"/>
          <w:i w:val="1"/>
          <w:iCs w:val="1"/>
          <w:color w:val="auto"/>
        </w:rPr>
        <w:t>. Notice of Defaults.</w:t>
      </w:r>
      <w:r>
        <w:rPr>
          <w:rFonts w:ascii="Arial" w:cs="Arial" w:eastAsia="Arial" w:hAnsi="Arial"/>
          <w:sz w:val="16"/>
          <w:szCs w:val="16"/>
          <w:color w:val="auto"/>
        </w:rPr>
        <w:t xml:space="preserve"> The Trustee shall, within 90 days after the occurrence and continuance of a Default of which the Trustee has actual knowledge, deliver to all Holders notice of all such Defaults, unless such Defaults shall have been cured or waived before the giving of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in the case of a Default in the payment of the principal of (including the Redemption Price, the Fundamental Change Repurchase Price, if applicable), or accrued and unpaid interest on, any of the Notes or a Default in the payment or delivery of the consideration due upon conversion, the Trustee shall be protected in withholding such notice if and so long as it in good faith determines that the withholding of such notice is in the interests of the Holders.</w:t>
      </w:r>
    </w:p>
    <w:p>
      <w:pPr>
        <w:sectPr>
          <w:pgSz w:w="11900" w:h="16838" w:orient="portrait"/>
          <w:cols w:equalWidth="0" w:num="1">
            <w:col w:w="11420"/>
          </w:cols>
          <w:pgMar w:left="240" w:top="341" w:right="239" w:bottom="0" w:gutter="0" w:footer="0" w:header="0"/>
        </w:sectPr>
      </w:pPr>
    </w:p>
    <w:bookmarkStart w:id="26" w:name="page27"/>
    <w:bookmarkEnd w:id="26"/>
    <w:p>
      <w:pPr>
        <w:ind w:right="40" w:firstLine="648"/>
        <w:spacing w:after="0" w:line="288" w:lineRule="auto"/>
        <w:rPr>
          <w:sz w:val="20"/>
          <w:szCs w:val="20"/>
          <w:color w:val="auto"/>
        </w:rPr>
      </w:pPr>
      <w:r>
        <w:rPr>
          <w:rFonts w:ascii="Arial" w:cs="Arial" w:eastAsia="Arial" w:hAnsi="Arial"/>
          <w:sz w:val="16"/>
          <w:szCs w:val="16"/>
          <w:color w:val="auto"/>
        </w:rPr>
        <w:t>Section 6.11</w:t>
      </w:r>
      <w:r>
        <w:rPr>
          <w:rFonts w:ascii="Arial" w:cs="Arial" w:eastAsia="Arial" w:hAnsi="Arial"/>
          <w:sz w:val="16"/>
          <w:szCs w:val="16"/>
          <w:i w:val="1"/>
          <w:iCs w:val="1"/>
          <w:color w:val="auto"/>
        </w:rPr>
        <w:t>. Undertaking to Pay Costs.</w:t>
      </w:r>
      <w:r>
        <w:rPr>
          <w:rFonts w:ascii="Arial" w:cs="Arial" w:eastAsia="Arial" w:hAnsi="Arial"/>
          <w:sz w:val="16"/>
          <w:szCs w:val="16"/>
          <w:color w:val="auto"/>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Redemption Price, the Fundamental Change Repurchase Price with respect to the Notes being repurchased as provided in this Indenture) on or after the due date expressed or provided for in such Note or to any suit for the enforcement of the right to convert any Note in accordance with the provisions of Article 14.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CONCERNING THE TRUSTEE</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Section 7.01</w:t>
      </w:r>
      <w:r>
        <w:rPr>
          <w:rFonts w:ascii="Arial" w:cs="Arial" w:eastAsia="Arial" w:hAnsi="Arial"/>
          <w:sz w:val="16"/>
          <w:szCs w:val="16"/>
          <w:i w:val="1"/>
          <w:iCs w:val="1"/>
          <w:color w:val="auto"/>
        </w:rPr>
        <w:t>. Duties and Responsibilities of Trustee.</w:t>
      </w:r>
      <w:r>
        <w:rPr>
          <w:rFonts w:ascii="Arial" w:cs="Arial" w:eastAsia="Arial" w:hAnsi="Arial"/>
          <w:sz w:val="16"/>
          <w:szCs w:val="16"/>
          <w:color w:val="auto"/>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an Event of Default occurs and is continuing, the Trustee will be under no obligation to exercise any of the rights or powers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Indenture at the request or direction of any of the Holders unless such Holders have offered (and, if requested, provided) to the Trustee indemnity or security reasonably satisfactory to it against any loss, liability or expense that might be incurred by it in compliance with such request or direction.</w:t>
      </w:r>
    </w:p>
    <w:p>
      <w:pPr>
        <w:spacing w:after="0" w:line="16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70" w:lineRule="exact"/>
        <w:rPr>
          <w:sz w:val="20"/>
          <w:szCs w:val="20"/>
          <w:color w:val="auto"/>
        </w:rPr>
      </w:pPr>
    </w:p>
    <w:p>
      <w:pPr>
        <w:ind w:left="1160" w:hanging="504"/>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the occurrence of an Event of Default and after the curing or waiving of all Events of Default that may have occurred:</w:t>
      </w:r>
    </w:p>
    <w:p>
      <w:pPr>
        <w:spacing w:after="0" w:line="225" w:lineRule="exact"/>
        <w:rPr>
          <w:rFonts w:ascii="Arial" w:cs="Arial" w:eastAsia="Arial" w:hAnsi="Arial"/>
          <w:sz w:val="18"/>
          <w:szCs w:val="18"/>
          <w:color w:val="auto"/>
        </w:rPr>
      </w:pPr>
    </w:p>
    <w:p>
      <w:pPr>
        <w:ind w:left="660" w:firstLine="645"/>
        <w:spacing w:after="0" w:line="264" w:lineRule="auto"/>
        <w:tabs>
          <w:tab w:leader="none" w:pos="19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81" w:lineRule="exact"/>
        <w:rPr>
          <w:rFonts w:ascii="Arial" w:cs="Arial" w:eastAsia="Arial" w:hAnsi="Arial"/>
          <w:sz w:val="18"/>
          <w:szCs w:val="18"/>
          <w:color w:val="auto"/>
        </w:rPr>
      </w:pPr>
    </w:p>
    <w:p>
      <w:pPr>
        <w:ind w:left="660" w:right="20" w:firstLine="645"/>
        <w:spacing w:after="0" w:line="297" w:lineRule="auto"/>
        <w:tabs>
          <w:tab w:leader="none" w:pos="1987" w:val="left"/>
        </w:tabs>
        <w:numPr>
          <w:ilvl w:val="1"/>
          <w:numId w:val="35"/>
        </w:numPr>
        <w:rPr>
          <w:rFonts w:ascii="Arial" w:cs="Arial" w:eastAsia="Arial" w:hAnsi="Arial"/>
          <w:sz w:val="16"/>
          <w:szCs w:val="16"/>
          <w:color w:val="auto"/>
        </w:rPr>
      </w:pPr>
      <w:r>
        <w:rPr>
          <w:rFonts w:ascii="Arial" w:cs="Arial" w:eastAsia="Arial" w:hAnsi="Arial"/>
          <w:sz w:val="16"/>
          <w:szCs w:val="16"/>
          <w:color w:val="auto"/>
        </w:rPr>
        <w:t>in the absence of bad faith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58" w:lineRule="exact"/>
        <w:rPr>
          <w:rFonts w:ascii="Arial" w:cs="Arial" w:eastAsia="Arial" w:hAnsi="Arial"/>
          <w:sz w:val="16"/>
          <w:szCs w:val="16"/>
          <w:color w:val="auto"/>
        </w:rPr>
      </w:pPr>
    </w:p>
    <w:p>
      <w:pPr>
        <w:ind w:right="60" w:firstLine="656"/>
        <w:spacing w:after="0" w:line="277" w:lineRule="auto"/>
        <w:tabs>
          <w:tab w:leader="none" w:pos="116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70" w:lineRule="exact"/>
        <w:rPr>
          <w:rFonts w:ascii="Arial" w:cs="Arial" w:eastAsia="Arial" w:hAnsi="Arial"/>
          <w:sz w:val="18"/>
          <w:szCs w:val="18"/>
          <w:color w:val="auto"/>
        </w:rPr>
      </w:pPr>
    </w:p>
    <w:p>
      <w:pPr>
        <w:ind w:firstLine="656"/>
        <w:spacing w:after="0" w:line="264" w:lineRule="auto"/>
        <w:tabs>
          <w:tab w:leader="none" w:pos="11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any remedy available to the Trustee, or exercising any trust or power conferred upon the Trustee, under this Indenture;</w:t>
      </w:r>
    </w:p>
    <w:p>
      <w:pPr>
        <w:spacing w:after="0" w:line="225" w:lineRule="exact"/>
        <w:rPr>
          <w:sz w:val="20"/>
          <w:szCs w:val="20"/>
          <w:color w:val="auto"/>
        </w:rPr>
      </w:pPr>
    </w:p>
    <w:p>
      <w:pPr>
        <w:ind w:right="160" w:firstLine="656"/>
        <w:spacing w:after="0" w:line="277" w:lineRule="auto"/>
        <w:tabs>
          <w:tab w:leader="none" w:pos="11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70" w:lineRule="exact"/>
        <w:rPr>
          <w:rFonts w:ascii="Arial" w:cs="Arial" w:eastAsia="Arial" w:hAnsi="Arial"/>
          <w:sz w:val="18"/>
          <w:szCs w:val="18"/>
          <w:color w:val="auto"/>
        </w:rPr>
      </w:pPr>
    </w:p>
    <w:p>
      <w:pPr>
        <w:ind w:right="120" w:firstLine="656"/>
        <w:spacing w:after="0" w:line="342" w:lineRule="auto"/>
        <w:tabs>
          <w:tab w:leader="none" w:pos="117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23" w:lineRule="exact"/>
        <w:rPr>
          <w:rFonts w:ascii="Arial" w:cs="Arial" w:eastAsia="Arial" w:hAnsi="Arial"/>
          <w:sz w:val="16"/>
          <w:szCs w:val="16"/>
          <w:color w:val="auto"/>
        </w:rPr>
      </w:pPr>
    </w:p>
    <w:p>
      <w:pPr>
        <w:ind w:firstLine="656"/>
        <w:spacing w:after="0" w:line="264" w:lineRule="auto"/>
        <w:tabs>
          <w:tab w:leader="none" w:pos="1166"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w:t>
      </w:r>
    </w:p>
    <w:p>
      <w:pPr>
        <w:spacing w:after="0" w:line="181" w:lineRule="exact"/>
        <w:rPr>
          <w:rFonts w:ascii="Arial" w:cs="Arial" w:eastAsia="Arial" w:hAnsi="Arial"/>
          <w:sz w:val="18"/>
          <w:szCs w:val="18"/>
          <w:color w:val="auto"/>
        </w:rPr>
      </w:pPr>
    </w:p>
    <w:p>
      <w:pPr>
        <w:ind w:right="60" w:firstLine="656"/>
        <w:spacing w:after="0" w:line="276" w:lineRule="auto"/>
        <w:tabs>
          <w:tab w:leader="none" w:pos="1182"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spacing w:after="0" w:line="172" w:lineRule="exact"/>
        <w:rPr>
          <w:rFonts w:ascii="Arial" w:cs="Arial" w:eastAsia="Arial" w:hAnsi="Arial"/>
          <w:sz w:val="17"/>
          <w:szCs w:val="17"/>
          <w:color w:val="auto"/>
        </w:rPr>
      </w:pPr>
    </w:p>
    <w:p>
      <w:pPr>
        <w:jc w:val="both"/>
        <w:ind w:right="160" w:firstLine="656"/>
        <w:spacing w:after="0" w:line="264" w:lineRule="auto"/>
        <w:tabs>
          <w:tab w:leader="none" w:pos="1169"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 and</w:t>
      </w:r>
    </w:p>
    <w:p>
      <w:pPr>
        <w:spacing w:after="0" w:line="181" w:lineRule="exact"/>
        <w:rPr>
          <w:rFonts w:ascii="Arial" w:cs="Arial" w:eastAsia="Arial" w:hAnsi="Arial"/>
          <w:sz w:val="18"/>
          <w:szCs w:val="18"/>
          <w:color w:val="auto"/>
        </w:rPr>
      </w:pPr>
    </w:p>
    <w:p>
      <w:pPr>
        <w:ind w:left="1200" w:hanging="544"/>
        <w:spacing w:after="0"/>
        <w:tabs>
          <w:tab w:leader="none" w:pos="1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no circumstances shall the Trustee be liable in its individual capacity for the obligations evidenced by the Notes.</w:t>
      </w:r>
    </w:p>
    <w:p>
      <w:pPr>
        <w:sectPr>
          <w:pgSz w:w="11900" w:h="16838" w:orient="portrait"/>
          <w:cols w:equalWidth="0" w:num="1">
            <w:col w:w="11400"/>
          </w:cols>
          <w:pgMar w:left="240" w:top="125" w:right="259" w:bottom="0" w:gutter="0" w:footer="0" w:header="0"/>
        </w:sectPr>
      </w:pPr>
    </w:p>
    <w:bookmarkStart w:id="27" w:name="page28"/>
    <w:bookmarkEnd w:id="27"/>
    <w:p>
      <w:pPr>
        <w:spacing w:after="0" w:line="9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7.02</w:t>
      </w:r>
      <w:r>
        <w:rPr>
          <w:rFonts w:ascii="Arial" w:cs="Arial" w:eastAsia="Arial" w:hAnsi="Arial"/>
          <w:sz w:val="18"/>
          <w:szCs w:val="18"/>
          <w:i w:val="1"/>
          <w:iCs w:val="1"/>
          <w:color w:val="auto"/>
        </w:rPr>
        <w:t>. Reliance on Documents, Opinions, Etc.</w:t>
      </w:r>
      <w:r>
        <w:rPr>
          <w:rFonts w:ascii="Arial" w:cs="Arial" w:eastAsia="Arial" w:hAnsi="Arial"/>
          <w:sz w:val="18"/>
          <w:szCs w:val="18"/>
          <w:color w:val="auto"/>
        </w:rPr>
        <w:t xml:space="preserve"> Except as otherwise provided in Section 7.01:</w:t>
      </w:r>
    </w:p>
    <w:p>
      <w:pPr>
        <w:spacing w:after="0" w:line="225" w:lineRule="exact"/>
        <w:rPr>
          <w:sz w:val="20"/>
          <w:szCs w:val="20"/>
          <w:color w:val="auto"/>
        </w:rPr>
      </w:pPr>
    </w:p>
    <w:p>
      <w:pPr>
        <w:ind w:right="20" w:firstLine="656"/>
        <w:spacing w:after="0" w:line="264" w:lineRule="auto"/>
        <w:tabs>
          <w:tab w:leader="none" w:pos="115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upon any resolution, certificate, statement, instrument, opinion, report, notice, request, consent, order, bond, note, coupon or other paper or document (whether in its original or facsimile form) believed by it in good faith to be genuine and to have been signed or presented by the proper party or parties;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56"/>
        <w:spacing w:after="0" w:line="264" w:lineRule="auto"/>
        <w:tabs>
          <w:tab w:leader="none" w:pos="11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81" w:lineRule="exact"/>
        <w:rPr>
          <w:rFonts w:ascii="Arial" w:cs="Arial" w:eastAsia="Arial" w:hAnsi="Arial"/>
          <w:sz w:val="18"/>
          <w:szCs w:val="18"/>
          <w:color w:val="auto"/>
        </w:rPr>
      </w:pPr>
    </w:p>
    <w:p>
      <w:pPr>
        <w:ind w:right="200" w:firstLine="656"/>
        <w:spacing w:after="0" w:line="264" w:lineRule="auto"/>
        <w:tabs>
          <w:tab w:leader="none" w:pos="11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may consult with counsel of its selection and require an Opinion of Counsel and any written or verbal advice of such counsel or Opinion of Counsel shall be full and complete authorization and protection in respect of any action taken or omitted by it hereunder in good faith and in accordance with such advice or Opinion of Counsel;</w:t>
      </w:r>
    </w:p>
    <w:p>
      <w:pPr>
        <w:spacing w:after="0" w:line="181" w:lineRule="exact"/>
        <w:rPr>
          <w:rFonts w:ascii="Arial" w:cs="Arial" w:eastAsia="Arial" w:hAnsi="Arial"/>
          <w:sz w:val="18"/>
          <w:szCs w:val="18"/>
          <w:color w:val="auto"/>
        </w:rPr>
      </w:pPr>
    </w:p>
    <w:p>
      <w:pPr>
        <w:ind w:firstLine="656"/>
        <w:spacing w:after="0" w:line="257" w:lineRule="auto"/>
        <w:tabs>
          <w:tab w:leader="none" w:pos="11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spacing w:after="0" w:line="188" w:lineRule="exact"/>
        <w:rPr>
          <w:rFonts w:ascii="Arial" w:cs="Arial" w:eastAsia="Arial" w:hAnsi="Arial"/>
          <w:sz w:val="18"/>
          <w:szCs w:val="18"/>
          <w:color w:val="auto"/>
        </w:rPr>
      </w:pPr>
    </w:p>
    <w:p>
      <w:pPr>
        <w:ind w:right="200" w:firstLine="656"/>
        <w:spacing w:after="0" w:line="264" w:lineRule="auto"/>
        <w:tabs>
          <w:tab w:leader="none" w:pos="117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w:t>
      </w:r>
    </w:p>
    <w:p>
      <w:pPr>
        <w:spacing w:after="0" w:line="181" w:lineRule="exact"/>
        <w:rPr>
          <w:rFonts w:ascii="Arial" w:cs="Arial" w:eastAsia="Arial" w:hAnsi="Arial"/>
          <w:sz w:val="18"/>
          <w:szCs w:val="18"/>
          <w:color w:val="auto"/>
        </w:rPr>
      </w:pPr>
    </w:p>
    <w:p>
      <w:pPr>
        <w:ind w:left="1180" w:hanging="524"/>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225" w:lineRule="exact"/>
        <w:rPr>
          <w:rFonts w:ascii="Arial" w:cs="Arial" w:eastAsia="Arial" w:hAnsi="Arial"/>
          <w:sz w:val="18"/>
          <w:szCs w:val="18"/>
          <w:color w:val="auto"/>
        </w:rPr>
      </w:pPr>
    </w:p>
    <w:p>
      <w:pPr>
        <w:ind w:left="1200" w:hanging="544"/>
        <w:spacing w:after="0"/>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performance of its powers and duties hereunder; and</w:t>
      </w:r>
    </w:p>
    <w:p>
      <w:pPr>
        <w:spacing w:after="0" w:line="236" w:lineRule="exact"/>
        <w:rPr>
          <w:rFonts w:ascii="Arial" w:cs="Arial" w:eastAsia="Arial" w:hAnsi="Arial"/>
          <w:sz w:val="17"/>
          <w:szCs w:val="17"/>
          <w:color w:val="auto"/>
        </w:rPr>
      </w:pPr>
    </w:p>
    <w:p>
      <w:pPr>
        <w:ind w:right="380" w:firstLine="656"/>
        <w:spacing w:after="0" w:line="277" w:lineRule="auto"/>
        <w:tabs>
          <w:tab w:leader="none" w:pos="11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7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no event shall the Trustee be liable for any consequential, punitive, special or indirect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the Trustee by the Company or by any Holder of the Notes at the Corporate Trust Office and such notice references the Notes and/or this Indenture.</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Section 7.03</w:t>
      </w:r>
      <w:r>
        <w:rPr>
          <w:rFonts w:ascii="Arial" w:cs="Arial" w:eastAsia="Arial" w:hAnsi="Arial"/>
          <w:sz w:val="18"/>
          <w:szCs w:val="18"/>
          <w:i w:val="1"/>
          <w:iCs w:val="1"/>
          <w:color w:val="auto"/>
        </w:rPr>
        <w:t>. No Responsibility for Recitals, Etc.</w:t>
      </w:r>
      <w:r>
        <w:rPr>
          <w:rFonts w:ascii="Arial" w:cs="Arial" w:eastAsia="Arial" w:hAnsi="Arial"/>
          <w:sz w:val="18"/>
          <w:szCs w:val="18"/>
          <w:color w:val="auto"/>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Notes. The Trustee shall not be accountable for the use or application by the Company of any Notes or the proceeds of any Notes authenticated and delivered by the Trustee in conformity with the provisions of this Indenture or any money paid to the Company or upon the Company’s direction under any provision of the Indenture.</w:t>
      </w:r>
    </w:p>
    <w:p>
      <w:pPr>
        <w:spacing w:after="0" w:line="181"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Section 7.04</w:t>
      </w:r>
      <w:r>
        <w:rPr>
          <w:rFonts w:ascii="Arial" w:cs="Arial" w:eastAsia="Arial" w:hAnsi="Arial"/>
          <w:sz w:val="18"/>
          <w:szCs w:val="18"/>
          <w:i w:val="1"/>
          <w:iCs w:val="1"/>
          <w:color w:val="auto"/>
        </w:rPr>
        <w:t>. Trustee, Paying Agents, Conversion Agents, Bid Solicitation Agent or Note Registrar May Own Notes.</w:t>
      </w:r>
      <w:r>
        <w:rPr>
          <w:rFonts w:ascii="Arial" w:cs="Arial" w:eastAsia="Arial" w:hAnsi="Arial"/>
          <w:sz w:val="18"/>
          <w:szCs w:val="18"/>
          <w:color w:val="auto"/>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Section 7.05</w:t>
      </w:r>
      <w:r>
        <w:rPr>
          <w:rFonts w:ascii="Arial" w:cs="Arial" w:eastAsia="Arial" w:hAnsi="Arial"/>
          <w:sz w:val="16"/>
          <w:szCs w:val="16"/>
          <w:i w:val="1"/>
          <w:iCs w:val="1"/>
          <w:color w:val="auto"/>
        </w:rPr>
        <w:t>. Monies and Shares of Common Stock to Be Held in Trust.</w:t>
      </w:r>
      <w:r>
        <w:rPr>
          <w:rFonts w:ascii="Arial" w:cs="Arial" w:eastAsia="Arial" w:hAnsi="Arial"/>
          <w:sz w:val="16"/>
          <w:szCs w:val="16"/>
          <w:color w:val="auto"/>
        </w:rPr>
        <w:t xml:space="preserve"> All monies and any shares of Common Stock received by the Trustee shall, until used or applied as herein provided, be held in trust for the purposes for which they were received. Money and shares of Common Stock held by the Trustee in trust hereunder need not be segregated from other funds or property except to the extent required by law. The Trustee shall be under no liability for interest on any money or shares of Common Stock received by it hereunder except as may be agreed from time to time by the Company and the Trustee.</w:t>
      </w:r>
    </w:p>
    <w:p>
      <w:pPr>
        <w:spacing w:after="0" w:line="154"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Section 7.06</w:t>
      </w:r>
      <w:r>
        <w:rPr>
          <w:rFonts w:ascii="Arial" w:cs="Arial" w:eastAsia="Arial" w:hAnsi="Arial"/>
          <w:sz w:val="16"/>
          <w:szCs w:val="16"/>
          <w:i w:val="1"/>
          <w:iCs w:val="1"/>
          <w:color w:val="auto"/>
        </w:rPr>
        <w:t>. Compensation and Expenses of Trustee.</w:t>
      </w:r>
      <w:r>
        <w:rPr>
          <w:rFonts w:ascii="Arial" w:cs="Arial" w:eastAsia="Arial" w:hAnsi="Arial"/>
          <w:sz w:val="16"/>
          <w:szCs w:val="16"/>
          <w:color w:val="auto"/>
        </w:rPr>
        <w:t xml:space="preserve"> The Company covenants and agrees to pay to the Trustee, in any capacity under this Indenture, from time to time, and the Trustee shall receive such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as determined by a final, non-appealable decision of a court of competent jurisdiction. The Company also covenants to indemnify the Trustee in any capacity under this Indenture and any other document or transaction entered into in connection herewith and its officers, directors, employees and agents and any authenticating agent for, and to hold them harmless against, any loss, claim (whether asserted by the Company, a Holder or any Person), damage, liability or expense incurred without gross negligence or willful misconduct on the part of the</w:t>
      </w:r>
    </w:p>
    <w:p>
      <w:pPr>
        <w:sectPr>
          <w:pgSz w:w="11900" w:h="16930" w:orient="portrait"/>
          <w:cols w:equalWidth="0" w:num="1">
            <w:col w:w="11420"/>
          </w:cols>
          <w:pgMar w:left="240" w:top="125" w:right="239" w:bottom="0" w:gutter="0" w:footer="0" w:header="0"/>
        </w:sectPr>
      </w:pPr>
    </w:p>
    <w:bookmarkStart w:id="28" w:name="page29"/>
    <w:bookmarkEnd w:id="28"/>
    <w:p>
      <w:pPr>
        <w:spacing w:after="0" w:line="137"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color w:val="auto"/>
        </w:rPr>
        <w:t>Trustee, its officers, directors, agents or employees, or such agent or authenticating agent, as the case may be, as determined by a final, non-appealable decision of a court of competent jurisdiction, and arising out of or in connection with the acceptance or administration of this Indenture or in any other capacity hereunder, including the costs and expenses of defending themselves against any claim of liability in the premises or the enforcement of this Section 7.06.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5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w:t>
      </w:r>
    </w:p>
    <w:p>
      <w:pPr>
        <w:spacing w:after="0" w:line="16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Section 7.07</w:t>
      </w:r>
      <w:r>
        <w:rPr>
          <w:rFonts w:ascii="Arial" w:cs="Arial" w:eastAsia="Arial" w:hAnsi="Arial"/>
          <w:sz w:val="18"/>
          <w:szCs w:val="18"/>
          <w:i w:val="1"/>
          <w:iCs w:val="1"/>
          <w:color w:val="auto"/>
        </w:rPr>
        <w:t>. Officer’s Certificate as Evidence.</w:t>
      </w:r>
      <w:r>
        <w:rPr>
          <w:rFonts w:ascii="Arial" w:cs="Arial" w:eastAsia="Arial" w:hAnsi="Arial"/>
          <w:sz w:val="18"/>
          <w:szCs w:val="18"/>
          <w:color w:val="auto"/>
        </w:rPr>
        <w:t xml:space="preserv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or willful misconduct on the part of the Trustee, shall be full warrant to the Trustee for any action taken or omitted by it under the provisions of this Indenture upon the faith thereof.</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7.08</w:t>
      </w:r>
      <w:r>
        <w:rPr>
          <w:rFonts w:ascii="Arial" w:cs="Arial" w:eastAsia="Arial" w:hAnsi="Arial"/>
          <w:sz w:val="17"/>
          <w:szCs w:val="17"/>
          <w:i w:val="1"/>
          <w:iCs w:val="1"/>
          <w:color w:val="auto"/>
        </w:rPr>
        <w:t>. Eligibility of Trustee.</w:t>
      </w:r>
      <w:r>
        <w:rPr>
          <w:rFonts w:ascii="Arial" w:cs="Arial" w:eastAsia="Arial" w:hAnsi="Arial"/>
          <w:sz w:val="17"/>
          <w:szCs w:val="17"/>
          <w:color w:val="auto"/>
        </w:rPr>
        <w:t xml:space="preserve"> There shall at all times be a Trustee hereunder which shall be a Person that is eligible pursuant to the Trust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Indenture Act (as if, for this purpose, the Trust Indenture Act were applicable hereto) to act as such and has a combined capital and surplus of at least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$50,000,000. If such Person publishes reports of condition at least annually, pursuant to law or to the requirements of any supervising or examining authority,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then for the purposes of this Section, the combined capital and surplus of such Person shall be deemed to be its combined capital and surplus as set forth in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most recent report of condition so published. If at any time the Trustee shall cease to be eligible in accordance with the provisions of this Section, it shall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resign immediately in the manner and with the effect hereinafter specified in this Article.</w:t>
      </w:r>
    </w:p>
    <w:p>
      <w:pPr>
        <w:spacing w:after="0" w:line="21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Section 7.09</w:t>
      </w:r>
      <w:r>
        <w:rPr>
          <w:rFonts w:ascii="Arial" w:cs="Arial" w:eastAsia="Arial" w:hAnsi="Arial"/>
          <w:sz w:val="16"/>
          <w:szCs w:val="16"/>
          <w:i w:val="1"/>
          <w:iCs w:val="1"/>
          <w:color w:val="auto"/>
        </w:rPr>
        <w:t>. Resignation or Removal of Trustee.</w:t>
      </w:r>
      <w:r>
        <w:rPr>
          <w:rFonts w:ascii="Arial" w:cs="Arial" w:eastAsia="Arial" w:hAnsi="Arial"/>
          <w:sz w:val="16"/>
          <w:szCs w:val="16"/>
          <w:color w:val="auto"/>
        </w:rPr>
        <w:t xml:space="preserve"> (a)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and at the expense of the Company, petition any court of competent jurisdiction for the appointment of a successor trustee, or any Holder who has been a bona fide holder of a Note or Notes for at least six months (or since the date of this Indenture) may, subject to the provisions of Section 6.11, 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behalf of himself or herself and all others similarly situated, petition any such court for the appointment of a successor trustee. Such court may thereupon, after such notice, if any, as it may deem proper and prescribe, appoint a successor trustee.</w:t>
      </w:r>
    </w:p>
    <w:p>
      <w:pPr>
        <w:spacing w:after="0" w:line="170" w:lineRule="exact"/>
        <w:rPr>
          <w:sz w:val="20"/>
          <w:szCs w:val="20"/>
          <w:color w:val="auto"/>
        </w:rPr>
      </w:pPr>
    </w:p>
    <w:p>
      <w:pPr>
        <w:ind w:left="1180" w:hanging="524"/>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225" w:lineRule="exact"/>
        <w:rPr>
          <w:rFonts w:ascii="Arial" w:cs="Arial" w:eastAsia="Arial" w:hAnsi="Arial"/>
          <w:sz w:val="18"/>
          <w:szCs w:val="18"/>
          <w:color w:val="auto"/>
        </w:rPr>
      </w:pPr>
    </w:p>
    <w:p>
      <w:pPr>
        <w:ind w:left="660" w:right="100" w:firstLine="645"/>
        <w:spacing w:after="0" w:line="277" w:lineRule="auto"/>
        <w:tabs>
          <w:tab w:leader="none" w:pos="1978"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7.08 and shall fail to resign after written request therefor by the Company or by any such Holder, or</w:t>
      </w:r>
    </w:p>
    <w:p>
      <w:pPr>
        <w:spacing w:after="0" w:line="170" w:lineRule="exact"/>
        <w:rPr>
          <w:rFonts w:ascii="Arial" w:cs="Arial" w:eastAsia="Arial" w:hAnsi="Arial"/>
          <w:sz w:val="18"/>
          <w:szCs w:val="18"/>
          <w:color w:val="auto"/>
        </w:rPr>
      </w:pPr>
    </w:p>
    <w:p>
      <w:pPr>
        <w:ind w:left="660" w:right="340" w:firstLine="645"/>
        <w:spacing w:after="0" w:line="264" w:lineRule="auto"/>
        <w:tabs>
          <w:tab w:leader="none" w:pos="198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93" w:lineRule="exact"/>
        <w:rPr>
          <w:sz w:val="20"/>
          <w:szCs w:val="20"/>
          <w:color w:val="auto"/>
        </w:rPr>
      </w:pPr>
    </w:p>
    <w:p>
      <w:pPr>
        <w:jc w:val="both"/>
        <w:ind w:right="20" w:firstLine="656"/>
        <w:spacing w:after="0" w:line="302" w:lineRule="auto"/>
        <w:tabs>
          <w:tab w:leader="none" w:pos="117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54" w:lineRule="exact"/>
        <w:rPr>
          <w:rFonts w:ascii="Arial" w:cs="Arial" w:eastAsia="Arial" w:hAnsi="Arial"/>
          <w:sz w:val="16"/>
          <w:szCs w:val="16"/>
          <w:color w:val="auto"/>
        </w:rPr>
      </w:pPr>
    </w:p>
    <w:p>
      <w:pPr>
        <w:ind w:right="160" w:firstLine="656"/>
        <w:spacing w:after="0" w:line="277" w:lineRule="auto"/>
        <w:tabs>
          <w:tab w:leader="none" w:pos="11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7.10</w:t>
      </w:r>
      <w:r>
        <w:rPr>
          <w:rFonts w:ascii="Arial" w:cs="Arial" w:eastAsia="Arial" w:hAnsi="Arial"/>
          <w:sz w:val="16"/>
          <w:szCs w:val="16"/>
          <w:i w:val="1"/>
          <w:iCs w:val="1"/>
          <w:color w:val="auto"/>
        </w:rPr>
        <w:t>. Acceptance by Successor Trustee.</w:t>
      </w:r>
      <w:r>
        <w:rPr>
          <w:rFonts w:ascii="Arial" w:cs="Arial" w:eastAsia="Arial" w:hAnsi="Arial"/>
          <w:sz w:val="16"/>
          <w:szCs w:val="16"/>
          <w:color w:val="auto"/>
        </w:rPr>
        <w:t xml:space="preserve"> Any successor trustee appointed as provided in Section 7.09 shall execute, acknowledge and deliver to the Company and to its predecessor trustee an instrument accepting such appointment hereunder, and thereupon the resignation or removal of the</w:t>
      </w:r>
    </w:p>
    <w:p>
      <w:pPr>
        <w:sectPr>
          <w:pgSz w:w="11900" w:h="16975" w:orient="portrait"/>
          <w:cols w:equalWidth="0" w:num="1">
            <w:col w:w="11420"/>
          </w:cols>
          <w:pgMar w:left="240" w:top="125" w:right="239" w:bottom="0" w:gutter="0" w:footer="0" w:header="0"/>
        </w:sectPr>
      </w:pPr>
    </w:p>
    <w:bookmarkStart w:id="29" w:name="page30"/>
    <w:bookmarkEnd w:id="29"/>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predecessor trustee shall become effective and such successor trustee, without any further act, deed or conveyance, shall become vested with all the rights,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powers, duties and obligations of its predecessor hereunder, with like effect as if originally named as Trustee herein; but, nevertheless, on the written request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Company or of the successor trustee, the trustee ceasing to act shall, upon payment of any amounts then due it pursuant to the provisions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7.06, execute and deliver an instrument transferring to such successor trustee all the rights and powers of the trustee so ceasing to act. Upon request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spacing w:after="0" w:line="187"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Section 7.11</w:t>
      </w:r>
      <w:r>
        <w:rPr>
          <w:rFonts w:ascii="Arial" w:cs="Arial" w:eastAsia="Arial" w:hAnsi="Arial"/>
          <w:sz w:val="18"/>
          <w:szCs w:val="18"/>
          <w:i w:val="1"/>
          <w:iCs w:val="1"/>
          <w:color w:val="auto"/>
        </w:rPr>
        <w:t>. Succession by Merger, Etc.</w:t>
      </w:r>
      <w:r>
        <w:rPr>
          <w:rFonts w:ascii="Arial" w:cs="Arial" w:eastAsia="Arial" w:hAnsi="Arial"/>
          <w:sz w:val="18"/>
          <w:szCs w:val="18"/>
          <w:color w:val="auto"/>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corporation or other entity succeeding to all or substantially all of the corporate trust business of the Trustee such corporation or other entity shall be eligible under the provisions of Section 7.08.</w:t>
      </w:r>
    </w:p>
    <w:p>
      <w:pPr>
        <w:spacing w:after="0" w:line="19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6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Section 7.12</w:t>
      </w:r>
      <w:r>
        <w:rPr>
          <w:rFonts w:ascii="Arial" w:cs="Arial" w:eastAsia="Arial" w:hAnsi="Arial"/>
          <w:sz w:val="17"/>
          <w:szCs w:val="17"/>
          <w:i w:val="1"/>
          <w:iCs w:val="1"/>
          <w:color w:val="auto"/>
        </w:rPr>
        <w:t>. Trustee’s Application for Instructions from the Company.</w:t>
      </w:r>
      <w:r>
        <w:rPr>
          <w:rFonts w:ascii="Arial" w:cs="Arial" w:eastAsia="Arial" w:hAnsi="Arial"/>
          <w:sz w:val="17"/>
          <w:szCs w:val="17"/>
          <w:color w:val="auto"/>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CONCERNING THE HOLDERS</w:t>
      </w:r>
    </w:p>
    <w:p>
      <w:pPr>
        <w:spacing w:after="0" w:line="211"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Action by Holders</w:t>
      </w:r>
      <w:r>
        <w:rPr>
          <w:rFonts w:ascii="Arial" w:cs="Arial" w:eastAsia="Arial" w:hAnsi="Arial"/>
          <w:sz w:val="18"/>
          <w:szCs w:val="18"/>
          <w:color w:val="auto"/>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fix, but shall not be required to,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Section 8.02</w:t>
      </w:r>
      <w:r>
        <w:rPr>
          <w:rFonts w:ascii="Arial" w:cs="Arial" w:eastAsia="Arial" w:hAnsi="Arial"/>
          <w:sz w:val="17"/>
          <w:szCs w:val="17"/>
          <w:i w:val="1"/>
          <w:iCs w:val="1"/>
          <w:color w:val="auto"/>
        </w:rPr>
        <w:t>. Proof of Execution by Holders.</w:t>
      </w:r>
      <w:r>
        <w:rPr>
          <w:rFonts w:ascii="Arial" w:cs="Arial" w:eastAsia="Arial" w:hAnsi="Arial"/>
          <w:sz w:val="17"/>
          <w:szCs w:val="17"/>
          <w:color w:val="auto"/>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71"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Section 8.03</w:t>
      </w:r>
      <w:r>
        <w:rPr>
          <w:rFonts w:ascii="Arial" w:cs="Arial" w:eastAsia="Arial" w:hAnsi="Arial"/>
          <w:sz w:val="16"/>
          <w:szCs w:val="16"/>
          <w:i w:val="1"/>
          <w:iCs w:val="1"/>
          <w:color w:val="auto"/>
        </w:rPr>
        <w:t>. Who Are Deemed Absolute Owners.</w:t>
      </w:r>
      <w:r>
        <w:rPr>
          <w:rFonts w:ascii="Arial" w:cs="Arial" w:eastAsia="Arial" w:hAnsi="Arial"/>
          <w:sz w:val="16"/>
          <w:szCs w:val="16"/>
          <w:color w:val="auto"/>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Section 2.03) accrued and unpaid interest on such Note, for conversion of such Note and for all</w:t>
      </w:r>
    </w:p>
    <w:p>
      <w:pPr>
        <w:sectPr>
          <w:pgSz w:w="11900" w:h="16941" w:orient="portrait"/>
          <w:cols w:equalWidth="0" w:num="1">
            <w:col w:w="11420"/>
          </w:cols>
          <w:pgMar w:left="240" w:top="125" w:right="239" w:bottom="0" w:gutter="0" w:footer="0" w:header="0"/>
        </w:sectPr>
      </w:pPr>
    </w:p>
    <w:bookmarkStart w:id="30" w:name="page31"/>
    <w:bookmarkEnd w:id="30"/>
    <w:p>
      <w:pPr>
        <w:spacing w:after="0" w:line="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other purposes under this Indenture; and neither the Company nor the Trustee nor any Paying Agent nor any Conversion Agent nor any Note Registrar shall be affected by any notice to the contrary. The sole registered holder of a Global Note shall be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owner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5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Section 8.04</w:t>
      </w:r>
      <w:r>
        <w:rPr>
          <w:rFonts w:ascii="Arial" w:cs="Arial" w:eastAsia="Arial" w:hAnsi="Arial"/>
          <w:sz w:val="17"/>
          <w:szCs w:val="17"/>
          <w:i w:val="1"/>
          <w:iCs w:val="1"/>
          <w:color w:val="auto"/>
        </w:rPr>
        <w:t>. Company-Owned Notes Disregarded.</w:t>
      </w:r>
      <w:r>
        <w:rPr>
          <w:rFonts w:ascii="Arial" w:cs="Arial" w:eastAsia="Arial" w:hAnsi="Arial"/>
          <w:sz w:val="17"/>
          <w:szCs w:val="17"/>
          <w:color w:val="auto"/>
        </w:rPr>
        <w:t xml:space="preserve"> In determining whether the Holders of the requisite aggregate principal amount of Notes have concurred in any direction, consent, waiver or other action under this Indenture, Notes that are owned by the Company, by any Subsidiary thereof or by any Person directly or indirectly controlling or controlled by or under direct or indirect common control with the Company or any Subsidiary thereof shall be disregarded and deemed not to be outstanding for the purpose of any such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 Person directly or indirectly controlling or controlled by or under direct or indirect common control with the Company or a Subsidiary thereof. In the case of a dispute as to such right, any decision or indecision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Section 8.05</w:t>
      </w:r>
      <w:r>
        <w:rPr>
          <w:rFonts w:ascii="Arial" w:cs="Arial" w:eastAsia="Arial" w:hAnsi="Arial"/>
          <w:sz w:val="16"/>
          <w:szCs w:val="16"/>
          <w:i w:val="1"/>
          <w:iCs w:val="1"/>
          <w:color w:val="auto"/>
        </w:rPr>
        <w:t>. Revocation of Consents; Future Holders Bound.</w:t>
      </w:r>
      <w:r>
        <w:rPr>
          <w:rFonts w:ascii="Arial" w:cs="Arial" w:eastAsia="Arial" w:hAnsi="Arial"/>
          <w:sz w:val="16"/>
          <w:szCs w:val="16"/>
          <w:color w:val="auto"/>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HOLDERS’ MEETINGS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Section 9.01</w:t>
      </w:r>
      <w:r>
        <w:rPr>
          <w:rFonts w:ascii="Arial" w:cs="Arial" w:eastAsia="Arial" w:hAnsi="Arial"/>
          <w:sz w:val="17"/>
          <w:szCs w:val="17"/>
          <w:i w:val="1"/>
          <w:iCs w:val="1"/>
          <w:color w:val="auto"/>
        </w:rPr>
        <w:t>. Purpose of Meetings.</w:t>
      </w:r>
      <w:r>
        <w:rPr>
          <w:rFonts w:ascii="Arial" w:cs="Arial" w:eastAsia="Arial" w:hAnsi="Arial"/>
          <w:sz w:val="17"/>
          <w:szCs w:val="17"/>
          <w:color w:val="auto"/>
        </w:rPr>
        <w:t xml:space="preserve"> A meeting of Holders may be called at any time and from time to time pursuant to the provisions of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9 for any of the following purposes:</w:t>
      </w:r>
    </w:p>
    <w:p>
      <w:pPr>
        <w:spacing w:after="0" w:line="211" w:lineRule="exact"/>
        <w:rPr>
          <w:sz w:val="20"/>
          <w:szCs w:val="20"/>
          <w:color w:val="auto"/>
        </w:rPr>
      </w:pPr>
    </w:p>
    <w:p>
      <w:pPr>
        <w:ind w:right="20" w:firstLine="656"/>
        <w:spacing w:after="0" w:line="264" w:lineRule="auto"/>
        <w:tabs>
          <w:tab w:leader="none" w:pos="11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w:t>
      </w:r>
    </w:p>
    <w:p>
      <w:pPr>
        <w:spacing w:after="0" w:line="181" w:lineRule="exact"/>
        <w:rPr>
          <w:rFonts w:ascii="Arial" w:cs="Arial" w:eastAsia="Arial" w:hAnsi="Arial"/>
          <w:sz w:val="18"/>
          <w:szCs w:val="18"/>
          <w:color w:val="auto"/>
        </w:rPr>
      </w:pPr>
    </w:p>
    <w:p>
      <w:pPr>
        <w:ind w:left="1180" w:hanging="52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remove the Trustee and nominate a successor trustee pursuant to the provisions of Article 7;</w:t>
      </w:r>
    </w:p>
    <w:p>
      <w:pPr>
        <w:spacing w:after="0" w:line="225" w:lineRule="exact"/>
        <w:rPr>
          <w:rFonts w:ascii="Arial" w:cs="Arial" w:eastAsia="Arial" w:hAnsi="Arial"/>
          <w:sz w:val="18"/>
          <w:szCs w:val="18"/>
          <w:color w:val="auto"/>
        </w:rPr>
      </w:pPr>
    </w:p>
    <w:p>
      <w:pPr>
        <w:ind w:left="1180" w:hanging="52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consent to the execution of an indenture or indentures supplemental hereto pursuant to the provisions of Section 10.02; or</w:t>
      </w:r>
    </w:p>
    <w:p>
      <w:pPr>
        <w:spacing w:after="0" w:line="225" w:lineRule="exact"/>
        <w:rPr>
          <w:rFonts w:ascii="Arial" w:cs="Arial" w:eastAsia="Arial" w:hAnsi="Arial"/>
          <w:sz w:val="18"/>
          <w:szCs w:val="18"/>
          <w:color w:val="auto"/>
        </w:rPr>
      </w:pPr>
    </w:p>
    <w:p>
      <w:pPr>
        <w:ind w:right="120" w:firstLine="656"/>
        <w:spacing w:after="0" w:line="277" w:lineRule="auto"/>
        <w:tabs>
          <w:tab w:leader="none" w:pos="116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7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Section 9.02</w:t>
      </w:r>
      <w:r>
        <w:rPr>
          <w:rFonts w:ascii="Arial" w:cs="Arial" w:eastAsia="Arial" w:hAnsi="Arial"/>
          <w:sz w:val="18"/>
          <w:szCs w:val="18"/>
          <w:i w:val="1"/>
          <w:iCs w:val="1"/>
          <w:color w:val="auto"/>
        </w:rPr>
        <w:t>. Call of Meetings by Trustee.</w:t>
      </w:r>
      <w:r>
        <w:rPr>
          <w:rFonts w:ascii="Arial" w:cs="Arial" w:eastAsia="Arial" w:hAnsi="Arial"/>
          <w:sz w:val="18"/>
          <w:szCs w:val="18"/>
          <w:color w:val="auto"/>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w:t>
      </w:r>
    </w:p>
    <w:p>
      <w:pPr>
        <w:spacing w:after="0" w:line="188"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Section 9.03</w:t>
      </w:r>
      <w:r>
        <w:rPr>
          <w:rFonts w:ascii="Arial" w:cs="Arial" w:eastAsia="Arial" w:hAnsi="Arial"/>
          <w:sz w:val="17"/>
          <w:szCs w:val="17"/>
          <w:i w:val="1"/>
          <w:iCs w:val="1"/>
          <w:color w:val="auto"/>
        </w:rPr>
        <w:t>. Call of Meetings by Company or Holders.</w:t>
      </w:r>
      <w:r>
        <w:rPr>
          <w:rFonts w:ascii="Arial" w:cs="Arial" w:eastAsia="Arial" w:hAnsi="Arial"/>
          <w:sz w:val="17"/>
          <w:szCs w:val="17"/>
          <w:color w:val="auto"/>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w:t>
      </w:r>
    </w:p>
    <w:p>
      <w:pPr>
        <w:spacing w:after="0" w:line="173"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Section 9.04</w:t>
      </w:r>
      <w:r>
        <w:rPr>
          <w:rFonts w:ascii="Arial" w:cs="Arial" w:eastAsia="Arial" w:hAnsi="Arial"/>
          <w:sz w:val="17"/>
          <w:szCs w:val="17"/>
          <w:i w:val="1"/>
          <w:iCs w:val="1"/>
          <w:color w:val="auto"/>
        </w:rPr>
        <w:t>. Qualifications for Voting.</w:t>
      </w:r>
      <w:r>
        <w:rPr>
          <w:rFonts w:ascii="Arial" w:cs="Arial" w:eastAsia="Arial" w:hAnsi="Arial"/>
          <w:sz w:val="17"/>
          <w:szCs w:val="17"/>
          <w:color w:val="auto"/>
        </w:rPr>
        <w:t xml:space="preserve"> To be entitled to vote at any meeting of Holders a Person shall (a) be a Holder of one or more Notes on the record date pertaining to such meeting or (b) be a Person appointed by an instrument in writing as proxy by a Holder of one or more</w:t>
      </w:r>
    </w:p>
    <w:p>
      <w:pPr>
        <w:sectPr>
          <w:pgSz w:w="11900" w:h="16851" w:orient="portrait"/>
          <w:cols w:equalWidth="0" w:num="1">
            <w:col w:w="11420"/>
          </w:cols>
          <w:pgMar w:left="240" w:top="125" w:right="239" w:bottom="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51" w:orient="portrait"/>
          <w:cols w:equalWidth="0" w:num="1">
            <w:col w:w="11420"/>
          </w:cols>
          <w:pgMar w:left="240" w:top="125" w:right="239" w:bottom="0" w:gutter="0" w:footer="0" w:header="0"/>
          <w:type w:val="continuous"/>
        </w:sectPr>
      </w:pPr>
    </w:p>
    <w:bookmarkStart w:id="31" w:name="page32"/>
    <w:bookmarkEnd w:id="31"/>
    <w:p>
      <w:pPr>
        <w:jc w:val="both"/>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9.05</w:t>
      </w:r>
      <w:r>
        <w:rPr>
          <w:rFonts w:ascii="Arial" w:cs="Arial" w:eastAsia="Arial" w:hAnsi="Arial"/>
          <w:sz w:val="18"/>
          <w:szCs w:val="18"/>
          <w:i w:val="1"/>
          <w:iCs w:val="1"/>
          <w:color w:val="auto"/>
        </w:rPr>
        <w:t>. Regulations.</w:t>
      </w:r>
      <w:r>
        <w:rPr>
          <w:rFonts w:ascii="Arial" w:cs="Arial" w:eastAsia="Arial" w:hAnsi="Arial"/>
          <w:sz w:val="18"/>
          <w:szCs w:val="18"/>
          <w:color w:val="auto"/>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spacing w:after="0" w:line="17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Subject to the provisions of Section 8.04, at any meeting of Holders each Holder or proxyholder shall be entitled to one vote for each $1,000 principal amount of Notes held or represented by him or her;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8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Section 9.06</w:t>
      </w:r>
      <w:r>
        <w:rPr>
          <w:rFonts w:ascii="Arial" w:cs="Arial" w:eastAsia="Arial" w:hAnsi="Arial"/>
          <w:sz w:val="17"/>
          <w:szCs w:val="17"/>
          <w:i w:val="1"/>
          <w:iCs w:val="1"/>
          <w:color w:val="auto"/>
        </w:rPr>
        <w:t>. Voting.</w:t>
      </w:r>
      <w:r>
        <w:rPr>
          <w:rFonts w:ascii="Arial" w:cs="Arial" w:eastAsia="Arial" w:hAnsi="Arial"/>
          <w:sz w:val="17"/>
          <w:szCs w:val="17"/>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Section 9.07</w:t>
      </w:r>
      <w:r>
        <w:rPr>
          <w:rFonts w:ascii="Arial" w:cs="Arial" w:eastAsia="Arial" w:hAnsi="Arial"/>
          <w:sz w:val="18"/>
          <w:szCs w:val="18"/>
          <w:i w:val="1"/>
          <w:iCs w:val="1"/>
          <w:color w:val="auto"/>
        </w:rPr>
        <w:t>. No Delay of Rights by Meeting.</w:t>
      </w:r>
      <w:r>
        <w:rPr>
          <w:rFonts w:ascii="Arial" w:cs="Arial" w:eastAsia="Arial" w:hAnsi="Arial"/>
          <w:sz w:val="18"/>
          <w:szCs w:val="18"/>
          <w:color w:val="auto"/>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 Nothing contained in this Article 9 shall be deemed or construed to limit any Holder’s actions pursuant to the applicable procedures of the Depositary so long as the Notes are Global Notes.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SUPPLEMENTAL INDENTURES</w:t>
      </w:r>
    </w:p>
    <w:p>
      <w:pPr>
        <w:spacing w:after="0" w:line="211"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Section 10.01</w:t>
      </w:r>
      <w:r>
        <w:rPr>
          <w:rFonts w:ascii="Arial" w:cs="Arial" w:eastAsia="Arial" w:hAnsi="Arial"/>
          <w:sz w:val="18"/>
          <w:szCs w:val="18"/>
          <w:i w:val="1"/>
          <w:iCs w:val="1"/>
          <w:color w:val="auto"/>
        </w:rPr>
        <w:t>. Supplemental Indentures Without Consent of Holders.</w:t>
      </w:r>
      <w:r>
        <w:rPr>
          <w:rFonts w:ascii="Arial" w:cs="Arial" w:eastAsia="Arial" w:hAnsi="Arial"/>
          <w:sz w:val="18"/>
          <w:szCs w:val="18"/>
          <w:color w:val="auto"/>
        </w:rPr>
        <w:t xml:space="preserve"> Without the consent of any Holder, the Company and the Trustee, at the Company’s expense, may from time to time and at any time enter into an indenture or indentures supplemental hereto for one or more of the following purposes:</w:t>
      </w:r>
    </w:p>
    <w:p>
      <w:pPr>
        <w:spacing w:after="0" w:line="181"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provide for the assumption by a Successor Company of the obligations of the Company under this Indenture pursuant to Article 11;</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add guarantees with respect to the Notes;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225" w:lineRule="exact"/>
        <w:rPr>
          <w:rFonts w:ascii="Arial" w:cs="Arial" w:eastAsia="Arial" w:hAnsi="Arial"/>
          <w:sz w:val="18"/>
          <w:szCs w:val="18"/>
          <w:color w:val="auto"/>
        </w:rPr>
      </w:pPr>
    </w:p>
    <w:p>
      <w:pPr>
        <w:ind w:right="140" w:firstLine="656"/>
        <w:spacing w:after="0" w:line="277" w:lineRule="auto"/>
        <w:tabs>
          <w:tab w:leader="none" w:pos="13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add to the covenants or Events of Default of the Company for the benefit of the Holders or surrender any right or power conferred upon the Company under this Indenture;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as determined by the Company in good faith;</w:t>
      </w:r>
    </w:p>
    <w:p>
      <w:pPr>
        <w:spacing w:after="0" w:line="225" w:lineRule="exact"/>
        <w:rPr>
          <w:rFonts w:ascii="Arial" w:cs="Arial" w:eastAsia="Arial" w:hAnsi="Arial"/>
          <w:sz w:val="18"/>
          <w:szCs w:val="18"/>
          <w:color w:val="auto"/>
        </w:rPr>
      </w:pPr>
    </w:p>
    <w:p>
      <w:pPr>
        <w:ind w:right="140" w:firstLine="656"/>
        <w:spacing w:after="0" w:line="277" w:lineRule="auto"/>
        <w:tabs>
          <w:tab w:leader="none" w:pos="13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pursuant to Section 7.09 or to facilitate the administration of the trusts by more than one trustee;</w:t>
      </w:r>
    </w:p>
    <w:p>
      <w:pPr>
        <w:spacing w:after="0" w:line="170" w:lineRule="exact"/>
        <w:rPr>
          <w:rFonts w:ascii="Arial" w:cs="Arial" w:eastAsia="Arial" w:hAnsi="Arial"/>
          <w:sz w:val="18"/>
          <w:szCs w:val="18"/>
          <w:color w:val="auto"/>
        </w:rPr>
      </w:pPr>
    </w:p>
    <w:p>
      <w:pPr>
        <w:ind w:right="620" w:firstLine="656"/>
        <w:spacing w:after="0" w:line="308" w:lineRule="auto"/>
        <w:tabs>
          <w:tab w:leader="none" w:pos="1304"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connection with any Merger Event, to provide that the Notes are convertible into Reference Property, subject to the provisions of Section 14.02, and make such related changes to the terms of the Notes to the extent expressly required by Section 14.07;</w:t>
      </w:r>
    </w:p>
    <w:p>
      <w:pPr>
        <w:spacing w:after="0" w:line="146" w:lineRule="exact"/>
        <w:rPr>
          <w:rFonts w:ascii="Arial" w:cs="Arial" w:eastAsia="Arial" w:hAnsi="Arial"/>
          <w:sz w:val="17"/>
          <w:szCs w:val="17"/>
          <w:color w:val="auto"/>
        </w:rPr>
      </w:pPr>
    </w:p>
    <w:p>
      <w:pPr>
        <w:ind w:left="1320" w:hanging="664"/>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comply with the rules of the Depositary in a manner that does not adversely affect the rights of any Holder; and</w:t>
      </w:r>
    </w:p>
    <w:p>
      <w:pPr>
        <w:sectPr>
          <w:pgSz w:w="11900" w:h="16838" w:orient="portrait"/>
          <w:cols w:equalWidth="0" w:num="1">
            <w:col w:w="11400"/>
          </w:cols>
          <w:pgMar w:left="240" w:top="733" w:right="259" w:bottom="0" w:gutter="0" w:footer="0" w:header="0"/>
        </w:sectPr>
      </w:pPr>
    </w:p>
    <w:bookmarkStart w:id="32" w:name="page33"/>
    <w:bookmarkEnd w:id="32"/>
    <w:p>
      <w:pPr>
        <w:ind w:left="1320" w:hanging="664"/>
        <w:spacing w:after="0"/>
        <w:tabs>
          <w:tab w:leader="none" w:pos="1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conform the provisions of this Indenture or the Notes to the “Description of Notes” section of the Offering Memorandum.</w:t>
      </w:r>
    </w:p>
    <w:p>
      <w:pPr>
        <w:spacing w:after="0" w:line="22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Upon the written request of the Company, the Trustee is hereby authorized to, and shall join with the Company in the execution of any such supplemental indenture, to make any further appropriate agreements and stipulations that may be therein contained, except that the Trustee shall not be obligated to, but may in its discretion, enter into any supplemental indenture that affects the Trustee’s own rights, duties, liabilities or immunities under this Indenture or otherwise.</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Section 10.02</w:t>
      </w:r>
      <w:r>
        <w:rPr>
          <w:rFonts w:ascii="Arial" w:cs="Arial" w:eastAsia="Arial" w:hAnsi="Arial"/>
          <w:sz w:val="16"/>
          <w:szCs w:val="16"/>
          <w:i w:val="1"/>
          <w:iCs w:val="1"/>
          <w:color w:val="auto"/>
        </w:rPr>
        <w:t>. Supplemental Indentures with Consent of Holders.</w:t>
      </w:r>
      <w:r>
        <w:rPr>
          <w:rFonts w:ascii="Arial" w:cs="Arial" w:eastAsia="Arial" w:hAnsi="Arial"/>
          <w:sz w:val="16"/>
          <w:szCs w:val="16"/>
          <w:color w:val="auto"/>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the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without the consent of each Holder of an outstanding Note affected, no such supplemental indenture shall:</w:t>
      </w:r>
    </w:p>
    <w:p>
      <w:pPr>
        <w:spacing w:after="0" w:line="165"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rate of or extend the stated time for payment of interest on any Note;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 the principal of or extend the Maturity Date of any Note;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that adversely affects the conversion rights of any Notes other than as required by this Indenture;</w:t>
      </w:r>
    </w:p>
    <w:p>
      <w:pPr>
        <w:spacing w:after="0" w:line="225" w:lineRule="exact"/>
        <w:rPr>
          <w:rFonts w:ascii="Arial" w:cs="Arial" w:eastAsia="Arial" w:hAnsi="Arial"/>
          <w:sz w:val="18"/>
          <w:szCs w:val="18"/>
          <w:color w:val="auto"/>
        </w:rPr>
      </w:pPr>
    </w:p>
    <w:p>
      <w:pPr>
        <w:ind w:right="40" w:firstLine="656"/>
        <w:spacing w:after="0" w:line="342" w:lineRule="auto"/>
        <w:tabs>
          <w:tab w:leader="none" w:pos="1307"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reduce the Redemption Price or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Note payable in a currency, or at a place of payment, other than that stated in the Note;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right="260" w:firstLine="656"/>
        <w:spacing w:after="0" w:line="277" w:lineRule="auto"/>
        <w:tabs>
          <w:tab w:leader="none" w:pos="13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and interest on such Holder’s Notes on or after the due dates therefor or to institute suit for the enforcement of any payment on or with respect to such Holder’s Note;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20" w:hanging="664"/>
        <w:spacing w:after="0"/>
        <w:tabs>
          <w:tab w:leader="none" w:pos="1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make any change in this Article 10 that requires each Holder’s consent or in the waiver provisions in Section 6.02 or Section 6.09.</w:t>
      </w:r>
    </w:p>
    <w:p>
      <w:pPr>
        <w:spacing w:after="0" w:line="237"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liabilities or immunities under this Indenture or otherwise, in which case the Trustee may in its discretion, but shall not be obligated to, enter into such supplemental indenture.</w:t>
      </w:r>
    </w:p>
    <w:p>
      <w:pPr>
        <w:spacing w:after="0" w:line="187"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(with a copy to the Trustee) a notice briefly describing such supplemental indenture. However, the failure to give such notice to all the Holders, or any defect in the notice, will not impair or affect the validity of the supplemental indenture.</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Section 10.03</w:t>
      </w:r>
      <w:r>
        <w:rPr>
          <w:rFonts w:ascii="Arial" w:cs="Arial" w:eastAsia="Arial" w:hAnsi="Arial"/>
          <w:sz w:val="18"/>
          <w:szCs w:val="18"/>
          <w:i w:val="1"/>
          <w:iCs w:val="1"/>
          <w:color w:val="auto"/>
        </w:rPr>
        <w:t>. Effect of Supplemental Indentures.</w:t>
      </w:r>
      <w:r>
        <w:rPr>
          <w:rFonts w:ascii="Arial" w:cs="Arial" w:eastAsia="Arial" w:hAnsi="Arial"/>
          <w:sz w:val="18"/>
          <w:szCs w:val="18"/>
          <w:color w:val="auto"/>
        </w:rPr>
        <w:t xml:space="preserve">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Section 10.04</w:t>
      </w:r>
      <w:r>
        <w:rPr>
          <w:rFonts w:ascii="Arial" w:cs="Arial" w:eastAsia="Arial" w:hAnsi="Arial"/>
          <w:sz w:val="17"/>
          <w:szCs w:val="17"/>
          <w:i w:val="1"/>
          <w:iCs w:val="1"/>
          <w:color w:val="auto"/>
        </w:rPr>
        <w:t>. Notation on Notes.</w:t>
      </w:r>
      <w:r>
        <w:rPr>
          <w:rFonts w:ascii="Arial" w:cs="Arial" w:eastAsia="Arial" w:hAnsi="Arial"/>
          <w:sz w:val="17"/>
          <w:szCs w:val="17"/>
          <w:color w:val="auto"/>
        </w:rPr>
        <w:t xml:space="preserve"> Notes authenticated and delivered after the execution of any supplemental indenture pursuant to the provisions of this Article 10 may, at the Company’s request and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10.05</w:t>
      </w:r>
      <w:r>
        <w:rPr>
          <w:rFonts w:ascii="Arial" w:cs="Arial" w:eastAsia="Arial" w:hAnsi="Arial"/>
          <w:sz w:val="18"/>
          <w:szCs w:val="18"/>
          <w:i w:val="1"/>
          <w:iCs w:val="1"/>
          <w:color w:val="auto"/>
        </w:rPr>
        <w:t>. Evidence of Compliance of Supplemental Indenture to Be Furnished Trustee.</w:t>
      </w:r>
      <w:r>
        <w:rPr>
          <w:rFonts w:ascii="Arial" w:cs="Arial" w:eastAsia="Arial" w:hAnsi="Arial"/>
          <w:sz w:val="18"/>
          <w:szCs w:val="18"/>
          <w:color w:val="auto"/>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and that the supplemental indenture constitutes the legal, valid and binding obligation of the Company enforceable in accordance with its terms.</w:t>
      </w:r>
    </w:p>
    <w:p>
      <w:pPr>
        <w:sectPr>
          <w:pgSz w:w="11900" w:h="16838" w:orient="portrait"/>
          <w:cols w:equalWidth="0" w:num="1">
            <w:col w:w="11420"/>
          </w:cols>
          <w:pgMar w:left="240" w:top="125" w:right="239" w:bottom="55"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CONSOLIDATION, MERGER, SALE, CONVEYANCE AND LEASE</w:t>
      </w:r>
    </w:p>
    <w:p>
      <w:pPr>
        <w:spacing w:after="0" w:line="21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Section 11.01</w:t>
      </w:r>
      <w:r>
        <w:rPr>
          <w:rFonts w:ascii="Arial" w:cs="Arial" w:eastAsia="Arial" w:hAnsi="Arial"/>
          <w:sz w:val="18"/>
          <w:szCs w:val="18"/>
          <w:i w:val="1"/>
          <w:iCs w:val="1"/>
          <w:color w:val="auto"/>
        </w:rPr>
        <w:t>. Company May Consolidate, Etc. on Certain Terms.</w:t>
      </w:r>
      <w:r>
        <w:rPr>
          <w:rFonts w:ascii="Arial" w:cs="Arial" w:eastAsia="Arial" w:hAnsi="Arial"/>
          <w:sz w:val="18"/>
          <w:szCs w:val="18"/>
          <w:color w:val="auto"/>
        </w:rPr>
        <w:t xml:space="preserve"> Subject to the provisions of Section 11.02, the Company shall not consolidate with, merge with or into, or sell, convey, transfer or lease all or substantially all of the consolidated properties and assets of the Company and its Subsidiaries, taken as a whole, to another Person (other than one or more of its Wholly-Owned Subsidiaries), unless:</w:t>
      </w:r>
    </w:p>
    <w:p>
      <w:pPr>
        <w:spacing w:after="0" w:line="177" w:lineRule="exact"/>
        <w:rPr>
          <w:sz w:val="20"/>
          <w:szCs w:val="20"/>
          <w:color w:val="auto"/>
        </w:rPr>
      </w:pPr>
    </w:p>
    <w:p>
      <w:pPr>
        <w:ind w:right="40" w:firstLine="656"/>
        <w:spacing w:after="0" w:line="289" w:lineRule="auto"/>
        <w:tabs>
          <w:tab w:leader="none" w:pos="1294"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resulting, surviving or transferee Person (the “</w:t>
      </w:r>
      <w:r>
        <w:rPr>
          <w:rFonts w:ascii="Arial" w:cs="Arial" w:eastAsia="Arial" w:hAnsi="Arial"/>
          <w:sz w:val="17"/>
          <w:szCs w:val="17"/>
          <w:b w:val="1"/>
          <w:bCs w:val="1"/>
          <w:color w:val="auto"/>
        </w:rPr>
        <w:t>Successor Company</w:t>
      </w:r>
      <w:r>
        <w:rPr>
          <w:rFonts w:ascii="Arial" w:cs="Arial" w:eastAsia="Arial" w:hAnsi="Arial"/>
          <w:sz w:val="17"/>
          <w:szCs w:val="17"/>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and</w:t>
      </w:r>
    </w:p>
    <w:p>
      <w:pPr>
        <w:spacing w:after="0" w:line="162" w:lineRule="exact"/>
        <w:rPr>
          <w:rFonts w:ascii="Arial" w:cs="Arial" w:eastAsia="Arial" w:hAnsi="Arial"/>
          <w:sz w:val="17"/>
          <w:szCs w:val="17"/>
          <w:color w:val="auto"/>
        </w:rPr>
      </w:pPr>
    </w:p>
    <w:p>
      <w:pPr>
        <w:ind w:left="1320" w:hanging="664"/>
        <w:spacing w:after="0"/>
        <w:tabs>
          <w:tab w:leader="none" w:pos="13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immediately after giving effect to such transaction, no Default or Event of Default shall have occurred and be continuing under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Section 11.02</w:t>
      </w:r>
      <w:r>
        <w:rPr>
          <w:rFonts w:ascii="Arial" w:cs="Arial" w:eastAsia="Arial" w:hAnsi="Arial"/>
          <w:sz w:val="16"/>
          <w:szCs w:val="16"/>
          <w:i w:val="1"/>
          <w:iCs w:val="1"/>
          <w:color w:val="auto"/>
        </w:rPr>
        <w:t>. Successor Corporation to Be Substituted.</w:t>
      </w:r>
      <w:r>
        <w:rPr>
          <w:rFonts w:ascii="Arial" w:cs="Arial" w:eastAsia="Arial" w:hAnsi="Arial"/>
          <w:sz w:val="16"/>
          <w:szCs w:val="16"/>
          <w:color w:val="auto"/>
        </w:rPr>
        <w:t xml:space="preserve">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 case of any such consolidation, merger, sale, conveyance, transfer or lease, such changes in phraseology and form (but not in substance) may be made in the Notes thereafter to be issued as may be appropriate.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Section 12.01</w:t>
      </w:r>
      <w:r>
        <w:rPr>
          <w:rFonts w:ascii="Arial" w:cs="Arial" w:eastAsia="Arial" w:hAnsi="Arial"/>
          <w:sz w:val="17"/>
          <w:szCs w:val="17"/>
          <w:i w:val="1"/>
          <w:iCs w:val="1"/>
          <w:color w:val="auto"/>
        </w:rPr>
        <w:t>. Indenture and Notes Solely Corporate Obligations.</w:t>
      </w:r>
      <w:r>
        <w:rPr>
          <w:rFonts w:ascii="Arial" w:cs="Arial" w:eastAsia="Arial" w:hAnsi="Arial"/>
          <w:sz w:val="17"/>
          <w:szCs w:val="17"/>
          <w:color w:val="auto"/>
        </w:rPr>
        <w:t xml:space="preserve">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INTENTIONALLY OMITTED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CONVERSION OF NOTES</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Section 14.01</w:t>
      </w:r>
      <w:r>
        <w:rPr>
          <w:rFonts w:ascii="Arial" w:cs="Arial" w:eastAsia="Arial" w:hAnsi="Arial"/>
          <w:sz w:val="16"/>
          <w:szCs w:val="16"/>
          <w:i w:val="1"/>
          <w:iCs w:val="1"/>
          <w:color w:val="auto"/>
        </w:rPr>
        <w:t>. Conversion Privilege.</w:t>
      </w:r>
      <w:r>
        <w:rPr>
          <w:rFonts w:ascii="Arial" w:cs="Arial" w:eastAsia="Arial" w:hAnsi="Arial"/>
          <w:sz w:val="16"/>
          <w:szCs w:val="16"/>
          <w:color w:val="auto"/>
        </w:rPr>
        <w:t xml:space="preserve"> (a) Subject to and upon compliance with the provisions of this Article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March 15, 2024 under the circumstances and during the periods set forth in Section 14.01(b), and (ii) regardless of the conditions described in Section 14.01(b), on or after March 15, 2024 and prior to the close of business on the Scheduled Trading Day immediately preceding the Maturity Date, in each case, at an initial conversion rate of 14.6738 shares of Common Stock (subject to adjustment as provided in this Article 14, the “</w:t>
      </w:r>
      <w:r>
        <w:rPr>
          <w:rFonts w:ascii="Arial" w:cs="Arial" w:eastAsia="Arial" w:hAnsi="Arial"/>
          <w:sz w:val="16"/>
          <w:szCs w:val="16"/>
          <w:b w:val="1"/>
          <w:bCs w:val="1"/>
          <w:color w:val="auto"/>
        </w:rPr>
        <w:t>Conversion Rate</w:t>
      </w:r>
      <w:r>
        <w:rPr>
          <w:rFonts w:ascii="Arial" w:cs="Arial" w:eastAsia="Arial" w:hAnsi="Arial"/>
          <w:sz w:val="16"/>
          <w:szCs w:val="16"/>
          <w:color w:val="auto"/>
        </w:rPr>
        <w:t>”) per $1,000 principal amount of Notes (subject to, and in accordance with, the settlement provisions of Section 14.02, the “</w:t>
      </w:r>
      <w:r>
        <w:rPr>
          <w:rFonts w:ascii="Arial" w:cs="Arial" w:eastAsia="Arial" w:hAnsi="Arial"/>
          <w:sz w:val="16"/>
          <w:szCs w:val="16"/>
          <w:b w:val="1"/>
          <w:bCs w:val="1"/>
          <w:color w:val="auto"/>
        </w:rPr>
        <w:t>Conversion Obligation</w:t>
      </w:r>
      <w:r>
        <w:rPr>
          <w:rFonts w:ascii="Arial" w:cs="Arial" w:eastAsia="Arial" w:hAnsi="Arial"/>
          <w:sz w:val="16"/>
          <w:szCs w:val="16"/>
          <w:color w:val="auto"/>
        </w:rPr>
        <w:t>”).</w:t>
      </w:r>
    </w:p>
    <w:p>
      <w:pPr>
        <w:spacing w:after="0" w:line="167" w:lineRule="exact"/>
        <w:rPr>
          <w:sz w:val="20"/>
          <w:szCs w:val="20"/>
          <w:color w:val="auto"/>
        </w:rPr>
      </w:pPr>
    </w:p>
    <w:p>
      <w:pPr>
        <w:ind w:right="140" w:firstLine="656"/>
        <w:spacing w:after="0" w:line="259" w:lineRule="auto"/>
        <w:tabs>
          <w:tab w:leader="none" w:pos="13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Prior to the close of business on the Business Day immediately preceding March 15, 2024, a Holder may surrender all or any portion of its Notes for conversion at any time during the five Business Day period immediately after any five consecutive Trading Day period (the “</w:t>
      </w:r>
      <w:r>
        <w:rPr>
          <w:rFonts w:ascii="Arial" w:cs="Arial" w:eastAsia="Arial" w:hAnsi="Arial"/>
          <w:sz w:val="18"/>
          <w:szCs w:val="18"/>
          <w:b w:val="1"/>
          <w:bCs w:val="1"/>
          <w:color w:val="auto"/>
        </w:rPr>
        <w:t>Measurement</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in which the Trading Price per $1,000 principal amount of Notes, as determined following a request by a Holder of Notes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505" w:gutter="0" w:footer="0" w:header="0"/>
        </w:sectPr>
      </w:pPr>
    </w:p>
    <w:bookmarkStart w:id="34" w:name="page35"/>
    <w:bookmarkEnd w:id="34"/>
    <w:p>
      <w:pPr>
        <w:spacing w:after="0" w:line="13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14.01(b)(i), for each Trading Day of the Measurement Period was less than 98% of the product of the Last Reported Sale Price of the Common Stock on each such Trading Day and the Conversion Rate on each such Trading Day. The Trading Prices shall be solicited by the Bid Solicitation Agent and determined by the Company pursuant to this Section 14.01(b)(i) and the definition of Trading Price set forth in this Indenture. The Company shall provide written notice to the Bid Solicitation Agent (if other than the Company) of the three independent nationally recognized securities dealers selected by the Company pursuant to the definition of Trading Price, along with appropriate contact information for each. The Bid Solicitation Agent (if other than the Company) shall have no obligation to solicit the Trading Price per $1,000 principal amount of Notes unless the Company has requested such solicitation in writing, and the Company shall have no obligation to make such request (or, if the Company is acting as Bid Solicitation Agent, the Company shall have no obligation to solicit and/or determine the Trading Price per $1,000 principal amount of Notes) unless a Holder of at least $5,000,000 aggregate principal amount of Notes provides the Company with reasonable evidence that the Trading Price per $1,000 principal amount of Notes would be less than 98% of the product of the Last Reported Sale Price of the Common Stock and the Conversion Rate, at which time the Company shall instruct the Bid Solicitation Agent (if other than the Company) to solicit, or if the Company is acting as Bid Solicitation Agent, the Company shall solicit such bids beginning on the next Trading Day and on each successive Trading Day until the Trading Price per $1,000 principal amount of Notes is greater than or equal to 98% of the product of the Last Reported Sale Price of the Common Stock and the Conversion Rate. The Company will determine the Trading Price in accordance with the bids solicited by the Bid Solicitation Agent. If the Trading Price condition has been met on any trading day, the Company will so notify the Holders, the Trustee and the Conversion Agent (if other than the Trustee) in writing on or within one business day of such trading day. Any such determination will be conclusive absent manifest error. If (x) the Company is not acting as Bid Solicitation Agent, and the Company does not, when the Company is required to, instruct the Bid Solicitation Agent in writing to obtain the Trading Price per $1,000 principal amount of Notes when obligated as provided in this Section 14.01(b)(i), or if the Company so instructs the Bid Solicitation Agent to obtain bids and the Bid Solicitation Agent fails to make such solicitation, or (y) the Company is acting as Bid Solicitation Agent and the Company fails to make such solicitation when obligated as provided in this Section 14.01(b)(i) then, in either case, the Trading Price per $1,000 principal amount of Notes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in writing. If, at any time after the Trading Price condition set forth above has been met, the Trading Price per $1,000 principal amount of Notes is greater than or equal to 98% of the product of the Last Reported Sale Price of the Common Stock and the Conversion Rate for such Trading Day, the Company shall so notify the Holders of the Notes, the Trustee and the Conversion Agent (if other than the Trustee) in writing that the Trading Price condition is no longer met and thereafter neither the Company nor the Bid Solicitation Agent (if other than the Company) shall be required to solicit bids again until another qualifying request is made as provided above.</w:t>
      </w:r>
    </w:p>
    <w:p>
      <w:pPr>
        <w:spacing w:after="0" w:line="174" w:lineRule="exact"/>
        <w:rPr>
          <w:sz w:val="20"/>
          <w:szCs w:val="20"/>
          <w:color w:val="auto"/>
        </w:rPr>
      </w:pPr>
    </w:p>
    <w:p>
      <w:pPr>
        <w:ind w:left="5620" w:right="1000" w:hanging="4315"/>
        <w:spacing w:after="0" w:line="528"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prior to the close of business on the Business Day immediately preceding March 15, 2024, the Company elects to: 56</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360" w:right="160" w:firstLine="658"/>
        <w:spacing w:after="0" w:line="255" w:lineRule="auto"/>
        <w:tabs>
          <w:tab w:leader="none" w:pos="2744" w:val="left"/>
        </w:tabs>
        <w:numPr>
          <w:ilvl w:val="1"/>
          <w:numId w:val="48"/>
        </w:numPr>
        <w:rPr>
          <w:rFonts w:ascii="Arial" w:cs="Arial" w:eastAsia="Arial" w:hAnsi="Arial"/>
          <w:sz w:val="18"/>
          <w:szCs w:val="18"/>
          <w:color w:val="auto"/>
        </w:rPr>
      </w:pPr>
      <w:r>
        <w:rPr>
          <w:rFonts w:ascii="Arial" w:cs="Arial" w:eastAsia="Arial" w:hAnsi="Arial"/>
          <w:sz w:val="18"/>
          <w:szCs w:val="18"/>
          <w:color w:val="auto"/>
        </w:rPr>
        <w:t>issue to all or substantially all holders of shares of the Common Stock any rights, options or warrants (other than in connection with a stockholder rights plan so long as such rights have not separated from the shares of the Common Stock) entitling them, for a period of not more than 60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or</w:t>
      </w:r>
    </w:p>
    <w:p>
      <w:pPr>
        <w:spacing w:after="0" w:line="193" w:lineRule="exact"/>
        <w:rPr>
          <w:rFonts w:ascii="Arial" w:cs="Arial" w:eastAsia="Arial" w:hAnsi="Arial"/>
          <w:sz w:val="18"/>
          <w:szCs w:val="18"/>
          <w:color w:val="auto"/>
        </w:rPr>
      </w:pPr>
    </w:p>
    <w:p>
      <w:pPr>
        <w:ind w:left="1360" w:right="20" w:firstLine="658"/>
        <w:spacing w:after="0" w:line="312" w:lineRule="auto"/>
        <w:tabs>
          <w:tab w:leader="none" w:pos="2734"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distribute to all or substantially all holders of shares of the Common Stock the Company’s assets, securities or rights to purchase securities of the Company, which distribution has a per share value, as reasonably determined by the Company, exceeding 10% of the Last Reported Sale Price of the Common Stock on the Trading Day preceding the date of announcement for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-1794510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2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then, in either case, the Company shall notify all Holders of the Notes (with a copy to the Trustee and the Conversion Agent (if other than the Trustee)) at least 50 Scheduled Trading Days prior to the Ex-Dividend Date for such issuance or distribution (or, if later in the case of any such separation of rights issued pursuant to a stockholder rights plan, as soon as reasonably practicable after the Company becomes aware that such separation or triggering event has occurred or will occur). Once the Company has given such notice, a Holder may surrender all or any portion of its Notes for conversion at any time until the earlier of (1) the close of business on the Business Day immediately preceding the Ex-Dividend Date for such issuance or distribution and (2) the Company’s announcement that such issuance or distribution will not take place, in each case, even if the Notes are not otherwise convertible at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of the Notes may not convert their Notes pursuant to this Section 14.01(b)(ii) if they participate, at the same time and upon the same terms as holders of the Common Stock and solely as a result of holding the Notes, in any of the transactions described above without having to convert their Notes as if they held a number of shares of the Common Stock equal to the applicable Conversion Rate, multiplied by the principal amount (expressed in thousands) of Notes held by such Holder.</w:t>
      </w:r>
    </w:p>
    <w:p>
      <w:pPr>
        <w:spacing w:after="0" w:line="178" w:lineRule="exact"/>
        <w:rPr>
          <w:sz w:val="20"/>
          <w:szCs w:val="20"/>
          <w:color w:val="auto"/>
        </w:rPr>
      </w:pPr>
    </w:p>
    <w:p>
      <w:pPr>
        <w:ind w:left="660" w:right="160" w:firstLine="645"/>
        <w:spacing w:after="0" w:line="271" w:lineRule="auto"/>
        <w:tabs>
          <w:tab w:leader="none" w:pos="1997"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(i) a transaction or event that constitutes (x) a Fundamental Change or (y) a Make-Whole Fundamental Change occurs prior to the close of business on the Business Day immediately preceding March 15, 2024, regardless of whether a Holder has the right to require the Company to repurchase the Notes pursuant to Section 15.02, or (ii) if the Company is a party to a Merger Event (as defined below) (other than a Merger Event that is solely for the purpose of changing the Company’s jurisdiction of organization that (x) does not constitute a Fundamental Change or a Make-Whole Fundamental Change and (y) results in a reclassification, conversion or exchange of outstanding shares of the Common Stock solely into shares of common stock of the surviving entity and such common stock becomes Reference Property for the Notes) that occurs prior to the close of business on the Business Day immediately preceding March 15, 2024 (each such Fundamental Change, Make-Whole Fundamental Change or Merger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line="289" w:lineRule="auto"/>
        <w:rPr>
          <w:sz w:val="20"/>
          <w:szCs w:val="20"/>
          <w:color w:val="auto"/>
        </w:rPr>
      </w:pPr>
      <w:r>
        <w:rPr>
          <w:rFonts w:ascii="Arial" w:cs="Arial" w:eastAsia="Arial" w:hAnsi="Arial"/>
          <w:sz w:val="16"/>
          <w:szCs w:val="16"/>
          <w:color w:val="auto"/>
        </w:rPr>
        <w:t>Event, a “</w:t>
      </w:r>
      <w:r>
        <w:rPr>
          <w:rFonts w:ascii="Arial" w:cs="Arial" w:eastAsia="Arial" w:hAnsi="Arial"/>
          <w:sz w:val="16"/>
          <w:szCs w:val="16"/>
          <w:b w:val="1"/>
          <w:bCs w:val="1"/>
          <w:color w:val="auto"/>
        </w:rPr>
        <w:t>Corporate Event</w:t>
      </w:r>
      <w:r>
        <w:rPr>
          <w:rFonts w:ascii="Arial" w:cs="Arial" w:eastAsia="Arial" w:hAnsi="Arial"/>
          <w:sz w:val="16"/>
          <w:szCs w:val="16"/>
          <w:color w:val="auto"/>
        </w:rPr>
        <w:t>”), all or any portion of a Holder’s Notes may be surrendered for conversion at any time after the effective date for such Corporate Event until the earlier of (x) 35 Trading Days after the effective date of such Corporate Event, or if such Corporate Event also constitutes a Fundamental Change, until the close of business on the Business Day immediately preceding the related Fundamental Change Repurchase Date and</w:t>
      </w:r>
    </w:p>
    <w:p>
      <w:pPr>
        <w:spacing w:after="0" w:line="2" w:lineRule="exact"/>
        <w:rPr>
          <w:sz w:val="20"/>
          <w:szCs w:val="20"/>
          <w:color w:val="auto"/>
        </w:rPr>
      </w:pPr>
    </w:p>
    <w:p>
      <w:pPr>
        <w:ind w:left="660" w:right="60" w:hanging="4"/>
        <w:spacing w:after="0" w:line="261" w:lineRule="auto"/>
        <w:tabs>
          <w:tab w:leader="none" w:pos="91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Scheduled Trading Day immediately preceding the Maturity Date. The Company shall notify Holders, the Trustee and the Conversion Agent (if other than the Trustee) in writing no later than the effective date of such Corporate Event.</w:t>
      </w:r>
    </w:p>
    <w:p>
      <w:pPr>
        <w:spacing w:after="0" w:line="183" w:lineRule="exact"/>
        <w:rPr>
          <w:rFonts w:ascii="Arial" w:cs="Arial" w:eastAsia="Arial" w:hAnsi="Arial"/>
          <w:sz w:val="18"/>
          <w:szCs w:val="18"/>
          <w:color w:val="auto"/>
        </w:rPr>
      </w:pPr>
    </w:p>
    <w:p>
      <w:pPr>
        <w:ind w:left="660" w:right="240" w:firstLine="645"/>
        <w:spacing w:after="0" w:line="342" w:lineRule="auto"/>
        <w:tabs>
          <w:tab w:leader="none" w:pos="1973" w:val="left"/>
        </w:tabs>
        <w:numPr>
          <w:ilvl w:val="1"/>
          <w:numId w:val="50"/>
        </w:numPr>
        <w:rPr>
          <w:rFonts w:ascii="Arial" w:cs="Arial" w:eastAsia="Arial" w:hAnsi="Arial"/>
          <w:sz w:val="16"/>
          <w:szCs w:val="16"/>
          <w:color w:val="auto"/>
        </w:rPr>
      </w:pPr>
      <w:r>
        <w:rPr>
          <w:rFonts w:ascii="Arial" w:cs="Arial" w:eastAsia="Arial" w:hAnsi="Arial"/>
          <w:sz w:val="16"/>
          <w:szCs w:val="16"/>
          <w:color w:val="auto"/>
        </w:rPr>
        <w:t>Prior to the close of business on the Business Day immediately preceding March 15, 2024, a Holder may surrender all or any portion of its Notes for conversion at any time during any fiscal quarter commencing after the fiscal quarter ending on October 31, 2018 (and only</w:t>
      </w:r>
    </w:p>
    <w:p>
      <w:pPr>
        <w:sectPr>
          <w:pgSz w:w="11900" w:h="16975" w:orient="portrait"/>
          <w:cols w:equalWidth="0" w:num="1">
            <w:col w:w="11420"/>
          </w:cols>
          <w:pgMar w:left="240" w:top="125" w:right="239" w:bottom="0" w:gutter="0" w:footer="0" w:header="0"/>
        </w:sectPr>
      </w:pPr>
    </w:p>
    <w:bookmarkStart w:id="35" w:name="page36"/>
    <w:bookmarkEnd w:id="35"/>
    <w:p>
      <w:pPr>
        <w:spacing w:after="0" w:line="114"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during such fiscal quarter), if the Last Reported Sale Price of the Common Stock for at least 20 Trading Days (whether or not consecutive) during the period of 30 consecutive Trading Days ending on, and including, the last Trading Day of the immediately preceding fiscal quarter is greater than or equal to 130% of the Conversion Price on each applicable Trading Day. Neither the Trustee nor the Conversion Agent (if other than the trustee) shall have any duty to determine or verify the determination of whether the sale price condition in this Section 14.01(b)(iv) has been met.</w:t>
      </w:r>
    </w:p>
    <w:p>
      <w:pPr>
        <w:spacing w:after="0" w:line="154" w:lineRule="exact"/>
        <w:rPr>
          <w:sz w:val="20"/>
          <w:szCs w:val="20"/>
          <w:color w:val="auto"/>
        </w:rPr>
      </w:pPr>
    </w:p>
    <w:p>
      <w:pPr>
        <w:ind w:left="660" w:right="20" w:firstLine="645"/>
        <w:spacing w:after="0" w:line="273" w:lineRule="auto"/>
        <w:tabs>
          <w:tab w:leader="none" w:pos="1964"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the Company calls any or all of the Notes for redemption pursuant to Article 16 prior to the close of business on the Business Day immediately preceding March 15, 2024, then a Holder may surrender all or any portion of its Notes for conversion at any time prior to the close of business on the Scheduled Trading Day prior to the Redemption Date, on account of the Company’s delivery of a notice of redemption, even if the Notes are not otherwise convertible at such time. After that time, the right to convert on account of the Company’s delivery of the notice of redemption shall expire, unless the Company defaults in the payment of the Redemption Price, in which case a Holder of Notes may convert all or any portion of its Notes until the Redemption Price has been paid or duly provided for.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14.02</w:t>
      </w:r>
      <w:r>
        <w:rPr>
          <w:rFonts w:ascii="Arial" w:cs="Arial" w:eastAsia="Arial" w:hAnsi="Arial"/>
          <w:sz w:val="18"/>
          <w:szCs w:val="18"/>
          <w:i w:val="1"/>
          <w:iCs w:val="1"/>
          <w:color w:val="auto"/>
        </w:rPr>
        <w:t>. Conversion Procedure; Settlement Upon Conversion.</w:t>
      </w:r>
    </w:p>
    <w:p>
      <w:pPr>
        <w:spacing w:after="0" w:line="225" w:lineRule="exact"/>
        <w:rPr>
          <w:sz w:val="20"/>
          <w:szCs w:val="20"/>
          <w:color w:val="auto"/>
        </w:rPr>
      </w:pPr>
    </w:p>
    <w:p>
      <w:pPr>
        <w:ind w:firstLine="656"/>
        <w:spacing w:after="0" w:line="255" w:lineRule="auto"/>
        <w:tabs>
          <w:tab w:leader="none" w:pos="1294"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Subject to this Section 14.02, Section 14.03(b) and Section 14.07(a), upon conversion of any Note, the Company shall satisfy its Conversion Obligation by paying or delivering, as the case may be, to the converting Holder, in respect of each $1,000 principal amount of Notes being converted, cash (“</w:t>
      </w:r>
      <w:r>
        <w:rPr>
          <w:rFonts w:ascii="Arial" w:cs="Arial" w:eastAsia="Arial" w:hAnsi="Arial"/>
          <w:sz w:val="18"/>
          <w:szCs w:val="18"/>
          <w:b w:val="1"/>
          <w:bCs w:val="1"/>
          <w:color w:val="auto"/>
        </w:rPr>
        <w:t>Cash Settlement</w:t>
      </w:r>
      <w:r>
        <w:rPr>
          <w:rFonts w:ascii="Arial" w:cs="Arial" w:eastAsia="Arial" w:hAnsi="Arial"/>
          <w:sz w:val="18"/>
          <w:szCs w:val="18"/>
          <w:color w:val="auto"/>
        </w:rPr>
        <w:t>”), shares of Common Stock, together with cash, if applicable, in lieu of delivering any fractional share of Common Stock in accordance with subsection (j) of this Section 14.02 (“</w:t>
      </w:r>
      <w:r>
        <w:rPr>
          <w:rFonts w:ascii="Arial" w:cs="Arial" w:eastAsia="Arial" w:hAnsi="Arial"/>
          <w:sz w:val="18"/>
          <w:szCs w:val="18"/>
          <w:b w:val="1"/>
          <w:bCs w:val="1"/>
          <w:color w:val="auto"/>
        </w:rPr>
        <w:t>Physical Settlement</w:t>
      </w:r>
      <w:r>
        <w:rPr>
          <w:rFonts w:ascii="Arial" w:cs="Arial" w:eastAsia="Arial" w:hAnsi="Arial"/>
          <w:sz w:val="18"/>
          <w:szCs w:val="18"/>
          <w:color w:val="auto"/>
        </w:rPr>
        <w:t>”) or a combination of cash and shares of Common Stock, together with cash, if applicable, in lieu of delivering any fractional share of Common Stock in accordance with subsection (j) of this Section 14.02 (“</w:t>
      </w:r>
      <w:r>
        <w:rPr>
          <w:rFonts w:ascii="Arial" w:cs="Arial" w:eastAsia="Arial" w:hAnsi="Arial"/>
          <w:sz w:val="18"/>
          <w:szCs w:val="18"/>
          <w:b w:val="1"/>
          <w:bCs w:val="1"/>
          <w:color w:val="auto"/>
        </w:rPr>
        <w:t>Combination Settlement</w:t>
      </w:r>
      <w:r>
        <w:rPr>
          <w:rFonts w:ascii="Arial" w:cs="Arial" w:eastAsia="Arial" w:hAnsi="Arial"/>
          <w:sz w:val="18"/>
          <w:szCs w:val="18"/>
          <w:color w:val="auto"/>
        </w:rPr>
        <w:t>”), at its election, as set forth in this Section 14.02.</w:t>
      </w:r>
    </w:p>
    <w:p>
      <w:pPr>
        <w:spacing w:after="0" w:line="193" w:lineRule="exact"/>
        <w:rPr>
          <w:rFonts w:ascii="Arial" w:cs="Arial" w:eastAsia="Arial" w:hAnsi="Arial"/>
          <w:sz w:val="18"/>
          <w:szCs w:val="18"/>
          <w:color w:val="auto"/>
        </w:rPr>
      </w:pPr>
    </w:p>
    <w:p>
      <w:pPr>
        <w:ind w:left="660" w:right="360" w:firstLine="645"/>
        <w:spacing w:after="0" w:line="277" w:lineRule="auto"/>
        <w:tabs>
          <w:tab w:leader="none" w:pos="197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conversions for which the relevant Conversion Dates occurs (x) on or after March 15, 2024 shall be settled using the same Settlement Method or (y) during a Redemption Period shall be settled using the same Settlement Method.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firstLine="645"/>
        <w:spacing w:after="0" w:line="259" w:lineRule="auto"/>
        <w:tabs>
          <w:tab w:leader="none" w:pos="1987"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for any conversions for which the relevant Conversion Date occurs during a Redemption Period and any conversions for which the relevant Conversion Date occurs on or after March 15, 2024, the Company shall use the same Settlement Method for all conversions occurring on the same Conversion Date, but the Company shall not have any obligation to use the same Settlement Method with respect to conversions that occur on different Conversion Dates.</w:t>
      </w:r>
    </w:p>
    <w:p>
      <w:pPr>
        <w:spacing w:after="0" w:line="186" w:lineRule="exact"/>
        <w:rPr>
          <w:rFonts w:ascii="Arial" w:cs="Arial" w:eastAsia="Arial" w:hAnsi="Arial"/>
          <w:sz w:val="18"/>
          <w:szCs w:val="18"/>
          <w:color w:val="auto"/>
        </w:rPr>
      </w:pPr>
    </w:p>
    <w:p>
      <w:pPr>
        <w:ind w:left="660" w:firstLine="645"/>
        <w:spacing w:after="0" w:line="286" w:lineRule="auto"/>
        <w:tabs>
          <w:tab w:leader="none" w:pos="1997"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in respect of any Conversion Date (or in the case of any conversions occurring (x) during a Redemption Period or (y) on or after March 15, 2024), the Company elects to deliver a notice (the “</w:t>
      </w:r>
      <w:r>
        <w:rPr>
          <w:rFonts w:ascii="Arial" w:cs="Arial" w:eastAsia="Arial" w:hAnsi="Arial"/>
          <w:sz w:val="16"/>
          <w:szCs w:val="16"/>
          <w:b w:val="1"/>
          <w:bCs w:val="1"/>
          <w:color w:val="auto"/>
        </w:rPr>
        <w:t>Settlement Notice</w:t>
      </w:r>
      <w:r>
        <w:rPr>
          <w:rFonts w:ascii="Arial" w:cs="Arial" w:eastAsia="Arial" w:hAnsi="Arial"/>
          <w:sz w:val="16"/>
          <w:szCs w:val="16"/>
          <w:color w:val="auto"/>
        </w:rPr>
        <w:t>”) of the relevant Settlement Method in respect of such Conversion Date (or such period, as the case may be), the Company shall deliver such Settlement Notice to converting Holders, the Trustee and the Conversion Agent (if other than the Trustee) no later than the close of business on the Scheduled Trading Day immediately following the relevant Conversion Date (or, in the case of any conversions occurring (x) during a Redemption Period, in such Redemption Notice, or (y) on or after March 15, 2024, no later than the close of business on Scheduled Trading Day immediately preceding March 15, 2024). If the Company does not timely elect a Settlement Method prior to the deadline set forth in the immediately preceding sentence, the Company shall no longer have the right to elect Cash Settlement or Physical Settlement for such conversion or during such period and the Company shall be deemed to have elected Combination Settlement in respect of its Conversion Obligation, and the Specified Dollar Amount per $1,000 principal amount of Notes shall be equal to $1,000. Such Settlement Notice shall specify the relevant Settlement Method and in the case of an election of Combination Settlement, the relevant Settlement Notice shall indicate the Specified Dollar Amount per $1,000 principal amount of Notes. If the Company delivers a Settlement Notice electing Combination Settlement in respect of its Conversion Obligation but does not indicate a Specified Dollar Amount per $1,000 principal amount of Notes in such Settlement Notice, the Specified Dollar Amount per $1,000 principal amount of Notes shall be deemed to be $1,000.</w:t>
      </w:r>
    </w:p>
    <w:p>
      <w:pPr>
        <w:spacing w:after="0" w:line="175"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By notice to Holders, the Company may, prior to March 15, 2024, at its option, irrevocably elect to satisfy its Conversion Obligation with respect to the Notes through Combination Settlement with a Specified Dollar Amount per $1,000 principal amount of Notes of $1,000 for all Conversion Dates occurring subsequent to delivery of such notice.</w:t>
      </w:r>
    </w:p>
    <w:p>
      <w:pPr>
        <w:spacing w:after="0" w:line="181" w:lineRule="exact"/>
        <w:rPr>
          <w:sz w:val="20"/>
          <w:szCs w:val="20"/>
          <w:color w:val="auto"/>
        </w:rPr>
      </w:pPr>
    </w:p>
    <w:p>
      <w:pPr>
        <w:ind w:left="660" w:right="300" w:firstLine="645"/>
        <w:spacing w:after="0" w:line="277" w:lineRule="auto"/>
        <w:tabs>
          <w:tab w:leader="none" w:pos="197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cash, shares of Common Stock or combination of cash and shares of Common Stock in respect of any conversion of Notes (the “</w:t>
      </w:r>
      <w:r>
        <w:rPr>
          <w:rFonts w:ascii="Arial" w:cs="Arial" w:eastAsia="Arial" w:hAnsi="Arial"/>
          <w:sz w:val="18"/>
          <w:szCs w:val="18"/>
          <w:b w:val="1"/>
          <w:bCs w:val="1"/>
          <w:color w:val="auto"/>
        </w:rPr>
        <w:t>Settlement Amount</w:t>
      </w:r>
      <w:r>
        <w:rPr>
          <w:rFonts w:ascii="Arial" w:cs="Arial" w:eastAsia="Arial" w:hAnsi="Arial"/>
          <w:sz w:val="18"/>
          <w:szCs w:val="18"/>
          <w:color w:val="auto"/>
        </w:rPr>
        <w:t>”) shall be computed as follows:</w:t>
      </w:r>
    </w:p>
    <w:p>
      <w:pPr>
        <w:spacing w:after="0" w:line="170" w:lineRule="exact"/>
        <w:rPr>
          <w:rFonts w:ascii="Arial" w:cs="Arial" w:eastAsia="Arial" w:hAnsi="Arial"/>
          <w:sz w:val="18"/>
          <w:szCs w:val="18"/>
          <w:color w:val="auto"/>
        </w:rPr>
      </w:pPr>
    </w:p>
    <w:p>
      <w:pPr>
        <w:ind w:left="1300" w:right="100" w:firstLine="653"/>
        <w:spacing w:after="0" w:line="264" w:lineRule="auto"/>
        <w:tabs>
          <w:tab w:leader="none" w:pos="2617"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the Company elects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w:t>
      </w:r>
    </w:p>
    <w:p>
      <w:pPr>
        <w:spacing w:after="0" w:line="181" w:lineRule="exact"/>
        <w:rPr>
          <w:rFonts w:ascii="Arial" w:cs="Arial" w:eastAsia="Arial" w:hAnsi="Arial"/>
          <w:sz w:val="18"/>
          <w:szCs w:val="18"/>
          <w:color w:val="auto"/>
        </w:rPr>
      </w:pPr>
    </w:p>
    <w:p>
      <w:pPr>
        <w:ind w:left="1300" w:right="720" w:firstLine="653"/>
        <w:spacing w:after="0" w:line="277" w:lineRule="auto"/>
        <w:tabs>
          <w:tab w:leader="none" w:pos="2607"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the Company elects to satisfy its Conversion Obligation in respect of such conversion by Cash Settlement, the Company shall pay to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40"/>
        <w:spacing w:after="0" w:line="308" w:lineRule="auto"/>
        <w:rPr>
          <w:sz w:val="20"/>
          <w:szCs w:val="20"/>
          <w:color w:val="auto"/>
        </w:rPr>
      </w:pPr>
      <w:r>
        <w:rPr>
          <w:rFonts w:ascii="Arial" w:cs="Arial" w:eastAsia="Arial" w:hAnsi="Arial"/>
          <w:sz w:val="17"/>
          <w:szCs w:val="17"/>
          <w:color w:val="auto"/>
        </w:rPr>
        <w:t>converting Holder in respect of each $1,000 principal amount of Notes being converted cash in an amount equal to the sum of the Daily Conversion Values for each of the 40 consecutive Trading Days during the related Observation Period; and</w:t>
      </w:r>
    </w:p>
    <w:p>
      <w:pPr>
        <w:spacing w:after="0" w:line="147" w:lineRule="exact"/>
        <w:rPr>
          <w:sz w:val="20"/>
          <w:szCs w:val="20"/>
          <w:color w:val="auto"/>
        </w:rPr>
      </w:pPr>
    </w:p>
    <w:p>
      <w:pPr>
        <w:jc w:val="both"/>
        <w:ind w:left="1300" w:right="60" w:firstLine="653"/>
        <w:spacing w:after="0" w:line="259" w:lineRule="auto"/>
        <w:tabs>
          <w:tab w:leader="none" w:pos="2607"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the Company elects (or is deemed to have elected) to satisfy its Conversion Obligation in respect of such conversion by Combination Settlement, the Company shall pay or deliver, as the case may be, to the converting Holder in respect of each $1,000 principal amount of Notes being converted, a Settlement Amount equal to the sum of the Daily Settlement Amounts for each of the 40 consecutive Trading Days during the related Observation Period.</w:t>
      </w:r>
    </w:p>
    <w:p>
      <w:pPr>
        <w:spacing w:after="0" w:line="186" w:lineRule="exact"/>
        <w:rPr>
          <w:rFonts w:ascii="Arial" w:cs="Arial" w:eastAsia="Arial" w:hAnsi="Arial"/>
          <w:sz w:val="18"/>
          <w:szCs w:val="18"/>
          <w:color w:val="auto"/>
        </w:rPr>
      </w:pPr>
    </w:p>
    <w:p>
      <w:pPr>
        <w:ind w:left="660" w:right="360" w:firstLine="645"/>
        <w:spacing w:after="0" w:line="312" w:lineRule="auto"/>
        <w:tabs>
          <w:tab w:leader="none" w:pos="196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w:t>
      </w:r>
    </w:p>
    <w:p>
      <w:pPr>
        <w:sectPr>
          <w:pgSz w:w="11900" w:h="16952" w:orient="portrait"/>
          <w:cols w:equalWidth="0" w:num="1">
            <w:col w:w="11420"/>
          </w:cols>
          <w:pgMar w:left="240" w:top="125" w:right="239" w:bottom="0" w:gutter="0" w:footer="0" w:header="0"/>
        </w:sectPr>
      </w:pPr>
    </w:p>
    <w:bookmarkStart w:id="36" w:name="page37"/>
    <w:bookmarkEnd w:id="36"/>
    <w:p>
      <w:pPr>
        <w:ind w:left="660" w:right="340"/>
        <w:spacing w:after="0" w:line="264" w:lineRule="auto"/>
        <w:rPr>
          <w:sz w:val="20"/>
          <w:szCs w:val="20"/>
          <w:color w:val="auto"/>
        </w:rPr>
      </w:pPr>
      <w:r>
        <w:rPr>
          <w:rFonts w:ascii="Arial" w:cs="Arial" w:eastAsia="Arial" w:hAnsi="Arial"/>
          <w:sz w:val="18"/>
          <w:szCs w:val="18"/>
          <w:color w:val="auto"/>
        </w:rPr>
        <w:t>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81" w:lineRule="exact"/>
        <w:rPr>
          <w:sz w:val="20"/>
          <w:szCs w:val="20"/>
          <w:color w:val="auto"/>
        </w:rPr>
      </w:pPr>
    </w:p>
    <w:p>
      <w:pPr>
        <w:ind w:right="80" w:firstLine="656"/>
        <w:spacing w:after="0" w:line="286" w:lineRule="auto"/>
        <w:tabs>
          <w:tab w:leader="none" w:pos="1304"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w:t>
      </w:r>
      <w:r>
        <w:rPr>
          <w:rFonts w:ascii="Arial" w:cs="Arial" w:eastAsia="Arial" w:hAnsi="Arial"/>
          <w:sz w:val="16"/>
          <w:szCs w:val="16"/>
          <w:b w:val="1"/>
          <w:bCs w:val="1"/>
          <w:color w:val="auto"/>
        </w:rPr>
        <w:t>Notice of Conversion</w:t>
      </w:r>
      <w:r>
        <w:rPr>
          <w:rFonts w:ascii="Arial" w:cs="Arial" w:eastAsia="Arial" w:hAnsi="Arial"/>
          <w:sz w:val="16"/>
          <w:szCs w:val="16"/>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20" w:lineRule="exact"/>
        <w:rPr>
          <w:sz w:val="20"/>
          <w:szCs w:val="20"/>
          <w:color w:val="auto"/>
        </w:rPr>
      </w:pPr>
    </w:p>
    <w:p>
      <w:pPr>
        <w:ind w:right="20" w:firstLine="656"/>
        <w:spacing w:after="0" w:line="255" w:lineRule="auto"/>
        <w:tabs>
          <w:tab w:leader="none" w:pos="13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Note shall be deemed to have been converted immediately prior to the close of business on the date (the “</w:t>
      </w:r>
      <w:r>
        <w:rPr>
          <w:rFonts w:ascii="Arial" w:cs="Arial" w:eastAsia="Arial" w:hAnsi="Arial"/>
          <w:sz w:val="18"/>
          <w:szCs w:val="18"/>
          <w:b w:val="1"/>
          <w:bCs w:val="1"/>
          <w:color w:val="auto"/>
        </w:rPr>
        <w:t>Conversion Date</w:t>
      </w:r>
      <w:r>
        <w:rPr>
          <w:rFonts w:ascii="Arial" w:cs="Arial" w:eastAsia="Arial" w:hAnsi="Arial"/>
          <w:sz w:val="18"/>
          <w:szCs w:val="18"/>
          <w:color w:val="auto"/>
        </w:rPr>
        <w:t>”) that the Holder has complied with the requirements set forth in subsection (b) above. Except as set forth in Section 14.03(b) and Section 14.07(a), the Company shall pay or deliver, as the case may be, the consideration due in respect of the Conversion Obligation on the second Business Day immediately following the relevant Conversion Date, if the Company elects Physical Settlement, or on the second Business Day immediately following the last Trading Day of the relevant Observation Period, in the case of any other Settlement Method. If any shares of Common Stock are due to converting Holders, the Company shall issue or cause to be issued, and deliver to the Conversion Agent or to such Holder, or such Holder’s nominee or nominees, certificates or a book-entry transfer through the Depositary for the full number of shares of Common Stock to which such Holder shall be entitled in satisfaction of the Company’s Conversion Obligation.</w:t>
      </w:r>
    </w:p>
    <w:p>
      <w:pPr>
        <w:spacing w:after="0" w:line="189" w:lineRule="exact"/>
        <w:rPr>
          <w:rFonts w:ascii="Arial" w:cs="Arial" w:eastAsia="Arial" w:hAnsi="Arial"/>
          <w:sz w:val="18"/>
          <w:szCs w:val="18"/>
          <w:color w:val="auto"/>
        </w:rPr>
      </w:pPr>
    </w:p>
    <w:p>
      <w:pPr>
        <w:ind w:right="40" w:firstLine="656"/>
        <w:spacing w:after="0" w:line="273" w:lineRule="auto"/>
        <w:tabs>
          <w:tab w:leader="none" w:pos="1304"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78" w:lineRule="exact"/>
        <w:rPr>
          <w:rFonts w:ascii="Arial" w:cs="Arial" w:eastAsia="Arial" w:hAnsi="Arial"/>
          <w:sz w:val="17"/>
          <w:szCs w:val="17"/>
          <w:color w:val="auto"/>
        </w:rPr>
      </w:pPr>
    </w:p>
    <w:p>
      <w:pPr>
        <w:ind w:right="40" w:firstLine="656"/>
        <w:spacing w:after="0" w:line="257" w:lineRule="auto"/>
        <w:tabs>
          <w:tab w:leader="none" w:pos="13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88" w:lineRule="exact"/>
        <w:rPr>
          <w:rFonts w:ascii="Arial" w:cs="Arial" w:eastAsia="Arial" w:hAnsi="Arial"/>
          <w:sz w:val="18"/>
          <w:szCs w:val="18"/>
          <w:color w:val="auto"/>
        </w:rPr>
      </w:pPr>
    </w:p>
    <w:p>
      <w:pPr>
        <w:ind w:right="820" w:firstLine="656"/>
        <w:spacing w:after="0" w:line="277" w:lineRule="auto"/>
        <w:tabs>
          <w:tab w:leader="none" w:pos="13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Except as provided in Section 14.04, no adjustment shall be made for dividends on any shares of Common Stock issued upon the conversion of any Note as provided in this Article 14.</w:t>
      </w:r>
    </w:p>
    <w:p>
      <w:pPr>
        <w:spacing w:after="0" w:line="170" w:lineRule="exact"/>
        <w:rPr>
          <w:rFonts w:ascii="Arial" w:cs="Arial" w:eastAsia="Arial" w:hAnsi="Arial"/>
          <w:sz w:val="18"/>
          <w:szCs w:val="18"/>
          <w:color w:val="auto"/>
        </w:rPr>
      </w:pPr>
    </w:p>
    <w:p>
      <w:pPr>
        <w:ind w:firstLine="656"/>
        <w:spacing w:after="0" w:line="264" w:lineRule="auto"/>
        <w:tabs>
          <w:tab w:leader="none" w:pos="13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85" w:lineRule="auto"/>
        <w:tabs>
          <w:tab w:leader="none" w:pos="1304"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Upon conversion, a Holder shall not receive any separate cash payment for accrued and unpaid interest, if any, except as set forth below. The Company’s settlement of the full Conversion Obligation shall be deemed to satisfy in full its obligation to pay the principal amount of the Note and accrued and unpaid interest, if any, to, but excluding, the relevant Conversion Date. As a result, accrued and unpaid interest, if any, to, but excluding, the relevant Conversion Date shall be deemed to be paid in full rather than cancelled, 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payment shall be required (1) for conversions following the Regular Record Date immediately preceding the Maturity Date; (2) if the Company has specified a Fundamental Change Repurchase Date that is after a Regular Record Date and on or prior to the Business Day immediately succeeding the corresponding Interest Payment Date; (3) if the Company has specified a Redemption Date that is after a Regular Record Date and on or prior to the Business Day immediately succeeding the corresponding Interest Payment Date; or (4) to the extent of any Defaulted Amounts, if any Defaulted Amounts exists at the time of conversion with respect to such Note. Therefore, for the avoidance of doubt, all Holders of record on the Regular Record Date immediately preceding the Maturity Date, ay Fundamental Change Repurchase Date or Redemption Date, in each case, as described above, shall receive the full interest payment due on the Maturity Date or other applicable Interest Payment Date in cash regardless of whether their Notes have been converted and/or repurchased, as applicable, following such Regular Record Date.</w:t>
      </w:r>
    </w:p>
    <w:p>
      <w:pPr>
        <w:sectPr>
          <w:pgSz w:w="11900" w:h="16838" w:orient="portrait"/>
          <w:cols w:equalWidth="0" w:num="1">
            <w:col w:w="11420"/>
          </w:cols>
          <w:pgMar w:left="240" w:top="125" w:right="239" w:bottom="0" w:gutter="0" w:footer="0" w:header="0"/>
        </w:sectPr>
      </w:pPr>
    </w:p>
    <w:bookmarkStart w:id="37" w:name="page38"/>
    <w:bookmarkEnd w:id="37"/>
    <w:p>
      <w:pPr>
        <w:ind w:right="380" w:firstLine="656"/>
        <w:spacing w:after="0" w:line="257" w:lineRule="auto"/>
        <w:tabs>
          <w:tab w:leader="none" w:pos="13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Person in whose name the certificate for any shares of Common Stock delivered upon conversion is registered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Notes, such Person shall no longer be a Holder of such Notes surrendered for conversion.</w:t>
      </w:r>
    </w:p>
    <w:p>
      <w:pPr>
        <w:spacing w:after="0" w:line="188" w:lineRule="exact"/>
        <w:rPr>
          <w:rFonts w:ascii="Arial" w:cs="Arial" w:eastAsia="Arial" w:hAnsi="Arial"/>
          <w:sz w:val="18"/>
          <w:szCs w:val="18"/>
          <w:color w:val="auto"/>
        </w:rPr>
      </w:pPr>
    </w:p>
    <w:p>
      <w:pPr>
        <w:ind w:right="60" w:firstLine="656"/>
        <w:spacing w:after="0" w:line="297" w:lineRule="auto"/>
        <w:tabs>
          <w:tab w:leader="none" w:pos="1304"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Company shall not issue any fractional share of Common Stock upon conversion of the Notes and shall instead pay cash in lieu of delivering any fractional share of Common Stock issuable upon conversion based on the Daily VWAP on the relevant Conversion Date (in the case of Physical Settlement) or based on the Daily VWAP on the last Trading Day of the relevant Observation Period (in the case of Combination Settlement). For each Note surrendered for conversion, if the Company has elected (or is deemed to have elected) Combination Settlement, the full number of shares that shall be issued upon conversion thereof shall be computed on the basis of the aggregate Daily Settlement Amounts for the relevant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Observation Period and any fractional shares remaining after such computation shall be paid in cash.</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Section 14.03</w:t>
      </w:r>
      <w:r>
        <w:rPr>
          <w:rFonts w:ascii="Arial" w:cs="Arial" w:eastAsia="Arial" w:hAnsi="Arial"/>
          <w:sz w:val="17"/>
          <w:szCs w:val="17"/>
          <w:i w:val="1"/>
          <w:iCs w:val="1"/>
          <w:color w:val="auto"/>
        </w:rPr>
        <w:t>. Increased Conversion Rate Applicable to Certain Notes Surrendered in Connection with Make-Whole Fundamental Changes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During a Redemption Period. </w:t>
      </w:r>
      <w:r>
        <w:rPr>
          <w:rFonts w:ascii="Arial" w:cs="Arial" w:eastAsia="Arial" w:hAnsi="Arial"/>
          <w:sz w:val="17"/>
          <w:szCs w:val="17"/>
          <w:color w:val="auto"/>
        </w:rPr>
        <w:t>(a) If (x) the Effective Date of a Make-Whole Fundamental Change occurs prior to the Maturity Date and a Holder elects to</w:t>
      </w:r>
      <w:r>
        <w:rPr>
          <w:rFonts w:ascii="Arial" w:cs="Arial" w:eastAsia="Arial" w:hAnsi="Arial"/>
          <w:sz w:val="17"/>
          <w:szCs w:val="17"/>
          <w:i w:val="1"/>
          <w:iCs w:val="1"/>
          <w:color w:val="auto"/>
        </w:rPr>
        <w:t xml:space="preserve"> </w:t>
      </w:r>
      <w:r>
        <w:rPr>
          <w:rFonts w:ascii="Arial" w:cs="Arial" w:eastAsia="Arial" w:hAnsi="Arial"/>
          <w:sz w:val="17"/>
          <w:szCs w:val="17"/>
          <w:color w:val="auto"/>
        </w:rPr>
        <w:t>convert its Notes in connection with such Make-Whole Fundamental Change or the Company issues a Redemption Notice pursuant to Section 16.02 and a Holder elects to convert its Notes during the related Redemption Period, the Company shall, under the circumstances described below, increase the Conversion Rate for the Notes so surrendered for conversion by a number of additional shares of Common Stock (the “</w:t>
      </w:r>
      <w:r>
        <w:rPr>
          <w:rFonts w:ascii="Arial" w:cs="Arial" w:eastAsia="Arial" w:hAnsi="Arial"/>
          <w:sz w:val="17"/>
          <w:szCs w:val="17"/>
          <w:b w:val="1"/>
          <w:bCs w:val="1"/>
          <w:color w:val="auto"/>
        </w:rPr>
        <w:t>Additional Shares</w:t>
      </w:r>
      <w:r>
        <w:rPr>
          <w:rFonts w:ascii="Arial" w:cs="Arial" w:eastAsia="Arial" w:hAnsi="Arial"/>
          <w:sz w:val="17"/>
          <w:szCs w:val="17"/>
          <w:color w:val="auto"/>
        </w:rPr>
        <w:t xml:space="preserve">”), as described below. A conversion of Notes shall be deemed for these purposes to be “in connection with” such Make-Whole Fundamental Change if the relevant Conversion Date occurs during the period from, and including, the Effective Date of the Make-Whole Fundamental Change up to, and including, the Business Day immediately prior to the related Fundamental Change Repurchase Date (or, in the case of a Make-Whole Fundamental Change that would have been a Fundamental Change but for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(b) of the definition thereof, the 35th Trading Day immediately following the Effective Date of such Make-Whole Fundamental Change) (such period, the “</w:t>
      </w:r>
      <w:r>
        <w:rPr>
          <w:rFonts w:ascii="Arial" w:cs="Arial" w:eastAsia="Arial" w:hAnsi="Arial"/>
          <w:sz w:val="17"/>
          <w:szCs w:val="17"/>
          <w:b w:val="1"/>
          <w:bCs w:val="1"/>
          <w:color w:val="auto"/>
        </w:rPr>
        <w:t>Make-Whole Fundamental Change Period</w:t>
      </w:r>
      <w:r>
        <w:rPr>
          <w:rFonts w:ascii="Arial" w:cs="Arial" w:eastAsia="Arial" w:hAnsi="Arial"/>
          <w:sz w:val="17"/>
          <w:szCs w:val="17"/>
          <w:color w:val="auto"/>
        </w:rPr>
        <w:t>”).</w:t>
      </w:r>
    </w:p>
    <w:p>
      <w:pPr>
        <w:spacing w:after="0" w:line="178" w:lineRule="exact"/>
        <w:rPr>
          <w:sz w:val="20"/>
          <w:szCs w:val="20"/>
          <w:color w:val="auto"/>
        </w:rPr>
      </w:pPr>
    </w:p>
    <w:p>
      <w:pPr>
        <w:ind w:right="160" w:firstLine="656"/>
        <w:spacing w:after="0" w:line="270" w:lineRule="auto"/>
        <w:tabs>
          <w:tab w:leader="none" w:pos="1304"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Upon surrender of Notes for conversion in connection with a Make-Whole Fundamental Change or during a Redemption Period, the Company shall, at its option, satisfy the related Conversion Obligation by Physical Settlement, Cash Settlement or Combination Settlement in accordance with Section 14.02 based on the Conversion Rate as increased to reflect the Additional Shares pursuant to the table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the Reference Property in any Make-Whole Fundamental Change described in clause (b) of the definition of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such Stock Price. In such event, the Conversion Obligation shall be determined and paid to Holders in cash on the second Business Day following the Conversion Date. The Company shall notify the Holders of Notes, the Trustee and the Conversion Agent (if other than the Trustee) in writing of the Effective Date of any Make-Whole Fundamental Change no later than five Business Days after such Effective Date.</w:t>
      </w:r>
    </w:p>
    <w:p>
      <w:pPr>
        <w:spacing w:after="0" w:line="177" w:lineRule="exact"/>
        <w:rPr>
          <w:rFonts w:ascii="Arial" w:cs="Arial" w:eastAsia="Arial" w:hAnsi="Arial"/>
          <w:sz w:val="17"/>
          <w:szCs w:val="17"/>
          <w:color w:val="auto"/>
        </w:rPr>
      </w:pPr>
    </w:p>
    <w:p>
      <w:pPr>
        <w:ind w:firstLine="656"/>
        <w:spacing w:after="0" w:line="273" w:lineRule="auto"/>
        <w:tabs>
          <w:tab w:leader="none" w:pos="1307"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number of Additional Shares, if any, by which the Conversion Rate shall be increased for conversions during the Make-Whole Fundamental Change Period or during the Redemption Period shall be determined by reference to the table below, based on the date on which the Make-Whole Fundamental Change occurs or becomes effective (the “</w:t>
      </w:r>
      <w:r>
        <w:rPr>
          <w:rFonts w:ascii="Arial" w:cs="Arial" w:eastAsia="Arial" w:hAnsi="Arial"/>
          <w:sz w:val="17"/>
          <w:szCs w:val="17"/>
          <w:b w:val="1"/>
          <w:bCs w:val="1"/>
          <w:color w:val="auto"/>
        </w:rPr>
        <w:t>Effective Date</w:t>
      </w:r>
      <w:r>
        <w:rPr>
          <w:rFonts w:ascii="Arial" w:cs="Arial" w:eastAsia="Arial" w:hAnsi="Arial"/>
          <w:sz w:val="17"/>
          <w:szCs w:val="17"/>
          <w:color w:val="auto"/>
        </w:rPr>
        <w:t>”) or the Redemption Notice Date, as the case may be, and the price (the “</w:t>
      </w:r>
      <w:r>
        <w:rPr>
          <w:rFonts w:ascii="Arial" w:cs="Arial" w:eastAsia="Arial" w:hAnsi="Arial"/>
          <w:sz w:val="17"/>
          <w:szCs w:val="17"/>
          <w:b w:val="1"/>
          <w:bCs w:val="1"/>
          <w:color w:val="auto"/>
        </w:rPr>
        <w:t>Stock</w:t>
      </w:r>
      <w:r>
        <w:rPr>
          <w:rFonts w:ascii="Arial" w:cs="Arial" w:eastAsia="Arial" w:hAnsi="Arial"/>
          <w:sz w:val="17"/>
          <w:szCs w:val="17"/>
          <w:color w:val="auto"/>
        </w:rPr>
        <w:t xml:space="preserve"> </w:t>
      </w:r>
      <w:r>
        <w:rPr>
          <w:rFonts w:ascii="Arial" w:cs="Arial" w:eastAsia="Arial" w:hAnsi="Arial"/>
          <w:sz w:val="17"/>
          <w:szCs w:val="17"/>
          <w:b w:val="1"/>
          <w:bCs w:val="1"/>
          <w:color w:val="auto"/>
        </w:rPr>
        <w:t>Price</w:t>
      </w:r>
      <w:r>
        <w:rPr>
          <w:rFonts w:ascii="Arial" w:cs="Arial" w:eastAsia="Arial" w:hAnsi="Arial"/>
          <w:sz w:val="17"/>
          <w:szCs w:val="17"/>
          <w:color w:val="auto"/>
        </w:rPr>
        <w:t>”) paid (or deemed to be paid) per share of the Common Stock in the Make-Whole Fundamental Change or on the Redemption Notice Date, as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as set forth in this Section 14.03. If the holders of the Common Stock receive in exchange for their Common Stock only cash in a Make-Whole Fundamental Change described in clause (b) of the definition of Fundamental Change, the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Price shall be the cash amount paid per share. In the case of any other Make-Whole Fundamental Change or in the case of any Optional Redemption, the Stock Price shall be the average of the Last Reported Sale Prices of the Common Stock over the five consecutive Trading Day period ending on, and including, the Trading Day immediately preceding the Effective Date of the Make-Whole Fundamental Change or the Redemption Notice Date, as the case may be. In the event that a Conversion Date occurs during both a Redemption Period and a Make-Whole Fundamental Change Period, a Holder of any such Notes to be converted will be entitled to a single increase to the Conversion Rate with respect to the first to occur of the applicable Redemption Notice Date or Effective Date, and the later event shall be deemed not to have occurred for purposes of this Section 14.03.</w:t>
      </w:r>
    </w:p>
    <w:p>
      <w:pPr>
        <w:spacing w:after="0" w:line="165" w:lineRule="exact"/>
        <w:rPr>
          <w:sz w:val="20"/>
          <w:szCs w:val="20"/>
          <w:color w:val="auto"/>
        </w:rPr>
      </w:pPr>
    </w:p>
    <w:p>
      <w:pPr>
        <w:ind w:firstLine="656"/>
        <w:spacing w:after="0" w:line="257" w:lineRule="auto"/>
        <w:tabs>
          <w:tab w:leader="none" w:pos="13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w:t>
      </w:r>
    </w:p>
    <w:p>
      <w:pPr>
        <w:spacing w:after="0" w:line="188" w:lineRule="exact"/>
        <w:rPr>
          <w:rFonts w:ascii="Arial" w:cs="Arial" w:eastAsia="Arial" w:hAnsi="Arial"/>
          <w:sz w:val="18"/>
          <w:szCs w:val="18"/>
          <w:color w:val="auto"/>
        </w:rPr>
      </w:pPr>
    </w:p>
    <w:p>
      <w:pPr>
        <w:ind w:right="540" w:firstLine="656"/>
        <w:spacing w:after="0" w:line="277" w:lineRule="auto"/>
        <w:tabs>
          <w:tab w:leader="none" w:pos="130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following table sets forth the number of Additional Shares by which the Conversion Rate shall be increased per $1,000 principal amount of Notes pursuant to this Section 14.03 for each Stock Price and Effective Date set forth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Effective Date/</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Stock Price</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3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Redemption Notice Date</w:t>
            </w:r>
          </w:p>
        </w:tc>
        <w:tc>
          <w:tcPr>
            <w:tcW w:w="7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$53.45</w:t>
            </w:r>
          </w:p>
        </w:tc>
        <w:tc>
          <w:tcPr>
            <w:tcW w:w="180" w:type="dxa"/>
            <w:vAlign w:val="bottom"/>
          </w:tcPr>
          <w:p>
            <w:pPr>
              <w:spacing w:after="0"/>
              <w:rPr>
                <w:sz w:val="12"/>
                <w:szCs w:val="12"/>
                <w:color w:val="auto"/>
              </w:rPr>
            </w:pPr>
          </w:p>
        </w:tc>
        <w:tc>
          <w:tcPr>
            <w:tcW w:w="7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$56.00</w:t>
            </w:r>
          </w:p>
        </w:tc>
        <w:tc>
          <w:tcPr>
            <w:tcW w:w="180" w:type="dxa"/>
            <w:vAlign w:val="bottom"/>
          </w:tcPr>
          <w:p>
            <w:pPr>
              <w:spacing w:after="0"/>
              <w:rPr>
                <w:sz w:val="12"/>
                <w:szCs w:val="12"/>
                <w:color w:val="auto"/>
              </w:rPr>
            </w:pPr>
          </w:p>
        </w:tc>
        <w:tc>
          <w:tcPr>
            <w:tcW w:w="7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$60.00</w:t>
            </w:r>
          </w:p>
        </w:tc>
        <w:tc>
          <w:tcPr>
            <w:tcW w:w="180" w:type="dxa"/>
            <w:vAlign w:val="bottom"/>
          </w:tcPr>
          <w:p>
            <w:pPr>
              <w:spacing w:after="0"/>
              <w:rPr>
                <w:sz w:val="12"/>
                <w:szCs w:val="12"/>
                <w:color w:val="auto"/>
              </w:rPr>
            </w:pPr>
          </w:p>
        </w:tc>
        <w:tc>
          <w:tcPr>
            <w:tcW w:w="74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$68.15</w:t>
            </w:r>
          </w:p>
        </w:tc>
        <w:tc>
          <w:tcPr>
            <w:tcW w:w="180" w:type="dxa"/>
            <w:vAlign w:val="bottom"/>
          </w:tcPr>
          <w:p>
            <w:pPr>
              <w:spacing w:after="0"/>
              <w:rPr>
                <w:sz w:val="12"/>
                <w:szCs w:val="12"/>
                <w:color w:val="auto"/>
              </w:rPr>
            </w:pPr>
          </w:p>
        </w:tc>
        <w:tc>
          <w:tcPr>
            <w:tcW w:w="7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$80.00</w:t>
            </w:r>
          </w:p>
        </w:tc>
        <w:tc>
          <w:tcPr>
            <w:tcW w:w="160" w:type="dxa"/>
            <w:vAlign w:val="bottom"/>
          </w:tcPr>
          <w:p>
            <w:pPr>
              <w:spacing w:after="0"/>
              <w:rPr>
                <w:sz w:val="12"/>
                <w:szCs w:val="12"/>
                <w:color w:val="auto"/>
              </w:rPr>
            </w:pPr>
          </w:p>
        </w:tc>
        <w:tc>
          <w:tcPr>
            <w:tcW w:w="7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$100.00</w:t>
            </w:r>
          </w:p>
        </w:tc>
        <w:tc>
          <w:tcPr>
            <w:tcW w:w="160" w:type="dxa"/>
            <w:vAlign w:val="bottom"/>
          </w:tcPr>
          <w:p>
            <w:pPr>
              <w:spacing w:after="0"/>
              <w:rPr>
                <w:sz w:val="12"/>
                <w:szCs w:val="12"/>
                <w:color w:val="auto"/>
              </w:rPr>
            </w:pPr>
          </w:p>
        </w:tc>
        <w:tc>
          <w:tcPr>
            <w:tcW w:w="76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$125.00</w:t>
            </w:r>
          </w:p>
        </w:tc>
        <w:tc>
          <w:tcPr>
            <w:tcW w:w="160" w:type="dxa"/>
            <w:vAlign w:val="bottom"/>
          </w:tcPr>
          <w:p>
            <w:pPr>
              <w:spacing w:after="0"/>
              <w:rPr>
                <w:sz w:val="12"/>
                <w:szCs w:val="12"/>
                <w:color w:val="auto"/>
              </w:rPr>
            </w:pPr>
          </w:p>
        </w:tc>
        <w:tc>
          <w:tcPr>
            <w:tcW w:w="74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$150.00</w:t>
            </w:r>
          </w:p>
        </w:tc>
        <w:tc>
          <w:tcPr>
            <w:tcW w:w="180" w:type="dxa"/>
            <w:vAlign w:val="bottom"/>
          </w:tcPr>
          <w:p>
            <w:pPr>
              <w:spacing w:after="0"/>
              <w:rPr>
                <w:sz w:val="12"/>
                <w:szCs w:val="12"/>
                <w:color w:val="auto"/>
              </w:rPr>
            </w:pPr>
          </w:p>
        </w:tc>
        <w:tc>
          <w:tcPr>
            <w:tcW w:w="72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$175.00</w:t>
            </w:r>
          </w:p>
        </w:tc>
        <w:tc>
          <w:tcPr>
            <w:tcW w:w="160" w:type="dxa"/>
            <w:vAlign w:val="bottom"/>
          </w:tcPr>
          <w:p>
            <w:pPr>
              <w:spacing w:after="0"/>
              <w:rPr>
                <w:sz w:val="12"/>
                <w:szCs w:val="12"/>
                <w:color w:val="auto"/>
              </w:rPr>
            </w:pPr>
          </w:p>
        </w:tc>
        <w:tc>
          <w:tcPr>
            <w:tcW w:w="7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$200.00</w:t>
            </w:r>
          </w:p>
        </w:tc>
        <w:tc>
          <w:tcPr>
            <w:tcW w:w="100" w:type="dxa"/>
            <w:vAlign w:val="bottom"/>
          </w:tcPr>
          <w:p>
            <w:pPr>
              <w:spacing w:after="0"/>
              <w:rPr>
                <w:sz w:val="12"/>
                <w:szCs w:val="12"/>
                <w:color w:val="auto"/>
              </w:rPr>
            </w:pPr>
          </w:p>
        </w:tc>
      </w:tr>
      <w:tr>
        <w:trPr>
          <w:trHeight w:val="210"/>
        </w:trPr>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28, 2018</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4.0352</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3.1702</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2.3875</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0.8761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0.4154</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3"/>
              </w:rPr>
              <w:t>0.1901</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0.0766</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June 15, 2019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4.0352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3.6673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3.1702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2.3815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1.5798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0.8219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0.3698</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0.1583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0.0572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0.0125</w:t>
            </w: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15, 2020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4.0352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3.6673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3.1702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2.3489</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1.5101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0.7438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0.3102</w:t>
            </w: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0.1201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0.0364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0.0045</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June 15, 2021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4.0352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3.6673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3.1702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2.2536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1.3816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0.6247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0.2299</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0.0740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0.0146</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15, 2022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4.0352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3.6673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3.0642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2.0465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0.4463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0.1287</w:t>
            </w: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0.0263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0.0003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June 15, 2023</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4.0352</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3.5179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2.7337</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1.6189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0.7460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0.1966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0.0274</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0.0000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0.0000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0.0000</w:t>
            </w:r>
          </w:p>
        </w:tc>
      </w:tr>
      <w:tr>
        <w:trPr>
          <w:trHeight w:val="216"/>
        </w:trPr>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15, 2024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4.0352</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3.1834</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1.9928</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0.0000</w:t>
            </w: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0.0000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0.0000</w:t>
            </w:r>
          </w:p>
        </w:tc>
      </w:tr>
    </w:tbl>
    <w:p>
      <w:pPr>
        <w:sectPr>
          <w:pgSz w:w="11900" w:h="16838" w:orient="portrait"/>
          <w:cols w:equalWidth="0" w:num="1">
            <w:col w:w="11420"/>
          </w:cols>
          <w:pgMar w:left="240" w:top="125" w:right="239" w:bottom="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exact Stock Prices and Effective Dates or Redemption Notice Dates may not be set forth in the table above, in which case:</w:t>
      </w:r>
    </w:p>
    <w:p>
      <w:pPr>
        <w:spacing w:after="0" w:line="225" w:lineRule="exact"/>
        <w:rPr>
          <w:sz w:val="20"/>
          <w:szCs w:val="20"/>
          <w:color w:val="auto"/>
        </w:rPr>
      </w:pPr>
    </w:p>
    <w:p>
      <w:pPr>
        <w:ind w:left="660" w:right="160" w:firstLine="645"/>
        <w:spacing w:after="0" w:line="312" w:lineRule="auto"/>
        <w:tabs>
          <w:tab w:leader="none" w:pos="1978"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Stock Price is between two Stock Prices in the table above or the Effective Date or the Redemption Notice Date, as the case may be, is between two Effective Dates or Redemption Notice Dates, as the case may be, in the table above, the number of Additional Shares by which the Conversion Rate shall be increased shall be determined by a straight-line interpolation between the number of Additional Shares set</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forth for the higher and lower Stock Prices and the earlier and later Effective Dates or Redemption Notice Dates, as applicable, based on a 365-day year;</w:t>
      </w:r>
    </w:p>
    <w:p>
      <w:pPr>
        <w:spacing w:after="0" w:line="170" w:lineRule="exact"/>
        <w:rPr>
          <w:sz w:val="20"/>
          <w:szCs w:val="20"/>
          <w:color w:val="auto"/>
        </w:rPr>
      </w:pPr>
    </w:p>
    <w:p>
      <w:pPr>
        <w:ind w:left="660" w:right="260" w:firstLine="645"/>
        <w:spacing w:after="0" w:line="342" w:lineRule="auto"/>
        <w:tabs>
          <w:tab w:leader="none" w:pos="1987"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Stock Price is greater than $200.00 per share (subject to adjustment in the same manner as the Stock Prices set forth in the column headings of the table above pursuant to subsection (d) above), no Additional Shares shall be added to the Conversion Rate; and</w:t>
      </w:r>
    </w:p>
    <w:p>
      <w:pPr>
        <w:spacing w:after="0" w:line="123" w:lineRule="exact"/>
        <w:rPr>
          <w:rFonts w:ascii="Arial" w:cs="Arial" w:eastAsia="Arial" w:hAnsi="Arial"/>
          <w:sz w:val="16"/>
          <w:szCs w:val="16"/>
          <w:color w:val="auto"/>
        </w:rPr>
      </w:pPr>
    </w:p>
    <w:p>
      <w:pPr>
        <w:ind w:left="660" w:right="580" w:firstLine="645"/>
        <w:spacing w:after="0" w:line="342" w:lineRule="auto"/>
        <w:tabs>
          <w:tab w:leader="none" w:pos="1997"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Stock Price is less than $53.45 per share (subject to adjustment in the same manner as the Stock Prices set forth in the column headings of the table above pursuant to subsection (d) above), no Additional Shares shall be added to the Conversion Rate.</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Notwithstanding the foregoing, in no event shall the Conversion Rate per $1,000 principal amount of Notes exceed 18.7090 shares of Common Stock, subject to adjustment in the same manner as the Conversion Rate pursuant to Section 14.04.</w:t>
      </w:r>
    </w:p>
    <w:p>
      <w:pPr>
        <w:spacing w:after="0" w:line="170" w:lineRule="exact"/>
        <w:rPr>
          <w:sz w:val="20"/>
          <w:szCs w:val="20"/>
          <w:color w:val="auto"/>
        </w:rPr>
      </w:pPr>
    </w:p>
    <w:p>
      <w:pPr>
        <w:ind w:right="380" w:firstLine="656"/>
        <w:spacing w:after="0" w:line="277" w:lineRule="auto"/>
        <w:tabs>
          <w:tab w:leader="none" w:pos="1301"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Nothing in this Section 14.03 shall prevent an adjustment to the Conversion Rate pursuant to Section 14.04 in respect of a Make-Whole Fundamental Change.</w:t>
      </w:r>
    </w:p>
    <w:p>
      <w:pPr>
        <w:spacing w:after="0" w:line="170"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color w:val="auto"/>
        </w:rPr>
        <w:t>Section 14.04</w:t>
      </w:r>
      <w:r>
        <w:rPr>
          <w:rFonts w:ascii="Arial" w:cs="Arial" w:eastAsia="Arial" w:hAnsi="Arial"/>
          <w:sz w:val="16"/>
          <w:szCs w:val="16"/>
          <w:i w:val="1"/>
          <w:iCs w:val="1"/>
          <w:color w:val="auto"/>
        </w:rPr>
        <w:t>. Adjustment of Conversion Rate.</w:t>
      </w:r>
      <w:r>
        <w:rPr>
          <w:rFonts w:ascii="Arial" w:cs="Arial" w:eastAsia="Arial" w:hAnsi="Arial"/>
          <w:sz w:val="16"/>
          <w:szCs w:val="16"/>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w:t>
      </w:r>
    </w:p>
    <w:p>
      <w:pPr>
        <w:ind w:right="60" w:firstLine="8"/>
        <w:spacing w:after="0" w:line="302" w:lineRule="auto"/>
        <w:tabs>
          <w:tab w:leader="none" w:pos="255"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a share split or share combination or (y) 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principal amount (expressed in thousands) of Notes held by such Holder.</w:t>
      </w:r>
    </w:p>
    <w:p>
      <w:pPr>
        <w:spacing w:after="0" w:line="155" w:lineRule="exact"/>
        <w:rPr>
          <w:rFonts w:ascii="Arial" w:cs="Arial" w:eastAsia="Arial" w:hAnsi="Arial"/>
          <w:sz w:val="16"/>
          <w:szCs w:val="16"/>
          <w:color w:val="auto"/>
        </w:rPr>
      </w:pPr>
    </w:p>
    <w:p>
      <w:pPr>
        <w:ind w:right="760" w:firstLine="656"/>
        <w:spacing w:after="0" w:line="308" w:lineRule="auto"/>
        <w:tabs>
          <w:tab w:leader="none" w:pos="1294" w:val="left"/>
        </w:tabs>
        <w:numPr>
          <w:ilvl w:val="1"/>
          <w:numId w:val="66"/>
        </w:numPr>
        <w:rPr>
          <w:rFonts w:ascii="Arial" w:cs="Arial" w:eastAsia="Arial" w:hAnsi="Arial"/>
          <w:sz w:val="17"/>
          <w:szCs w:val="17"/>
          <w:color w:val="auto"/>
        </w:rPr>
      </w:pPr>
      <w:r>
        <w:rPr>
          <w:rFonts w:ascii="Arial" w:cs="Arial" w:eastAsia="Arial" w:hAnsi="Arial"/>
          <w:sz w:val="17"/>
          <w:szCs w:val="17"/>
          <w:color w:val="auto"/>
        </w:rPr>
        <w:t>If the Company exclusively issues shares of Common Stock as a dividend or distribution on shares of the Common Stock, or if the Company effects a share split or share combination,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102235</wp:posOffset>
            </wp:positionV>
            <wp:extent cx="1003300" cy="3860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033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w w:val="99"/>
              </w:rPr>
              <w:t>where,</w:t>
            </w:r>
          </w:p>
        </w:tc>
        <w:tc>
          <w:tcPr>
            <w:tcW w:w="420" w:type="dxa"/>
            <w:vAlign w:val="bottom"/>
          </w:tcPr>
          <w:p>
            <w:pPr>
              <w:spacing w:after="0"/>
              <w:rPr>
                <w:sz w:val="20"/>
                <w:szCs w:val="20"/>
                <w:color w:val="auto"/>
              </w:rPr>
            </w:pPr>
          </w:p>
        </w:tc>
        <w:tc>
          <w:tcPr>
            <w:tcW w:w="1048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80" w:type="dxa"/>
            <w:vAlign w:val="bottom"/>
          </w:tcPr>
          <w:p>
            <w:pPr>
              <w:ind w:left="220"/>
              <w:spacing w:after="0"/>
              <w:rPr>
                <w:sz w:val="20"/>
                <w:szCs w:val="20"/>
                <w:color w:val="auto"/>
              </w:rPr>
            </w:pPr>
            <w:r>
              <w:rPr>
                <w:rFonts w:ascii="Arial" w:cs="Arial" w:eastAsia="Arial" w:hAnsi="Arial"/>
                <w:sz w:val="18"/>
                <w:szCs w:val="18"/>
                <w:color w:val="auto"/>
                <w:w w:val="98"/>
              </w:rPr>
              <w:t>the Conversion Rate in effect immediately prior to the open of business on the Ex-Dividend Date of such dividend or distribution, or</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immediately prior to the open of business on the Effective Date of such share split or share combination, as applicable;</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CR’</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80" w:type="dxa"/>
            <w:vAlign w:val="bottom"/>
          </w:tcPr>
          <w:p>
            <w:pPr>
              <w:ind w:left="220"/>
              <w:spacing w:after="0"/>
              <w:rPr>
                <w:sz w:val="20"/>
                <w:szCs w:val="20"/>
                <w:color w:val="auto"/>
              </w:rPr>
            </w:pPr>
            <w:r>
              <w:rPr>
                <w:rFonts w:ascii="Arial" w:cs="Arial" w:eastAsia="Arial" w:hAnsi="Arial"/>
                <w:sz w:val="18"/>
                <w:szCs w:val="18"/>
                <w:color w:val="auto"/>
                <w:w w:val="95"/>
              </w:rPr>
              <w:t>the Conversion Rate in effect immediately after the open of business on such Ex-Dividend Date or Effective Date, as the case may be;</w:t>
            </w:r>
          </w:p>
        </w:tc>
      </w:tr>
      <w:tr>
        <w:trPr>
          <w:trHeight w:val="432"/>
        </w:trPr>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80" w:type="dxa"/>
            <w:vAlign w:val="bottom"/>
          </w:tcPr>
          <w:p>
            <w:pPr>
              <w:ind w:left="4640"/>
              <w:spacing w:after="0"/>
              <w:rPr>
                <w:sz w:val="20"/>
                <w:szCs w:val="20"/>
                <w:color w:val="auto"/>
              </w:rPr>
            </w:pPr>
            <w:r>
              <w:rPr>
                <w:rFonts w:ascii="Arial" w:cs="Arial" w:eastAsia="Arial" w:hAnsi="Arial"/>
                <w:sz w:val="18"/>
                <w:szCs w:val="18"/>
                <w:color w:val="auto"/>
              </w:rPr>
              <w:t>65</w:t>
            </w:r>
          </w:p>
        </w:tc>
      </w:tr>
      <w:tr>
        <w:trPr>
          <w:trHeight w:val="132"/>
        </w:trPr>
        <w:tc>
          <w:tcPr>
            <w:tcW w:w="5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480" w:type="dxa"/>
            <w:vAlign w:val="bottom"/>
            <w:tcBorders>
              <w:bottom w:val="single" w:sz="8" w:color="808080"/>
            </w:tcBorders>
          </w:tcPr>
          <w:p>
            <w:pPr>
              <w:spacing w:after="0"/>
              <w:rPr>
                <w:sz w:val="11"/>
                <w:szCs w:val="11"/>
                <w:color w:val="auto"/>
              </w:rPr>
            </w:pPr>
          </w:p>
        </w:tc>
      </w:tr>
      <w:tr>
        <w:trPr>
          <w:trHeight w:val="766"/>
        </w:trPr>
        <w:tc>
          <w:tcPr>
            <w:tcW w:w="56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80" w:type="dxa"/>
            <w:vAlign w:val="bottom"/>
          </w:tcPr>
          <w:p>
            <w:pPr>
              <w:ind w:left="220"/>
              <w:spacing w:after="0"/>
              <w:rPr>
                <w:sz w:val="20"/>
                <w:szCs w:val="20"/>
                <w:color w:val="auto"/>
              </w:rPr>
            </w:pPr>
            <w:r>
              <w:rPr>
                <w:rFonts w:ascii="Arial" w:cs="Arial" w:eastAsia="Arial" w:hAnsi="Arial"/>
                <w:sz w:val="18"/>
                <w:szCs w:val="18"/>
                <w:color w:val="auto"/>
                <w:w w:val="93"/>
              </w:rPr>
              <w:t>the number of shares of Common Stock outstanding immediately prior to the open of business on such Ex-Dividend Date or Effective Date</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(before giving effect to any such dividend, distribution, share split or share combination), as the case may be; and</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OS’</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80" w:type="dxa"/>
            <w:vAlign w:val="bottom"/>
          </w:tcPr>
          <w:p>
            <w:pPr>
              <w:ind w:left="240"/>
              <w:spacing w:after="0"/>
              <w:rPr>
                <w:sz w:val="20"/>
                <w:szCs w:val="20"/>
                <w:color w:val="auto"/>
              </w:rPr>
            </w:pPr>
            <w:r>
              <w:rPr>
                <w:rFonts w:ascii="Arial" w:cs="Arial" w:eastAsia="Arial" w:hAnsi="Arial"/>
                <w:sz w:val="18"/>
                <w:szCs w:val="18"/>
                <w:color w:val="auto"/>
                <w:w w:val="96"/>
              </w:rPr>
              <w:t>the number of shares of Common Stock outstanding immediately after giving effect to such dividend, distribution, share split or share</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combination, as the case may be.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88" w:lineRule="exact"/>
        <w:rPr>
          <w:sz w:val="20"/>
          <w:szCs w:val="20"/>
          <w:color w:val="auto"/>
        </w:rPr>
      </w:pPr>
    </w:p>
    <w:p>
      <w:pPr>
        <w:ind w:right="100" w:firstLine="656"/>
        <w:spacing w:after="0" w:line="257" w:lineRule="auto"/>
        <w:tabs>
          <w:tab w:leader="none" w:pos="13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Company issues to all or substantially all holders of the Common Stock any rights, options or warrants (other than in connection with a stockholder rights plan) entitling them, for a period of not more than 60 calendar days after the announcement date of such issuance,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128905</wp:posOffset>
            </wp:positionV>
            <wp:extent cx="1209040" cy="3860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0904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spacing w:after="0"/>
        <w:tabs>
          <w:tab w:leader="none" w:pos="620" w:val="left"/>
          <w:tab w:leader="none" w:pos="118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Conversion Rate in effect immediately prior to the open of business on the Ex-Dividend Date for such issuance;</w:t>
      </w:r>
    </w:p>
    <w:p>
      <w:pPr>
        <w:sectPr>
          <w:pgSz w:w="11900" w:h="16838" w:orient="portrait"/>
          <w:cols w:equalWidth="0" w:num="1">
            <w:col w:w="11460"/>
          </w:cols>
          <w:pgMar w:left="240" w:top="341" w:right="199" w:bottom="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CR’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Conversion Rate in effect immediately after the open of business on such Ex-Dividend Date;</w:t>
      </w:r>
    </w:p>
    <w:p>
      <w:pPr>
        <w:spacing w:after="0" w:line="222" w:lineRule="exact"/>
        <w:rPr>
          <w:sz w:val="20"/>
          <w:szCs w:val="20"/>
          <w:color w:val="auto"/>
        </w:rPr>
      </w:pPr>
    </w:p>
    <w:p>
      <w:pPr>
        <w:sectPr>
          <w:pgSz w:w="11900" w:h="16838" w:orient="portrait"/>
          <w:cols w:equalWidth="0" w:num="3">
            <w:col w:w="300" w:space="360"/>
            <w:col w:w="100" w:space="440"/>
            <w:col w:w="10260"/>
          </w:cols>
          <w:pgMar w:left="240" w:top="125" w:right="199" w:bottom="250" w:gutter="0" w:footer="0" w:header="0"/>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OS</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outstanding immediately prior to the open of business on such Ex-Dividend Date;</w:t>
      </w:r>
    </w:p>
    <w:p>
      <w:pPr>
        <w:spacing w:after="0" w:line="211" w:lineRule="exact"/>
        <w:rPr>
          <w:sz w:val="20"/>
          <w:szCs w:val="20"/>
          <w:color w:val="auto"/>
        </w:rPr>
      </w:pPr>
    </w:p>
    <w:p>
      <w:pPr>
        <w:sectPr>
          <w:pgSz w:w="11900" w:h="16838" w:orient="portrait"/>
          <w:cols w:equalWidth="0" w:num="3">
            <w:col w:w="300" w:space="360"/>
            <w:col w:w="100" w:space="440"/>
            <w:col w:w="10260"/>
          </w:cols>
          <w:pgMar w:left="240" w:top="125" w:right="199" w:bottom="250" w:gutter="0" w:footer="0" w:header="0"/>
          <w:type w:val="continuous"/>
        </w:sectPr>
      </w:pPr>
    </w:p>
    <w:p>
      <w:pPr>
        <w:spacing w:after="0" w:line="37"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total number of shares of Common Stock issuable pursuant to such rights, options or warrants; and</w:t>
      </w:r>
    </w:p>
    <w:p>
      <w:pPr>
        <w:spacing w:after="0" w:line="225" w:lineRule="exact"/>
        <w:rPr>
          <w:sz w:val="20"/>
          <w:szCs w:val="20"/>
          <w:color w:val="auto"/>
        </w:rPr>
      </w:pPr>
    </w:p>
    <w:p>
      <w:pPr>
        <w:ind w:left="1200" w:right="520" w:hanging="1192"/>
        <w:spacing w:after="0" w:line="277" w:lineRule="auto"/>
        <w:tabs>
          <w:tab w:leader="none" w:pos="6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number of shares of Common Stock equal to the aggregate price payable to exercise such rights, options or warrants,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average of the Last Reported Sale Prices of the Common Stock over the 10 consecutive Trading Day</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0" w:right="140"/>
        <w:spacing w:after="0" w:line="277" w:lineRule="auto"/>
        <w:rPr>
          <w:sz w:val="20"/>
          <w:szCs w:val="20"/>
          <w:color w:val="auto"/>
        </w:rPr>
      </w:pPr>
      <w:r>
        <w:rPr>
          <w:rFonts w:ascii="Arial" w:cs="Arial" w:eastAsia="Arial" w:hAnsi="Arial"/>
          <w:sz w:val="18"/>
          <w:szCs w:val="18"/>
          <w:color w:val="auto"/>
        </w:rPr>
        <w:t>period ending on, and including, the Trading Day immediately preceding the date of announcement of the issuance of such rights, options or warrants.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Any increase made under this Section 14.04(b)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purposes of this Section 14.04(b) and Section 14.01(b)(ii)(A), in determining whether any rights, options or warrants entitle the holders of Common Stock to subscribe for or purchase shares of the Common Stock at less than such average of the Last Reported Sale Prices of the Common Stock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w:t>
      </w:r>
    </w:p>
    <w:p>
      <w:pPr>
        <w:spacing w:after="0" w:line="193" w:lineRule="exact"/>
        <w:rPr>
          <w:sz w:val="20"/>
          <w:szCs w:val="20"/>
          <w:color w:val="auto"/>
        </w:rPr>
      </w:pPr>
    </w:p>
    <w:p>
      <w:pPr>
        <w:ind w:right="220" w:firstLine="656"/>
        <w:spacing w:after="0" w:line="254" w:lineRule="auto"/>
        <w:tabs>
          <w:tab w:leader="none" w:pos="12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the Company distributes shares of its Capital Stock, evidences of its indebtedness, other assets or property of the Company or rights, options or warrants to acquire its Capital Stock or other securities of the Company, to all or substantially all holders of the Common Stock, excluding (i) dividends, distributions or issuances (including share splits) as to which an adjustment was effected pursuant to Section 14.04(a) or Section 14.04(b), (ii) dividends or distributions paid exclusively in cash as to which an adjustment was effected pursuant to Section 14.04(d), (iii) rights issued pursuant a stockholder rights plan except as set forth in Section 14.11, (iv) distributions of Reference Property in a transaction described in Section 14.07 and (v) Spin-Offs as to which the provisions set forth below in this Section 14.04(c) shall apply (any of such shares of Capital Stock, evidences of indebtedness, other assets or property or rights, options or warrants to acquire Capital Stock or other securities, the “</w:t>
      </w:r>
      <w:r>
        <w:rPr>
          <w:rFonts w:ascii="Arial" w:cs="Arial" w:eastAsia="Arial" w:hAnsi="Arial"/>
          <w:sz w:val="18"/>
          <w:szCs w:val="18"/>
          <w:b w:val="1"/>
          <w:bCs w:val="1"/>
          <w:color w:val="auto"/>
        </w:rPr>
        <w:t>Distributed Property</w:t>
      </w:r>
      <w:r>
        <w:rPr>
          <w:rFonts w:ascii="Arial" w:cs="Arial" w:eastAsia="Arial" w:hAnsi="Arial"/>
          <w:sz w:val="18"/>
          <w:szCs w:val="18"/>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131445</wp:posOffset>
            </wp:positionV>
            <wp:extent cx="1372235" cy="3860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223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w w:val="99"/>
              </w:rPr>
              <w:t>where,</w:t>
            </w:r>
          </w:p>
        </w:tc>
        <w:tc>
          <w:tcPr>
            <w:tcW w:w="420" w:type="dxa"/>
            <w:vAlign w:val="bottom"/>
          </w:tcPr>
          <w:p>
            <w:pPr>
              <w:spacing w:after="0"/>
              <w:rPr>
                <w:sz w:val="20"/>
                <w:szCs w:val="20"/>
                <w:color w:val="auto"/>
              </w:rPr>
            </w:pPr>
          </w:p>
        </w:tc>
        <w:tc>
          <w:tcPr>
            <w:tcW w:w="10480" w:type="dxa"/>
            <w:vAlign w:val="bottom"/>
          </w:tcPr>
          <w:p>
            <w:pPr>
              <w:spacing w:after="0"/>
              <w:rPr>
                <w:sz w:val="20"/>
                <w:szCs w:val="20"/>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80" w:type="dxa"/>
            <w:vAlign w:val="bottom"/>
          </w:tcPr>
          <w:p>
            <w:pPr>
              <w:ind w:left="220"/>
              <w:spacing w:after="0"/>
              <w:rPr>
                <w:sz w:val="20"/>
                <w:szCs w:val="20"/>
                <w:color w:val="auto"/>
              </w:rPr>
            </w:pPr>
            <w:r>
              <w:rPr>
                <w:rFonts w:ascii="Arial" w:cs="Arial" w:eastAsia="Arial" w:hAnsi="Arial"/>
                <w:sz w:val="18"/>
                <w:szCs w:val="18"/>
                <w:color w:val="auto"/>
              </w:rPr>
              <w:t>the Conversion Rate in effect immediately prior to the open of business on the Ex-Dividend Date for such distribution;</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CR’</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80" w:type="dxa"/>
            <w:vAlign w:val="bottom"/>
          </w:tcPr>
          <w:p>
            <w:pPr>
              <w:ind w:left="22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r>
      <w:tr>
        <w:trPr>
          <w:trHeight w:val="432"/>
        </w:trPr>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80" w:type="dxa"/>
            <w:vAlign w:val="bottom"/>
          </w:tcPr>
          <w:p>
            <w:pPr>
              <w:ind w:left="4640"/>
              <w:spacing w:after="0"/>
              <w:rPr>
                <w:sz w:val="20"/>
                <w:szCs w:val="20"/>
                <w:color w:val="auto"/>
              </w:rPr>
            </w:pPr>
            <w:r>
              <w:rPr>
                <w:rFonts w:ascii="Arial" w:cs="Arial" w:eastAsia="Arial" w:hAnsi="Arial"/>
                <w:sz w:val="18"/>
                <w:szCs w:val="18"/>
                <w:color w:val="auto"/>
              </w:rPr>
              <w:t>67</w:t>
            </w:r>
          </w:p>
        </w:tc>
      </w:tr>
      <w:tr>
        <w:trPr>
          <w:trHeight w:val="132"/>
        </w:trPr>
        <w:tc>
          <w:tcPr>
            <w:tcW w:w="5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480" w:type="dxa"/>
            <w:vAlign w:val="bottom"/>
            <w:tcBorders>
              <w:bottom w:val="single" w:sz="8" w:color="808080"/>
            </w:tcBorders>
          </w:tcPr>
          <w:p>
            <w:pPr>
              <w:spacing w:after="0"/>
              <w:rPr>
                <w:sz w:val="11"/>
                <w:szCs w:val="11"/>
                <w:color w:val="auto"/>
              </w:rPr>
            </w:pPr>
          </w:p>
        </w:tc>
      </w:tr>
      <w:tr>
        <w:trPr>
          <w:trHeight w:val="766"/>
        </w:trPr>
        <w:tc>
          <w:tcPr>
            <w:tcW w:w="56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1"/>
                <w:szCs w:val="11"/>
                <w:color w:val="auto"/>
              </w:rPr>
              <w:t>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80" w:type="dxa"/>
            <w:vAlign w:val="bottom"/>
          </w:tcPr>
          <w:p>
            <w:pPr>
              <w:ind w:left="220"/>
              <w:spacing w:after="0"/>
              <w:rPr>
                <w:sz w:val="20"/>
                <w:szCs w:val="20"/>
                <w:color w:val="auto"/>
              </w:rPr>
            </w:pPr>
            <w:r>
              <w:rPr>
                <w:rFonts w:ascii="Arial" w:cs="Arial" w:eastAsia="Arial" w:hAnsi="Arial"/>
                <w:sz w:val="18"/>
                <w:szCs w:val="18"/>
                <w:color w:val="auto"/>
                <w:w w:val="90"/>
              </w:rPr>
              <w:t>the average of the Last Reported Sale Prices of the Common Stock over the 10 consecutive Trading Day period ending on, and including, the</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Trading Day immediately preceding the Ex-Dividend Date for such distribution; and</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FMV</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the fair market value (as determined by the Company) of the Distributed Property with respect to each outstanding share of the Common</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Stock on the Ex-Dividend Date for such distribution.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In the case of any distribution of rights, options or warrants, to the extent any such rights, options or warrants expire unexercised, the Conversion Rate shall be immediately readjusted to the Conversion Rate that would then be in effect had the increase made for the distribution of such rights, options or warrants been made on the basis of delivery of only the number of shares of Common Stock actually delivered upon exercise of such rights, options or warrants. Notwithstanding the foregoing, if “FMV” (as defined above) is equal to or greater than “SP</w:t>
      </w:r>
      <w:r>
        <w:rPr>
          <w:rFonts w:ascii="Arial" w:cs="Arial" w:eastAsia="Arial" w:hAnsi="Arial"/>
          <w:sz w:val="10"/>
          <w:szCs w:val="10"/>
          <w:color w:val="auto"/>
        </w:rPr>
        <w:t>0</w:t>
      </w:r>
      <w:r>
        <w:rPr>
          <w:rFonts w:ascii="Arial" w:cs="Arial" w:eastAsia="Arial" w:hAnsi="Arial"/>
          <w:sz w:val="16"/>
          <w:szCs w:val="16"/>
          <w:color w:val="auto"/>
        </w:rPr>
        <w:t>” (as defined above), in lieu of the foregoing increase, each Holder of a Note shall receive, in respect of each $1,000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w:t>
      </w:r>
    </w:p>
    <w:p>
      <w:pPr>
        <w:spacing w:after="0" w:line="16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With respect to an adjustment pursuant to this Section 14.04(c) where there has been a payment of a dividend or other distribution on the Common Stock of shares of Capital Stock of any class or series, or similar equity interest, of or relating to any of its Subsidiaries or other business units of the Company,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ectPr>
          <w:pgSz w:w="11900" w:h="16838" w:orient="portrait"/>
          <w:cols w:equalWidth="0" w:num="1">
            <w:col w:w="11460"/>
          </w:cols>
          <w:pgMar w:left="240" w:top="125" w:right="199" w:bottom="250" w:gutter="0" w:footer="0" w:header="0"/>
          <w:type w:val="continuous"/>
        </w:sectPr>
      </w:pPr>
    </w:p>
    <w:bookmarkStart w:id="40" w:name="page41"/>
    <w:bookmarkEnd w:id="40"/>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3047365</wp:posOffset>
            </wp:positionH>
            <wp:positionV relativeFrom="page">
              <wp:posOffset>88900</wp:posOffset>
            </wp:positionV>
            <wp:extent cx="1466215" cy="386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466215" cy="3860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w w:val="99"/>
              </w:rPr>
              <w:t>where,</w:t>
            </w:r>
          </w:p>
        </w:tc>
        <w:tc>
          <w:tcPr>
            <w:tcW w:w="420" w:type="dxa"/>
            <w:vAlign w:val="bottom"/>
          </w:tcPr>
          <w:p>
            <w:pPr>
              <w:spacing w:after="0"/>
              <w:rPr>
                <w:sz w:val="20"/>
                <w:szCs w:val="20"/>
                <w:color w:val="auto"/>
              </w:rPr>
            </w:pPr>
          </w:p>
        </w:tc>
        <w:tc>
          <w:tcPr>
            <w:tcW w:w="10480" w:type="dxa"/>
            <w:vAlign w:val="bottom"/>
          </w:tcPr>
          <w:p>
            <w:pPr>
              <w:spacing w:after="0"/>
              <w:rPr>
                <w:sz w:val="20"/>
                <w:szCs w:val="20"/>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80" w:type="dxa"/>
            <w:vAlign w:val="bottom"/>
          </w:tcPr>
          <w:p>
            <w:pPr>
              <w:ind w:left="220"/>
              <w:spacing w:after="0"/>
              <w:rPr>
                <w:sz w:val="20"/>
                <w:szCs w:val="20"/>
                <w:color w:val="auto"/>
              </w:rPr>
            </w:pPr>
            <w:r>
              <w:rPr>
                <w:rFonts w:ascii="Arial" w:cs="Arial" w:eastAsia="Arial" w:hAnsi="Arial"/>
                <w:sz w:val="18"/>
                <w:szCs w:val="18"/>
                <w:color w:val="auto"/>
              </w:rPr>
              <w:t>the Conversion Rate in effect immediately prior to the end of the Valuation Period;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CR’</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80" w:type="dxa"/>
            <w:vAlign w:val="bottom"/>
          </w:tcPr>
          <w:p>
            <w:pPr>
              <w:ind w:left="220"/>
              <w:spacing w:after="0"/>
              <w:rPr>
                <w:sz w:val="20"/>
                <w:szCs w:val="20"/>
                <w:color w:val="auto"/>
              </w:rPr>
            </w:pPr>
            <w:r>
              <w:rPr>
                <w:rFonts w:ascii="Arial" w:cs="Arial" w:eastAsia="Arial" w:hAnsi="Arial"/>
                <w:sz w:val="18"/>
                <w:szCs w:val="18"/>
                <w:color w:val="auto"/>
              </w:rPr>
              <w:t>the Conversion Rate in effect immediately after the end of the Valuation Period;</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1"/>
                <w:szCs w:val="11"/>
                <w:color w:val="auto"/>
              </w:rPr>
              <w:t>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80" w:type="dxa"/>
            <w:vAlign w:val="bottom"/>
          </w:tcPr>
          <w:p>
            <w:pPr>
              <w:ind w:left="220"/>
              <w:spacing w:after="0"/>
              <w:rPr>
                <w:sz w:val="20"/>
                <w:szCs w:val="20"/>
                <w:color w:val="auto"/>
              </w:rPr>
            </w:pPr>
            <w:r>
              <w:rPr>
                <w:rFonts w:ascii="Arial" w:cs="Arial" w:eastAsia="Arial" w:hAnsi="Arial"/>
                <w:sz w:val="18"/>
                <w:szCs w:val="18"/>
                <w:color w:val="auto"/>
                <w:w w:val="96"/>
              </w:rPr>
              <w:t>the average of the Last Reported Sale Prices of the Capital Stock or similar equity interest distributed to holders of the Common Stock</w:t>
            </w:r>
          </w:p>
        </w:tc>
      </w:tr>
      <w:tr>
        <w:trPr>
          <w:trHeight w:val="216"/>
        </w:trPr>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w w:val="98"/>
              </w:rPr>
              <w:t>applicable to one share of the Common Stock (determined by reference to the definition of Last Reported Sale Price as set forth in</w:t>
            </w:r>
          </w:p>
        </w:tc>
      </w:tr>
      <w:tr>
        <w:trPr>
          <w:trHeight w:val="212"/>
        </w:trPr>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w w:val="94"/>
              </w:rPr>
              <w:t>Section 1.01 as if references therein to Common Stock were to such Capital Stock or similar equity interest) over the first 10 consecutive</w:t>
            </w:r>
          </w:p>
        </w:tc>
      </w:tr>
      <w:tr>
        <w:trPr>
          <w:trHeight w:val="220"/>
        </w:trPr>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w w:val="95"/>
              </w:rPr>
              <w:t>Trading Day period after, and including, the Ex-Dividend Date of the Spin-Off (the “</w:t>
            </w:r>
            <w:r>
              <w:rPr>
                <w:rFonts w:ascii="Arial" w:cs="Arial" w:eastAsia="Arial" w:hAnsi="Arial"/>
                <w:sz w:val="18"/>
                <w:szCs w:val="18"/>
                <w:b w:val="1"/>
                <w:bCs w:val="1"/>
                <w:color w:val="auto"/>
                <w:w w:val="95"/>
              </w:rPr>
              <w:t>Valuation Period</w:t>
            </w:r>
            <w:r>
              <w:rPr>
                <w:rFonts w:ascii="Arial" w:cs="Arial" w:eastAsia="Arial" w:hAnsi="Arial"/>
                <w:sz w:val="18"/>
                <w:szCs w:val="18"/>
                <w:color w:val="auto"/>
                <w:w w:val="95"/>
              </w:rPr>
              <w:t xml:space="preserve">”)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if there is no Last</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rPr>
              <w:t>Reported Sale Price of the</w:t>
            </w:r>
          </w:p>
        </w:tc>
      </w:tr>
      <w:tr>
        <w:trPr>
          <w:trHeight w:val="432"/>
        </w:trPr>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80" w:type="dxa"/>
            <w:vAlign w:val="bottom"/>
          </w:tcPr>
          <w:p>
            <w:pPr>
              <w:ind w:left="4640"/>
              <w:spacing w:after="0"/>
              <w:rPr>
                <w:sz w:val="20"/>
                <w:szCs w:val="20"/>
                <w:color w:val="auto"/>
              </w:rPr>
            </w:pPr>
            <w:r>
              <w:rPr>
                <w:rFonts w:ascii="Arial" w:cs="Arial" w:eastAsia="Arial" w:hAnsi="Arial"/>
                <w:sz w:val="18"/>
                <w:szCs w:val="18"/>
                <w:color w:val="auto"/>
              </w:rPr>
              <w:t>68</w:t>
            </w:r>
          </w:p>
        </w:tc>
      </w:tr>
      <w:tr>
        <w:trPr>
          <w:trHeight w:val="132"/>
        </w:trPr>
        <w:tc>
          <w:tcPr>
            <w:tcW w:w="5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0480" w:type="dxa"/>
            <w:vAlign w:val="bottom"/>
            <w:tcBorders>
              <w:bottom w:val="single" w:sz="8" w:color="808080"/>
            </w:tcBorders>
          </w:tcPr>
          <w:p>
            <w:pPr>
              <w:spacing w:after="0"/>
              <w:rPr>
                <w:sz w:val="11"/>
                <w:szCs w:val="11"/>
                <w:color w:val="auto"/>
              </w:rPr>
            </w:pPr>
          </w:p>
        </w:tc>
      </w:tr>
      <w:tr>
        <w:trPr>
          <w:trHeight w:val="766"/>
        </w:trPr>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w w:val="93"/>
              </w:rPr>
              <w:t>Capital Stock or similar equity interest distributed to holders of the Common Stock on such Ex-Dividend Date, the “Valuation Period” shall</w:t>
            </w:r>
          </w:p>
        </w:tc>
      </w:tr>
      <w:tr>
        <w:trPr>
          <w:trHeight w:val="230"/>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80" w:type="dxa"/>
            <w:vAlign w:val="bottom"/>
          </w:tcPr>
          <w:p>
            <w:pPr>
              <w:ind w:left="220"/>
              <w:spacing w:after="0"/>
              <w:rPr>
                <w:sz w:val="20"/>
                <w:szCs w:val="20"/>
                <w:color w:val="auto"/>
              </w:rPr>
            </w:pPr>
            <w:r>
              <w:rPr>
                <w:rFonts w:ascii="Arial" w:cs="Arial" w:eastAsia="Arial" w:hAnsi="Arial"/>
                <w:sz w:val="18"/>
                <w:szCs w:val="18"/>
                <w:color w:val="auto"/>
                <w:w w:val="98"/>
              </w:rPr>
              <w:t>be the 10 consecutive Trading Day period after, and including the first Trading Day such Last Reported Sale Price is available; and</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1"/>
                <w:szCs w:val="11"/>
                <w:color w:val="auto"/>
              </w:rPr>
              <w:t>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80" w:type="dxa"/>
            <w:vAlign w:val="bottom"/>
          </w:tcPr>
          <w:p>
            <w:pPr>
              <w:ind w:left="220"/>
              <w:spacing w:after="0"/>
              <w:rPr>
                <w:sz w:val="20"/>
                <w:szCs w:val="20"/>
                <w:color w:val="auto"/>
              </w:rPr>
            </w:pPr>
            <w:r>
              <w:rPr>
                <w:rFonts w:ascii="Arial" w:cs="Arial" w:eastAsia="Arial" w:hAnsi="Arial"/>
                <w:sz w:val="18"/>
                <w:szCs w:val="18"/>
                <w:color w:val="auto"/>
              </w:rPr>
              <w:t>the average of the Last Reported Sale Prices of the Common Stock over the Valuation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 xml:space="preserve">The adjustment to the Conversion Rate under the preceding paragraph shall occur at the close of business on the last Trading Day of the Valuation Period;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(x) in respect of any conversion of Notes for which Physical Settlement is applicable, if the relevant Conversion Date occurs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Period, references to “10” in the portion of this Section 14.04(c) related to Spin-Offs shall be deemed to be replaced with such lesser number of Trading Days as have elapsed from, and including, the Ex-Dividend Date of such Spin-Off to, and including, the Conversion Date in determining the Conversion Rate and (y) in respect of any conversion of Notes for which Cash Settlement or Combination Settlement is applicable, for any Trading Day that falls within the relevant Observation Period for such conversion and within the Valuation Period, references to “10” in the portion of this</w:t>
      </w:r>
    </w:p>
    <w:p>
      <w:pPr>
        <w:spacing w:after="0" w:line="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Section 14.04(c) related to Spin-Offs shall be deemed to be replaced with such lesser number of Trading Days as have elapsed from, and including, the Ex-Dividend Date of such Spin-Off to, and including, such Trading Day in determining the Conversion Rate as of such Trading Day of such Observation Period. If any dividend or distribution constituting the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spacing w:after="0" w:line="19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For purposes of this Section 14.04(c) (and subject in all respect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7"/>
          <w:szCs w:val="17"/>
          <w:b w:val="1"/>
          <w:bCs w:val="1"/>
          <w:color w:val="auto"/>
        </w:rPr>
        <w:t>Trigger Event</w:t>
      </w:r>
      <w:r>
        <w:rPr>
          <w:rFonts w:ascii="Arial" w:cs="Arial" w:eastAsia="Arial" w:hAnsi="Arial"/>
          <w:sz w:val="17"/>
          <w:szCs w:val="17"/>
          <w:color w:val="auto"/>
        </w:rPr>
        <w: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66"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For purposes of Section 14.04(a), Section 14.04(b) and this Section 14.04(c), if any dividend or distribution to which this Section 14.04(c) is applicable also includes one or both of:</w:t>
      </w:r>
    </w:p>
    <w:p>
      <w:pPr>
        <w:spacing w:after="0" w:line="166" w:lineRule="exact"/>
        <w:rPr>
          <w:sz w:val="20"/>
          <w:szCs w:val="20"/>
          <w:color w:val="auto"/>
        </w:rPr>
      </w:pPr>
    </w:p>
    <w:p>
      <w:pPr>
        <w:ind w:left="1320" w:hanging="664"/>
        <w:spacing w:after="0"/>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dividend or distribution of shares of Common Stock to which Section 14.04(a) is applicable (the “</w:t>
      </w:r>
      <w:r>
        <w:rPr>
          <w:rFonts w:ascii="Arial" w:cs="Arial" w:eastAsia="Arial" w:hAnsi="Arial"/>
          <w:sz w:val="18"/>
          <w:szCs w:val="18"/>
          <w:b w:val="1"/>
          <w:bCs w:val="1"/>
          <w:color w:val="auto"/>
        </w:rPr>
        <w:t>Clause A Distribution</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dividend or distribution of rights, options or warrants to which Section 14.04(b) is applicable (the “</w:t>
      </w:r>
      <w:r>
        <w:rPr>
          <w:rFonts w:ascii="Arial" w:cs="Arial" w:eastAsia="Arial" w:hAnsi="Arial"/>
          <w:sz w:val="18"/>
          <w:szCs w:val="18"/>
          <w:b w:val="1"/>
          <w:bCs w:val="1"/>
          <w:color w:val="auto"/>
        </w:rPr>
        <w:t>Clause B Distribution</w:t>
      </w:r>
      <w:r>
        <w:rPr>
          <w:rFonts w:ascii="Arial" w:cs="Arial" w:eastAsia="Arial" w:hAnsi="Arial"/>
          <w:sz w:val="18"/>
          <w:szCs w:val="18"/>
          <w:color w:val="auto"/>
        </w:rPr>
        <w:t>”),</w:t>
      </w:r>
    </w:p>
    <w:p>
      <w:pPr>
        <w:spacing w:after="0" w:line="229"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then, in either case, (1) such dividend or distribution, other than the Clause A Distribution and the Clause B Distribution, shall be deemed to be a dividend or distribution to which this Section 14.04(c) is applicable (the “</w:t>
      </w:r>
      <w:r>
        <w:rPr>
          <w:rFonts w:ascii="Arial" w:cs="Arial" w:eastAsia="Arial" w:hAnsi="Arial"/>
          <w:sz w:val="17"/>
          <w:szCs w:val="17"/>
          <w:b w:val="1"/>
          <w:bCs w:val="1"/>
          <w:color w:val="auto"/>
        </w:rPr>
        <w:t>Clause C Distribution</w:t>
      </w:r>
      <w:r>
        <w:rPr>
          <w:rFonts w:ascii="Arial" w:cs="Arial" w:eastAsia="Arial" w:hAnsi="Arial"/>
          <w:sz w:val="17"/>
          <w:szCs w:val="17"/>
          <w:color w:val="auto"/>
        </w:rPr>
        <w:t>”) and any Conversion Rate adjustment required by this</w:t>
      </w:r>
    </w:p>
    <w:p>
      <w:pPr>
        <w:ind w:right="60"/>
        <w:spacing w:after="0" w:line="302" w:lineRule="auto"/>
        <w:rPr>
          <w:sz w:val="20"/>
          <w:szCs w:val="20"/>
          <w:color w:val="auto"/>
        </w:rPr>
      </w:pPr>
      <w:r>
        <w:rPr>
          <w:rFonts w:ascii="Arial" w:cs="Arial" w:eastAsia="Arial" w:hAnsi="Arial"/>
          <w:sz w:val="16"/>
          <w:szCs w:val="16"/>
          <w:color w:val="auto"/>
        </w:rPr>
        <w:t>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w:t>
      </w:r>
    </w:p>
    <w:p>
      <w:pPr>
        <w:sectPr>
          <w:pgSz w:w="11900" w:h="16903" w:orient="portrait"/>
          <w:cols w:equalWidth="0" w:num="1">
            <w:col w:w="11460"/>
          </w:cols>
          <w:pgMar w:left="240" w:top="949" w:right="199" w:bottom="0" w:gutter="0" w:footer="0" w:header="0"/>
        </w:sectPr>
      </w:pPr>
    </w:p>
    <w:bookmarkStart w:id="41" w:name="page42"/>
    <w:bookmarkEnd w:id="41"/>
    <w:p>
      <w:pPr>
        <w:spacing w:after="0" w:line="14"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w:t>
      </w:r>
    </w:p>
    <w:p>
      <w:pPr>
        <w:spacing w:after="0" w:line="147" w:lineRule="exact"/>
        <w:rPr>
          <w:sz w:val="20"/>
          <w:szCs w:val="20"/>
          <w:color w:val="auto"/>
        </w:rPr>
      </w:pPr>
    </w:p>
    <w:p>
      <w:pPr>
        <w:ind w:right="80" w:firstLine="656"/>
        <w:spacing w:after="0" w:line="277" w:lineRule="auto"/>
        <w:tabs>
          <w:tab w:leader="none" w:pos="11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Company makes any cash dividend or distribution to all or substantially all holders of the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117475</wp:posOffset>
            </wp:positionV>
            <wp:extent cx="1191895" cy="3860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918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60" w:type="dxa"/>
            <w:vAlign w:val="bottom"/>
          </w:tcPr>
          <w:p>
            <w:pPr>
              <w:ind w:left="4620"/>
              <w:spacing w:after="0"/>
              <w:rPr>
                <w:sz w:val="20"/>
                <w:szCs w:val="20"/>
                <w:color w:val="auto"/>
              </w:rPr>
            </w:pPr>
            <w:r>
              <w:rPr>
                <w:rFonts w:ascii="Arial" w:cs="Arial" w:eastAsia="Arial" w:hAnsi="Arial"/>
                <w:sz w:val="18"/>
                <w:szCs w:val="18"/>
                <w:color w:val="auto"/>
              </w:rPr>
              <w:t>70</w:t>
            </w:r>
          </w:p>
        </w:tc>
      </w:tr>
      <w:tr>
        <w:trPr>
          <w:trHeight w:val="132"/>
        </w:trPr>
        <w:tc>
          <w:tcPr>
            <w:tcW w:w="5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0460" w:type="dxa"/>
            <w:vAlign w:val="bottom"/>
            <w:tcBorders>
              <w:bottom w:val="single" w:sz="8" w:color="808080"/>
            </w:tcBorders>
          </w:tcPr>
          <w:p>
            <w:pPr>
              <w:spacing w:after="0"/>
              <w:rPr>
                <w:sz w:val="11"/>
                <w:szCs w:val="11"/>
                <w:color w:val="auto"/>
              </w:rPr>
            </w:pPr>
          </w:p>
        </w:tc>
      </w:tr>
      <w:tr>
        <w:trPr>
          <w:trHeight w:val="780"/>
        </w:trPr>
        <w:tc>
          <w:tcPr>
            <w:tcW w:w="560" w:type="dxa"/>
            <w:vAlign w:val="bottom"/>
          </w:tcPr>
          <w:p>
            <w:pPr>
              <w:spacing w:after="0"/>
              <w:rPr>
                <w:sz w:val="20"/>
                <w:szCs w:val="20"/>
                <w:color w:val="auto"/>
              </w:rPr>
            </w:pPr>
            <w:r>
              <w:rPr>
                <w:rFonts w:ascii="Arial" w:cs="Arial" w:eastAsia="Arial" w:hAnsi="Arial"/>
                <w:sz w:val="18"/>
                <w:szCs w:val="18"/>
                <w:color w:val="auto"/>
                <w:w w:val="99"/>
              </w:rPr>
              <w:t>where,</w:t>
            </w:r>
          </w:p>
        </w:tc>
        <w:tc>
          <w:tcPr>
            <w:tcW w:w="440" w:type="dxa"/>
            <w:vAlign w:val="bottom"/>
          </w:tcPr>
          <w:p>
            <w:pPr>
              <w:spacing w:after="0"/>
              <w:rPr>
                <w:sz w:val="24"/>
                <w:szCs w:val="24"/>
                <w:color w:val="auto"/>
              </w:rPr>
            </w:pPr>
          </w:p>
        </w:tc>
        <w:tc>
          <w:tcPr>
            <w:tcW w:w="1046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60" w:type="dxa"/>
            <w:vAlign w:val="bottom"/>
          </w:tcPr>
          <w:p>
            <w:pPr>
              <w:ind w:left="200"/>
              <w:spacing w:after="0"/>
              <w:rPr>
                <w:sz w:val="20"/>
                <w:szCs w:val="20"/>
                <w:color w:val="auto"/>
              </w:rPr>
            </w:pPr>
            <w:r>
              <w:rPr>
                <w:rFonts w:ascii="Arial" w:cs="Arial" w:eastAsia="Arial" w:hAnsi="Arial"/>
                <w:sz w:val="18"/>
                <w:szCs w:val="18"/>
                <w:color w:val="auto"/>
                <w:w w:val="99"/>
              </w:rPr>
              <w:t>the Conversion Rate in effect immediately prior to the open of business on the Ex-Dividend Date for such dividend or distribution;</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CR’</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60" w:type="dxa"/>
            <w:vAlign w:val="bottom"/>
          </w:tcPr>
          <w:p>
            <w:pPr>
              <w:ind w:left="200"/>
              <w:spacing w:after="0"/>
              <w:rPr>
                <w:sz w:val="20"/>
                <w:szCs w:val="20"/>
                <w:color w:val="auto"/>
              </w:rPr>
            </w:pPr>
            <w:r>
              <w:rPr>
                <w:rFonts w:ascii="Arial" w:cs="Arial" w:eastAsia="Arial" w:hAnsi="Arial"/>
                <w:sz w:val="18"/>
                <w:szCs w:val="18"/>
                <w:color w:val="auto"/>
              </w:rPr>
              <w:t>the Conversion Rate in effect immediately after the open of business on the Ex-Dividend Date for such dividend or distribution;</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1"/>
                <w:szCs w:val="11"/>
                <w:color w:val="auto"/>
              </w:rPr>
              <w:t>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60" w:type="dxa"/>
            <w:vAlign w:val="bottom"/>
          </w:tcPr>
          <w:p>
            <w:pPr>
              <w:ind w:left="200"/>
              <w:spacing w:after="0"/>
              <w:rPr>
                <w:sz w:val="20"/>
                <w:szCs w:val="20"/>
                <w:color w:val="auto"/>
              </w:rPr>
            </w:pPr>
            <w:r>
              <w:rPr>
                <w:rFonts w:ascii="Arial" w:cs="Arial" w:eastAsia="Arial" w:hAnsi="Arial"/>
                <w:sz w:val="18"/>
                <w:szCs w:val="18"/>
                <w:color w:val="auto"/>
                <w:w w:val="94"/>
              </w:rPr>
              <w:t>the Last Reported Sale Price of the Common Stock on the Trading Day immediately preceding the Ex-Dividend Date for such dividend or</w:t>
            </w:r>
          </w:p>
        </w:tc>
      </w:tr>
      <w:tr>
        <w:trPr>
          <w:trHeight w:val="230"/>
        </w:trPr>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60" w:type="dxa"/>
            <w:vAlign w:val="bottom"/>
          </w:tcPr>
          <w:p>
            <w:pPr>
              <w:ind w:left="200"/>
              <w:spacing w:after="0"/>
              <w:rPr>
                <w:sz w:val="20"/>
                <w:szCs w:val="20"/>
                <w:color w:val="auto"/>
              </w:rPr>
            </w:pPr>
            <w:r>
              <w:rPr>
                <w:rFonts w:ascii="Arial" w:cs="Arial" w:eastAsia="Arial" w:hAnsi="Arial"/>
                <w:sz w:val="18"/>
                <w:szCs w:val="18"/>
                <w:color w:val="auto"/>
              </w:rPr>
              <w:t>distribution;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-1485265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-1485265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720" w:hanging="712"/>
        <w:spacing w:after="0"/>
        <w:tabs>
          <w:tab w:leader="none" w:pos="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the amount in cash per share the Company distributes to all or substantially all holders of the Common Stock.</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Any increase made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11"/>
          <w:szCs w:val="11"/>
          <w:color w:val="auto"/>
        </w:rPr>
        <w:t>0</w:t>
      </w:r>
      <w:r>
        <w:rPr>
          <w:rFonts w:ascii="Arial" w:cs="Arial" w:eastAsia="Arial" w:hAnsi="Arial"/>
          <w:sz w:val="17"/>
          <w:szCs w:val="17"/>
          <w:color w:val="auto"/>
        </w:rPr>
        <w:t>” (as defined above), in lieu of the foregoing increase, each Holder of a Note shall receive, for each $1,000 principal amount of Notes it holds, at the same time and upon the same terms as holders of shares of the Common Stock, the amount of cash that such Holder would have received if such Holder owned a number of shares of Common Stock equal to the Conversion Rate in effect on the Ex-Dividend Date for such cash dividend or distribution.</w:t>
      </w:r>
    </w:p>
    <w:p>
      <w:pPr>
        <w:spacing w:after="0" w:line="178" w:lineRule="exact"/>
        <w:rPr>
          <w:sz w:val="20"/>
          <w:szCs w:val="20"/>
          <w:color w:val="auto"/>
        </w:rPr>
      </w:pPr>
    </w:p>
    <w:p>
      <w:pPr>
        <w:ind w:right="60" w:firstLine="656"/>
        <w:spacing w:after="0" w:line="276" w:lineRule="auto"/>
        <w:tabs>
          <w:tab w:leader="none" w:pos="1172" w:val="left"/>
        </w:tabs>
        <w:numPr>
          <w:ilvl w:val="0"/>
          <w:numId w:val="74"/>
        </w:numPr>
        <w:rPr>
          <w:rFonts w:ascii="Arial" w:cs="Arial" w:eastAsia="Arial" w:hAnsi="Arial"/>
          <w:sz w:val="17"/>
          <w:szCs w:val="17"/>
          <w:color w:val="auto"/>
        </w:rPr>
      </w:pPr>
      <w:r>
        <w:rPr>
          <w:rFonts w:ascii="Arial" w:cs="Arial" w:eastAsia="Arial" w:hAnsi="Arial"/>
          <w:sz w:val="17"/>
          <w:szCs w:val="17"/>
          <w:color w:val="auto"/>
        </w:rPr>
        <w:t>If the Company or any of its Subsidiaries make a payment in respect of a tender or exchange offer for the Common Stock that is subject to the then applicable tender offer rules under the Exchange Act, other than an odd 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118745</wp:posOffset>
            </wp:positionV>
            <wp:extent cx="1603375" cy="386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0337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w w:val="99"/>
              </w:rPr>
              <w:t>where,</w:t>
            </w:r>
          </w:p>
        </w:tc>
        <w:tc>
          <w:tcPr>
            <w:tcW w:w="460" w:type="dxa"/>
            <w:vAlign w:val="bottom"/>
          </w:tcPr>
          <w:p>
            <w:pPr>
              <w:spacing w:after="0"/>
              <w:rPr>
                <w:sz w:val="20"/>
                <w:szCs w:val="20"/>
                <w:color w:val="auto"/>
              </w:rPr>
            </w:pPr>
          </w:p>
        </w:tc>
        <w:tc>
          <w:tcPr>
            <w:tcW w:w="10440" w:type="dxa"/>
            <w:vAlign w:val="bottom"/>
          </w:tcPr>
          <w:p>
            <w:pPr>
              <w:spacing w:after="0"/>
              <w:rPr>
                <w:sz w:val="20"/>
                <w:szCs w:val="20"/>
                <w:color w:val="auto"/>
              </w:rPr>
            </w:pP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40" w:type="dxa"/>
            <w:vAlign w:val="bottom"/>
          </w:tcPr>
          <w:p>
            <w:pPr>
              <w:ind w:left="180"/>
              <w:spacing w:after="0"/>
              <w:rPr>
                <w:sz w:val="20"/>
                <w:szCs w:val="20"/>
                <w:color w:val="auto"/>
              </w:rPr>
            </w:pPr>
            <w:r>
              <w:rPr>
                <w:rFonts w:ascii="Arial" w:cs="Arial" w:eastAsia="Arial" w:hAnsi="Arial"/>
                <w:sz w:val="18"/>
                <w:szCs w:val="18"/>
                <w:color w:val="auto"/>
                <w:w w:val="93"/>
              </w:rPr>
              <w:t>the Conversion Rate in effect immediately prior to the close of business on the 10th Trading Day immediately following, and including, the</w:t>
            </w:r>
          </w:p>
        </w:tc>
      </w:tr>
      <w:tr>
        <w:trPr>
          <w:trHeight w:val="230"/>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Trading Day next succeeding the date such tender or exchange offer expires;</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CR’</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40" w:type="dxa"/>
            <w:vAlign w:val="bottom"/>
          </w:tcPr>
          <w:p>
            <w:pPr>
              <w:ind w:left="180"/>
              <w:spacing w:after="0"/>
              <w:rPr>
                <w:sz w:val="20"/>
                <w:szCs w:val="20"/>
                <w:color w:val="auto"/>
              </w:rPr>
            </w:pPr>
            <w:r>
              <w:rPr>
                <w:rFonts w:ascii="Arial" w:cs="Arial" w:eastAsia="Arial" w:hAnsi="Arial"/>
                <w:sz w:val="18"/>
                <w:szCs w:val="18"/>
                <w:color w:val="auto"/>
                <w:w w:val="95"/>
              </w:rPr>
              <w:t>the Conversion Rate in effect immediately after the close of business on the 10th Trading Day immediately following, and including, the</w:t>
            </w:r>
          </w:p>
        </w:tc>
      </w:tr>
      <w:tr>
        <w:trPr>
          <w:trHeight w:val="230"/>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Trading Day next succeeding the date such tender or exchange offer expires;</w:t>
            </w:r>
          </w:p>
        </w:tc>
      </w:tr>
      <w:tr>
        <w:trPr>
          <w:trHeight w:val="432"/>
        </w:trPr>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40" w:type="dxa"/>
            <w:vAlign w:val="bottom"/>
          </w:tcPr>
          <w:p>
            <w:pPr>
              <w:ind w:left="4600"/>
              <w:spacing w:after="0"/>
              <w:rPr>
                <w:sz w:val="20"/>
                <w:szCs w:val="20"/>
                <w:color w:val="auto"/>
              </w:rPr>
            </w:pPr>
            <w:r>
              <w:rPr>
                <w:rFonts w:ascii="Arial" w:cs="Arial" w:eastAsia="Arial" w:hAnsi="Arial"/>
                <w:sz w:val="18"/>
                <w:szCs w:val="18"/>
                <w:color w:val="auto"/>
              </w:rPr>
              <w:t>71</w:t>
            </w:r>
          </w:p>
        </w:tc>
      </w:tr>
      <w:tr>
        <w:trPr>
          <w:trHeight w:val="132"/>
        </w:trPr>
        <w:tc>
          <w:tcPr>
            <w:tcW w:w="5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0440" w:type="dxa"/>
            <w:vAlign w:val="bottom"/>
            <w:tcBorders>
              <w:bottom w:val="single" w:sz="8" w:color="808080"/>
            </w:tcBorders>
          </w:tcPr>
          <w:p>
            <w:pPr>
              <w:spacing w:after="0"/>
              <w:rPr>
                <w:sz w:val="11"/>
                <w:szCs w:val="11"/>
                <w:color w:val="auto"/>
              </w:rPr>
            </w:pPr>
          </w:p>
        </w:tc>
      </w:tr>
      <w:tr>
        <w:trPr>
          <w:trHeight w:val="766"/>
        </w:trPr>
        <w:tc>
          <w:tcPr>
            <w:tcW w:w="560" w:type="dxa"/>
            <w:vAlign w:val="bottom"/>
          </w:tcPr>
          <w:p>
            <w:pPr>
              <w:spacing w:after="0"/>
              <w:rPr>
                <w:sz w:val="20"/>
                <w:szCs w:val="20"/>
                <w:color w:val="auto"/>
              </w:rPr>
            </w:pPr>
            <w:r>
              <w:rPr>
                <w:rFonts w:ascii="Arial" w:cs="Arial" w:eastAsia="Arial" w:hAnsi="Arial"/>
                <w:sz w:val="18"/>
                <w:szCs w:val="18"/>
                <w:color w:val="auto"/>
              </w:rPr>
              <w:t>AC</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40" w:type="dxa"/>
            <w:vAlign w:val="bottom"/>
          </w:tcPr>
          <w:p>
            <w:pPr>
              <w:ind w:left="200"/>
              <w:spacing w:after="0"/>
              <w:rPr>
                <w:sz w:val="20"/>
                <w:szCs w:val="20"/>
                <w:color w:val="auto"/>
              </w:rPr>
            </w:pPr>
            <w:r>
              <w:rPr>
                <w:rFonts w:ascii="Arial" w:cs="Arial" w:eastAsia="Arial" w:hAnsi="Arial"/>
                <w:sz w:val="18"/>
                <w:szCs w:val="18"/>
                <w:color w:val="auto"/>
                <w:w w:val="92"/>
              </w:rPr>
              <w:t>the aggregate value of all cash and any other consideration (as determined by the Company) paid or payable for shares of Common Stock</w:t>
            </w:r>
          </w:p>
        </w:tc>
      </w:tr>
      <w:tr>
        <w:trPr>
          <w:trHeight w:val="230"/>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purchased in such tender or exchange offer;</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440" w:type="dxa"/>
            <w:vAlign w:val="bottom"/>
          </w:tcPr>
          <w:p>
            <w:pPr>
              <w:ind w:left="180"/>
              <w:spacing w:after="0"/>
              <w:rPr>
                <w:sz w:val="20"/>
                <w:szCs w:val="20"/>
                <w:color w:val="auto"/>
              </w:rPr>
            </w:pPr>
            <w:r>
              <w:rPr>
                <w:rFonts w:ascii="Arial" w:cs="Arial" w:eastAsia="Arial" w:hAnsi="Arial"/>
                <w:sz w:val="18"/>
                <w:szCs w:val="18"/>
                <w:color w:val="auto"/>
                <w:w w:val="95"/>
              </w:rPr>
              <w:t>the number of shares of Common Stock outstanding immediately prior to the date such tender or exchange offer expires (prior to giving</w:t>
            </w:r>
          </w:p>
        </w:tc>
      </w:tr>
      <w:tr>
        <w:trPr>
          <w:trHeight w:val="230"/>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effect to the purchase of all shares of Common Stock accepted for purchase or exchange in such tender or exchange offer);</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OS’</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440" w:type="dxa"/>
            <w:vAlign w:val="bottom"/>
          </w:tcPr>
          <w:p>
            <w:pPr>
              <w:ind w:left="200"/>
              <w:spacing w:after="0"/>
              <w:rPr>
                <w:sz w:val="20"/>
                <w:szCs w:val="20"/>
                <w:color w:val="auto"/>
              </w:rPr>
            </w:pPr>
            <w:r>
              <w:rPr>
                <w:rFonts w:ascii="Arial" w:cs="Arial" w:eastAsia="Arial" w:hAnsi="Arial"/>
                <w:sz w:val="18"/>
                <w:szCs w:val="18"/>
                <w:color w:val="auto"/>
                <w:w w:val="92"/>
              </w:rPr>
              <w:t>the number of shares of Common Stock outstanding immediately after the date such tender or exchange offer expires (after giving effect to</w:t>
            </w:r>
          </w:p>
        </w:tc>
      </w:tr>
      <w:tr>
        <w:trPr>
          <w:trHeight w:val="230"/>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the purchase of all shares of Common Stock accepted for purchase or exchange in such tender or exchange offer); and</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SP’</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40" w:type="dxa"/>
            <w:vAlign w:val="bottom"/>
          </w:tcPr>
          <w:p>
            <w:pPr>
              <w:ind w:left="200"/>
              <w:spacing w:after="0"/>
              <w:rPr>
                <w:sz w:val="20"/>
                <w:szCs w:val="20"/>
                <w:color w:val="auto"/>
              </w:rPr>
            </w:pPr>
            <w:r>
              <w:rPr>
                <w:rFonts w:ascii="Arial" w:cs="Arial" w:eastAsia="Arial" w:hAnsi="Arial"/>
                <w:sz w:val="18"/>
                <w:szCs w:val="18"/>
                <w:color w:val="auto"/>
                <w:w w:val="96"/>
              </w:rPr>
              <w:t>the average of the Last Reported Sale Prices of the Common Stock over the 10 consecutive Trading Day period commencing on, and</w:t>
            </w:r>
          </w:p>
        </w:tc>
      </w:tr>
      <w:tr>
        <w:trPr>
          <w:trHeight w:val="230"/>
        </w:trPr>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40" w:type="dxa"/>
            <w:vAlign w:val="bottom"/>
          </w:tcPr>
          <w:p>
            <w:pPr>
              <w:ind w:left="180"/>
              <w:spacing w:after="0"/>
              <w:rPr>
                <w:sz w:val="20"/>
                <w:szCs w:val="20"/>
                <w:color w:val="auto"/>
              </w:rPr>
            </w:pPr>
            <w:r>
              <w:rPr>
                <w:rFonts w:ascii="Arial" w:cs="Arial" w:eastAsia="Arial" w:hAnsi="Arial"/>
                <w:sz w:val="18"/>
                <w:szCs w:val="18"/>
                <w:color w:val="auto"/>
              </w:rPr>
              <w:t>including, the Trading Day next succeeding the date such tender or exchange offer expires.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-1896745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-1896745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adjustment to the Conversion Rate under this Section 14.04(e) shall occur at the close of business on the 10th Trading Day immediately following, and including, the Trading Day next succeeding the date such tender or exchange offer expires;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Conversion Date in determining the Conversion Rate and (y) in respect of any conversion of Notes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to “10” or “10th”</w:t>
      </w:r>
    </w:p>
    <w:p>
      <w:pPr>
        <w:sectPr>
          <w:pgSz w:w="11900" w:h="16852" w:orient="portrait"/>
          <w:cols w:equalWidth="0" w:num="1">
            <w:col w:w="11460"/>
          </w:cols>
          <w:pgMar w:left="240" w:top="125" w:right="199" w:bottom="0" w:gutter="0" w:footer="0" w:header="0"/>
        </w:sectPr>
      </w:pPr>
    </w:p>
    <w:bookmarkStart w:id="42" w:name="page43"/>
    <w:bookmarkEnd w:id="42"/>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this Section 14.04(e) shall be deemed replaced with such lesser number of Trading Days as have elapsed from, and including, the Trading Day next succeeding the expiration date of such tender or exchange offer to, and including, such Trading Day in determining the Conversion Rate as of such Trading Day. If the Company or one of its Subsidiaries is obligated to purchase Common Stock pursuant to any such tender or exchange offer described in the preceding paragraph but the Company is, or such Subsidiary is, permanently prevented by applicable law from effecting any such purchase or all such purchases are rescinded, the Conversion Rate will be decreased to be the Conversion Rate that would then be in effect if such tender or exchange offer had not been made or had been made only in respect of the purchases that have been effected.</w:t>
      </w:r>
    </w:p>
    <w:p>
      <w:pPr>
        <w:spacing w:after="0" w:line="178" w:lineRule="exact"/>
        <w:rPr>
          <w:sz w:val="20"/>
          <w:szCs w:val="20"/>
          <w:color w:val="auto"/>
        </w:rPr>
      </w:pPr>
    </w:p>
    <w:p>
      <w:pPr>
        <w:ind w:right="20" w:firstLine="656"/>
        <w:spacing w:after="0" w:line="259" w:lineRule="auto"/>
        <w:tabs>
          <w:tab w:leader="none" w:pos="13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this Section 14.04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Section 14.02(i) based on an adjusted Conversion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Rate for such Ex-Dividend Date, then, notwithstanding the Conversion Rate adjustment provisions in this Section 14.04,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47" w:lineRule="exact"/>
        <w:rPr>
          <w:sz w:val="20"/>
          <w:szCs w:val="20"/>
          <w:color w:val="auto"/>
        </w:rPr>
      </w:pPr>
    </w:p>
    <w:p>
      <w:pPr>
        <w:ind w:right="20" w:firstLine="656"/>
        <w:spacing w:after="0" w:line="264" w:lineRule="auto"/>
        <w:tabs>
          <w:tab w:leader="none" w:pos="1317"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81" w:lineRule="exact"/>
        <w:rPr>
          <w:rFonts w:ascii="Arial" w:cs="Arial" w:eastAsia="Arial" w:hAnsi="Arial"/>
          <w:sz w:val="18"/>
          <w:szCs w:val="18"/>
          <w:color w:val="auto"/>
        </w:rPr>
      </w:pPr>
    </w:p>
    <w:p>
      <w:pPr>
        <w:ind w:right="60" w:firstLine="656"/>
        <w:spacing w:after="0" w:line="255" w:lineRule="auto"/>
        <w:tabs>
          <w:tab w:leader="none" w:pos="1304"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addition to those adjustments required by clauses (a), (b), (c), (d) and (e) of this Section 14.04, and subject to the listing standards of The Nasdaq Global Market, the Company from time to time may increase the Conversion Rate by any amount for a period of at least 20 Business Days if the Board of Directors determines that such increase would be in the Company’s best interest. In addition, subject the listing standards of The Nasdaq Global Market,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w:t>
      </w:r>
    </w:p>
    <w:p>
      <w:pPr>
        <w:spacing w:after="0" w:line="193" w:lineRule="exact"/>
        <w:rPr>
          <w:rFonts w:ascii="Arial" w:cs="Arial" w:eastAsia="Arial" w:hAnsi="Arial"/>
          <w:sz w:val="18"/>
          <w:szCs w:val="18"/>
          <w:color w:val="auto"/>
        </w:rPr>
      </w:pPr>
    </w:p>
    <w:p>
      <w:pPr>
        <w:ind w:left="1320" w:hanging="664"/>
        <w:spacing w:after="0"/>
        <w:tabs>
          <w:tab w:leader="none" w:pos="1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Article 14, the Conversion Rate shall not be adjusted:</w:t>
      </w:r>
    </w:p>
    <w:p>
      <w:pPr>
        <w:spacing w:after="0" w:line="225" w:lineRule="exact"/>
        <w:rPr>
          <w:rFonts w:ascii="Arial" w:cs="Arial" w:eastAsia="Arial" w:hAnsi="Arial"/>
          <w:sz w:val="18"/>
          <w:szCs w:val="18"/>
          <w:color w:val="auto"/>
        </w:rPr>
      </w:pPr>
    </w:p>
    <w:p>
      <w:pPr>
        <w:ind w:left="660" w:right="280" w:firstLine="645"/>
        <w:spacing w:after="0" w:line="277" w:lineRule="auto"/>
        <w:tabs>
          <w:tab w:leader="none" w:pos="1978" w:val="left"/>
        </w:tabs>
        <w:numPr>
          <w:ilvl w:val="1"/>
          <w:numId w:val="76"/>
        </w:numPr>
        <w:rPr>
          <w:rFonts w:ascii="Arial" w:cs="Arial" w:eastAsia="Arial" w:hAnsi="Arial"/>
          <w:sz w:val="18"/>
          <w:szCs w:val="18"/>
          <w:color w:val="auto"/>
        </w:rPr>
      </w:pPr>
      <w:r>
        <w:rPr>
          <w:rFonts w:ascii="Arial" w:cs="Arial" w:eastAsia="Arial" w:hAnsi="Arial"/>
          <w:sz w:val="18"/>
          <w:szCs w:val="18"/>
          <w:color w:val="auto"/>
        </w:rPr>
        <w:t>upon the issuance of shares of Common Stock at a price below the Conversion Price or otherwise, other than any such issuance described in Section 14.04(a), Section 14.04(b) and Section 14.04(c) above;</w:t>
      </w:r>
    </w:p>
    <w:p>
      <w:pPr>
        <w:spacing w:after="0" w:line="170" w:lineRule="exact"/>
        <w:rPr>
          <w:rFonts w:ascii="Arial" w:cs="Arial" w:eastAsia="Arial" w:hAnsi="Arial"/>
          <w:sz w:val="18"/>
          <w:szCs w:val="18"/>
          <w:color w:val="auto"/>
        </w:rPr>
      </w:pPr>
    </w:p>
    <w:p>
      <w:pPr>
        <w:ind w:left="660" w:right="160" w:firstLine="645"/>
        <w:spacing w:after="0" w:line="264" w:lineRule="auto"/>
        <w:tabs>
          <w:tab w:leader="none" w:pos="1987" w:val="left"/>
        </w:tabs>
        <w:numPr>
          <w:ilvl w:val="1"/>
          <w:numId w:val="76"/>
        </w:numPr>
        <w:rPr>
          <w:rFonts w:ascii="Arial" w:cs="Arial" w:eastAsia="Arial" w:hAnsi="Arial"/>
          <w:sz w:val="18"/>
          <w:szCs w:val="18"/>
          <w:color w:val="auto"/>
        </w:rPr>
      </w:pPr>
      <w:r>
        <w:rPr>
          <w:rFonts w:ascii="Arial" w:cs="Arial" w:eastAsia="Arial" w:hAnsi="Arial"/>
          <w:sz w:val="18"/>
          <w:szCs w:val="18"/>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81" w:lineRule="exact"/>
        <w:rPr>
          <w:rFonts w:ascii="Arial" w:cs="Arial" w:eastAsia="Arial" w:hAnsi="Arial"/>
          <w:sz w:val="18"/>
          <w:szCs w:val="18"/>
          <w:color w:val="auto"/>
        </w:rPr>
      </w:pPr>
    </w:p>
    <w:p>
      <w:pPr>
        <w:jc w:val="both"/>
        <w:ind w:left="660" w:right="180" w:firstLine="645"/>
        <w:spacing w:after="0" w:line="264" w:lineRule="auto"/>
        <w:tabs>
          <w:tab w:leader="none" w:pos="1997" w:val="left"/>
        </w:tabs>
        <w:numPr>
          <w:ilvl w:val="1"/>
          <w:numId w:val="76"/>
        </w:numPr>
        <w:rPr>
          <w:rFonts w:ascii="Arial" w:cs="Arial" w:eastAsia="Arial" w:hAnsi="Arial"/>
          <w:sz w:val="18"/>
          <w:szCs w:val="18"/>
          <w:color w:val="auto"/>
        </w:rPr>
      </w:pPr>
      <w:r>
        <w:rPr>
          <w:rFonts w:ascii="Arial" w:cs="Arial" w:eastAsia="Arial" w:hAnsi="Arial"/>
          <w:sz w:val="18"/>
          <w:szCs w:val="18"/>
          <w:color w:val="auto"/>
        </w:rPr>
        <w:t>upon the issuance of any shares of Common Stock or options or rights to purchase those shares pursuant to any present or future employee, director or consultant benefit or incentive plan or program (including pursuant to any evergreen plan) of or assumed by the Company or any of the Company’s Subsidiaries;</w:t>
      </w:r>
    </w:p>
    <w:p>
      <w:pPr>
        <w:spacing w:after="0" w:line="181" w:lineRule="exact"/>
        <w:rPr>
          <w:rFonts w:ascii="Arial" w:cs="Arial" w:eastAsia="Arial" w:hAnsi="Arial"/>
          <w:sz w:val="18"/>
          <w:szCs w:val="18"/>
          <w:color w:val="auto"/>
        </w:rPr>
      </w:pPr>
    </w:p>
    <w:p>
      <w:pPr>
        <w:ind w:left="660" w:right="500" w:firstLine="645"/>
        <w:spacing w:after="0" w:line="342" w:lineRule="auto"/>
        <w:tabs>
          <w:tab w:leader="none" w:pos="1973" w:val="left"/>
        </w:tabs>
        <w:numPr>
          <w:ilvl w:val="1"/>
          <w:numId w:val="76"/>
        </w:numPr>
        <w:rPr>
          <w:rFonts w:ascii="Arial" w:cs="Arial" w:eastAsia="Arial" w:hAnsi="Arial"/>
          <w:sz w:val="16"/>
          <w:szCs w:val="16"/>
          <w:color w:val="auto"/>
        </w:rPr>
      </w:pPr>
      <w:r>
        <w:rPr>
          <w:rFonts w:ascii="Arial" w:cs="Arial" w:eastAsia="Arial" w:hAnsi="Arial"/>
          <w:sz w:val="16"/>
          <w:szCs w:val="16"/>
          <w:color w:val="auto"/>
        </w:rPr>
        <w:t>upon the issuance of any shares of the Common Stock pursuant to any option, warrant, right or exercisable, exchangeable or convertible security not described in clause (iii) of this subsection and outstanding as of the date the Notes were first issued;</w:t>
      </w:r>
    </w:p>
    <w:p>
      <w:pPr>
        <w:spacing w:after="0" w:line="123" w:lineRule="exact"/>
        <w:rPr>
          <w:rFonts w:ascii="Arial" w:cs="Arial" w:eastAsia="Arial" w:hAnsi="Arial"/>
          <w:sz w:val="16"/>
          <w:szCs w:val="16"/>
          <w:color w:val="auto"/>
        </w:rPr>
      </w:pPr>
    </w:p>
    <w:p>
      <w:pPr>
        <w:ind w:left="660" w:right="200" w:firstLine="645"/>
        <w:spacing w:after="0" w:line="277" w:lineRule="auto"/>
        <w:tabs>
          <w:tab w:leader="none" w:pos="1964" w:val="left"/>
        </w:tabs>
        <w:numPr>
          <w:ilvl w:val="1"/>
          <w:numId w:val="76"/>
        </w:numPr>
        <w:rPr>
          <w:rFonts w:ascii="Arial" w:cs="Arial" w:eastAsia="Arial" w:hAnsi="Arial"/>
          <w:sz w:val="18"/>
          <w:szCs w:val="18"/>
          <w:color w:val="auto"/>
        </w:rPr>
      </w:pPr>
      <w:r>
        <w:rPr>
          <w:rFonts w:ascii="Arial" w:cs="Arial" w:eastAsia="Arial" w:hAnsi="Arial"/>
          <w:sz w:val="18"/>
          <w:szCs w:val="18"/>
          <w:color w:val="auto"/>
        </w:rPr>
        <w:t>for a third-party tender offer by any party other than a tender offer by one or more of the Company’s Subsidiaries as described in Section 14.04(e) above;</w:t>
      </w:r>
    </w:p>
    <w:p>
      <w:pPr>
        <w:spacing w:after="0" w:line="170" w:lineRule="exact"/>
        <w:rPr>
          <w:rFonts w:ascii="Arial" w:cs="Arial" w:eastAsia="Arial" w:hAnsi="Arial"/>
          <w:sz w:val="18"/>
          <w:szCs w:val="18"/>
          <w:color w:val="auto"/>
        </w:rPr>
      </w:pPr>
    </w:p>
    <w:p>
      <w:pPr>
        <w:ind w:left="660" w:right="700" w:firstLine="645"/>
        <w:spacing w:after="0" w:line="277" w:lineRule="auto"/>
        <w:tabs>
          <w:tab w:leader="none" w:pos="1973" w:val="left"/>
        </w:tabs>
        <w:numPr>
          <w:ilvl w:val="1"/>
          <w:numId w:val="76"/>
        </w:numPr>
        <w:rPr>
          <w:rFonts w:ascii="Arial" w:cs="Arial" w:eastAsia="Arial" w:hAnsi="Arial"/>
          <w:sz w:val="18"/>
          <w:szCs w:val="18"/>
          <w:color w:val="auto"/>
        </w:rPr>
      </w:pPr>
      <w:r>
        <w:rPr>
          <w:rFonts w:ascii="Arial" w:cs="Arial" w:eastAsia="Arial" w:hAnsi="Arial"/>
          <w:sz w:val="18"/>
          <w:szCs w:val="18"/>
          <w:color w:val="auto"/>
        </w:rPr>
        <w:t>upon the repurchase of shares of Common Stock pursuant to an open-market share repurchase program or other buy-back transaction (including, without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limitation, through any structured or derivative transactions such as accelerated share repurchase transactions or similar forward derivatives), or other buy-back transaction, that is not a tender offer or exchange offer of the nature described in Section 14.04(e);</w:t>
      </w:r>
    </w:p>
    <w:p>
      <w:pPr>
        <w:spacing w:after="0" w:line="170" w:lineRule="exact"/>
        <w:rPr>
          <w:sz w:val="20"/>
          <w:szCs w:val="20"/>
          <w:color w:val="auto"/>
        </w:rPr>
      </w:pPr>
    </w:p>
    <w:p>
      <w:pPr>
        <w:ind w:left="1980" w:hanging="675"/>
        <w:spacing w:after="0"/>
        <w:tabs>
          <w:tab w:leader="none" w:pos="1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solely for a change in the par value (or lack of par value) of the Common Stock;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225" w:lineRule="exact"/>
        <w:rPr>
          <w:rFonts w:ascii="Arial" w:cs="Arial" w:eastAsia="Arial" w:hAnsi="Arial"/>
          <w:sz w:val="18"/>
          <w:szCs w:val="18"/>
          <w:color w:val="auto"/>
        </w:rPr>
      </w:pPr>
    </w:p>
    <w:p>
      <w:pPr>
        <w:ind w:right="20" w:firstLine="656"/>
        <w:spacing w:after="0" w:line="290" w:lineRule="auto"/>
        <w:tabs>
          <w:tab w:leader="none" w:pos="13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Company shall not be required to make an adjustment pursuant to clauses (a), (b), (c), (d) or (e) of this Section 14.04 unless such adjustment would result in a change of at least 1% of the then effective Conversion Rate. However, the Company shall carry forward any adjustment that the Company would otherwise have to make and take that adjustment into account in any subsequent adjustment. Notwithstanding the foregoing, all such carried-forward adjustments shall be made with respect to the Notes (i) when the aggregate of all such carried-forward adjustments equals or exceeds 1% of the Conversion Rate, (ii) regardless of whether the aggregate adjustment is less than 1% of the Conversion Rate, (x) on the Conversion Date for any Notes (in the case of Physical Settlement) and (y) on each Trading Day of any Observation Period (in the case of Cash Settlement or Combination Settlement) and (iii) on the Effective Date of any Make-Whole Fundamental Change, in each case, unless the adjustment has already been made. All calculations and other determinations under this Article 14 shall be made by the Company and shall be made to the nearest one-ten thousandth (1/10,000th) of a share.</w:t>
      </w:r>
    </w:p>
    <w:p>
      <w:pPr>
        <w:spacing w:after="0" w:line="166" w:lineRule="exact"/>
        <w:rPr>
          <w:rFonts w:ascii="Arial" w:cs="Arial" w:eastAsia="Arial" w:hAnsi="Arial"/>
          <w:sz w:val="16"/>
          <w:szCs w:val="16"/>
          <w:color w:val="auto"/>
        </w:rPr>
      </w:pPr>
    </w:p>
    <w:p>
      <w:pPr>
        <w:jc w:val="both"/>
        <w:ind w:firstLine="656"/>
        <w:spacing w:after="0" w:line="312" w:lineRule="auto"/>
        <w:tabs>
          <w:tab w:leader="none" w:pos="1304" w:val="left"/>
        </w:tabs>
        <w:numPr>
          <w:ilvl w:val="0"/>
          <w:numId w:val="78"/>
        </w:numPr>
        <w:rPr>
          <w:rFonts w:ascii="Arial" w:cs="Arial" w:eastAsia="Arial" w:hAnsi="Arial"/>
          <w:sz w:val="16"/>
          <w:szCs w:val="16"/>
          <w:color w:val="auto"/>
        </w:rPr>
      </w:pPr>
      <w:r>
        <w:rPr>
          <w:rFonts w:ascii="Arial" w:cs="Arial" w:eastAsia="Arial" w:hAnsi="Arial"/>
          <w:sz w:val="16"/>
          <w:szCs w:val="16"/>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w:t>
      </w:r>
    </w:p>
    <w:p>
      <w:pPr>
        <w:sectPr>
          <w:pgSz w:w="11900" w:h="16952" w:orient="portrait"/>
          <w:cols w:equalWidth="0" w:num="1">
            <w:col w:w="11420"/>
          </w:cols>
          <w:pgMar w:left="240" w:top="125" w:right="239" w:bottom="0" w:gutter="0" w:footer="0" w:header="0"/>
        </w:sectPr>
      </w:pPr>
    </w:p>
    <w:bookmarkStart w:id="43" w:name="page44"/>
    <w:bookmarkEnd w:id="43"/>
    <w:p>
      <w:pPr>
        <w:ind w:right="260"/>
        <w:spacing w:after="0" w:line="279" w:lineRule="auto"/>
        <w:rPr>
          <w:sz w:val="20"/>
          <w:szCs w:val="20"/>
          <w:color w:val="auto"/>
        </w:rPr>
      </w:pPr>
      <w:r>
        <w:rPr>
          <w:rFonts w:ascii="Arial" w:cs="Arial" w:eastAsia="Arial" w:hAnsi="Arial"/>
          <w:sz w:val="17"/>
          <w:szCs w:val="17"/>
          <w:color w:val="auto"/>
        </w:rPr>
        <w:t>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spacing w:after="0" w:line="171" w:lineRule="exact"/>
        <w:rPr>
          <w:sz w:val="20"/>
          <w:szCs w:val="20"/>
          <w:color w:val="auto"/>
        </w:rPr>
      </w:pPr>
    </w:p>
    <w:p>
      <w:pPr>
        <w:ind w:right="220" w:firstLine="656"/>
        <w:spacing w:after="0" w:line="259" w:lineRule="auto"/>
        <w:tabs>
          <w:tab w:leader="none" w:pos="13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Section 14.05</w:t>
      </w:r>
      <w:r>
        <w:rPr>
          <w:rFonts w:ascii="Arial" w:cs="Arial" w:eastAsia="Arial" w:hAnsi="Arial"/>
          <w:sz w:val="18"/>
          <w:szCs w:val="18"/>
          <w:i w:val="1"/>
          <w:iCs w:val="1"/>
          <w:color w:val="auto"/>
        </w:rPr>
        <w:t>. Adjustments of Prices.</w:t>
      </w:r>
      <w:r>
        <w:rPr>
          <w:rFonts w:ascii="Arial" w:cs="Arial" w:eastAsia="Arial" w:hAnsi="Arial"/>
          <w:sz w:val="18"/>
          <w:szCs w:val="18"/>
          <w:color w:val="auto"/>
        </w:rPr>
        <w:t xml:space="preserve"> Whenever any provision of this Indenture requires the Company to calculate the Last Reported Sale Prices, the Daily VWAPs, the Daily Conversion Values or the Daily Settlement Amounts over a span of multiple days (including, without limitation, an Observation Period and the period, if any, for determining the Stock Price for purposes of a Make-Whole Fundamental Change or a Notice of Redemption), the Company shall make appropriate adjustments (without duplication in respect of any adjustment made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pursuant to the provisions described under Section 14.04) to each to account for any adjustment to the Conversion Rate that becomes effective, or any event requiring an adjustment to the Conversion Rate where the Ex-Dividend Date, Effective Date or expiration date of the event occurs, at any time during the period when the Last Reported Sale Prices, the Daily VWAPs, the Daily Conversion Values or the Daily Settlement Amounts are to be calculated.</w:t>
      </w:r>
    </w:p>
    <w:p>
      <w:pPr>
        <w:spacing w:after="0" w:line="147"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Section 14.06</w:t>
      </w:r>
      <w:r>
        <w:rPr>
          <w:rFonts w:ascii="Arial" w:cs="Arial" w:eastAsia="Arial" w:hAnsi="Arial"/>
          <w:sz w:val="16"/>
          <w:szCs w:val="16"/>
          <w:i w:val="1"/>
          <w:iCs w:val="1"/>
          <w:color w:val="auto"/>
        </w:rPr>
        <w:t>. Shares to Be Fully Paid.</w:t>
      </w:r>
      <w:r>
        <w:rPr>
          <w:rFonts w:ascii="Arial" w:cs="Arial" w:eastAsia="Arial" w:hAnsi="Arial"/>
          <w:sz w:val="16"/>
          <w:szCs w:val="16"/>
          <w:color w:val="auto"/>
        </w:rPr>
        <w:t xml:space="preserve"> The Company shall use its commercially reasonable efforts to provide, free from preemptive rights, out of its authorized but unissued shares or shares held in treasury, sufficient shares of Common Stock to provide for conversion of the Notes from time to time as such Notes are presented for conversion (assuming delivery of the maximum number of Additional Shares pursuant to Section 14.03 and that at the time of computation of such number of shares, all such Notes would be converted by a single Holder and that Physical Settlement is applicable).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14.07</w:t>
      </w:r>
      <w:r>
        <w:rPr>
          <w:rFonts w:ascii="Arial" w:cs="Arial" w:eastAsia="Arial" w:hAnsi="Arial"/>
          <w:sz w:val="18"/>
          <w:szCs w:val="18"/>
          <w:i w:val="1"/>
          <w:iCs w:val="1"/>
          <w:color w:val="auto"/>
        </w:rPr>
        <w:t>. Effect of Recapitalizations, Reclassifications and Changes of the Common Stock.</w:t>
      </w:r>
    </w:p>
    <w:p>
      <w:pPr>
        <w:spacing w:after="0" w:line="225"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case of:</w:t>
      </w:r>
    </w:p>
    <w:p>
      <w:pPr>
        <w:spacing w:after="0" w:line="225" w:lineRule="exact"/>
        <w:rPr>
          <w:rFonts w:ascii="Arial" w:cs="Arial" w:eastAsia="Arial" w:hAnsi="Arial"/>
          <w:sz w:val="18"/>
          <w:szCs w:val="18"/>
          <w:color w:val="auto"/>
        </w:rPr>
      </w:pPr>
    </w:p>
    <w:p>
      <w:pPr>
        <w:ind w:left="660" w:right="40" w:firstLine="645"/>
        <w:spacing w:after="0" w:line="277" w:lineRule="auto"/>
        <w:tabs>
          <w:tab w:leader="none" w:pos="1978"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the Common Stock (other than a change to par value, or from par value to no par value, or changes resulting from a subdivision or combination),</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consolidation, merger, combination or similar transaction involving the Company,</w:t>
      </w:r>
    </w:p>
    <w:p>
      <w:pPr>
        <w:spacing w:after="0" w:line="225" w:lineRule="exact"/>
        <w:rPr>
          <w:rFonts w:ascii="Arial" w:cs="Arial" w:eastAsia="Arial" w:hAnsi="Arial"/>
          <w:sz w:val="18"/>
          <w:szCs w:val="18"/>
          <w:color w:val="auto"/>
        </w:rPr>
      </w:pPr>
    </w:p>
    <w:p>
      <w:pPr>
        <w:ind w:left="660" w:right="640" w:firstLine="645"/>
        <w:spacing w:after="0" w:line="277" w:lineRule="auto"/>
        <w:tabs>
          <w:tab w:leader="none" w:pos="1997"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sale, lease or other transfer to a third party of the consolidated assets of the Company and the Company’s Subsidiaries substantially as an entirety 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each case, as a result of which the Common Stock would be converted into, or exchanged for, stock, other securities, other property or assets (including cash or any combination thereof) (any such event, a “</w:t>
      </w:r>
      <w:r>
        <w:rPr>
          <w:rFonts w:ascii="Arial" w:cs="Arial" w:eastAsia="Arial" w:hAnsi="Arial"/>
          <w:sz w:val="16"/>
          <w:szCs w:val="16"/>
          <w:b w:val="1"/>
          <w:bCs w:val="1"/>
          <w:color w:val="auto"/>
        </w:rPr>
        <w:t>Merger Event</w:t>
      </w:r>
      <w:r>
        <w:rPr>
          <w:rFonts w:ascii="Arial" w:cs="Arial" w:eastAsia="Arial" w:hAnsi="Arial"/>
          <w:sz w:val="16"/>
          <w:szCs w:val="16"/>
          <w:color w:val="auto"/>
        </w:rPr>
        <w:t>”), then, at the effective time of such Merger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Arial" w:cs="Arial" w:eastAsia="Arial" w:hAnsi="Arial"/>
          <w:sz w:val="16"/>
          <w:szCs w:val="16"/>
          <w:b w:val="1"/>
          <w:bCs w:val="1"/>
          <w:color w:val="auto"/>
        </w:rPr>
        <w:t>Reference Property</w:t>
      </w:r>
      <w:r>
        <w:rPr>
          <w:rFonts w:ascii="Arial" w:cs="Arial" w:eastAsia="Arial" w:hAnsi="Arial"/>
          <w:sz w:val="16"/>
          <w:szCs w:val="16"/>
          <w:color w:val="auto"/>
        </w:rPr>
        <w:t>”, with each “</w:t>
      </w:r>
      <w:r>
        <w:rPr>
          <w:rFonts w:ascii="Arial" w:cs="Arial" w:eastAsia="Arial" w:hAnsi="Arial"/>
          <w:sz w:val="16"/>
          <w:szCs w:val="16"/>
          <w:b w:val="1"/>
          <w:bCs w:val="1"/>
          <w:color w:val="auto"/>
        </w:rPr>
        <w:t>unit of Reference Property</w:t>
      </w:r>
      <w:r>
        <w:rPr>
          <w:rFonts w:ascii="Arial" w:cs="Arial" w:eastAsia="Arial" w:hAnsi="Arial"/>
          <w:sz w:val="16"/>
          <w:szCs w:val="16"/>
          <w:color w:val="auto"/>
        </w:rPr>
        <w:t xml:space="preserve">” meaning the kind and amount of Reference Property that a holder of one share of Common Stock is entitled to receive) upon such Merger Event and, prior to or at the effective time of such Merger Event, the Company or the successor or purchasing Person, as the case may be, shall execute with the Trustee a supplemental indenture permitted Section 10.01(h) providing for such change in the right to convert each $1,000 principal amount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and after the effective time of the Merger Event (A) the Company or the successor or acquiring Person, as the case may be, shall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have the right to determine the form of consideration to be paid or delivered, as the case may be, upon conversion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of Notes in accordance with Section 14.02 and (B) (I) any amount payable in cash upon conversion of the Notes in accordance with Section 14.02 shall continue to be payable in cash, (II)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received in such Merger Event and (III) the Daily VWAP shall be calculated based on the value of a unit of Reference Property.</w:t>
      </w:r>
    </w:p>
    <w:p>
      <w:pPr>
        <w:spacing w:after="0" w:line="154"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If the Merger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(x) the weighted average of the types and amounts of consideration received by the holders of Common Stock that affirmatively make such an election or</w:t>
      </w:r>
    </w:p>
    <w:p>
      <w:pPr>
        <w:ind w:right="120" w:firstLine="8"/>
        <w:spacing w:after="0" w:line="281" w:lineRule="auto"/>
        <w:tabs>
          <w:tab w:leader="none" w:pos="25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no holders of Common Stock affirmatively make such an election, the types and amounts of consideration actually received by the holders of Common Stock, and (ii) the unit of Reference Property for purposes of the immediately preceding paragraph shall refer to the consideration referred to in clause</w:t>
      </w:r>
    </w:p>
    <w:p>
      <w:pPr>
        <w:spacing w:after="0" w:line="1" w:lineRule="exact"/>
        <w:rPr>
          <w:rFonts w:ascii="Arial" w:cs="Arial" w:eastAsia="Arial" w:hAnsi="Arial"/>
          <w:sz w:val="16"/>
          <w:szCs w:val="16"/>
          <w:color w:val="auto"/>
        </w:rPr>
      </w:pPr>
    </w:p>
    <w:p>
      <w:pPr>
        <w:ind w:firstLine="8"/>
        <w:spacing w:after="0" w:line="252" w:lineRule="auto"/>
        <w:tabs>
          <w:tab w:leader="none" w:pos="215"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attributable to one share of Common Stock. If the holders of the Common Stock receive only cash in such Merger Event, then for all conversions for which the relevant Conversion Date occurs after the effective date of such Merger Event (A) the consideration due upon conversion of each $1,000 principal amount of Notes shall be solely cash in an amount equal to the Conversion Rate in effect on the Conversion Date (as may be increased by any Additional Shares pursuant to Section 14.03),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price paid per share of Common Stock in such Merger Event and (B) the Company shall satisfy the Conversion Obligation by paying cash to converting Holders on the second Business Day immediately following the relevant Conversion Date. The Company shall notify Holders, the Trustee and the Conversion Agent (if other than the Trustee) in writing of such weighted average as soon as reasonably practicable after such determination is made.</w:t>
      </w:r>
    </w:p>
    <w:p>
      <w:pPr>
        <w:sectPr>
          <w:pgSz w:w="11900" w:h="16838" w:orient="portrait"/>
          <w:cols w:equalWidth="0" w:num="1">
            <w:col w:w="11420"/>
          </w:cols>
          <w:pgMar w:left="240" w:top="125" w:right="239" w:bottom="0" w:gutter="0" w:footer="0" w:header="0"/>
        </w:sectPr>
      </w:pPr>
    </w:p>
    <w:bookmarkStart w:id="44" w:name="page45"/>
    <w:bookmarkEnd w:id="44"/>
    <w:p>
      <w:pPr>
        <w:ind w:right="60" w:firstLine="648"/>
        <w:spacing w:after="0" w:line="271" w:lineRule="auto"/>
        <w:rPr>
          <w:sz w:val="20"/>
          <w:szCs w:val="20"/>
          <w:color w:val="auto"/>
        </w:rPr>
      </w:pPr>
      <w:r>
        <w:rPr>
          <w:rFonts w:ascii="Arial" w:cs="Arial" w:eastAsia="Arial" w:hAnsi="Arial"/>
          <w:sz w:val="17"/>
          <w:szCs w:val="17"/>
          <w:color w:val="auto"/>
        </w:rPr>
        <w:t>If the Reference Property in respect of any such Merger Event includes, in whole or in part, shares of Common Equity, the supplemental indenture described in the second immediately preceding paragraph shall provide for anti-dilution and other adjustments that shall be as nearly equivalent as is possible to the adjustments provided for in this Article 14 with respect to the portion of Reference Property constituting such Common Equity. If, in the case of any Merger Event, the Reference Property includes shares of stock, securities or other property or assets (other than cash and/or cash equivalents) of a Person other than the Company or the successor or purchasing corporation, as the case may be, in such Merger Event, then such supplemental indenture shall also be executed by such other Person and shall contain such additional provisions to protect the interests of the Holders as the Company shall reasonably consider necessary by reason of the foregoing, including the provisions providing for the purchase rights set forth in Article 15. The Company shall not become party to any such Merger Event unless its terms are consistent with this Section 14.07.</w:t>
      </w:r>
    </w:p>
    <w:p>
      <w:pPr>
        <w:spacing w:after="0" w:line="179" w:lineRule="exact"/>
        <w:rPr>
          <w:sz w:val="20"/>
          <w:szCs w:val="20"/>
          <w:color w:val="auto"/>
        </w:rPr>
      </w:pPr>
    </w:p>
    <w:p>
      <w:pPr>
        <w:ind w:right="20" w:firstLine="656"/>
        <w:spacing w:after="0" w:line="264" w:lineRule="auto"/>
        <w:tabs>
          <w:tab w:leader="none" w:pos="1304"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Merger Event, any adjustment to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spacing w:after="0" w:line="181" w:lineRule="exact"/>
        <w:rPr>
          <w:sz w:val="20"/>
          <w:szCs w:val="20"/>
          <w:color w:val="auto"/>
        </w:rPr>
      </w:pPr>
    </w:p>
    <w:p>
      <w:pPr>
        <w:jc w:val="both"/>
        <w:ind w:right="320" w:firstLine="656"/>
        <w:spacing w:after="0" w:line="264" w:lineRule="auto"/>
        <w:tabs>
          <w:tab w:leader="none" w:pos="1307"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None of the foregoing provisions shall affect the right of a holder of Notes to convert its Notes into cash, shares of Common Stock or a combination of cash and shares of Common Stock, as applicable, as set forth in Section 14.01 and Section 14.02 prior to the effective date of such Merger Event.</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above provisions of this Section shall similarly apply to successive Merger Events.</w:t>
      </w:r>
    </w:p>
    <w:p>
      <w:pPr>
        <w:spacing w:after="0" w:line="225" w:lineRule="exact"/>
        <w:rPr>
          <w:rFonts w:ascii="Arial" w:cs="Arial" w:eastAsia="Arial" w:hAnsi="Arial"/>
          <w:sz w:val="18"/>
          <w:szCs w:val="18"/>
          <w:color w:val="auto"/>
        </w:rPr>
      </w:pPr>
    </w:p>
    <w:p>
      <w:pPr>
        <w:ind w:right="440" w:firstLine="656"/>
        <w:spacing w:after="0" w:line="277" w:lineRule="auto"/>
        <w:tabs>
          <w:tab w:leader="none" w:pos="1307"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the consummation of any Merger Event, references to “Common Stock” shall be deemed to refer to any Reference Property that constitutes capital stock after giving effect to such Merger Event.</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14.08</w:t>
      </w:r>
      <w:r>
        <w:rPr>
          <w:rFonts w:ascii="Arial" w:cs="Arial" w:eastAsia="Arial" w:hAnsi="Arial"/>
          <w:sz w:val="18"/>
          <w:szCs w:val="18"/>
          <w:i w:val="1"/>
          <w:iCs w:val="1"/>
          <w:color w:val="auto"/>
        </w:rPr>
        <w:t>. Certain Covenants.</w:t>
      </w:r>
      <w:r>
        <w:rPr>
          <w:rFonts w:ascii="Arial" w:cs="Arial" w:eastAsia="Arial" w:hAnsi="Arial"/>
          <w:sz w:val="18"/>
          <w:szCs w:val="18"/>
          <w:color w:val="auto"/>
        </w:rPr>
        <w:t xml:space="preserve"> (a) The Company covenants that all shares of Common Stock issued upon conversion of Notes will be fully paid and non-assessable by the Company and free from all taxes, liens and charges with respect to the issue thereof.</w:t>
      </w:r>
    </w:p>
    <w:p>
      <w:pPr>
        <w:spacing w:after="0" w:line="170" w:lineRule="exact"/>
        <w:rPr>
          <w:sz w:val="20"/>
          <w:szCs w:val="20"/>
          <w:color w:val="auto"/>
        </w:rPr>
      </w:pPr>
    </w:p>
    <w:p>
      <w:pPr>
        <w:ind w:right="200" w:firstLine="656"/>
        <w:spacing w:after="0" w:line="259" w:lineRule="auto"/>
        <w:tabs>
          <w:tab w:leader="none" w:pos="13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spacing w:after="0" w:line="186" w:lineRule="exact"/>
        <w:rPr>
          <w:rFonts w:ascii="Arial" w:cs="Arial" w:eastAsia="Arial" w:hAnsi="Arial"/>
          <w:sz w:val="18"/>
          <w:szCs w:val="18"/>
          <w:color w:val="auto"/>
        </w:rPr>
      </w:pPr>
    </w:p>
    <w:p>
      <w:pPr>
        <w:ind w:right="40" w:firstLine="656"/>
        <w:spacing w:after="0" w:line="264" w:lineRule="auto"/>
        <w:tabs>
          <w:tab w:leader="none" w:pos="130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8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Section 14.09</w:t>
      </w:r>
      <w:r>
        <w:rPr>
          <w:rFonts w:ascii="Arial" w:cs="Arial" w:eastAsia="Arial" w:hAnsi="Arial"/>
          <w:sz w:val="17"/>
          <w:szCs w:val="17"/>
          <w:i w:val="1"/>
          <w:iCs w:val="1"/>
          <w:color w:val="auto"/>
        </w:rPr>
        <w:t>. Responsibility of Trustee.</w:t>
      </w:r>
      <w:r>
        <w:rPr>
          <w:rFonts w:ascii="Arial" w:cs="Arial" w:eastAsia="Arial" w:hAnsi="Arial"/>
          <w:sz w:val="17"/>
          <w:szCs w:val="17"/>
          <w:color w:val="auto"/>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conclusively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w:t>
      </w:r>
    </w:p>
    <w:p>
      <w:pPr>
        <w:spacing w:after="0" w:line="1"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 Except as otherwise expressly provided herein, neither the Trustee nor any other agent acting under this Indenture (other than the Company, if acting in such capacity)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14.10</w:t>
      </w:r>
      <w:r>
        <w:rPr>
          <w:rFonts w:ascii="Arial" w:cs="Arial" w:eastAsia="Arial" w:hAnsi="Arial"/>
          <w:sz w:val="18"/>
          <w:szCs w:val="18"/>
          <w:i w:val="1"/>
          <w:iCs w:val="1"/>
          <w:color w:val="auto"/>
        </w:rPr>
        <w:t>. Notice to Holders Prior to Certain Actions.</w:t>
      </w:r>
      <w:r>
        <w:rPr>
          <w:rFonts w:ascii="Arial" w:cs="Arial" w:eastAsia="Arial" w:hAnsi="Arial"/>
          <w:sz w:val="18"/>
          <w:szCs w:val="18"/>
          <w:color w:val="auto"/>
        </w:rPr>
        <w:t xml:space="preserve"> In case of any:</w:t>
      </w:r>
    </w:p>
    <w:p>
      <w:pPr>
        <w:spacing w:after="0" w:line="225"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action by the Company or one of its Subsidiaries that would require an adjustment in the Conversion Rate pursuant to Section 14.04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14.11; or</w:t>
      </w:r>
    </w:p>
    <w:p>
      <w:pPr>
        <w:sectPr>
          <w:pgSz w:w="11900" w:h="16838" w:orient="portrait"/>
          <w:cols w:equalWidth="0" w:num="1">
            <w:col w:w="11420"/>
          </w:cols>
          <w:pgMar w:left="240" w:top="125" w:right="239" w:bottom="0" w:gutter="0" w:footer="0" w:header="0"/>
        </w:sectPr>
      </w:pPr>
    </w:p>
    <w:bookmarkStart w:id="45" w:name="page46"/>
    <w:bookmarkEnd w:id="45"/>
    <w:p>
      <w:pPr>
        <w:ind w:left="1320" w:hanging="664"/>
        <w:spacing w:after="0"/>
        <w:tabs>
          <w:tab w:leader="none" w:pos="13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voluntary or involuntary dissolution, liquidation or winding-up of the Company;</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then, in each case (unless notice of such event is otherwise required pursuant to another provision of this Indenture), the Company shall cause to be filed with the Trustee and the Conversion Agent (if other than the Trustee) and to be delivered to each Holder, as promptly as possible but in any event at least 10 days prior to the applicable date hereinafter specified,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dissolution, liquidation or winding-up is expected to become effective or occur, and the date as of which it is expected that holders of Common Stock of record shall be entitled to exchange their Common Stock for securities or other property deliverable upon such dissolution, liquidation or winding-up. Failure to give such notice, or any defect therein, shall not affect the legality or validity of such action by the Company or one of its Subsidiaries, dissolution, liquidation or winding-up.</w:t>
      </w:r>
    </w:p>
    <w:p>
      <w:pPr>
        <w:spacing w:after="0" w:line="166"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Section 14.11</w:t>
      </w:r>
      <w:r>
        <w:rPr>
          <w:rFonts w:ascii="Arial" w:cs="Arial" w:eastAsia="Arial" w:hAnsi="Arial"/>
          <w:sz w:val="17"/>
          <w:szCs w:val="17"/>
          <w:i w:val="1"/>
          <w:iCs w:val="1"/>
          <w:color w:val="auto"/>
        </w:rPr>
        <w:t>. Stockholder Rights Plans.</w:t>
      </w:r>
      <w:r>
        <w:rPr>
          <w:rFonts w:ascii="Arial" w:cs="Arial" w:eastAsia="Arial" w:hAnsi="Arial"/>
          <w:sz w:val="17"/>
          <w:szCs w:val="17"/>
          <w:color w:val="auto"/>
        </w:rPr>
        <w:t xml:space="preserve"> If the Company has a stockholder rights plan in effect upon conversion of the Notes, each share of Common Stock, if any, issued upon such conversion shall be entitled to receive the appropriate number of rights, if any, and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so that the Holders would not be entitled to receive any rights in respect of Common Stock, if any, issuable upon conversion of the Notes,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Section 14.12</w:t>
      </w:r>
      <w:r>
        <w:rPr>
          <w:rFonts w:ascii="Arial" w:cs="Arial" w:eastAsia="Arial" w:hAnsi="Arial"/>
          <w:sz w:val="17"/>
          <w:szCs w:val="17"/>
          <w:i w:val="1"/>
          <w:iCs w:val="1"/>
          <w:color w:val="auto"/>
        </w:rPr>
        <w:t>. Exchange In Lieu Of Conversion.</w:t>
      </w:r>
      <w:r>
        <w:rPr>
          <w:rFonts w:ascii="Arial" w:cs="Arial" w:eastAsia="Arial" w:hAnsi="Arial"/>
          <w:sz w:val="17"/>
          <w:szCs w:val="17"/>
          <w:color w:val="auto"/>
        </w:rPr>
        <w:t xml:space="preserve"> (a) When a Holder surrenders its Notes for conversion, the Company may, at its election, direct the Conversion Agent to surrender, on or prior to the Trading Day immediately following the relevant Conversion Date, such Notes to one or more financial institutions designated by the Company (each, a “</w:t>
      </w:r>
      <w:r>
        <w:rPr>
          <w:rFonts w:ascii="Arial" w:cs="Arial" w:eastAsia="Arial" w:hAnsi="Arial"/>
          <w:sz w:val="17"/>
          <w:szCs w:val="17"/>
          <w:b w:val="1"/>
          <w:bCs w:val="1"/>
          <w:color w:val="auto"/>
        </w:rPr>
        <w:t>Designated Institution</w:t>
      </w:r>
      <w:r>
        <w:rPr>
          <w:rFonts w:ascii="Arial" w:cs="Arial" w:eastAsia="Arial" w:hAnsi="Arial"/>
          <w:sz w:val="17"/>
          <w:szCs w:val="17"/>
          <w:color w:val="auto"/>
        </w:rPr>
        <w:t>”) for exchange in lieu of conversion (an “</w:t>
      </w:r>
      <w:r>
        <w:rPr>
          <w:rFonts w:ascii="Arial" w:cs="Arial" w:eastAsia="Arial" w:hAnsi="Arial"/>
          <w:sz w:val="17"/>
          <w:szCs w:val="17"/>
          <w:b w:val="1"/>
          <w:bCs w:val="1"/>
          <w:color w:val="auto"/>
        </w:rPr>
        <w:t>Exchange Election</w:t>
      </w:r>
      <w:r>
        <w:rPr>
          <w:rFonts w:ascii="Arial" w:cs="Arial" w:eastAsia="Arial" w:hAnsi="Arial"/>
          <w:sz w:val="17"/>
          <w:szCs w:val="17"/>
          <w:color w:val="auto"/>
        </w:rPr>
        <w:t>”). In order to accept any Notes surrendered for conversion for exchange in lieu of conversion, the Designated Institution(s) must agree to timely pay and/or deliver, as the case may be, in exchange for such Notes, the cash, shares of Common Stock or combination of cash and Common Stock, at the Company’s election, that would otherwise be due upon conversion (the “</w:t>
      </w:r>
      <w:r>
        <w:rPr>
          <w:rFonts w:ascii="Arial" w:cs="Arial" w:eastAsia="Arial" w:hAnsi="Arial"/>
          <w:sz w:val="17"/>
          <w:szCs w:val="17"/>
          <w:b w:val="1"/>
          <w:bCs w:val="1"/>
          <w:color w:val="auto"/>
        </w:rPr>
        <w:t>Conversion Consideration</w:t>
      </w:r>
      <w:r>
        <w:rPr>
          <w:rFonts w:ascii="Arial" w:cs="Arial" w:eastAsia="Arial" w:hAnsi="Arial"/>
          <w:sz w:val="17"/>
          <w:szCs w:val="17"/>
          <w:color w:val="auto"/>
        </w:rPr>
        <w:t>”) as described in Section 14.02 above. If the Company makes an Exchange Election, the Company shall, by the close of business on the Trading Day following the relevant Conversion Date, notify the Holder surrendering Notes for conversion, the Trustee and the Conversion Agent (if other than the Trustee), in writing that it has made an Exchange Election, and the Company shall concurrently notify the Designated Institution(s) of the relevant deadline for delivery of the Conversion Consideration and the type of conversion consideration to be paid and/or delivered, as the case may be. Any Notes exchanged by the Designated Institution(s) will remain outstanding, subject to applicable procedures of the Depositary.</w:t>
      </w:r>
    </w:p>
    <w:p>
      <w:pPr>
        <w:spacing w:after="0" w:line="183" w:lineRule="exact"/>
        <w:rPr>
          <w:sz w:val="20"/>
          <w:szCs w:val="20"/>
          <w:color w:val="auto"/>
        </w:rPr>
      </w:pPr>
    </w:p>
    <w:p>
      <w:pPr>
        <w:ind w:right="120" w:firstLine="656"/>
        <w:spacing w:after="0" w:line="259" w:lineRule="auto"/>
        <w:tabs>
          <w:tab w:leader="none" w:pos="1304"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Designated Institution(s) agree(s) to accept any Notes for exchange but does not timely pay and/or deliver, as the case may be, the related Conversion Consideration to the Conversion Agent, or if the Designated Institution(s) do(es) not accept such Notes for exchange, the Company shall, within the time period specified in Section 14.02(c), pay and/or deliver, as the case may be, the Conversion Consideration in accordance with the provisions of Section 14.02.</w:t>
      </w:r>
    </w:p>
    <w:p>
      <w:pPr>
        <w:spacing w:after="0" w:line="186" w:lineRule="exact"/>
        <w:rPr>
          <w:rFonts w:ascii="Arial" w:cs="Arial" w:eastAsia="Arial" w:hAnsi="Arial"/>
          <w:sz w:val="18"/>
          <w:szCs w:val="18"/>
          <w:color w:val="auto"/>
        </w:rPr>
      </w:pPr>
    </w:p>
    <w:p>
      <w:pPr>
        <w:ind w:right="420" w:firstLine="656"/>
        <w:spacing w:after="0" w:line="277" w:lineRule="auto"/>
        <w:tabs>
          <w:tab w:leader="none" w:pos="1307"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the avoidance of doubt, in no event will the Company’s designation of any Designated Institution(s) pursuant to this Section 14.12 require the Designated Institution(s) to accept any Notes for exchange.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REPURCHASE OF NOTES AT OPTION OF HOLDERS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15.01</w:t>
      </w:r>
      <w:r>
        <w:rPr>
          <w:rFonts w:ascii="Arial" w:cs="Arial" w:eastAsia="Arial" w:hAnsi="Arial"/>
          <w:sz w:val="18"/>
          <w:szCs w:val="18"/>
          <w:i w:val="1"/>
          <w:iCs w:val="1"/>
          <w:color w:val="auto"/>
        </w:rPr>
        <w:t>. Intentionally Omitted.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Section 15.02</w:t>
      </w:r>
      <w:r>
        <w:rPr>
          <w:rFonts w:ascii="Arial" w:cs="Arial" w:eastAsia="Arial" w:hAnsi="Arial"/>
          <w:sz w:val="16"/>
          <w:szCs w:val="16"/>
          <w:i w:val="1"/>
          <w:iCs w:val="1"/>
          <w:color w:val="auto"/>
        </w:rPr>
        <w:t>. Repurchase at Option of Holders Upon a Fundamental Change.</w:t>
      </w:r>
      <w:r>
        <w:rPr>
          <w:rFonts w:ascii="Arial" w:cs="Arial" w:eastAsia="Arial" w:hAnsi="Arial"/>
          <w:sz w:val="16"/>
          <w:szCs w:val="16"/>
          <w:color w:val="auto"/>
        </w:rPr>
        <w:t xml:space="preserve"> (a) If a Fundamental Change occurs at any time prior to the Maturity Date, each Holder shall have the right, at such Holder’s option, to require the Company to repurchase for cash all of such Holder’s Notes, or any portion thereof properly surrendered and not validly withdrawn pursuant to Section 15.03 that is equal to $1,000 or an integral multiple of $1,000, on the date (the “</w:t>
      </w:r>
      <w:r>
        <w:rPr>
          <w:rFonts w:ascii="Arial" w:cs="Arial" w:eastAsia="Arial" w:hAnsi="Arial"/>
          <w:sz w:val="16"/>
          <w:szCs w:val="16"/>
          <w:b w:val="1"/>
          <w:bCs w:val="1"/>
          <w:color w:val="auto"/>
        </w:rPr>
        <w:t>Fundamental Change Repurchase Date</w:t>
      </w:r>
      <w:r>
        <w:rPr>
          <w:rFonts w:ascii="Arial" w:cs="Arial" w:eastAsia="Arial" w:hAnsi="Arial"/>
          <w:sz w:val="16"/>
          <w:szCs w:val="16"/>
          <w:color w:val="auto"/>
        </w:rPr>
        <w:t xml:space="preserve">”) specified by the Company that is not less than 20 Business Days or more than 35 Business Days following the date of the Fundamental Change Company Notice at a repurchase price equal to 100% of the principal amount thereof,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and unpaid interest thereon to, but excluding, the Fundamental Change Repurchase Date (the “</w:t>
      </w:r>
      <w:r>
        <w:rPr>
          <w:rFonts w:ascii="Arial" w:cs="Arial" w:eastAsia="Arial" w:hAnsi="Arial"/>
          <w:sz w:val="16"/>
          <w:szCs w:val="16"/>
          <w:b w:val="1"/>
          <w:bCs w:val="1"/>
          <w:color w:val="auto"/>
        </w:rPr>
        <w:t>Fundamental Change Repurchase Price</w:t>
      </w:r>
      <w:r>
        <w:rPr>
          <w:rFonts w:ascii="Arial" w:cs="Arial" w:eastAsia="Arial" w:hAnsi="Arial"/>
          <w:sz w:val="16"/>
          <w:szCs w:val="16"/>
          <w:color w:val="auto"/>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such Regular Record Date, and the Fundamental Change Repurchase Price shall be equal to 100% of the principal amount of Notes to be repurchased pursuant to this Article 15.</w:t>
      </w:r>
    </w:p>
    <w:p>
      <w:pPr>
        <w:spacing w:after="0" w:line="167" w:lineRule="exact"/>
        <w:rPr>
          <w:sz w:val="20"/>
          <w:szCs w:val="20"/>
          <w:color w:val="auto"/>
        </w:rPr>
      </w:pPr>
    </w:p>
    <w:p>
      <w:pPr>
        <w:ind w:left="1320" w:hanging="664"/>
        <w:spacing w:after="0"/>
        <w:tabs>
          <w:tab w:leader="none" w:pos="1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Repurchases of Notes under this Section 15.02 shall be made, at the option of the Holder thereof, upon:</w:t>
      </w:r>
    </w:p>
    <w:p>
      <w:pPr>
        <w:spacing w:after="0" w:line="221" w:lineRule="exact"/>
        <w:rPr>
          <w:rFonts w:ascii="Arial" w:cs="Arial" w:eastAsia="Arial" w:hAnsi="Arial"/>
          <w:sz w:val="18"/>
          <w:szCs w:val="18"/>
          <w:color w:val="auto"/>
        </w:rPr>
      </w:pPr>
    </w:p>
    <w:p>
      <w:pPr>
        <w:ind w:left="660" w:right="140" w:firstLine="645"/>
        <w:spacing w:after="0" w:line="261" w:lineRule="auto"/>
        <w:tabs>
          <w:tab w:leader="none" w:pos="1978"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delivery to the Paying Agent by a Holder of a duly completed notice (the “</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184" w:lineRule="exact"/>
        <w:rPr>
          <w:rFonts w:ascii="Arial" w:cs="Arial" w:eastAsia="Arial" w:hAnsi="Arial"/>
          <w:sz w:val="18"/>
          <w:szCs w:val="18"/>
          <w:color w:val="auto"/>
        </w:rPr>
      </w:pPr>
    </w:p>
    <w:p>
      <w:pPr>
        <w:jc w:val="both"/>
        <w:ind w:left="660" w:right="140" w:firstLine="645"/>
        <w:spacing w:after="0" w:line="259" w:lineRule="auto"/>
        <w:tabs>
          <w:tab w:leader="none" w:pos="1987"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being a condition to receipt by the Holder of the Fundamental Change Repurchase Price therefor.</w:t>
      </w:r>
    </w:p>
    <w:p>
      <w:pPr>
        <w:sectPr>
          <w:pgSz w:w="11900" w:h="16838" w:orient="portrait"/>
          <w:cols w:equalWidth="0" w:num="1">
            <w:col w:w="11420"/>
          </w:cols>
          <w:pgMar w:left="240" w:top="125" w:right="239" w:bottom="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The Fundamental Change Repurchase Notice in respect of any Physical Notes to be repurchased shall state:</w:t>
      </w:r>
    </w:p>
    <w:p>
      <w:pPr>
        <w:spacing w:after="0" w:line="225" w:lineRule="exact"/>
        <w:rPr>
          <w:sz w:val="20"/>
          <w:szCs w:val="20"/>
          <w:color w:val="auto"/>
        </w:rPr>
      </w:pPr>
    </w:p>
    <w:p>
      <w:pPr>
        <w:ind w:left="1980" w:hanging="675"/>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certificate numbers of the Notes to be delivered for repurchase;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portion of the principal amount of Notes to be repurchased, which must be $1,000 or an integral multiple thereof; and</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that the Notes are to be repurchased by the Company pursuant to the applicable provisions of the Notes and this Indenture.</w:t>
      </w:r>
    </w:p>
    <w:p>
      <w:pPr>
        <w:spacing w:after="0" w:line="23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the Notes are Global Notes, to exercise the Fundamental Change repurchase right, Holders must surrender their Notes in accordance with applicable Depositary procedures.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15.03.</w:t>
      </w:r>
    </w:p>
    <w:p>
      <w:pPr>
        <w:spacing w:after="0" w:line="18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Paying Agent shall promptly notify the Company of the receipt by it of any Fundamental Change Repurchase Notice or written notice of withdrawal thereof.</w:t>
      </w:r>
    </w:p>
    <w:p>
      <w:pPr>
        <w:spacing w:after="0" w:line="170" w:lineRule="exact"/>
        <w:rPr>
          <w:sz w:val="20"/>
          <w:szCs w:val="20"/>
          <w:color w:val="auto"/>
        </w:rPr>
      </w:pPr>
    </w:p>
    <w:p>
      <w:pPr>
        <w:ind w:right="240" w:firstLine="656"/>
        <w:spacing w:after="0" w:line="297" w:lineRule="auto"/>
        <w:tabs>
          <w:tab w:leader="none" w:pos="1307"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 or before the 20th Business Day after the occurrence of the effective date of a Fundamental Change, the Company shall provide to all Holders of Notes and the Trustee and the Paying Agent (in the case of a Paying Agent other than the Trustee) a written notice (the “</w:t>
      </w:r>
      <w:r>
        <w:rPr>
          <w:rFonts w:ascii="Arial" w:cs="Arial" w:eastAsia="Arial" w:hAnsi="Arial"/>
          <w:sz w:val="16"/>
          <w:szCs w:val="16"/>
          <w:b w:val="1"/>
          <w:bCs w:val="1"/>
          <w:color w:val="auto"/>
        </w:rPr>
        <w:t>Fundamental Change</w:t>
      </w:r>
      <w:r>
        <w:rPr>
          <w:rFonts w:ascii="Arial" w:cs="Arial" w:eastAsia="Arial" w:hAnsi="Arial"/>
          <w:sz w:val="16"/>
          <w:szCs w:val="16"/>
          <w:color w:val="auto"/>
        </w:rPr>
        <w:t xml:space="preserve"> </w:t>
      </w:r>
      <w:r>
        <w:rPr>
          <w:rFonts w:ascii="Arial" w:cs="Arial" w:eastAsia="Arial" w:hAnsi="Arial"/>
          <w:sz w:val="16"/>
          <w:szCs w:val="16"/>
          <w:b w:val="1"/>
          <w:bCs w:val="1"/>
          <w:color w:val="auto"/>
        </w:rPr>
        <w:t>Company Notice</w:t>
      </w:r>
      <w:r>
        <w:rPr>
          <w:rFonts w:ascii="Arial" w:cs="Arial" w:eastAsia="Arial" w:hAnsi="Arial"/>
          <w:sz w:val="16"/>
          <w:szCs w:val="16"/>
          <w:color w:val="auto"/>
        </w:rPr>
        <w:t>”) of the occurrence of the effective date of the Fundamental Change and of the repurchase right at the option of the Holders arising as a</w:t>
      </w:r>
      <w:r>
        <w:rPr>
          <w:rFonts w:ascii="Arial" w:cs="Arial" w:eastAsia="Arial" w:hAnsi="Arial"/>
          <w:sz w:val="16"/>
          <w:szCs w:val="16"/>
          <w:b w:val="1"/>
          <w:bCs w:val="1"/>
          <w:color w:val="auto"/>
        </w:rPr>
        <w:t xml:space="preserve"> </w:t>
      </w:r>
      <w:r>
        <w:rPr>
          <w:rFonts w:ascii="Arial" w:cs="Arial" w:eastAsia="Arial" w:hAnsi="Arial"/>
          <w:sz w:val="16"/>
          <w:szCs w:val="16"/>
          <w:color w:val="auto"/>
        </w:rPr>
        <w:t>result thereof. In the case of Physical Notes, such notice shall be by first class mail or, in the case of Global Notes, such notice shall be delivered in accordance with the applicable procedures of the Depositary. Each Fundamental Change Company Notice shall specify:</w:t>
      </w:r>
    </w:p>
    <w:p>
      <w:pPr>
        <w:spacing w:after="0" w:line="158" w:lineRule="exact"/>
        <w:rPr>
          <w:rFonts w:ascii="Arial" w:cs="Arial" w:eastAsia="Arial" w:hAnsi="Arial"/>
          <w:sz w:val="16"/>
          <w:szCs w:val="16"/>
          <w:color w:val="auto"/>
        </w:rPr>
      </w:pPr>
    </w:p>
    <w:p>
      <w:pPr>
        <w:ind w:left="1980" w:hanging="675"/>
        <w:spacing w:after="0"/>
        <w:tabs>
          <w:tab w:leader="none" w:pos="1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events causing the Fundamental Change;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effective date of the Fundamental Change;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last date on which a Holder may exercise the repurchase right pursuant to this Article 15;</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 if applicable;</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83"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applicable, the Conversion Rate and any adjustments to the Conversion Rate as a result of such Fundamental Change (or related Make-Whole Fundamental Change);</w:t>
      </w:r>
    </w:p>
    <w:p>
      <w:pPr>
        <w:spacing w:after="0" w:line="170" w:lineRule="exact"/>
        <w:rPr>
          <w:rFonts w:ascii="Arial" w:cs="Arial" w:eastAsia="Arial" w:hAnsi="Arial"/>
          <w:sz w:val="18"/>
          <w:szCs w:val="18"/>
          <w:color w:val="auto"/>
        </w:rPr>
      </w:pPr>
    </w:p>
    <w:p>
      <w:pPr>
        <w:ind w:left="660" w:right="120" w:firstLine="645"/>
        <w:spacing w:after="0" w:line="308" w:lineRule="auto"/>
        <w:tabs>
          <w:tab w:leader="none" w:pos="1992"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procedures that Holders must follow to require the Company to repurchase their Notes.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 failure of the Company to give the foregoing notices and no defect therein shall limit the Holders’ repurchase rights or affect the validity of the proceedings for the repurchase of the Notes pursuant to this Section 15.02.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At the Company’s request, given at least five days prior to the date the Fundamental Change Company Notice is to be sent (or such lesser amount of time as agreed to by the Trustee in its reasonable discretion), the Trustee shall give such notice in the Company’s name and at the Company’s expense;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in all cases, the text of such Fundamental Change Company Notice shall be prepared by the Company.</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Simultaneously with providing such notice, the Company shall publish the information on its website or through such other public medium as it may use at that time.</w:t>
      </w:r>
    </w:p>
    <w:p>
      <w:pPr>
        <w:spacing w:after="0" w:line="170" w:lineRule="exact"/>
        <w:rPr>
          <w:sz w:val="20"/>
          <w:szCs w:val="20"/>
          <w:color w:val="auto"/>
        </w:rPr>
      </w:pPr>
    </w:p>
    <w:p>
      <w:pPr>
        <w:ind w:right="40" w:firstLine="656"/>
        <w:spacing w:after="0" w:line="254" w:lineRule="auto"/>
        <w:tabs>
          <w:tab w:leader="none" w:pos="1304"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spacing w:after="0" w:line="192" w:lineRule="exact"/>
        <w:rPr>
          <w:rFonts w:ascii="Arial" w:cs="Arial" w:eastAsia="Arial" w:hAnsi="Arial"/>
          <w:sz w:val="18"/>
          <w:szCs w:val="18"/>
          <w:color w:val="auto"/>
        </w:rPr>
      </w:pPr>
    </w:p>
    <w:p>
      <w:pPr>
        <w:ind w:firstLine="656"/>
        <w:spacing w:after="0" w:line="312" w:lineRule="auto"/>
        <w:tabs>
          <w:tab w:leader="none" w:pos="1307"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w:t>
      </w:r>
    </w:p>
    <w:p>
      <w:pPr>
        <w:sectPr>
          <w:pgSz w:w="11900" w:h="16838" w:orient="portrait"/>
          <w:cols w:equalWidth="0" w:num="1">
            <w:col w:w="11420"/>
          </w:cols>
          <w:pgMar w:left="240" w:top="125" w:right="239" w:bottom="0" w:gutter="0" w:footer="0" w:header="0"/>
        </w:sectPr>
      </w:pPr>
    </w:p>
    <w:bookmarkStart w:id="47" w:name="page48"/>
    <w:bookmarkEnd w:id="47"/>
    <w:p>
      <w:pPr>
        <w:ind w:right="60"/>
        <w:spacing w:after="0" w:line="277" w:lineRule="auto"/>
        <w:rPr>
          <w:sz w:val="20"/>
          <w:szCs w:val="20"/>
          <w:color w:val="auto"/>
        </w:rPr>
      </w:pPr>
      <w:r>
        <w:rPr>
          <w:rFonts w:ascii="Arial" w:cs="Arial" w:eastAsia="Arial" w:hAnsi="Arial"/>
          <w:sz w:val="18"/>
          <w:szCs w:val="18"/>
          <w:color w:val="auto"/>
        </w:rPr>
        <w:t>validly withdrawn under its offer in the same manner, at the same time and otherwise in compliance with the requirements for an offer made by the Company as set forth above.</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Section 15.03</w:t>
      </w:r>
      <w:r>
        <w:rPr>
          <w:rFonts w:ascii="Arial" w:cs="Arial" w:eastAsia="Arial" w:hAnsi="Arial"/>
          <w:sz w:val="17"/>
          <w:szCs w:val="17"/>
          <w:i w:val="1"/>
          <w:iCs w:val="1"/>
          <w:color w:val="auto"/>
        </w:rPr>
        <w:t>. Withdrawal of Fundamental Change Repurchase Notice.</w:t>
      </w:r>
      <w:r>
        <w:rPr>
          <w:rFonts w:ascii="Arial" w:cs="Arial" w:eastAsia="Arial" w:hAnsi="Arial"/>
          <w:sz w:val="17"/>
          <w:szCs w:val="17"/>
          <w:color w:val="auto"/>
        </w:rPr>
        <w:t xml:space="preserve"> (a) A Fundamental Change Repurchase Notice may be withdrawn (in whole or in part) in respect of Physical Notes by means of a written notice of withdrawal received by the Paying Agent in accordance with this Section 15.03 at any time prior to the close of business on the Business Day immediately preceding the Fundamental Change Repurchase Date, specifying:</w:t>
      </w:r>
    </w:p>
    <w:p>
      <w:pPr>
        <w:spacing w:after="0" w:line="166" w:lineRule="exact"/>
        <w:rPr>
          <w:sz w:val="20"/>
          <w:szCs w:val="20"/>
          <w:color w:val="auto"/>
        </w:rPr>
      </w:pPr>
    </w:p>
    <w:p>
      <w:pPr>
        <w:ind w:left="660" w:right="60" w:firstLine="645"/>
        <w:spacing w:after="0" w:line="277" w:lineRule="auto"/>
        <w:tabs>
          <w:tab w:leader="none" w:pos="197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principal amount of the Notes with respect to which such notice of withdrawal is being submitted, which must be $1,000 or an integral multiple thereof,</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certificate number of the Note in respect of which such notice of withdrawal is being submitted, and</w:t>
      </w:r>
    </w:p>
    <w:p>
      <w:pPr>
        <w:spacing w:after="0" w:line="225" w:lineRule="exact"/>
        <w:rPr>
          <w:rFonts w:ascii="Arial" w:cs="Arial" w:eastAsia="Arial" w:hAnsi="Arial"/>
          <w:sz w:val="18"/>
          <w:szCs w:val="18"/>
          <w:color w:val="auto"/>
        </w:rPr>
      </w:pPr>
    </w:p>
    <w:p>
      <w:pPr>
        <w:ind w:left="660" w:right="360" w:firstLine="645"/>
        <w:spacing w:after="0" w:line="277" w:lineRule="auto"/>
        <w:tabs>
          <w:tab w:leader="none" w:pos="199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principal amount, if any, of such Note that remains subject to the original Fundamental Change Repurchase Notice, which portion must be in principal amounts of $1,000 or an integral multiple of $1,000;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If the Notes are Global Notes, Holders may withdraw their Notes subject to repurchase at any time prior to the close of business on the Business Day immediately preceding the Fundamental Change Repurchase Date in accordance with the applicable procedures of the Depositary.</w:t>
      </w:r>
    </w:p>
    <w:p>
      <w:pPr>
        <w:spacing w:after="0" w:line="1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Section 15.04</w:t>
      </w:r>
      <w:r>
        <w:rPr>
          <w:rFonts w:ascii="Arial" w:cs="Arial" w:eastAsia="Arial" w:hAnsi="Arial"/>
          <w:sz w:val="16"/>
          <w:szCs w:val="16"/>
          <w:i w:val="1"/>
          <w:iCs w:val="1"/>
          <w:color w:val="auto"/>
        </w:rPr>
        <w:t>. Deposit of Fundamental Change Repurchase Price.</w:t>
      </w:r>
      <w:r>
        <w:rPr>
          <w:rFonts w:ascii="Arial" w:cs="Arial" w:eastAsia="Arial" w:hAnsi="Arial"/>
          <w:sz w:val="16"/>
          <w:szCs w:val="16"/>
          <w:color w:val="auto"/>
        </w:rPr>
        <w:t xml:space="preserve"> (a)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will be made on the later of (i) the Fundamental Change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w:t>
      </w:r>
    </w:p>
    <w:p>
      <w:pPr>
        <w:spacing w:after="0" w:line="173" w:lineRule="exact"/>
        <w:rPr>
          <w:sz w:val="20"/>
          <w:szCs w:val="20"/>
          <w:color w:val="auto"/>
        </w:rPr>
      </w:pPr>
    </w:p>
    <w:p>
      <w:pPr>
        <w:ind w:firstLine="656"/>
        <w:spacing w:after="0" w:line="270" w:lineRule="auto"/>
        <w:tabs>
          <w:tab w:leader="none" w:pos="1304"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by 11:00 a.m. New York City time, on the Fundamental Change Repurchase Date, the Trustee (or other Paying Agent appointed by the Company) holds money sufficient to pay the Fundamental Change Repurchase Price to be repurchased on such Fundamental Change Repurchase Date, then, with respect to the Notes that have been properly surrendered for repurchase and have not been validly withdrawn in accordance with the provisions of this Indenture, (i) such Notes will cease to be outstanding, (ii) interest will cease to accrue on such Notes on the Fundamental Change Repurchase Date (whether or not book-entry transfer of the Notes has been made or the Notes have been delivered to the Trustee or Paying Agent) and (iii) all other rights of the Holders with respect to such Notes will terminate on the Fundamental Change Repurchase Date (other than (x) the right to receive the Fundamental Change Repurchase Price and (y) if the Fundamental Change Repurchase Date falls after a Regular Record Date but on or prior to the related Interest Payment Date, the right of the Holder of record on such Regular Record Date to receive the full amount of accrued and unpaid interest to, but excluding, such Interest Payment Date).</w:t>
      </w:r>
    </w:p>
    <w:p>
      <w:pPr>
        <w:spacing w:after="0" w:line="181" w:lineRule="exact"/>
        <w:rPr>
          <w:rFonts w:ascii="Arial" w:cs="Arial" w:eastAsia="Arial" w:hAnsi="Arial"/>
          <w:sz w:val="17"/>
          <w:szCs w:val="17"/>
          <w:color w:val="auto"/>
        </w:rPr>
      </w:pPr>
    </w:p>
    <w:p>
      <w:pPr>
        <w:ind w:right="480" w:firstLine="656"/>
        <w:spacing w:after="0" w:line="264" w:lineRule="auto"/>
        <w:tabs>
          <w:tab w:leader="none" w:pos="1307" w:val="left"/>
        </w:tabs>
        <w:numPr>
          <w:ilvl w:val="0"/>
          <w:numId w:val="94"/>
        </w:numPr>
        <w:rPr>
          <w:rFonts w:ascii="Arial" w:cs="Arial" w:eastAsia="Arial" w:hAnsi="Arial"/>
          <w:sz w:val="18"/>
          <w:szCs w:val="18"/>
          <w:color w:val="auto"/>
        </w:rPr>
      </w:pPr>
      <w:r>
        <w:rPr>
          <w:rFonts w:ascii="Arial" w:cs="Arial" w:eastAsia="Arial" w:hAnsi="Arial"/>
          <w:sz w:val="18"/>
          <w:szCs w:val="18"/>
          <w:color w:val="auto"/>
        </w:rPr>
        <w:t>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Section 15.05. </w:t>
      </w:r>
      <w:r>
        <w:rPr>
          <w:rFonts w:ascii="Arial" w:cs="Arial" w:eastAsia="Arial" w:hAnsi="Arial"/>
          <w:sz w:val="18"/>
          <w:szCs w:val="18"/>
          <w:i w:val="1"/>
          <w:iCs w:val="1"/>
          <w:color w:val="auto"/>
        </w:rPr>
        <w:t>Covenant to Comply with Applicable Laws Upon Repurchase of Notes</w:t>
      </w:r>
      <w:r>
        <w:rPr>
          <w:rFonts w:ascii="Arial" w:cs="Arial" w:eastAsia="Arial" w:hAnsi="Arial"/>
          <w:sz w:val="18"/>
          <w:szCs w:val="18"/>
          <w:color w:val="auto"/>
        </w:rPr>
        <w:t>. In connection with any repurchase offer upon a Fundamental Change pursuant to this Article 15, the Company will, if required: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comply with the tender offer rules under the Exchange Act that may then be applicable;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file a Schedule TO or any other required schedule under the Exchange Act;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otherwise comply with all federal and state securities laws in connection with any offer by the Company to repurchase the Notes;</w:t>
      </w:r>
    </w:p>
    <w:p>
      <w:pPr>
        <w:spacing w:after="0" w:line="2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each case, so as to permit the rights and obligations under this Article 15 to be exercised in the time and in the manner specified in this Article 15. To the extent that the provisions of any securities laws or regulations conflict with the provisions of this Article 15 relating to the Company’s obligations to repurchase the Notes upon a Fundamental Change, the Company will comply with the applicable securities laws and regulations and will not be deemed to have breached its obligations under such provisions of this Article 15 by virtue of such conflict.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16</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OPTIONAL REDEMPTION</w:t>
      </w:r>
    </w:p>
    <w:p>
      <w:pPr>
        <w:spacing w:after="0" w:line="21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i w:val="1"/>
          <w:iCs w:val="1"/>
          <w:color w:val="auto"/>
        </w:rPr>
        <w:t>Optional Redemption</w:t>
      </w:r>
      <w:r>
        <w:rPr>
          <w:rFonts w:ascii="Arial" w:cs="Arial" w:eastAsia="Arial" w:hAnsi="Arial"/>
          <w:sz w:val="18"/>
          <w:szCs w:val="18"/>
          <w:color w:val="auto"/>
        </w:rPr>
        <w:t>. The Notes shall not be redeemable by the Company prior to June 20, 2021. On or after June 20, 2021, the Company may redeem (an “</w:t>
      </w:r>
      <w:r>
        <w:rPr>
          <w:rFonts w:ascii="Arial" w:cs="Arial" w:eastAsia="Arial" w:hAnsi="Arial"/>
          <w:sz w:val="18"/>
          <w:szCs w:val="18"/>
          <w:b w:val="1"/>
          <w:bCs w:val="1"/>
          <w:color w:val="auto"/>
        </w:rPr>
        <w:t>Optional Redemption</w:t>
      </w:r>
      <w:r>
        <w:rPr>
          <w:rFonts w:ascii="Arial" w:cs="Arial" w:eastAsia="Arial" w:hAnsi="Arial"/>
          <w:sz w:val="18"/>
          <w:szCs w:val="18"/>
          <w:color w:val="auto"/>
        </w:rPr>
        <w:t>”) for cash all or any portion of the Notes, at the Redemption Price,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Redemption Notice in accordance with Section 16.02.</w:t>
      </w:r>
    </w:p>
    <w:p>
      <w:pPr>
        <w:sectPr>
          <w:pgSz w:w="11900" w:h="16838" w:orient="portrait"/>
          <w:cols w:equalWidth="0" w:num="1">
            <w:col w:w="11400"/>
          </w:cols>
          <w:pgMar w:left="240" w:top="125" w:right="259" w:bottom="0" w:gutter="0" w:footer="0" w:header="0"/>
        </w:sectPr>
      </w:pPr>
    </w:p>
    <w:bookmarkStart w:id="48" w:name="page49"/>
    <w:bookmarkEnd w:id="48"/>
    <w:p>
      <w:pPr>
        <w:ind w:right="80" w:firstLine="648"/>
        <w:spacing w:after="0" w:line="253" w:lineRule="auto"/>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i w:val="1"/>
          <w:iCs w:val="1"/>
          <w:color w:val="auto"/>
        </w:rPr>
        <w:t>Notice of Optional Redemption; Selection of Notes</w:t>
      </w:r>
      <w:r>
        <w:rPr>
          <w:rFonts w:ascii="Arial" w:cs="Arial" w:eastAsia="Arial" w:hAnsi="Arial"/>
          <w:sz w:val="18"/>
          <w:szCs w:val="18"/>
          <w:color w:val="auto"/>
        </w:rPr>
        <w:t>. (a) In case the Company exercises its Optional Redemption right to redeem all or, as the case may be, any part of the Notes pursuant to Section 16.01, it shall fix a date for redemption (each, a “</w:t>
      </w:r>
      <w:r>
        <w:rPr>
          <w:rFonts w:ascii="Arial" w:cs="Arial" w:eastAsia="Arial" w:hAnsi="Arial"/>
          <w:sz w:val="18"/>
          <w:szCs w:val="18"/>
          <w:b w:val="1"/>
          <w:bCs w:val="1"/>
          <w:color w:val="auto"/>
        </w:rPr>
        <w:t>Redemption Date</w:t>
      </w:r>
      <w:r>
        <w:rPr>
          <w:rFonts w:ascii="Arial" w:cs="Arial" w:eastAsia="Arial" w:hAnsi="Arial"/>
          <w:sz w:val="18"/>
          <w:szCs w:val="18"/>
          <w:color w:val="auto"/>
        </w:rPr>
        <w:t>”) and it or, at its written request received by the Trustee not less than 5 Business Days prior to the date such Redemption Notice is to be sent (or such shorter period of time as may be acceptable to the Trustee), the Trustee, in the name of and at the expense of the Company, shall deliver or cause to be delivered a notice of such Optional Redemption (a “</w:t>
      </w:r>
      <w:r>
        <w:rPr>
          <w:rFonts w:ascii="Arial" w:cs="Arial" w:eastAsia="Arial" w:hAnsi="Arial"/>
          <w:sz w:val="18"/>
          <w:szCs w:val="18"/>
          <w:b w:val="1"/>
          <w:bCs w:val="1"/>
          <w:color w:val="auto"/>
        </w:rPr>
        <w:t>Redemption Notice</w:t>
      </w:r>
      <w:r>
        <w:rPr>
          <w:rFonts w:ascii="Arial" w:cs="Arial" w:eastAsia="Arial" w:hAnsi="Arial"/>
          <w:sz w:val="18"/>
          <w:szCs w:val="18"/>
          <w:color w:val="auto"/>
        </w:rPr>
        <w:t xml:space="preserve">”) not less than 60 nor more than 75 calendar days prior to the Redemption Date to each Holder of Notes so to be redeemed as a whole or in part;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Redemption Notice Date must be at least one calendar day prior to the first Scheduled Trading Day of any related Observation Period;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if the Company shall give such notice, it shall also give written notice of the Redemption Date to the Trustee, the Conversion Agent (if other than the Trustee) and the Paying Agent (if other than the Trustee). The Redemption Date must be a Business Day.</w:t>
      </w:r>
    </w:p>
    <w:p>
      <w:pPr>
        <w:spacing w:after="0" w:line="197" w:lineRule="exact"/>
        <w:rPr>
          <w:sz w:val="20"/>
          <w:szCs w:val="20"/>
          <w:color w:val="auto"/>
        </w:rPr>
      </w:pPr>
    </w:p>
    <w:p>
      <w:pPr>
        <w:ind w:firstLine="656"/>
        <w:spacing w:after="0" w:line="277" w:lineRule="auto"/>
        <w:tabs>
          <w:tab w:leader="none" w:pos="130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Redemption Notice, if delivered in the manner herein provided, shall be conclusively presumed to have been duly given, whether or not the Holder receives such notice. In any case, failure to give such Redemption Notice or any defect in the Redemption Notice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Holder of any Note designated for redemption as a whole or in part shall not affect the validity of the proceedings for the redemption of any other Note.</w:t>
      </w:r>
    </w:p>
    <w:p>
      <w:pPr>
        <w:spacing w:after="0" w:line="248" w:lineRule="exact"/>
        <w:rPr>
          <w:sz w:val="20"/>
          <w:szCs w:val="20"/>
          <w:color w:val="auto"/>
        </w:rPr>
      </w:pPr>
    </w:p>
    <w:p>
      <w:pPr>
        <w:ind w:left="1320" w:hanging="664"/>
        <w:spacing w:after="0"/>
        <w:tabs>
          <w:tab w:leader="none" w:pos="1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Redemption Notice shall specify:</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660" w:firstLine="645"/>
        <w:spacing w:after="0" w:line="277" w:lineRule="auto"/>
        <w:tabs>
          <w:tab w:leader="none" w:pos="1997"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Note to be redeemed, and that interest thereon, if any, shall cease to accrue on and after the Redemption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place or places where such Notes are to be surrendered for payment of the Redemption Price;</w:t>
      </w:r>
    </w:p>
    <w:p>
      <w:pPr>
        <w:spacing w:after="0" w:line="225"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that Holders may surrender their Notes for conversion at any time prior to the close of business on the Scheduled Trading Day immediately preceding the Redemption Date;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procedures a converting Holder must follow to convert its Notes and the Settlement Method and Specified Dollar Amount, if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applicable;</w:t>
      </w:r>
    </w:p>
    <w:p>
      <w:pPr>
        <w:spacing w:after="0" w:line="210" w:lineRule="exact"/>
        <w:rPr>
          <w:rFonts w:ascii="Arial" w:cs="Arial" w:eastAsia="Arial" w:hAnsi="Arial"/>
          <w:sz w:val="16"/>
          <w:szCs w:val="16"/>
          <w:color w:val="auto"/>
        </w:rPr>
      </w:pPr>
    </w:p>
    <w:p>
      <w:pPr>
        <w:ind w:left="1980" w:hanging="675"/>
        <w:spacing w:after="0"/>
        <w:tabs>
          <w:tab w:leader="none" w:pos="1980" w:val="left"/>
        </w:tabs>
        <w:numPr>
          <w:ilvl w:val="1"/>
          <w:numId w:val="97"/>
        </w:numPr>
        <w:rPr>
          <w:rFonts w:ascii="Arial" w:cs="Arial" w:eastAsia="Arial" w:hAnsi="Arial"/>
          <w:sz w:val="17"/>
          <w:szCs w:val="17"/>
          <w:color w:val="auto"/>
        </w:rPr>
      </w:pPr>
      <w:r>
        <w:rPr>
          <w:rFonts w:ascii="Arial" w:cs="Arial" w:eastAsia="Arial" w:hAnsi="Arial"/>
          <w:sz w:val="17"/>
          <w:szCs w:val="17"/>
          <w:color w:val="auto"/>
        </w:rPr>
        <w:t>the Conversion Rate and, if applicable, the number of Additional Shares added to the Conversion Rate in accordance with</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14.03;</w:t>
      </w:r>
    </w:p>
    <w:p>
      <w:pPr>
        <w:spacing w:after="0" w:line="211" w:lineRule="exact"/>
        <w:rPr>
          <w:sz w:val="20"/>
          <w:szCs w:val="20"/>
          <w:color w:val="auto"/>
        </w:rPr>
      </w:pPr>
    </w:p>
    <w:p>
      <w:pPr>
        <w:ind w:left="1980" w:hanging="675"/>
        <w:spacing w:after="0"/>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CUSIP, ISIN or other similar numbers, if any, assigned to such Notes; and</w:t>
      </w:r>
    </w:p>
    <w:p>
      <w:pPr>
        <w:spacing w:after="0" w:line="225" w:lineRule="exact"/>
        <w:rPr>
          <w:rFonts w:ascii="Arial" w:cs="Arial" w:eastAsia="Arial" w:hAnsi="Arial"/>
          <w:sz w:val="18"/>
          <w:szCs w:val="18"/>
          <w:color w:val="auto"/>
        </w:rPr>
      </w:pPr>
    </w:p>
    <w:p>
      <w:pPr>
        <w:ind w:left="660" w:right="300" w:firstLine="645"/>
        <w:spacing w:after="0" w:line="264" w:lineRule="auto"/>
        <w:tabs>
          <w:tab w:leader="none" w:pos="1973"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case any Note is to be redeemed in part only, the portion of the principal amount thereof to be redeemed and on and after the Redemption Date, upon surrender of such Note, a new Note in principal amount equal to the unredeemed portion thereof shall be issued, which principal amount must be $1,000 or an integral multiple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Redemption Notice shall be irrevocable. An Optional Redemption may not be conditional.</w:t>
      </w:r>
    </w:p>
    <w:p>
      <w:pPr>
        <w:spacing w:after="0" w:line="225" w:lineRule="exact"/>
        <w:rPr>
          <w:sz w:val="20"/>
          <w:szCs w:val="20"/>
          <w:color w:val="auto"/>
        </w:rPr>
      </w:pPr>
    </w:p>
    <w:p>
      <w:pPr>
        <w:ind w:right="160" w:firstLine="656"/>
        <w:spacing w:after="0" w:line="302" w:lineRule="auto"/>
        <w:tabs>
          <w:tab w:leader="none" w:pos="1304"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fewer than all of the outstanding Notes are to be redeemed, the Notes to be redeemed will be selected according to the Depositary’s applicable procedures, in the case of Notes represented by a Global Note, or, in the case of Notes represented by Physical Notes, by lot on a pro rata basis or by another method the Trustee deems to be appropriate and fair. If any Note selected for partial redemption is submitted for conversion in part after such selection, the portion of the Note submitted for conversion shall be deemed (so far as may be possible) to be the portion selected for redemption.</w:t>
      </w:r>
    </w:p>
    <w:p>
      <w:pPr>
        <w:spacing w:after="0" w:line="154"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 xml:space="preserve">Section 16.03. </w:t>
      </w:r>
      <w:r>
        <w:rPr>
          <w:rFonts w:ascii="Arial" w:cs="Arial" w:eastAsia="Arial" w:hAnsi="Arial"/>
          <w:sz w:val="18"/>
          <w:szCs w:val="18"/>
          <w:i w:val="1"/>
          <w:iCs w:val="1"/>
          <w:color w:val="auto"/>
        </w:rPr>
        <w:t>Payment of Notes Called for Redemption</w:t>
      </w:r>
      <w:r>
        <w:rPr>
          <w:rFonts w:ascii="Arial" w:cs="Arial" w:eastAsia="Arial" w:hAnsi="Arial"/>
          <w:sz w:val="18"/>
          <w:szCs w:val="18"/>
          <w:color w:val="auto"/>
        </w:rPr>
        <w:t>. (a) If any Redemption Notice has been given in respect of the Notes in accordance with Section 16.02, the Notes shall become due and payable on the Redemption Date at the place or places stated in the Redemption Notice and at the applicable Redemption Price. On presentation and surrender of the Notes at the place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or places stated in the Redemption Notice, the Notes shall be paid and redeemed by the Company at the applicable Redemption Price.</w:t>
      </w:r>
    </w:p>
    <w:p>
      <w:pPr>
        <w:spacing w:after="0" w:line="225" w:lineRule="exact"/>
        <w:rPr>
          <w:sz w:val="20"/>
          <w:szCs w:val="20"/>
          <w:color w:val="auto"/>
        </w:rPr>
      </w:pPr>
    </w:p>
    <w:p>
      <w:pPr>
        <w:ind w:right="80" w:firstLine="656"/>
        <w:spacing w:after="0" w:line="297" w:lineRule="auto"/>
        <w:tabs>
          <w:tab w:leader="none" w:pos="1304" w:val="left"/>
        </w:tabs>
        <w:numPr>
          <w:ilvl w:val="0"/>
          <w:numId w:val="100"/>
        </w:numPr>
        <w:rPr>
          <w:rFonts w:ascii="Arial" w:cs="Arial" w:eastAsia="Arial" w:hAnsi="Arial"/>
          <w:sz w:val="16"/>
          <w:szCs w:val="16"/>
          <w:color w:val="auto"/>
        </w:rPr>
      </w:pPr>
      <w:r>
        <w:rPr>
          <w:rFonts w:ascii="Arial" w:cs="Arial" w:eastAsia="Arial" w:hAnsi="Arial"/>
          <w:sz w:val="16"/>
          <w:szCs w:val="16"/>
          <w:color w:val="auto"/>
        </w:rPr>
        <w:t>Prior to 11:00 a.m. New York City time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w:t>
      </w:r>
    </w:p>
    <w:p>
      <w:pPr>
        <w:spacing w:after="0" w:line="158"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 xml:space="preserve">Section 16.04. </w:t>
      </w:r>
      <w:r>
        <w:rPr>
          <w:rFonts w:ascii="Arial" w:cs="Arial" w:eastAsia="Arial" w:hAnsi="Arial"/>
          <w:sz w:val="17"/>
          <w:szCs w:val="17"/>
          <w:i w:val="1"/>
          <w:iCs w:val="1"/>
          <w:color w:val="auto"/>
        </w:rPr>
        <w:t>Restrictions on Redemption</w:t>
      </w:r>
      <w:r>
        <w:rPr>
          <w:rFonts w:ascii="Arial" w:cs="Arial" w:eastAsia="Arial" w:hAnsi="Arial"/>
          <w:sz w:val="17"/>
          <w:szCs w:val="17"/>
          <w:color w:val="auto"/>
        </w:rPr>
        <w:t>.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ectPr>
          <w:pgSz w:w="11900" w:h="16838" w:orient="portrait"/>
          <w:cols w:equalWidth="0" w:num="1">
            <w:col w:w="11420"/>
          </w:cols>
          <w:pgMar w:left="240" w:top="125" w:right="239" w:bottom="18" w:gutter="0" w:footer="0" w:header="0"/>
        </w:sectPr>
      </w:pPr>
    </w:p>
    <w:bookmarkStart w:id="49" w:name="page50"/>
    <w:bookmarkEnd w:id="49"/>
    <w:p>
      <w:pPr>
        <w:spacing w:after="0" w:line="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Section 17.01</w:t>
      </w:r>
      <w:r>
        <w:rPr>
          <w:rFonts w:ascii="Arial" w:cs="Arial" w:eastAsia="Arial" w:hAnsi="Arial"/>
          <w:sz w:val="18"/>
          <w:szCs w:val="18"/>
          <w:i w:val="1"/>
          <w:iCs w:val="1"/>
          <w:color w:val="auto"/>
        </w:rPr>
        <w:t>. Provisions Binding on Company’s Successors.</w:t>
      </w:r>
      <w:r>
        <w:rPr>
          <w:rFonts w:ascii="Arial" w:cs="Arial" w:eastAsia="Arial" w:hAnsi="Arial"/>
          <w:sz w:val="18"/>
          <w:szCs w:val="18"/>
          <w:color w:val="auto"/>
        </w:rPr>
        <w:t xml:space="preserve"> All the covenants, stipulations, promises and agreements of the Company contained in this Indenture shall bind its successors and assigns whether so expressed or not.</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Section 17.02</w:t>
      </w:r>
      <w:r>
        <w:rPr>
          <w:rFonts w:ascii="Arial" w:cs="Arial" w:eastAsia="Arial" w:hAnsi="Arial"/>
          <w:sz w:val="18"/>
          <w:szCs w:val="18"/>
          <w:i w:val="1"/>
          <w:iCs w:val="1"/>
          <w:color w:val="auto"/>
        </w:rPr>
        <w:t>. Official Acts by Successor Corporation.</w:t>
      </w:r>
      <w:r>
        <w:rPr>
          <w:rFonts w:ascii="Arial" w:cs="Arial" w:eastAsia="Arial" w:hAnsi="Arial"/>
          <w:sz w:val="18"/>
          <w:szCs w:val="18"/>
          <w:color w:val="auto"/>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Section 17.03</w:t>
      </w:r>
      <w:r>
        <w:rPr>
          <w:rFonts w:ascii="Arial" w:cs="Arial" w:eastAsia="Arial" w:hAnsi="Arial"/>
          <w:sz w:val="17"/>
          <w:szCs w:val="17"/>
          <w:i w:val="1"/>
          <w:iCs w:val="1"/>
          <w:color w:val="auto"/>
        </w:rPr>
        <w:t>. Addresses for Notices, Etc.</w:t>
      </w:r>
      <w:r>
        <w:rPr>
          <w:rFonts w:ascii="Arial" w:cs="Arial" w:eastAsia="Arial" w:hAnsi="Arial"/>
          <w:sz w:val="17"/>
          <w:szCs w:val="17"/>
          <w:color w:val="auto"/>
        </w:rPr>
        <w:t xml:space="preserve"> 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MongoDB, Inc., Andrew Stephens, Attention: General Counsel.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spacing w:after="0" w:line="178"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2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Section 17.04</w:t>
      </w:r>
      <w:r>
        <w:rPr>
          <w:rFonts w:ascii="Arial" w:cs="Arial" w:eastAsia="Arial" w:hAnsi="Arial"/>
          <w:sz w:val="18"/>
          <w:szCs w:val="18"/>
          <w:i w:val="1"/>
          <w:iCs w:val="1"/>
          <w:color w:val="auto"/>
        </w:rPr>
        <w:t>. Governing Law; Jurisdiction.</w:t>
      </w:r>
      <w:r>
        <w:rPr>
          <w:rFonts w:ascii="Arial" w:cs="Arial" w:eastAsia="Arial" w:hAnsi="Arial"/>
          <w:sz w:val="18"/>
          <w:szCs w:val="18"/>
          <w:color w:val="auto"/>
        </w:rPr>
        <w:t xml:space="preserve"> THIS INDENTURE AND EACH NOTE, AND ANY CLAIM, CONTROVERSY OR DISPUTE ARISING UNDER OR RELATED TO THIS INDENTURE AND EACH NOTE, SHALL BE GOVERNED BY, AND CONSTRUED IN ACCORDANCE WITH, THE LAWS OF THE STATE OF NEW YORK.</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Arial" w:cs="Arial" w:eastAsia="Arial" w:hAnsi="Arial"/>
          <w:sz w:val="16"/>
          <w:szCs w:val="16"/>
          <w:i w:val="1"/>
          <w:iCs w:val="1"/>
          <w:color w:val="auto"/>
        </w:rPr>
        <w:t>in personam</w:t>
      </w:r>
      <w:r>
        <w:rPr>
          <w:rFonts w:ascii="Arial" w:cs="Arial" w:eastAsia="Arial" w:hAnsi="Arial"/>
          <w:sz w:val="16"/>
          <w:szCs w:val="16"/>
          <w:color w:val="auto"/>
        </w:rPr>
        <w:t>, generally and unconditionally with respect to any action, suit or proceeding for itself in respect of its properties, assets and revenues.</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spacing w:after="0" w:line="18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Section 17.05</w:t>
      </w:r>
      <w:r>
        <w:rPr>
          <w:rFonts w:ascii="Arial" w:cs="Arial" w:eastAsia="Arial" w:hAnsi="Arial"/>
          <w:sz w:val="18"/>
          <w:szCs w:val="18"/>
          <w:i w:val="1"/>
          <w:iCs w:val="1"/>
          <w:color w:val="auto"/>
        </w:rPr>
        <w:t>. Evidence of Compliance with Conditions Precedent; Certificates and Opinions of Counsel to Trustee.</w:t>
      </w:r>
      <w:r>
        <w:rPr>
          <w:rFonts w:ascii="Arial" w:cs="Arial" w:eastAsia="Arial" w:hAnsi="Arial"/>
          <w:sz w:val="18"/>
          <w:szCs w:val="18"/>
          <w:color w:val="auto"/>
        </w:rPr>
        <w:t xml:space="preserve"> Upon any application or demand by the Company to the Trustee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to take any action under any of the provisions of this Indenture, the Company shall furnish to the Trustee an Officer’s Certificate and, if requested by the Trustee, an Opinion of Counsel stating that such action is permitted by the terms of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Opinion of Counsel shall be required to be delivered in connection with (1) the original issuance of Notes on the date hereof under this Indenture and (2) the removal of the restricted CUSIP of the Restricted Securities to an unrestricted CUSIP pursuant to the applicable procedures of the Depositary upon the Notes becoming freely tradable by non-Affiliates of the Company under Rule 144, unless a new Note is to be issued;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Opinion of Counsel shall be required to be delivered in connection with a request by the Company that the Trustee deliver a notice to Holders under the Indenture where the Trustee receives an Officer’s Certificate with respect to such notice. With respect to matters of fact, an Opinion of Counsel may rely on an Officer’s Certificate or certificates of public officials.</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thereto have been complied with.</w:t>
      </w:r>
    </w:p>
    <w:p>
      <w:pPr>
        <w:spacing w:after="0" w:line="18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such Opinion of Counsel.</w:t>
      </w:r>
    </w:p>
    <w:p>
      <w:pPr>
        <w:sectPr>
          <w:pgSz w:w="11900" w:h="16918" w:orient="portrait"/>
          <w:cols w:equalWidth="0" w:num="1">
            <w:col w:w="11420"/>
          </w:cols>
          <w:pgMar w:left="240" w:top="125" w:right="239" w:bottom="0" w:gutter="0" w:footer="0" w:header="0"/>
        </w:sectPr>
      </w:pPr>
    </w:p>
    <w:bookmarkStart w:id="50" w:name="page51"/>
    <w:bookmarkEnd w:id="50"/>
    <w:p>
      <w:pPr>
        <w:spacing w:after="0" w:line="11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Section 17.06</w:t>
      </w:r>
      <w:r>
        <w:rPr>
          <w:rFonts w:ascii="Arial" w:cs="Arial" w:eastAsia="Arial" w:hAnsi="Arial"/>
          <w:sz w:val="18"/>
          <w:szCs w:val="18"/>
          <w:i w:val="1"/>
          <w:iCs w:val="1"/>
          <w:color w:val="auto"/>
        </w:rPr>
        <w:t>. Legal Holidays.</w:t>
      </w:r>
      <w:r>
        <w:rPr>
          <w:rFonts w:ascii="Arial" w:cs="Arial" w:eastAsia="Arial" w:hAnsi="Arial"/>
          <w:sz w:val="18"/>
          <w:szCs w:val="18"/>
          <w:color w:val="auto"/>
        </w:rPr>
        <w:t xml:space="preserve"> In any case where any Interest Payment Date, Fundamental Change Repurchase Date or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81"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Section 17.07</w:t>
      </w:r>
      <w:r>
        <w:rPr>
          <w:rFonts w:ascii="Arial" w:cs="Arial" w:eastAsia="Arial" w:hAnsi="Arial"/>
          <w:sz w:val="16"/>
          <w:szCs w:val="16"/>
          <w:i w:val="1"/>
          <w:iCs w:val="1"/>
          <w:color w:val="auto"/>
        </w:rPr>
        <w:t>. No Security Interest Created.</w:t>
      </w:r>
      <w:r>
        <w:rPr>
          <w:rFonts w:ascii="Arial" w:cs="Arial" w:eastAsia="Arial" w:hAnsi="Arial"/>
          <w:sz w:val="16"/>
          <w:szCs w:val="16"/>
          <w:color w:val="auto"/>
        </w:rPr>
        <w:t xml:space="preserve"> Nothing in this Indenture or in the Notes, expressed or implied, shall be construed to constitute a security interest under the Uniform Commercial Code or similar legislation, as now or hereafter enacted and in effect, in any jurisdiction.</w:t>
      </w:r>
    </w:p>
    <w:p>
      <w:pPr>
        <w:spacing w:after="0" w:line="124"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Section 17.08</w:t>
      </w:r>
      <w:r>
        <w:rPr>
          <w:rFonts w:ascii="Arial" w:cs="Arial" w:eastAsia="Arial" w:hAnsi="Arial"/>
          <w:sz w:val="18"/>
          <w:szCs w:val="18"/>
          <w:i w:val="1"/>
          <w:iCs w:val="1"/>
          <w:color w:val="auto"/>
        </w:rPr>
        <w:t>. Benefits of Indenture.</w:t>
      </w:r>
      <w:r>
        <w:rPr>
          <w:rFonts w:ascii="Arial" w:cs="Arial" w:eastAsia="Arial" w:hAnsi="Arial"/>
          <w:sz w:val="18"/>
          <w:szCs w:val="18"/>
          <w:color w:val="auto"/>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17.09</w:t>
      </w:r>
      <w:r>
        <w:rPr>
          <w:rFonts w:ascii="Arial" w:cs="Arial" w:eastAsia="Arial" w:hAnsi="Arial"/>
          <w:sz w:val="18"/>
          <w:szCs w:val="18"/>
          <w:i w:val="1"/>
          <w:iCs w:val="1"/>
          <w:color w:val="auto"/>
        </w:rPr>
        <w:t>. Table of Contents, Headings, Etc.</w:t>
      </w:r>
      <w:r>
        <w:rPr>
          <w:rFonts w:ascii="Arial" w:cs="Arial" w:eastAsia="Arial" w:hAnsi="Arial"/>
          <w:sz w:val="18"/>
          <w:szCs w:val="18"/>
          <w:color w:val="auto"/>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Section 17.10</w:t>
      </w:r>
      <w:r>
        <w:rPr>
          <w:rFonts w:ascii="Arial" w:cs="Arial" w:eastAsia="Arial" w:hAnsi="Arial"/>
          <w:sz w:val="18"/>
          <w:szCs w:val="18"/>
          <w:i w:val="1"/>
          <w:iCs w:val="1"/>
          <w:color w:val="auto"/>
        </w:rPr>
        <w:t>. Authenticating Agent.</w:t>
      </w:r>
      <w:r>
        <w:rPr>
          <w:rFonts w:ascii="Arial" w:cs="Arial" w:eastAsia="Arial" w:hAnsi="Arial"/>
          <w:sz w:val="18"/>
          <w:szCs w:val="18"/>
          <w:color w:val="auto"/>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9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provisions of Section 7.02, Section 7.03, Section 7.04, Section 8.03 and this Section 17.10 shall be applicable to any authenticating agent.</w:t>
      </w:r>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 authenticating agent is appointed pursuant to this Section 17.10, the Notes may have endorsed thereon, in addition to the Trustee’s certificate of authentication, an alternative certificate of authentication in the following form:</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Authenticating Agent, certifies that this is one of the Notes described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within-named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91"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Section 17.11</w:t>
      </w:r>
      <w:r>
        <w:rPr>
          <w:rFonts w:ascii="Arial" w:cs="Arial" w:eastAsia="Arial" w:hAnsi="Arial"/>
          <w:sz w:val="16"/>
          <w:szCs w:val="16"/>
          <w:i w:val="1"/>
          <w:iCs w:val="1"/>
          <w:color w:val="auto"/>
        </w:rPr>
        <w:t>. Execution in Counterparts.</w:t>
      </w:r>
      <w:r>
        <w:rPr>
          <w:rFonts w:ascii="Arial" w:cs="Arial" w:eastAsia="Arial" w:hAnsi="Arial"/>
          <w:sz w:val="16"/>
          <w:szCs w:val="16"/>
          <w:color w:val="auto"/>
        </w:rPr>
        <w:t xml:space="preserve">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17.12</w:t>
      </w:r>
      <w:r>
        <w:rPr>
          <w:rFonts w:ascii="Arial" w:cs="Arial" w:eastAsia="Arial" w:hAnsi="Arial"/>
          <w:sz w:val="18"/>
          <w:szCs w:val="18"/>
          <w:i w:val="1"/>
          <w:iCs w:val="1"/>
          <w:color w:val="auto"/>
        </w:rPr>
        <w:t>. Severability.</w:t>
      </w:r>
      <w:r>
        <w:rPr>
          <w:rFonts w:ascii="Arial" w:cs="Arial" w:eastAsia="Arial" w:hAnsi="Arial"/>
          <w:sz w:val="18"/>
          <w:szCs w:val="18"/>
          <w:color w:val="auto"/>
        </w:rPr>
        <w:t xml:space="preserve">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7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Section 17.13</w:t>
      </w:r>
      <w:r>
        <w:rPr>
          <w:rFonts w:ascii="Arial" w:cs="Arial" w:eastAsia="Arial" w:hAnsi="Arial"/>
          <w:sz w:val="18"/>
          <w:szCs w:val="18"/>
          <w:i w:val="1"/>
          <w:iCs w:val="1"/>
          <w:color w:val="auto"/>
        </w:rPr>
        <w:t>. Waiver of Jury Trial.</w:t>
      </w:r>
      <w:r>
        <w:rPr>
          <w:rFonts w:ascii="Arial" w:cs="Arial" w:eastAsia="Arial" w:hAnsi="Arial"/>
          <w:sz w:val="18"/>
          <w:szCs w:val="18"/>
          <w:color w:val="auto"/>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81"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Section 17.14</w:t>
      </w:r>
      <w:r>
        <w:rPr>
          <w:rFonts w:ascii="Arial" w:cs="Arial" w:eastAsia="Arial" w:hAnsi="Arial"/>
          <w:sz w:val="16"/>
          <w:szCs w:val="16"/>
          <w:i w:val="1"/>
          <w:iCs w:val="1"/>
          <w:color w:val="auto"/>
        </w:rPr>
        <w:t>. Force Majeure.</w:t>
      </w:r>
      <w:r>
        <w:rPr>
          <w:rFonts w:ascii="Arial" w:cs="Arial" w:eastAsia="Arial" w:hAnsi="Arial"/>
          <w:sz w:val="16"/>
          <w:szCs w:val="16"/>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w:t>
      </w:r>
    </w:p>
    <w:p>
      <w:pPr>
        <w:sectPr>
          <w:pgSz w:w="11900" w:h="16952" w:orient="portrait"/>
          <w:cols w:equalWidth="0" w:num="1">
            <w:col w:w="11360"/>
          </w:cols>
          <w:pgMar w:left="240" w:top="341" w:right="299" w:bottom="0" w:gutter="0" w:footer="0" w:header="0"/>
        </w:sectPr>
      </w:pPr>
    </w:p>
    <w:bookmarkStart w:id="51" w:name="page52"/>
    <w:bookmarkEnd w:id="51"/>
    <w:p>
      <w:pPr>
        <w:ind w:right="560"/>
        <w:spacing w:after="0" w:line="277" w:lineRule="auto"/>
        <w:rPr>
          <w:sz w:val="20"/>
          <w:szCs w:val="20"/>
          <w:color w:val="auto"/>
        </w:rPr>
      </w:pPr>
      <w:r>
        <w:rPr>
          <w:rFonts w:ascii="Arial" w:cs="Arial" w:eastAsia="Arial" w:hAnsi="Arial"/>
          <w:sz w:val="18"/>
          <w:szCs w:val="18"/>
          <w:color w:val="auto"/>
        </w:rPr>
        <w:t>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70"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Section 17.15</w:t>
      </w:r>
      <w:r>
        <w:rPr>
          <w:rFonts w:ascii="Arial" w:cs="Arial" w:eastAsia="Arial" w:hAnsi="Arial"/>
          <w:sz w:val="16"/>
          <w:szCs w:val="16"/>
          <w:i w:val="1"/>
          <w:iCs w:val="1"/>
          <w:color w:val="auto"/>
        </w:rPr>
        <w:t>. Calculations</w:t>
      </w:r>
      <w:r>
        <w:rPr>
          <w:rFonts w:ascii="Arial" w:cs="Arial" w:eastAsia="Arial" w:hAnsi="Arial"/>
          <w:sz w:val="16"/>
          <w:szCs w:val="16"/>
          <w:color w:val="auto"/>
        </w:rPr>
        <w:t>. Except as otherwise provided herein, the Company shall be responsible for making all calculations called for under the Notes. These calculations include, but are not limited to, determinations of the Stock Price, the Last Reported Sale Prices of the Common Stock, the Trading Prices of the Notes (for purposes of Section 14.01(b)(i)) the Daily VWAPs, the Daily Conversion Values, the Daily Settlement Amounts, accrued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independent verification. The Trustee will forward the Company’s calculations to any Holder of Notes upon the request of that Holder at the sole cost and expense of the Company.</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Section 17.16. </w:t>
      </w:r>
      <w:r>
        <w:rPr>
          <w:rFonts w:ascii="Arial" w:cs="Arial" w:eastAsia="Arial" w:hAnsi="Arial"/>
          <w:sz w:val="16"/>
          <w:szCs w:val="16"/>
          <w:i w:val="1"/>
          <w:iCs w:val="1"/>
          <w:color w:val="auto"/>
        </w:rPr>
        <w:t>U.S.A. PATRIOT Act.</w:t>
      </w:r>
      <w:r>
        <w:rPr>
          <w:rFonts w:ascii="Arial" w:cs="Arial" w:eastAsia="Arial" w:hAnsi="Arial"/>
          <w:sz w:val="16"/>
          <w:szCs w:val="16"/>
          <w:color w:val="auto"/>
        </w:rPr>
        <w:t xml:space="preserve">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MONGODB,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Gordon</w:t>
            </w:r>
          </w:p>
        </w:tc>
      </w:tr>
      <w:tr>
        <w:trPr>
          <w:trHeight w:val="195"/>
        </w:trPr>
        <w:tc>
          <w:tcPr>
            <w:tcW w:w="64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Name: Michael Gordon</w:t>
            </w:r>
          </w:p>
        </w:tc>
      </w:tr>
      <w:tr>
        <w:trPr>
          <w:trHeight w:val="230"/>
        </w:trPr>
        <w:tc>
          <w:tcPr>
            <w:tcW w:w="64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ind w:left="572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Prokosch</w:t>
            </w:r>
          </w:p>
        </w:tc>
        <w:tc>
          <w:tcPr>
            <w:tcW w:w="40" w:type="dxa"/>
            <w:vAlign w:val="bottom"/>
          </w:tcPr>
          <w:p>
            <w:pPr>
              <w:spacing w:after="0"/>
              <w:rPr>
                <w:sz w:val="20"/>
                <w:szCs w:val="20"/>
                <w:color w:val="auto"/>
              </w:rPr>
            </w:pPr>
          </w:p>
        </w:tc>
      </w:tr>
      <w:tr>
        <w:trPr>
          <w:trHeight w:val="195"/>
        </w:trPr>
        <w:tc>
          <w:tcPr>
            <w:tcW w:w="636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Name: Richard Prokosch</w:t>
            </w:r>
          </w:p>
        </w:tc>
        <w:tc>
          <w:tcPr>
            <w:tcW w:w="40" w:type="dxa"/>
            <w:vAlign w:val="bottom"/>
          </w:tcPr>
          <w:p>
            <w:pPr>
              <w:spacing w:after="0"/>
              <w:rPr>
                <w:sz w:val="16"/>
                <w:szCs w:val="16"/>
                <w:color w:val="auto"/>
              </w:rPr>
            </w:pPr>
          </w:p>
        </w:tc>
      </w:tr>
      <w:tr>
        <w:trPr>
          <w:trHeight w:val="230"/>
        </w:trPr>
        <w:tc>
          <w:tcPr>
            <w:tcW w:w="63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Title:  Vice President</w:t>
            </w:r>
          </w:p>
        </w:tc>
        <w:tc>
          <w:tcPr>
            <w:tcW w:w="40" w:type="dxa"/>
            <w:vAlign w:val="bottom"/>
          </w:tcPr>
          <w:p>
            <w:pPr>
              <w:spacing w:after="0"/>
              <w:rPr>
                <w:sz w:val="20"/>
                <w:szCs w:val="20"/>
                <w:color w:val="auto"/>
              </w:rPr>
            </w:pPr>
          </w:p>
        </w:tc>
      </w:tr>
      <w:tr>
        <w:trPr>
          <w:trHeight w:val="348"/>
        </w:trPr>
        <w:tc>
          <w:tcPr>
            <w:tcW w:w="636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[INCLUDE FOLLOWING LEGEND IF A GLOBAL NOTE]</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[INCLUDE FOLLOWING LEGEND IF A RESTRICTED SECURITY]</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187" w:lineRule="exact"/>
        <w:rPr>
          <w:sz w:val="20"/>
          <w:szCs w:val="20"/>
          <w:color w:val="auto"/>
        </w:rPr>
      </w:pPr>
    </w:p>
    <w:p>
      <w:pPr>
        <w:ind w:left="660" w:right="480" w:firstLine="645"/>
        <w:spacing w:after="0" w:line="264" w:lineRule="auto"/>
        <w:tabs>
          <w:tab w:leader="none" w:pos="156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181" w:lineRule="exact"/>
        <w:rPr>
          <w:rFonts w:ascii="Arial" w:cs="Arial" w:eastAsia="Arial" w:hAnsi="Arial"/>
          <w:sz w:val="18"/>
          <w:szCs w:val="18"/>
          <w:color w:val="auto"/>
        </w:rPr>
      </w:pPr>
    </w:p>
    <w:p>
      <w:pPr>
        <w:ind w:left="660" w:right="280" w:firstLine="645"/>
        <w:spacing w:after="0" w:line="308" w:lineRule="auto"/>
        <w:tabs>
          <w:tab w:leader="none" w:pos="1553"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AGREES FOR THE BENEFIT OF MONGODB, INC. (THE “COMPANY”) THAT IT WILL NOT OFFER, SELL, PLEDGE OR OTHERWISE TRANSFER THIS SECURITY OR ANY BENEFICIAL INTEREST HEREIN PRIOR TO THE DATE THAT IS THE LATER OF</w:t>
      </w:r>
    </w:p>
    <w:p>
      <w:pPr>
        <w:sectPr>
          <w:pgSz w:w="11900" w:h="16838" w:orient="portrait"/>
          <w:cols w:equalWidth="0" w:num="1">
            <w:col w:w="11460"/>
          </w:cols>
          <w:pgMar w:left="240" w:top="125" w:right="199" w:bottom="0" w:gutter="0" w:footer="0" w:header="0"/>
        </w:sectPr>
      </w:pPr>
    </w:p>
    <w:bookmarkStart w:id="52" w:name="page53"/>
    <w:bookmarkEnd w:id="52"/>
    <w:p>
      <w:pPr>
        <w:ind w:left="960" w:hanging="304"/>
        <w:spacing w:after="0"/>
        <w:tabs>
          <w:tab w:leader="none" w:pos="9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ONE YEAR AFTER THE LAST ORIGINAL ISSUE DATE HEREOF OR SUCH SHORTER PERIOD OF TIME AS PERMITTED BY RULE</w:t>
      </w:r>
    </w:p>
    <w:p>
      <w:pPr>
        <w:spacing w:after="0" w:line="34" w:lineRule="exact"/>
        <w:rPr>
          <w:rFonts w:ascii="Arial" w:cs="Arial" w:eastAsia="Arial" w:hAnsi="Arial"/>
          <w:sz w:val="17"/>
          <w:szCs w:val="17"/>
          <w:color w:val="auto"/>
        </w:rPr>
      </w:pPr>
    </w:p>
    <w:p>
      <w:pPr>
        <w:ind w:left="660" w:right="220"/>
        <w:spacing w:after="0" w:line="261" w:lineRule="auto"/>
        <w:rPr>
          <w:rFonts w:ascii="Arial" w:cs="Arial" w:eastAsia="Arial" w:hAnsi="Arial"/>
          <w:sz w:val="17"/>
          <w:szCs w:val="17"/>
          <w:color w:val="auto"/>
        </w:rPr>
      </w:pPr>
      <w:r>
        <w:rPr>
          <w:rFonts w:ascii="Arial" w:cs="Arial" w:eastAsia="Arial" w:hAnsi="Arial"/>
          <w:sz w:val="18"/>
          <w:szCs w:val="18"/>
          <w:color w:val="auto"/>
        </w:rPr>
        <w:t>144 UNDER THE SECURITIES ACT OR ANY SUCCESSOR PROVISION THERETO AND (Y) SUCH LATER DATE, IF ANY, AS MAY BE REQUIRED BY APPLICABLE LAW, EXCEPT:</w:t>
      </w:r>
    </w:p>
    <w:p>
      <w:pPr>
        <w:spacing w:after="0" w:line="183" w:lineRule="exact"/>
        <w:rPr>
          <w:rFonts w:ascii="Arial" w:cs="Arial" w:eastAsia="Arial" w:hAnsi="Arial"/>
          <w:sz w:val="17"/>
          <w:szCs w:val="17"/>
          <w:color w:val="auto"/>
        </w:rPr>
      </w:pPr>
    </w:p>
    <w:p>
      <w:pPr>
        <w:ind w:left="2240" w:hanging="287"/>
        <w:spacing w:after="0"/>
        <w:tabs>
          <w:tab w:leader="none" w:pos="22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 THE COMPANY OR ANY SUBSIDIARY THEREOF, OR</w:t>
      </w:r>
    </w:p>
    <w:p>
      <w:pPr>
        <w:spacing w:after="0" w:line="225" w:lineRule="exact"/>
        <w:rPr>
          <w:rFonts w:ascii="Arial" w:cs="Arial" w:eastAsia="Arial" w:hAnsi="Arial"/>
          <w:sz w:val="18"/>
          <w:szCs w:val="18"/>
          <w:color w:val="auto"/>
        </w:rPr>
      </w:pPr>
    </w:p>
    <w:p>
      <w:pPr>
        <w:ind w:left="2240" w:hanging="287"/>
        <w:spacing w:after="0"/>
        <w:tabs>
          <w:tab w:leader="none" w:pos="224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ACT,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TO A QUALIFIED INSTITUTIONAL BUYER IN COMPLIANCE WITH RULE 144A UNDER THE SECURITIES ACT,</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OR</w:t>
      </w:r>
    </w:p>
    <w:p>
      <w:pPr>
        <w:spacing w:after="0" w:line="211" w:lineRule="exact"/>
        <w:rPr>
          <w:sz w:val="20"/>
          <w:szCs w:val="20"/>
          <w:color w:val="auto"/>
        </w:rPr>
      </w:pPr>
    </w:p>
    <w:p>
      <w:pPr>
        <w:ind w:left="1300" w:right="60" w:firstLine="653"/>
        <w:spacing w:after="0" w:line="308" w:lineRule="auto"/>
        <w:tabs>
          <w:tab w:leader="none" w:pos="224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PURSUANT TO AN EXEMPTION FROM REGISTRATION PROVIDED BY RULE 144 UNDER THE SECURITIES ACT OR ANY OTHER AVAILABLE EXEMPTION FROM THE REGISTRATION REQUIREMENTS OF THE SECURITIES ACT.</w:t>
      </w:r>
    </w:p>
    <w:p>
      <w:pPr>
        <w:spacing w:after="0" w:line="147"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PRIOR TO THE REGISTRATION OF ANY TRANSFER IN ACCORDANCE WITH CLAUSE (2)(D) ABOVE, THE COMPANY AND THE TRUSTEE RESERVE THE RIGHT TO REQUIRE THE DELIVERY OF SUCH LEGAL OPINIONS, CERTIFICATIONS OR OTHER EVIDENCE AS MAY REASONABLY BE REQUIRED IN ORDER FOR THE COMPANY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0.75% Convertible Senior Note due 2024</w:t>
      </w:r>
    </w:p>
    <w:p>
      <w:pPr>
        <w:spacing w:after="0" w:line="225" w:lineRule="exact"/>
        <w:rPr>
          <w:sz w:val="20"/>
          <w:szCs w:val="20"/>
          <w:color w:val="auto"/>
        </w:rPr>
      </w:pPr>
    </w:p>
    <w:p>
      <w:pPr>
        <w:spacing w:after="0"/>
        <w:tabs>
          <w:tab w:leader="none" w:pos="7580" w:val="left"/>
        </w:tabs>
        <w:rPr>
          <w:sz w:val="20"/>
          <w:szCs w:val="20"/>
          <w:color w:val="auto"/>
        </w:rPr>
      </w:pPr>
      <w:r>
        <w:rPr>
          <w:rFonts w:ascii="Arial" w:cs="Arial" w:eastAsia="Arial" w:hAnsi="Arial"/>
          <w:sz w:val="18"/>
          <w:szCs w:val="18"/>
          <w:color w:val="auto"/>
        </w:rPr>
        <w:t>No. RA-[·]</w:t>
      </w:r>
      <w:r>
        <w:rPr>
          <w:sz w:val="20"/>
          <w:szCs w:val="20"/>
          <w:color w:val="auto"/>
        </w:rPr>
        <w:tab/>
      </w:r>
      <w:r>
        <w:rPr>
          <w:rFonts w:ascii="Arial" w:cs="Arial" w:eastAsia="Arial" w:hAnsi="Arial"/>
          <w:sz w:val="17"/>
          <w:szCs w:val="17"/>
          <w:color w:val="auto"/>
        </w:rPr>
        <w:t>Initially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[·](1)</w:t>
      </w:r>
    </w:p>
    <w:p>
      <w:pPr>
        <w:spacing w:after="0" w:line="22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MongoDB, Inc., a corporation duly organized and validly existing under the laws of the State of Delaware (the “</w:t>
      </w:r>
      <w:r>
        <w:rPr>
          <w:rFonts w:ascii="Arial" w:cs="Arial" w:eastAsia="Arial" w:hAnsi="Arial"/>
          <w:sz w:val="18"/>
          <w:szCs w:val="18"/>
          <w:b w:val="1"/>
          <w:bCs w:val="1"/>
          <w:color w:val="auto"/>
        </w:rPr>
        <w:t>Company</w:t>
      </w:r>
      <w:r>
        <w:rPr>
          <w:rFonts w:ascii="Arial" w:cs="Arial" w:eastAsia="Arial" w:hAnsi="Arial"/>
          <w:sz w:val="18"/>
          <w:szCs w:val="18"/>
          <w:color w:val="auto"/>
        </w:rPr>
        <w:t>,” which term includes any successor corporation or other entity under the Indenture referred to on the reverse hereof), for value received hereby promises to pay to CEDE &amp; CO., or registered assigns, the principal sum as set forth in the “Schedule of Exchanges of Notes” attached hereto, which amount, taken together with the principal amounts of all other outstanding Notes, shall not, unless permitted by the Indenture, exceed $250,000,000 (as increased by an amount equal to the aggregate principal amount of any additional Notes purchased by the Initial Purchasers pursuant to the exercise of their option to purchase additional Notes as set forth in the Purchase Agreement) in aggregate at any time, in accordance with the rules and procedures of the Depositary, on June 15, 2024, and interest thereon as set forth below.</w:t>
      </w:r>
    </w:p>
    <w:p>
      <w:pPr>
        <w:spacing w:after="0" w:line="19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This Note shall bear interest at the rate of 0.75% per year from June 28, 2018, or from the most recent date to which interest has been paid or provided for to, but excluding, the next scheduled Interest Payment Date until June 15, 2024. Accrued interest on this Note shall be computed on the basis of a 360-day year composed of twelve 30-day months and, for partial months, on the basis of the number of days actually elapsed in a 30-day month. Interest is payable semi-annually in arrears on each June 15 and December 15, commencing on December 15, 2018, to Holders of record at the close of business on the preceding June 1 and December 1 (whether or not such day is a Business Day), respectively. Additional Interest will be payable as set forth in Section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4.06(d), Section 4.06(e) and Section 6.03 of the within-mentioned Indenture, and any reference to interest on, or in respect of, any Note therein shall be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deemed to include Additional Interest if, in such context, Additional Interest is, was or would be payable pursuant to any of such Section 4.06(d),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4.06(e) or Section 6.03, and any express mention of the payment of Additional Interest in any provision therein shall not be construed as excluding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Additional Interest in those provisions thereof where such express mention is not made.</w:t>
      </w:r>
    </w:p>
    <w:p>
      <w:pPr>
        <w:spacing w:after="0" w:line="211" w:lineRule="exact"/>
        <w:rPr>
          <w:sz w:val="20"/>
          <w:szCs w:val="20"/>
          <w:color w:val="auto"/>
        </w:rPr>
      </w:pPr>
    </w:p>
    <w:p>
      <w:pPr>
        <w:jc w:val="both"/>
        <w:ind w:right="580" w:firstLine="648"/>
        <w:spacing w:after="0" w:line="264" w:lineRule="auto"/>
        <w:rPr>
          <w:sz w:val="20"/>
          <w:szCs w:val="20"/>
          <w:color w:val="auto"/>
        </w:rPr>
      </w:pPr>
      <w:r>
        <w:rPr>
          <w:rFonts w:ascii="Arial" w:cs="Arial" w:eastAsia="Arial" w:hAnsi="Arial"/>
          <w:sz w:val="18"/>
          <w:szCs w:val="18"/>
          <w:color w:val="auto"/>
        </w:rPr>
        <w:t>Any Defaulted Amounts shall accrue interest per annum at the rate borne by the Notes, from, and including, the relevant payment date to, but excluding, the date on which such Defaulted Amounts shall have been paid by the Company, at its election, in accordance with Section 2.03(c) of the Indenture.</w:t>
      </w:r>
    </w:p>
    <w:p>
      <w:pPr>
        <w:spacing w:after="0" w:line="18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The Company shall pay the principal of and interest on this Note, if and so long as such Note is a Global Note, in immediately available funds in lawful money of the United States at the time to the Depositary or its nominee, as the case may be, as the registered Holder of such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6" w:lineRule="exact"/>
        <w:rPr>
          <w:sz w:val="20"/>
          <w:szCs w:val="20"/>
          <w:color w:val="auto"/>
        </w:rPr>
      </w:pPr>
    </w:p>
    <w:p>
      <w:pPr>
        <w:ind w:right="60" w:firstLine="656"/>
        <w:spacing w:after="0" w:line="264" w:lineRule="auto"/>
        <w:tabs>
          <w:tab w:leader="none" w:pos="9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Note will be deemed to be identified by CUSIP No. [·] from and after such time when the Company delivers, pursuant to Section 2.05(c) of the within-mentioned Indenture, written notice to the Trustee of the occurrence of the Resale Restriction Termination Date and the removal of the restrictive legend affixed to this Note in accordance with the applicable procedures of the Depositary.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agency in the United States of America, as a place where Notes may be presented for payment or for registration of transfer and exchange.</w:t>
      </w:r>
    </w:p>
    <w:p>
      <w:pPr>
        <w:sectPr>
          <w:pgSz w:w="11900" w:h="16838" w:orient="portrait"/>
          <w:cols w:equalWidth="0" w:num="1">
            <w:col w:w="11420"/>
          </w:cols>
          <w:pgMar w:left="240" w:top="125" w:right="239" w:bottom="0" w:gutter="0" w:footer="0" w:header="0"/>
        </w:sectPr>
      </w:pPr>
    </w:p>
    <w:bookmarkStart w:id="53" w:name="page54"/>
    <w:bookmarkEnd w:id="53"/>
    <w:p>
      <w:pPr>
        <w:ind w:right="40" w:firstLine="648"/>
        <w:spacing w:after="0" w:line="259" w:lineRule="auto"/>
        <w:rPr>
          <w:sz w:val="20"/>
          <w:szCs w:val="20"/>
          <w:color w:val="auto"/>
        </w:rPr>
      </w:pPr>
      <w:r>
        <w:rPr>
          <w:rFonts w:ascii="Arial" w:cs="Arial" w:eastAsia="Arial" w:hAnsi="Arial"/>
          <w:sz w:val="18"/>
          <w:szCs w:val="18"/>
          <w:color w:val="auto"/>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83"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This Note, and any claim, controversy or dispute arising under or related to this Note, shall be construed in accordance with and governed by the laws of the State of New York.</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signed manually by the Trustee or a duly authorized authenticating agent under the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Note to be duly executed.</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MONGODB,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 certifies that this is one of the Notes described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within-named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69208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0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REVERSE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0.75% Convertible Senior Note due 2024</w:t>
      </w:r>
    </w:p>
    <w:p>
      <w:pPr>
        <w:spacing w:after="0" w:line="20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This Note is one of a duly authorized issue of Notes of the Company, designated as its 0.75% Convertible Senior Notes due 2024 (the “</w:t>
      </w:r>
      <w:r>
        <w:rPr>
          <w:rFonts w:ascii="Arial" w:cs="Arial" w:eastAsia="Arial" w:hAnsi="Arial"/>
          <w:sz w:val="17"/>
          <w:szCs w:val="17"/>
          <w:b w:val="1"/>
          <w:bCs w:val="1"/>
          <w:color w:val="auto"/>
        </w:rPr>
        <w:t>Notes</w:t>
      </w:r>
      <w:r>
        <w:rPr>
          <w:rFonts w:ascii="Arial" w:cs="Arial" w:eastAsia="Arial" w:hAnsi="Arial"/>
          <w:sz w:val="17"/>
          <w:szCs w:val="17"/>
          <w:color w:val="auto"/>
        </w:rPr>
        <w:t>”), initially limited to the aggregate principal amount of $250,000,000 (as increased by an amount equal to the aggregate principal amount of any additional Notes purchased by the Initial Purchasers pursuant to the exercise of their option to purchase additional Notes as set forth in the Purchase Agreement) all issued or to be issued under and pursuant to an Indenture dated as of June 28, 2018 (the “</w:t>
      </w:r>
      <w:r>
        <w:rPr>
          <w:rFonts w:ascii="Arial" w:cs="Arial" w:eastAsia="Arial" w:hAnsi="Arial"/>
          <w:sz w:val="17"/>
          <w:szCs w:val="17"/>
          <w:b w:val="1"/>
          <w:bCs w:val="1"/>
          <w:color w:val="auto"/>
        </w:rPr>
        <w:t>Indenture</w:t>
      </w:r>
      <w:r>
        <w:rPr>
          <w:rFonts w:ascii="Arial" w:cs="Arial" w:eastAsia="Arial" w:hAnsi="Arial"/>
          <w:sz w:val="17"/>
          <w:szCs w:val="17"/>
          <w:color w:val="auto"/>
        </w:rPr>
        <w:t>”), between the Company and U.S. Bank National Association (the “</w:t>
      </w:r>
      <w:r>
        <w:rPr>
          <w:rFonts w:ascii="Arial" w:cs="Arial" w:eastAsia="Arial" w:hAnsi="Arial"/>
          <w:sz w:val="17"/>
          <w:szCs w:val="17"/>
          <w:b w:val="1"/>
          <w:bCs w:val="1"/>
          <w:color w:val="auto"/>
        </w:rPr>
        <w:t>Trustee</w:t>
      </w:r>
      <w:r>
        <w:rPr>
          <w:rFonts w:ascii="Arial" w:cs="Arial" w:eastAsia="Arial" w:hAnsi="Arial"/>
          <w:sz w:val="17"/>
          <w:szCs w:val="17"/>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w:t>
      </w:r>
    </w:p>
    <w:p>
      <w:pPr>
        <w:spacing w:after="0" w:line="176"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Subject to the terms and conditions of the Indenture, the Company will make all payments and deliveries in respect of the Fundamental Change Repurchase Price on the Fundamental Change Repurchase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5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or deliver, as the case may be, the principal (including the Redemption Price, the Fundamental Change Repurchase Price, if</w:t>
      </w:r>
    </w:p>
    <w:p>
      <w:pPr>
        <w:sectPr>
          <w:pgSz w:w="11900" w:h="16838" w:orient="portrait"/>
          <w:cols w:equalWidth="0" w:num="1">
            <w:col w:w="11420"/>
          </w:cols>
          <w:pgMar w:left="240" w:top="341" w:right="239" w:bottom="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applicable) of, accrued and unpaid interest on, and the consideration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due upon conversion of, this Note at the place, at the respective times, at the rate and in the lawful money herein prescribed.</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58"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Notes shall be redeemable at the Company’s option on or after June 20, 2021, in accordance with the terms and subject to the conditions specified in the Indenture. No sinking fund is provided for the Notes.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81"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Subject to the provisions of the Indenture, the Holder hereof has the right, at its option, during certain periods and upon the occurrence of certain conditions specified in the Indenture, prior to the close of business on the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Terms used in this Note and defined in the Indenture are used herein as therein defined.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ABBREVIATIONS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 ENT = as tenants by the entireties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JT TEN = joint tenants with right of survivorship and not as tenants in common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OF EXCHANGES OF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0.75% Convertible Senior Notes due 2024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initial principal amount of this Global Note is [·] DOLLARS ($[·]). The following increases or decreases in this Global Note have been made:</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1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Amount of</w:t>
            </w: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Principal amount</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 this Global Note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1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increase in</w:t>
            </w:r>
          </w:p>
        </w:tc>
        <w:tc>
          <w:tcPr>
            <w:tcW w:w="1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signatory of</w:t>
            </w:r>
          </w:p>
        </w:tc>
        <w:tc>
          <w:tcPr>
            <w:tcW w:w="0" w:type="dxa"/>
            <w:vAlign w:val="bottom"/>
          </w:tcPr>
          <w:p>
            <w:pPr>
              <w:spacing w:after="0"/>
              <w:rPr>
                <w:sz w:val="1"/>
                <w:szCs w:val="1"/>
                <w:color w:val="auto"/>
              </w:rPr>
            </w:pPr>
          </w:p>
        </w:tc>
      </w:tr>
      <w:tr>
        <w:trPr>
          <w:trHeight w:val="149"/>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1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principal amount</w:t>
            </w:r>
          </w:p>
        </w:tc>
        <w:tc>
          <w:tcPr>
            <w:tcW w:w="1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principal amount</w:t>
            </w:r>
          </w:p>
        </w:tc>
        <w:tc>
          <w:tcPr>
            <w:tcW w:w="1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 or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Trustee or</w:t>
            </w:r>
          </w:p>
        </w:tc>
        <w:tc>
          <w:tcPr>
            <w:tcW w:w="0" w:type="dxa"/>
            <w:vAlign w:val="bottom"/>
          </w:tcPr>
          <w:p>
            <w:pPr>
              <w:spacing w:after="0"/>
              <w:rPr>
                <w:sz w:val="1"/>
                <w:szCs w:val="1"/>
                <w:color w:val="auto"/>
              </w:rPr>
            </w:pPr>
          </w:p>
        </w:tc>
      </w:tr>
      <w:tr>
        <w:trPr>
          <w:trHeight w:val="171"/>
        </w:trPr>
        <w:tc>
          <w:tcPr>
            <w:tcW w:w="2240" w:type="dxa"/>
            <w:vAlign w:val="bottom"/>
            <w:gridSpan w:val="2"/>
            <w:vMerge w:val="continue"/>
          </w:tcPr>
          <w:p>
            <w:pPr>
              <w:spacing w:after="0"/>
              <w:rPr>
                <w:sz w:val="14"/>
                <w:szCs w:val="14"/>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of this Global Note</w:t>
            </w: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of this Global Note</w:t>
            </w: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increase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210"/>
        </w:trPr>
        <w:tc>
          <w:tcPr>
            <w:tcW w:w="2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00"/>
        <w:spacing w:after="0"/>
        <w:rPr>
          <w:sz w:val="20"/>
          <w:szCs w:val="20"/>
          <w:color w:val="auto"/>
        </w:rPr>
      </w:pPr>
      <w:r>
        <w:rPr>
          <w:rFonts w:ascii="Arial" w:cs="Arial" w:eastAsia="Arial" w:hAnsi="Arial"/>
          <w:sz w:val="18"/>
          <w:szCs w:val="18"/>
          <w:b w:val="1"/>
          <w:bCs w:val="1"/>
          <w:color w:val="auto"/>
        </w:rPr>
        <w:t>ATTACHMENT 1</w:t>
      </w:r>
    </w:p>
    <w:p>
      <w:pPr>
        <w:sectPr>
          <w:pgSz w:w="11900" w:h="16838" w:orient="portrait"/>
          <w:cols w:equalWidth="0" w:num="1">
            <w:col w:w="11420"/>
          </w:cols>
          <w:pgMar w:left="240" w:top="125" w:right="239" w:bottom="0" w:gutter="0" w:footer="0" w:header="0"/>
          <w:type w:val="continuous"/>
        </w:sectPr>
      </w:pPr>
    </w:p>
    <w:bookmarkStart w:id="55" w:name="page56"/>
    <w:bookmarkEnd w:id="55"/>
    <w:p>
      <w:pPr>
        <w:jc w:val="center"/>
        <w:spacing w:after="0"/>
        <w:rPr>
          <w:sz w:val="20"/>
          <w:szCs w:val="20"/>
          <w:color w:val="auto"/>
        </w:rPr>
      </w:pPr>
      <w:r>
        <w:rPr>
          <w:rFonts w:ascii="Arial" w:cs="Arial" w:eastAsia="Arial" w:hAnsi="Arial"/>
          <w:sz w:val="18"/>
          <w:szCs w:val="18"/>
          <w:color w:val="auto"/>
        </w:rPr>
        <w:t>[FORM OF NOTICE OF CONVERSION]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MongoDB,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Saint Paul, MN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Trust Services (MongoDB, Inc.)</w:t>
      </w:r>
    </w:p>
    <w:p>
      <w:pPr>
        <w:spacing w:after="0" w:line="21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50082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-130175</wp:posOffset>
            </wp:positionV>
            <wp:extent cx="301879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2898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Guarantor Institution (banks, stock brokers,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savings and loan associations and credit unions)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membership in an approved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Rule 17Ad-15 if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 Common Stock are to be issued, or Notes 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be delivered, other than to and in the name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registered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Fill in for registration of shares if to be issued,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Notes if to be delivered, other than to and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registered holder: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11" w:lineRule="exact"/>
        <w:rPr>
          <w:sz w:val="20"/>
          <w:szCs w:val="20"/>
          <w:color w:val="auto"/>
        </w:rPr>
      </w:pPr>
    </w:p>
    <w:p>
      <w:pPr>
        <w:ind w:left="3980"/>
        <w:spacing w:after="0"/>
        <w:tabs>
          <w:tab w:leader="none" w:pos="8020" w:val="left"/>
        </w:tabs>
        <w:rPr>
          <w:sz w:val="20"/>
          <w:szCs w:val="20"/>
          <w:color w:val="auto"/>
        </w:rPr>
      </w:pPr>
      <w:r>
        <w:rPr>
          <w:rFonts w:ascii="Arial" w:cs="Arial" w:eastAsia="Arial" w:hAnsi="Arial"/>
          <w:sz w:val="18"/>
          <w:szCs w:val="18"/>
          <w:color w:val="auto"/>
        </w:rPr>
        <w:t>Principal amount to be converted (if less than all): $</w:t>
      </w:r>
      <w:r>
        <w:rPr>
          <w:sz w:val="20"/>
          <w:szCs w:val="20"/>
          <w:color w:val="auto"/>
        </w:rPr>
        <w:tab/>
      </w:r>
      <w:r>
        <w:rPr>
          <w:rFonts w:ascii="Arial" w:cs="Arial" w:eastAsia="Arial" w:hAnsi="Arial"/>
          <w:sz w:val="16"/>
          <w:szCs w:val="16"/>
          <w:color w:val="auto"/>
        </w:rPr>
        <w:t>,000</w:t>
      </w:r>
    </w:p>
    <w:p>
      <w:pPr>
        <w:spacing w:after="0" w:line="225" w:lineRule="exact"/>
        <w:rPr>
          <w:sz w:val="20"/>
          <w:szCs w:val="20"/>
          <w:color w:val="auto"/>
        </w:rPr>
      </w:pPr>
    </w:p>
    <w:p>
      <w:pPr>
        <w:ind w:left="3980" w:right="20"/>
        <w:spacing w:after="0" w:line="342" w:lineRule="auto"/>
        <w:rPr>
          <w:sz w:val="20"/>
          <w:szCs w:val="20"/>
          <w:color w:val="auto"/>
        </w:rPr>
      </w:pPr>
      <w:r>
        <w:rPr>
          <w:rFonts w:ascii="Arial" w:cs="Arial" w:eastAsia="Arial" w:hAnsi="Arial"/>
          <w:sz w:val="16"/>
          <w:szCs w:val="16"/>
          <w:color w:val="auto"/>
        </w:rPr>
        <w:t>NOTICE: The above signature(s) of the Holder(s) hereof must correspond with the name as written upon the face of the Note in every particular without alteration or enlargement or any change whatever.</w:t>
      </w:r>
    </w:p>
    <w:p>
      <w:pPr>
        <w:spacing w:after="0" w:line="340"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Identification Number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FUNDAMENTAL CHANGE REPURCHASE NOTICE]</w:t>
      </w:r>
    </w:p>
    <w:p>
      <w:pPr>
        <w:sectPr>
          <w:pgSz w:w="11900" w:h="16838" w:orient="portrait"/>
          <w:cols w:equalWidth="0" w:num="1">
            <w:col w:w="11420"/>
          </w:cols>
          <w:pgMar w:left="240" w:top="341" w:right="239" w:bottom="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To: MongoDB,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Saint Paul, MN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Trust Services (MongoDB, Inc.)</w:t>
      </w:r>
    </w:p>
    <w:p>
      <w:pPr>
        <w:spacing w:after="0" w:line="20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undersigned registered owner of this Note hereby acknowledges receipt of a notice from MongoDB, Inc. (the “</w:t>
      </w:r>
      <w:r>
        <w:rPr>
          <w:rFonts w:ascii="Arial" w:cs="Arial" w:eastAsia="Arial" w:hAnsi="Arial"/>
          <w:sz w:val="17"/>
          <w:szCs w:val="17"/>
          <w:b w:val="1"/>
          <w:bCs w:val="1"/>
          <w:color w:val="auto"/>
        </w:rPr>
        <w:t>Company</w:t>
      </w:r>
      <w:r>
        <w:rPr>
          <w:rFonts w:ascii="Arial" w:cs="Arial" w:eastAsia="Arial" w:hAnsi="Arial"/>
          <w:sz w:val="17"/>
          <w:szCs w:val="17"/>
          <w:color w:val="auto"/>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Business Day immediately succeeding corresponding Interest Payment Date, accrued and unpaid interest, if any, thereon to, but excluding, such Fundamental Change Repurchase Date. Capitalized terms used herein but not defined shall have the meanings ascribed to such terms in the Indenture.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14605</wp:posOffset>
            </wp:positionV>
            <wp:extent cx="17837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-130175</wp:posOffset>
            </wp:positionV>
            <wp:extent cx="30270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Identification Number</w:t>
      </w:r>
    </w:p>
    <w:p>
      <w:pPr>
        <w:spacing w:after="0" w:line="211" w:lineRule="exact"/>
        <w:rPr>
          <w:sz w:val="20"/>
          <w:szCs w:val="20"/>
          <w:color w:val="auto"/>
        </w:rPr>
      </w:pPr>
    </w:p>
    <w:tbl>
      <w:tblPr>
        <w:tblLayout w:type="fixed"/>
        <w:tblInd w:w="394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w w:val="94"/>
              </w:rPr>
              <w:t>Principal amount to be repurchased (if less than all): $</w:t>
            </w:r>
          </w:p>
        </w:tc>
        <w:tc>
          <w:tcPr>
            <w:tcW w:w="46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left="3940" w:right="60"/>
        <w:spacing w:after="0" w:line="342" w:lineRule="auto"/>
        <w:rPr>
          <w:sz w:val="20"/>
          <w:szCs w:val="20"/>
          <w:color w:val="auto"/>
        </w:rPr>
      </w:pPr>
      <w:r>
        <w:rPr>
          <w:rFonts w:ascii="Arial" w:cs="Arial" w:eastAsia="Arial" w:hAnsi="Arial"/>
          <w:sz w:val="16"/>
          <w:szCs w:val="16"/>
          <w:color w:val="auto"/>
        </w:rPr>
        <w:t>NOTICE: The above signature(s) of the Holder(s) hereof must correspond with the name as written upon the face of the Note in every particular without alteration or enlargement or any change whatever.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ASSIGNMENT AND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Livingston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Saint Paul, MN 55107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Trust Services (MongoDB, Inc.)</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value received hereby sell(s), assign(s) and transfer(s) unto of assignee) the within Note, and hereby irrevocably constitutes and appoints with full power of substitution in the premises.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00" w:firstLine="115"/>
        <w:spacing w:after="0" w:line="342" w:lineRule="auto"/>
        <w:rPr>
          <w:sz w:val="20"/>
          <w:szCs w:val="20"/>
          <w:color w:val="auto"/>
        </w:rPr>
      </w:pPr>
      <w:r>
        <w:rPr>
          <w:rFonts w:ascii="Arial" w:cs="Arial" w:eastAsia="Arial" w:hAnsi="Arial"/>
          <w:sz w:val="16"/>
          <w:szCs w:val="16"/>
          <w:color w:val="auto"/>
        </w:rPr>
        <w:t>(Please insert social security or Taxpayer Identification Number attorney to transfer the said Note on the books of the Company,</w:t>
      </w:r>
    </w:p>
    <w:p>
      <w:pPr>
        <w:spacing w:after="0" w:line="339" w:lineRule="exact"/>
        <w:rPr>
          <w:sz w:val="20"/>
          <w:szCs w:val="20"/>
          <w:color w:val="auto"/>
        </w:rPr>
      </w:pPr>
    </w:p>
    <w:p>
      <w:pPr>
        <w:sectPr>
          <w:pgSz w:w="11900" w:h="16838" w:orient="portrait"/>
          <w:cols w:equalWidth="0" w:num="2">
            <w:col w:w="5880" w:space="720"/>
            <w:col w:w="4820"/>
          </w:cols>
          <w:pgMar w:left="240" w:top="125" w:right="239" w:bottom="0" w:gutter="0" w:footer="0" w:header="0"/>
          <w:type w:val="continuous"/>
        </w:sectPr>
      </w:pPr>
    </w:p>
    <w:p>
      <w:pPr>
        <w:spacing w:after="0"/>
        <w:rPr>
          <w:sz w:val="20"/>
          <w:szCs w:val="20"/>
          <w:color w:val="auto"/>
        </w:rPr>
      </w:pPr>
      <w:r>
        <w:rPr>
          <w:rFonts w:ascii="Arial" w:cs="Arial" w:eastAsia="Arial" w:hAnsi="Arial"/>
          <w:sz w:val="16"/>
          <w:szCs w:val="16"/>
          <w:color w:val="auto"/>
        </w:rPr>
        <w:t>In connection with any transfer of the within Note occurring prior to the Resale Restriction Termination Date, as defined in the Indenture governing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the undersigned confirms that such Note is being transferred:</w:t>
      </w:r>
    </w:p>
    <w:p>
      <w:pPr>
        <w:spacing w:after="0" w:line="211" w:lineRule="exact"/>
        <w:rPr>
          <w:sz w:val="20"/>
          <w:szCs w:val="20"/>
          <w:color w:val="auto"/>
        </w:rPr>
      </w:pPr>
    </w:p>
    <w:p>
      <w:pPr>
        <w:ind w:left="580" w:hanging="572"/>
        <w:spacing w:after="0"/>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MongoDB, Inc., or a subsidiary thereof; or</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Pursuant to a registration statement that has become or been declared effective under the Securities Act of 1933, as amended; or</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Pursuant to and in compliance with Rule 144A under the Securities Act of 1933, as amended; or</w:t>
      </w:r>
    </w:p>
    <w:p>
      <w:pPr>
        <w:spacing w:after="0" w:line="225" w:lineRule="exact"/>
        <w:rPr>
          <w:rFonts w:ascii="Arial" w:cs="Arial" w:eastAsia="Arial" w:hAnsi="Arial"/>
          <w:sz w:val="18"/>
          <w:szCs w:val="18"/>
          <w:color w:val="auto"/>
        </w:rPr>
      </w:pPr>
    </w:p>
    <w:p>
      <w:pPr>
        <w:ind w:right="300" w:firstLine="8"/>
        <w:spacing w:after="0" w:line="277" w:lineRule="auto"/>
        <w:tabs>
          <w:tab w:leader="none" w:pos="57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5674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6743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14605</wp:posOffset>
            </wp:positionV>
            <wp:extent cx="30702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74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74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 Institution (banks,</w:t>
      </w:r>
    </w:p>
    <w:p>
      <w:pPr>
        <w:sectPr>
          <w:pgSz w:w="11900" w:h="16838" w:orient="portrait"/>
          <w:cols w:equalWidth="0" w:num="1">
            <w:col w:w="11420"/>
          </w:cols>
          <w:pgMar w:left="240" w:top="125" w:right="239" w:bottom="0" w:gutter="0" w:footer="0" w:header="0"/>
          <w:type w:val="continuous"/>
        </w:sectPr>
      </w:pPr>
    </w:p>
    <w:bookmarkStart w:id="57" w:name="page58"/>
    <w:bookmarkEnd w:id="57"/>
    <w:p>
      <w:pPr>
        <w:ind w:right="5400"/>
        <w:spacing w:after="0" w:line="302" w:lineRule="auto"/>
        <w:rPr>
          <w:sz w:val="20"/>
          <w:szCs w:val="20"/>
          <w:color w:val="auto"/>
        </w:rPr>
      </w:pPr>
      <w:r>
        <w:rPr>
          <w:rFonts w:ascii="Arial" w:cs="Arial" w:eastAsia="Arial" w:hAnsi="Arial"/>
          <w:sz w:val="16"/>
          <w:szCs w:val="16"/>
          <w:color w:val="auto"/>
        </w:rPr>
        <w:t>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 The signature on the assignment must correspond with the name as written upon the face of the Note in every particular without alteration or enlargement or any change whatever.</w:t>
      </w:r>
    </w:p>
    <w:p>
      <w:pPr>
        <w:spacing w:after="0" w:line="17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58" w:name="page59"/>
    <w:bookmarkEnd w:id="58"/>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$250,000,000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CONVERTIBLE SENIOR NOTES DUE 2024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Initial Purchasers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jc w:val="right"/>
        <w:ind w:right="9580"/>
        <w:spacing w:after="0"/>
        <w:rPr>
          <w:sz w:val="20"/>
          <w:szCs w:val="20"/>
          <w:color w:val="auto"/>
        </w:rPr>
      </w:pPr>
      <w:r>
        <w:rPr>
          <w:rFonts w:ascii="Arial" w:cs="Arial" w:eastAsia="Arial" w:hAnsi="Arial"/>
          <w:sz w:val="17"/>
          <w:szCs w:val="17"/>
          <w:color w:val="auto"/>
        </w:rPr>
        <w:t>c/o Barclays Capital Inc.</w:t>
      </w:r>
    </w:p>
    <w:p>
      <w:pPr>
        <w:spacing w:after="0" w:line="35" w:lineRule="exact"/>
        <w:rPr>
          <w:sz w:val="20"/>
          <w:szCs w:val="20"/>
          <w:color w:val="auto"/>
        </w:rPr>
      </w:pPr>
    </w:p>
    <w:p>
      <w:pPr>
        <w:jc w:val="right"/>
        <w:ind w:right="9600"/>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MongoDB,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purchasers named in Schedule I hereto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Purchasers</w:t>
      </w:r>
      <w:r>
        <w:rPr>
          <w:rFonts w:ascii="Arial" w:cs="Arial" w:eastAsia="Arial" w:hAnsi="Arial"/>
          <w:sz w:val="16"/>
          <w:szCs w:val="16"/>
          <w:color w:val="auto"/>
        </w:rPr>
        <w:t>”) $250,000,000 principal amount of its 0.75% Convertible Senior Notes due 2024 (the “</w:t>
      </w:r>
      <w:r>
        <w:rPr>
          <w:rFonts w:ascii="Arial" w:cs="Arial" w:eastAsia="Arial" w:hAnsi="Arial"/>
          <w:sz w:val="16"/>
          <w:szCs w:val="16"/>
          <w:b w:val="1"/>
          <w:bCs w:val="1"/>
          <w:color w:val="auto"/>
        </w:rPr>
        <w:t>Firm Securities</w:t>
      </w:r>
      <w:r>
        <w:rPr>
          <w:rFonts w:ascii="Arial" w:cs="Arial" w:eastAsia="Arial" w:hAnsi="Arial"/>
          <w:sz w:val="16"/>
          <w:szCs w:val="16"/>
          <w:color w:val="auto"/>
        </w:rPr>
        <w:t>”) to be issued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of an Indenture, to be dated as of June 28, 2018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U.S. Bank National Association, as Trustee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The Company also proposes to issue and sell to the Initial Purchasers not more than an additional $50,000,000 principal amount of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Convertible Senior Notes due 2024 (the “</w:t>
      </w:r>
      <w:r>
        <w:rPr>
          <w:rFonts w:ascii="Arial" w:cs="Arial" w:eastAsia="Arial" w:hAnsi="Arial"/>
          <w:sz w:val="16"/>
          <w:szCs w:val="16"/>
          <w:b w:val="1"/>
          <w:bCs w:val="1"/>
          <w:color w:val="auto"/>
        </w:rPr>
        <w:t>Additional Securities</w:t>
      </w:r>
      <w:r>
        <w:rPr>
          <w:rFonts w:ascii="Arial" w:cs="Arial" w:eastAsia="Arial" w:hAnsi="Arial"/>
          <w:sz w:val="16"/>
          <w:szCs w:val="16"/>
          <w:color w:val="auto"/>
        </w:rPr>
        <w:t>”), if and to the extent that you, as the Representatives, shall have determined to exercise,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behalf of the Initial Purchasers, the right to purchase such Additional Securities granted to the Initial Purchasers in Section 2 hereof. The Firm Securities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Additional Securities are hereinafter collectively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will be convertible into cash, shares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par value $0.001 per share (the “</w:t>
      </w:r>
      <w:r>
        <w:rPr>
          <w:rFonts w:ascii="Arial" w:cs="Arial" w:eastAsia="Arial" w:hAnsi="Arial"/>
          <w:sz w:val="16"/>
          <w:szCs w:val="16"/>
          <w:b w:val="1"/>
          <w:bCs w:val="1"/>
          <w:color w:val="auto"/>
        </w:rPr>
        <w:t>Underlying Securities</w:t>
      </w:r>
      <w:r>
        <w:rPr>
          <w:rFonts w:ascii="Arial" w:cs="Arial" w:eastAsia="Arial" w:hAnsi="Arial"/>
          <w:sz w:val="16"/>
          <w:szCs w:val="16"/>
          <w:color w:val="auto"/>
        </w:rPr>
        <w:t>”) or a combination of cash and Underlying Securities, at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 The Underlying Securities, together with the Company’s Class B common stock, par value $0.001 per share (the “</w:t>
      </w:r>
      <w:r>
        <w:rPr>
          <w:rFonts w:ascii="Arial" w:cs="Arial" w:eastAsia="Arial" w:hAnsi="Arial"/>
          <w:sz w:val="17"/>
          <w:szCs w:val="17"/>
          <w:b w:val="1"/>
          <w:bCs w:val="1"/>
          <w:color w:val="auto"/>
        </w:rPr>
        <w:t>Class B Stock</w:t>
      </w:r>
      <w:r>
        <w:rPr>
          <w:rFonts w:ascii="Arial" w:cs="Arial" w:eastAsia="Arial" w:hAnsi="Arial"/>
          <w:sz w:val="17"/>
          <w:szCs w:val="17"/>
          <w:color w:val="auto"/>
        </w:rPr>
        <w:t>”), is referred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herein as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07"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color w:val="auto"/>
        </w:rPr>
        <w:t>The Securities and the Underlying Securities will be offered without being registered under the Securities Act of 1933, as amended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to qualified institutional buyers in compliance with the exemption from registration provided by Rule 144A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166370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connection with the sale of the Securities, the Company has prepared a preliminary offering memorandum (the “</w:t>
      </w:r>
      <w:r>
        <w:rPr>
          <w:rFonts w:ascii="Arial" w:cs="Arial" w:eastAsia="Arial" w:hAnsi="Arial"/>
          <w:sz w:val="17"/>
          <w:szCs w:val="17"/>
          <w:b w:val="1"/>
          <w:bCs w:val="1"/>
          <w:color w:val="auto"/>
        </w:rPr>
        <w:t>Preliminary Memorandum</w:t>
      </w:r>
      <w:r>
        <w:rPr>
          <w:rFonts w:ascii="Arial" w:cs="Arial" w:eastAsia="Arial" w:hAnsi="Arial"/>
          <w:sz w:val="17"/>
          <w:szCs w:val="17"/>
          <w:color w:val="auto"/>
        </w:rPr>
        <w:t>”) and will prepare a final offering memorandum (the “</w:t>
      </w:r>
      <w:r>
        <w:rPr>
          <w:rFonts w:ascii="Arial" w:cs="Arial" w:eastAsia="Arial" w:hAnsi="Arial"/>
          <w:sz w:val="17"/>
          <w:szCs w:val="17"/>
          <w:b w:val="1"/>
          <w:bCs w:val="1"/>
          <w:color w:val="auto"/>
        </w:rPr>
        <w:t>Final Memorandum</w:t>
      </w:r>
      <w:r>
        <w:rPr>
          <w:rFonts w:ascii="Arial" w:cs="Arial" w:eastAsia="Arial" w:hAnsi="Arial"/>
          <w:sz w:val="17"/>
          <w:szCs w:val="17"/>
          <w:color w:val="auto"/>
        </w:rPr>
        <w:t>”) including or incorporating by reference a description of the terms of the Securities and the Underlying Securities, the terms of the offering and a description of the Company. For purposes of this Agreement, “</w:t>
      </w:r>
      <w:r>
        <w:rPr>
          <w:rFonts w:ascii="Arial" w:cs="Arial" w:eastAsia="Arial" w:hAnsi="Arial"/>
          <w:sz w:val="17"/>
          <w:szCs w:val="17"/>
          <w:b w:val="1"/>
          <w:bCs w:val="1"/>
          <w:color w:val="auto"/>
        </w:rPr>
        <w:t>Additional Written</w:t>
      </w:r>
      <w:r>
        <w:rPr>
          <w:rFonts w:ascii="Arial" w:cs="Arial" w:eastAsia="Arial" w:hAnsi="Arial"/>
          <w:sz w:val="17"/>
          <w:szCs w:val="17"/>
          <w:color w:val="auto"/>
        </w:rPr>
        <w:t xml:space="preserve"> </w:t>
      </w:r>
      <w:r>
        <w:rPr>
          <w:rFonts w:ascii="Arial" w:cs="Arial" w:eastAsia="Arial" w:hAnsi="Arial"/>
          <w:sz w:val="17"/>
          <w:szCs w:val="17"/>
          <w:b w:val="1"/>
          <w:bCs w:val="1"/>
          <w:color w:val="auto"/>
        </w:rPr>
        <w:t>Offering Communication</w:t>
      </w:r>
      <w:r>
        <w:rPr>
          <w:rFonts w:ascii="Arial" w:cs="Arial" w:eastAsia="Arial" w:hAnsi="Arial"/>
          <w:sz w:val="17"/>
          <w:szCs w:val="17"/>
          <w:color w:val="auto"/>
        </w:rPr>
        <w:t>” means any written communication (as defined in Rule 405 under the Securities Act) that constitutes an offer to sell or a</w:t>
      </w:r>
      <w:r>
        <w:rPr>
          <w:rFonts w:ascii="Arial" w:cs="Arial" w:eastAsia="Arial" w:hAnsi="Arial"/>
          <w:sz w:val="17"/>
          <w:szCs w:val="17"/>
          <w:b w:val="1"/>
          <w:bCs w:val="1"/>
          <w:color w:val="auto"/>
        </w:rPr>
        <w:t xml:space="preserve"> </w:t>
      </w:r>
      <w:r>
        <w:rPr>
          <w:rFonts w:ascii="Arial" w:cs="Arial" w:eastAsia="Arial" w:hAnsi="Arial"/>
          <w:sz w:val="17"/>
          <w:szCs w:val="17"/>
          <w:color w:val="auto"/>
        </w:rPr>
        <w:t>solicitation of an offer to buy the Securities other than the Preliminary Memorandum or the Final Memorandum; “</w:t>
      </w:r>
      <w:r>
        <w:rPr>
          <w:rFonts w:ascii="Arial" w:cs="Arial" w:eastAsia="Arial" w:hAnsi="Arial"/>
          <w:sz w:val="17"/>
          <w:szCs w:val="17"/>
          <w:b w:val="1"/>
          <w:bCs w:val="1"/>
          <w:color w:val="auto"/>
        </w:rPr>
        <w:t>Time of Sale Memorandum</w:t>
      </w:r>
      <w:r>
        <w:rPr>
          <w:rFonts w:ascii="Arial" w:cs="Arial" w:eastAsia="Arial" w:hAnsi="Arial"/>
          <w:sz w:val="17"/>
          <w:szCs w:val="17"/>
          <w:color w:val="auto"/>
        </w:rPr>
        <w:t>” means the Preliminary Memorandum together with each Additional Written Offering Communication or other information, if any, each identified in Schedule II hereto under the caption Time of Sale Memorandum; and “</w:t>
      </w:r>
      <w:r>
        <w:rPr>
          <w:rFonts w:ascii="Arial" w:cs="Arial" w:eastAsia="Arial" w:hAnsi="Arial"/>
          <w:sz w:val="17"/>
          <w:szCs w:val="17"/>
          <w:b w:val="1"/>
          <w:bCs w:val="1"/>
          <w:color w:val="auto"/>
        </w:rPr>
        <w:t>General Solicitation</w:t>
      </w:r>
      <w:r>
        <w:rPr>
          <w:rFonts w:ascii="Arial" w:cs="Arial" w:eastAsia="Arial" w:hAnsi="Arial"/>
          <w:sz w:val="17"/>
          <w:szCs w:val="17"/>
          <w:color w:val="auto"/>
        </w:rPr>
        <w:t>” means any offer to sell or solicitation of an offer to buy the Securities by any form of general solicitation or advertising (as those terms are used in Regulation D under the Securities Act). As used herein, the terms Preliminary Memorandum, Time of Sale Memorandum and Final Memorandum shall include the documents, if any, incorporated by reference therein on the date hereof.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Preliminary Memorandum, the Time of Sale Memorandum, the Final Memorandum or any Additional Written Offering Communication shall include all documents subsequently filed by the Company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that are deemed to be incorporated by reference therein.</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connection with the offering of the Firm Securities, the Company is separately entering into capped call transactions with certain financial institutions, including with one or more of the Initial Purchasers (or affiliates thereof) (the “</w:t>
      </w:r>
      <w:r>
        <w:rPr>
          <w:rFonts w:ascii="Arial" w:cs="Arial" w:eastAsia="Arial" w:hAnsi="Arial"/>
          <w:sz w:val="18"/>
          <w:szCs w:val="18"/>
          <w:b w:val="1"/>
          <w:bCs w:val="1"/>
          <w:color w:val="auto"/>
        </w:rPr>
        <w:t>Capped Call Counterparties</w:t>
      </w:r>
      <w:r>
        <w:rPr>
          <w:rFonts w:ascii="Arial" w:cs="Arial" w:eastAsia="Arial" w:hAnsi="Arial"/>
          <w:sz w:val="18"/>
          <w:szCs w:val="18"/>
          <w:color w:val="auto"/>
        </w:rPr>
        <w:t>”), in each case pursuant to capped call confirmations (the “</w:t>
      </w:r>
      <w:r>
        <w:rPr>
          <w:rFonts w:ascii="Arial" w:cs="Arial" w:eastAsia="Arial" w:hAnsi="Arial"/>
          <w:sz w:val="18"/>
          <w:szCs w:val="18"/>
          <w:b w:val="1"/>
          <w:bCs w:val="1"/>
          <w:color w:val="auto"/>
        </w:rPr>
        <w:t>Base Capped Call Confirmations</w:t>
      </w:r>
      <w:r>
        <w:rPr>
          <w:rFonts w:ascii="Arial" w:cs="Arial" w:eastAsia="Arial" w:hAnsi="Arial"/>
          <w:sz w:val="18"/>
          <w:szCs w:val="18"/>
          <w:color w:val="auto"/>
        </w:rPr>
        <w:t>”) to be dated the date hereof, and in connection with any exercise by the Initial Purchasers of their option to purchase any Additional Securities, the Company and the Capped Call Counterparties may enter into additional capped call transactions pursuant to additional capped call confirmations (the “</w:t>
      </w:r>
      <w:r>
        <w:rPr>
          <w:rFonts w:ascii="Arial" w:cs="Arial" w:eastAsia="Arial" w:hAnsi="Arial"/>
          <w:sz w:val="18"/>
          <w:szCs w:val="18"/>
          <w:b w:val="1"/>
          <w:bCs w:val="1"/>
          <w:color w:val="auto"/>
        </w:rPr>
        <w:t>Additional Capped Call Confirmations</w:t>
      </w:r>
      <w:r>
        <w:rPr>
          <w:rFonts w:ascii="Arial" w:cs="Arial" w:eastAsia="Arial" w:hAnsi="Arial"/>
          <w:sz w:val="18"/>
          <w:szCs w:val="18"/>
          <w:color w:val="auto"/>
        </w:rPr>
        <w:t>”), each to be dated the date on which the Initial Purchasers exercise their option to purchase such Additional Securities. The Base Capped Call Confirmations and the Additional Capped Call Confirmations are collectively referred to herein as the “</w:t>
      </w:r>
      <w:r>
        <w:rPr>
          <w:rFonts w:ascii="Arial" w:cs="Arial" w:eastAsia="Arial" w:hAnsi="Arial"/>
          <w:sz w:val="18"/>
          <w:szCs w:val="18"/>
          <w:b w:val="1"/>
          <w:bCs w:val="1"/>
          <w:color w:val="auto"/>
        </w:rPr>
        <w:t>Capped Call Confirmations</w:t>
      </w:r>
      <w:r>
        <w:rPr>
          <w:rFonts w:ascii="Arial" w:cs="Arial" w:eastAsia="Arial" w:hAnsi="Arial"/>
          <w:sz w:val="18"/>
          <w:szCs w:val="18"/>
          <w:color w:val="auto"/>
        </w:rPr>
        <w:t>”.</w:t>
      </w:r>
    </w:p>
    <w:p>
      <w:pPr>
        <w:sectPr>
          <w:pgSz w:w="11900" w:h="16910" w:orient="portrait"/>
          <w:cols w:equalWidth="0" w:num="1">
            <w:col w:w="11420"/>
          </w:cols>
          <w:pgMar w:left="240" w:top="121" w:right="239" w:bottom="0" w:gutter="0" w:footer="0" w:header="0"/>
        </w:sectPr>
      </w:pPr>
    </w:p>
    <w:bookmarkStart w:id="59" w:name="page60"/>
    <w:bookmarkEnd w:id="59"/>
    <w:p>
      <w:pPr>
        <w:ind w:left="644" w:hanging="644"/>
        <w:spacing w:after="0"/>
        <w:tabs>
          <w:tab w:leader="none" w:pos="644"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Company represents and warrants to, and agrees with, the Representatives that:</w:t>
      </w:r>
    </w:p>
    <w:p>
      <w:pPr>
        <w:spacing w:after="0" w:line="225" w:lineRule="exact"/>
        <w:rPr>
          <w:rFonts w:ascii="Arial" w:cs="Arial" w:eastAsia="Arial" w:hAnsi="Arial"/>
          <w:sz w:val="18"/>
          <w:szCs w:val="18"/>
          <w:color w:val="auto"/>
        </w:rPr>
      </w:pPr>
    </w:p>
    <w:p>
      <w:pPr>
        <w:ind w:left="4" w:right="300" w:firstLine="645"/>
        <w:spacing w:after="0" w:line="257" w:lineRule="auto"/>
        <w:tabs>
          <w:tab w:leader="none" w:pos="129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 Each document, if any, filed or to be filed pursuant to the Exchange Act and incorporated by reference in the Preliminary Memorandum, the Time of Sale Memorandum or the Final Memorandum complied or will comply when so filed in all material respects with the applicable requirements of the Exchange Act and the applicable rules and regulations of the Commission thereunder, (ii) the Time of Sale Memorandum does not, and at the time of each sale of the Securities in connection with the offering when the Final Memorandum is not yet available to prospective purchasers and at the Closing</w:t>
      </w:r>
    </w:p>
    <w:p>
      <w:pPr>
        <w:spacing w:after="0" w:line="18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68" w:lineRule="auto"/>
        <w:rPr>
          <w:sz w:val="20"/>
          <w:szCs w:val="20"/>
          <w:color w:val="auto"/>
        </w:rPr>
      </w:pPr>
      <w:r>
        <w:rPr>
          <w:rFonts w:ascii="Arial" w:cs="Arial" w:eastAsia="Arial" w:hAnsi="Arial"/>
          <w:sz w:val="17"/>
          <w:szCs w:val="17"/>
          <w:color w:val="auto"/>
        </w:rPr>
        <w:t>Date (as defined in Section 4), the Time of Sale Memorandum, as then amended or supplemented by the Company, if applicable, will not, contain any untrue statement of a material fact or omit to state a material fact necessary to make the statements therein, in the light of the circumstances under which they were made, not misleading, (iii) any Additional Written Offering Communication prepared, used or referred to by the Company, when considered together with the Time of Sale Memorandum, at the time of its use did not contain any untrue statement of a material fact or omit to state a material fact necessary to make the statements therein, in the light of the circumstances under which they were made, not misleading, (iv) any General Solicitation that is not an Additional Written Offering Communication identified in Schedule II hereto, made by the Company or by an Initial Purchaser with the consent of the Company, when considered together with the Time of Sale Memorandum, at the time when made or used did not contain any untrue statement of a material fact or omit to state a material fact necessary to make the statements therein, in the light of the circumstances under which they were made, not misleading and (v) the Preliminary Memorandum does not contain and the Final Memorandum, in the form used by the Initial Purchasers to confirm sales and on the Closing Date (as defined in Section 4),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Preliminary Memorandum, the Time of Sale Memorandum, the Final Memorandum, Additional Written Offering Communication or General Solicitation based upon information relating to any Initial Purchaser furnished to the Company in writing by such Initial Purchaser through the Representatives expressly for use therein.</w:t>
      </w:r>
    </w:p>
    <w:p>
      <w:pPr>
        <w:spacing w:after="0" w:line="183" w:lineRule="exact"/>
        <w:rPr>
          <w:sz w:val="20"/>
          <w:szCs w:val="20"/>
          <w:color w:val="auto"/>
        </w:rPr>
      </w:pPr>
    </w:p>
    <w:p>
      <w:pPr>
        <w:ind w:left="4" w:right="360" w:firstLine="645"/>
        <w:spacing w:after="0" w:line="264" w:lineRule="auto"/>
        <w:tabs>
          <w:tab w:leader="none" w:pos="130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Except for the Additional Written Offering Communications, if any, identified in Schedule II hereto, including electronic road shows, if any, furnished to the Representatives before first use, the Company has not prepared, used or referred to, and will not, without Representatives’ prior consent, prepare, use or refer to, any Additional Written Offering Communication.</w:t>
      </w:r>
    </w:p>
    <w:p>
      <w:pPr>
        <w:spacing w:after="0" w:line="181" w:lineRule="exact"/>
        <w:rPr>
          <w:rFonts w:ascii="Arial" w:cs="Arial" w:eastAsia="Arial" w:hAnsi="Arial"/>
          <w:sz w:val="18"/>
          <w:szCs w:val="18"/>
          <w:color w:val="auto"/>
        </w:rPr>
      </w:pPr>
    </w:p>
    <w:p>
      <w:pPr>
        <w:ind w:left="4" w:right="120" w:firstLine="645"/>
        <w:spacing w:after="0" w:line="255" w:lineRule="auto"/>
        <w:tabs>
          <w:tab w:leader="none" w:pos="131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has the corporate power and authority to own its property and to conduct its business as described in the Time of Sale Memorandum and is duly qualified to transact business and is in good standing in each jurisdiction (to the extent the concept of good standing is applicable under the laws such jurisdiction) in which the conduct of its business or its ownership or leasing of property requires such qualification, except to the extent that the failure to be so qualified or be in good standing would not reasonably be expected to have a material adverse effect on the Company and its subsidiaries, taken as a whole.</w:t>
      </w:r>
    </w:p>
    <w:p>
      <w:pPr>
        <w:spacing w:after="0" w:line="193" w:lineRule="exact"/>
        <w:rPr>
          <w:rFonts w:ascii="Arial" w:cs="Arial" w:eastAsia="Arial" w:hAnsi="Arial"/>
          <w:sz w:val="18"/>
          <w:szCs w:val="18"/>
          <w:color w:val="auto"/>
        </w:rPr>
      </w:pPr>
    </w:p>
    <w:p>
      <w:pPr>
        <w:ind w:left="1304" w:hanging="655"/>
        <w:spacing w:after="0"/>
        <w:tabs>
          <w:tab w:leader="none" w:pos="130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Each significant subsidiary (as such term is defined in Rule 1-02 of Regulation S-X) of the Company has been duly incorporated,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organized or</w:t>
      </w:r>
    </w:p>
    <w:p>
      <w:pPr>
        <w:spacing w:after="0" w:line="21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formed, as applicable, is validly existing as a corporation or organization in good standing (to the extent the concept of good standing is applicable in such jurisdiction) under the laws of the jurisdiction of its formation, has the corporate or organizational power and authority to own its property and to conduct its business as described in the Time of Sale Memorandum and is duly qualified to transact business and is in good standing (to the extent the concept of good standing is applicable in such jurisdiction) in each jurisdiction in which the conduct of its business or its ownership or leasing of property requires such qualification (to the extent such concepts are applicable under relevant law), except to the extent that the failure to be so qualified or be in good standing would not reasonably be expected to have a material adverse effect on the Company and its subsidiaries, taken as a whole; all of the issued shares of capital stock of each significant subsidiary (as such term is defined in Rule 1-02 of Regulation S-X) of the Company have been duly and validly authorized and issued, are fully paid and non-assessable (to the extent such concepts are applicable under relevant law) and are owned directly or indirectly by the Company, free and clear of all liens, encumbrances, equities or claims.</w:t>
      </w:r>
    </w:p>
    <w:p>
      <w:pPr>
        <w:spacing w:after="0" w:line="167" w:lineRule="exact"/>
        <w:rPr>
          <w:sz w:val="20"/>
          <w:szCs w:val="20"/>
          <w:color w:val="auto"/>
        </w:rPr>
      </w:pPr>
    </w:p>
    <w:p>
      <w:pPr>
        <w:ind w:left="1304" w:hanging="655"/>
        <w:spacing w:after="0"/>
        <w:tabs>
          <w:tab w:leader="none" w:pos="13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left="4" w:right="100" w:firstLine="645"/>
        <w:spacing w:after="0" w:line="277" w:lineRule="auto"/>
        <w:tabs>
          <w:tab w:leader="none" w:pos="13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contained in each of the Time of Sale Memorandum and the Final Memorandum.</w:t>
      </w:r>
    </w:p>
    <w:p>
      <w:pPr>
        <w:spacing w:after="0" w:line="170" w:lineRule="exact"/>
        <w:rPr>
          <w:rFonts w:ascii="Arial" w:cs="Arial" w:eastAsia="Arial" w:hAnsi="Arial"/>
          <w:sz w:val="18"/>
          <w:szCs w:val="18"/>
          <w:color w:val="auto"/>
        </w:rPr>
      </w:pPr>
    </w:p>
    <w:p>
      <w:pPr>
        <w:ind w:left="4" w:right="100" w:firstLine="645"/>
        <w:spacing w:after="0" w:line="277" w:lineRule="auto"/>
        <w:tabs>
          <w:tab w:leader="none" w:pos="132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Securities have been duly authorized and are validly issued, fully paid and non-assessable.</w:t>
      </w:r>
    </w:p>
    <w:p>
      <w:pPr>
        <w:spacing w:after="0" w:line="170" w:lineRule="exact"/>
        <w:rPr>
          <w:rFonts w:ascii="Arial" w:cs="Arial" w:eastAsia="Arial" w:hAnsi="Arial"/>
          <w:sz w:val="18"/>
          <w:szCs w:val="18"/>
          <w:color w:val="auto"/>
        </w:rPr>
      </w:pPr>
    </w:p>
    <w:p>
      <w:pPr>
        <w:ind w:left="4" w:right="20" w:firstLine="645"/>
        <w:spacing w:after="0" w:line="257" w:lineRule="auto"/>
        <w:tabs>
          <w:tab w:leader="none" w:pos="130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Securities have been duly authorized and, when executed and authenticated in accordance with the provisions of the Indenture and delivered to and paid for by the Initial Purchasers in accordance with the terms of this Agreement, will be valid and binding obligations of the Company, enforceable in accordance with their terms, subject to applicable bankruptcy, insolvency and similar laws affecting creditors’ rights generally and equitable principles of general applicability, and will be entitled to the benefits of the Indenture pursuant to which such Securities are to be issued.</w:t>
      </w:r>
    </w:p>
    <w:p>
      <w:pPr>
        <w:spacing w:after="0" w:line="188" w:lineRule="exact"/>
        <w:rPr>
          <w:rFonts w:ascii="Arial" w:cs="Arial" w:eastAsia="Arial" w:hAnsi="Arial"/>
          <w:sz w:val="18"/>
          <w:szCs w:val="18"/>
          <w:color w:val="auto"/>
        </w:rPr>
      </w:pPr>
    </w:p>
    <w:p>
      <w:pPr>
        <w:ind w:left="4" w:right="260" w:firstLine="645"/>
        <w:spacing w:after="0" w:line="312" w:lineRule="auto"/>
        <w:tabs>
          <w:tab w:leader="none" w:pos="132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Underlying Securities issuable upon conversion of the Securities have been duly authorized and reserved and, when issued upon conversion of the Securities in accordance with the terms of the Securities, will be validly issued, fully paid and non-assessable, and the issuance of the Underlying Securities will not be subject to any preemptive or similar rights that have not been validly waived.</w:t>
      </w:r>
    </w:p>
    <w:p>
      <w:pPr>
        <w:sectPr>
          <w:pgSz w:w="11900" w:h="16838" w:orient="portrait"/>
          <w:cols w:equalWidth="0" w:num="1">
            <w:col w:w="10744"/>
          </w:cols>
          <w:pgMar w:left="896" w:top="341" w:right="259" w:bottom="0" w:gutter="0" w:footer="0" w:header="0"/>
        </w:sectPr>
      </w:pPr>
    </w:p>
    <w:bookmarkStart w:id="60" w:name="page61"/>
    <w:bookmarkEnd w:id="60"/>
    <w:p>
      <w:pPr>
        <w:ind w:left="1300" w:hanging="655"/>
        <w:spacing w:after="0"/>
        <w:tabs>
          <w:tab w:leader="none" w:pos="13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Indenture has been duly authorized by the Company and, when executed and delivered by the Company and, assuming due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execution and</w:t>
      </w:r>
    </w:p>
    <w:p>
      <w:pPr>
        <w:spacing w:after="0" w:line="21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delivery thereof by the Trustee, the Indenture will constitute a valid and binding agreement of the Company, enforceable in accordance with its terms, subject to applicable bankruptcy, insolvency and similar laws affecting creditors’ rights generally and equitable principles of general applicability.</w:t>
      </w:r>
    </w:p>
    <w:p>
      <w:pPr>
        <w:spacing w:after="0" w:line="181" w:lineRule="exact"/>
        <w:rPr>
          <w:sz w:val="20"/>
          <w:szCs w:val="20"/>
          <w:color w:val="auto"/>
        </w:rPr>
      </w:pPr>
    </w:p>
    <w:p>
      <w:pPr>
        <w:ind w:right="20" w:firstLine="645"/>
        <w:spacing w:after="0" w:line="255" w:lineRule="auto"/>
        <w:tabs>
          <w:tab w:leader="none" w:pos="13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Base Capped Call Confirmations have been, and any Additional Capped Call Confirmations on the date or dates that the Initial Purchasers exercise their right to purchase the relevant Additional Securities will have been, duly authorized, executed and delivered by the Company and, assuming due execution and delivery thereof by the Capped Call Counterparties, constitute, or will constitute, as the case may be, valid and legally binding agreements of the Company enforceable against the Company in accordance with their terms, subject, as to enforcement, to bankruptcy, insolvency, reorganization and other laws of general applicability relating to or affecting creditors’ rights and to general equity principles.</w:t>
      </w:r>
    </w:p>
    <w:p>
      <w:pPr>
        <w:spacing w:after="0" w:line="193" w:lineRule="exact"/>
        <w:rPr>
          <w:rFonts w:ascii="Arial" w:cs="Arial" w:eastAsia="Arial" w:hAnsi="Arial"/>
          <w:sz w:val="18"/>
          <w:szCs w:val="18"/>
          <w:color w:val="auto"/>
        </w:rPr>
      </w:pPr>
    </w:p>
    <w:p>
      <w:pPr>
        <w:ind w:right="40" w:firstLine="645"/>
        <w:spacing w:after="0" w:line="288" w:lineRule="auto"/>
        <w:tabs>
          <w:tab w:leader="none" w:pos="131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the Indenture the Securities and the Capped Call Confirmations will not contravene any provision of (i) applicable law, (ii) the certificate of incorporation or by-laws of the Company, (iii) any agreement or other instrument binding upon the Company or any of its subsidiaries that is material to the Company and its subsidiaries, taken as a whole, or (iv) any judgment, order or decree of any governmental body, agency or court having jurisdiction over the Company or any subsidiary, except that in the case of clauses (i), (iii) and (iv) above, where such contravention would not, individually or in the aggregate, reasonably be expected to have a material adverse effect on the Company and its subsidiaries, taken as a whole; and no consent, approval, authorization or order of, or qualification with, any governmental body or agency is required for the performance by the Company of its obligations under this Agreement, the Indenture or the Securities or the entry into the Capped Call Transactions, except such as have been obtained or waived or as may be required by the securities or Blue Sky laws of the various states or foreign jurisdictions or the rules and regulations of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in connection with the offer and sale of the Securities.</w:t>
      </w:r>
    </w:p>
    <w:p>
      <w:pPr>
        <w:spacing w:after="0" w:line="169" w:lineRule="exact"/>
        <w:rPr>
          <w:rFonts w:ascii="Arial" w:cs="Arial" w:eastAsia="Arial" w:hAnsi="Arial"/>
          <w:sz w:val="16"/>
          <w:szCs w:val="16"/>
          <w:color w:val="auto"/>
        </w:rPr>
      </w:pPr>
    </w:p>
    <w:p>
      <w:pPr>
        <w:ind w:firstLine="645"/>
        <w:spacing w:after="0" w:line="259"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of the Company incorporated by reference in the Time of Sale Memorandum, there has not occurred any material adverse change, or any development involving a prospective material adverse change, in the condition, financial or otherwise, or in the earnings, business, management or operations of the Company and its subsidiaries, taken as a whole, other than as set forth in the Time of Sale Memorandum.</w:t>
      </w:r>
    </w:p>
    <w:p>
      <w:pPr>
        <w:spacing w:after="0" w:line="186" w:lineRule="exact"/>
        <w:rPr>
          <w:rFonts w:ascii="Arial" w:cs="Arial" w:eastAsia="Arial" w:hAnsi="Arial"/>
          <w:sz w:val="18"/>
          <w:szCs w:val="18"/>
          <w:color w:val="auto"/>
        </w:rPr>
      </w:pPr>
    </w:p>
    <w:p>
      <w:pPr>
        <w:ind w:right="40" w:firstLine="645"/>
        <w:spacing w:after="0" w:line="277" w:lineRule="auto"/>
        <w:tabs>
          <w:tab w:leader="none" w:pos="130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to the knowledge of the Company threatened to which the Company or any of its subsidiaries is a party or to which any of the properties of the Company or any of</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its subsidiaries is subject other than proceedings accurately described in all material respects in the Time of Sale Memorandum and proceedings that would not reasonably be expected to have a material adverse effect on the Company and its subsidiaries, taken as a whole, or on the power or ability of the Company to perform its obligations under this Agreement, the Indenture, the Securities or the Capped Call Confirmations or to consummate the transactions contemplated by the Time of Sale Memorandum.</w:t>
      </w:r>
    </w:p>
    <w:p>
      <w:pPr>
        <w:spacing w:after="0" w:line="187" w:lineRule="exact"/>
        <w:rPr>
          <w:sz w:val="20"/>
          <w:szCs w:val="20"/>
          <w:color w:val="auto"/>
        </w:rPr>
      </w:pPr>
    </w:p>
    <w:p>
      <w:pPr>
        <w:ind w:right="140" w:firstLine="645"/>
        <w:spacing w:after="0" w:line="272" w:lineRule="auto"/>
        <w:tabs>
          <w:tab w:leader="none" w:pos="130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Company and its subsidiaries, taken as a whole,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177" w:lineRule="exact"/>
        <w:rPr>
          <w:rFonts w:ascii="Arial" w:cs="Arial" w:eastAsia="Arial" w:hAnsi="Arial"/>
          <w:sz w:val="17"/>
          <w:szCs w:val="17"/>
          <w:color w:val="auto"/>
        </w:rPr>
      </w:pPr>
    </w:p>
    <w:p>
      <w:pPr>
        <w:ind w:right="340" w:firstLine="645"/>
        <w:spacing w:after="0" w:line="259" w:lineRule="auto"/>
        <w:tabs>
          <w:tab w:leader="none" w:pos="130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186" w:lineRule="exact"/>
        <w:rPr>
          <w:rFonts w:ascii="Arial" w:cs="Arial" w:eastAsia="Arial" w:hAnsi="Arial"/>
          <w:sz w:val="18"/>
          <w:szCs w:val="18"/>
          <w:color w:val="auto"/>
        </w:rPr>
      </w:pPr>
    </w:p>
    <w:p>
      <w:pPr>
        <w:ind w:right="80" w:firstLine="645"/>
        <w:spacing w:after="0" w:line="312" w:lineRule="auto"/>
        <w:tabs>
          <w:tab w:leader="none" w:pos="130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Securities and the application of the proceeds thereof as described in the Final Memorandum, including the transactions contemplated by the Capped Call Confirmations, will not be, required to register as an “investment company” as such term is defined in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w:t>
      </w:r>
    </w:p>
    <w:p>
      <w:pPr>
        <w:spacing w:after="0" w:line="142" w:lineRule="exact"/>
        <w:rPr>
          <w:rFonts w:ascii="Arial" w:cs="Arial" w:eastAsia="Arial" w:hAnsi="Arial"/>
          <w:sz w:val="16"/>
          <w:szCs w:val="16"/>
          <w:color w:val="auto"/>
        </w:rPr>
      </w:pPr>
    </w:p>
    <w:p>
      <w:pPr>
        <w:ind w:right="180" w:firstLine="645"/>
        <w:spacing w:after="0" w:line="298" w:lineRule="auto"/>
        <w:tabs>
          <w:tab w:leader="none" w:pos="131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Neither the Company nor any affiliate (as defined in Rule 501(b) of Regulation D under the Securities Act, an “</w:t>
      </w:r>
      <w:r>
        <w:rPr>
          <w:rFonts w:ascii="Arial" w:cs="Arial" w:eastAsia="Arial" w:hAnsi="Arial"/>
          <w:sz w:val="16"/>
          <w:szCs w:val="16"/>
          <w:b w:val="1"/>
          <w:bCs w:val="1"/>
          <w:color w:val="auto"/>
        </w:rPr>
        <w:t>Affiliate</w:t>
      </w:r>
      <w:r>
        <w:rPr>
          <w:rFonts w:ascii="Arial" w:cs="Arial" w:eastAsia="Arial" w:hAnsi="Arial"/>
          <w:sz w:val="16"/>
          <w:szCs w:val="16"/>
          <w:color w:val="auto"/>
        </w:rPr>
        <w:t>”) of the Company has directly, or through any agent, (i) sold, offered for sale, solicited offers to buy or otherwise negotiated in respect of, any security (as defined in the Securities Act) which is or will be integrated with the sale of the Securities in a manner that would require the registration under the Securities Act of the Securities, (ii) made any General Solicitation that is not an Additional Written Offering Communication, other than General Solicitations listed on Schedule II hereto, or those made with the prior written consent of Morgan Stanley &amp; Co. LLC, or (iii)</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offered, solicited offers to buy or sold the Securities in any manner involving a public offering within the meaning of Section 4(a)(2) of the Securities Act.</w:t>
      </w:r>
    </w:p>
    <w:p>
      <w:pPr>
        <w:sectPr>
          <w:pgSz w:w="11900" w:h="16838" w:orient="portrait"/>
          <w:cols w:equalWidth="0" w:num="1">
            <w:col w:w="10760"/>
          </w:cols>
          <w:pgMar w:left="900" w:top="125" w:right="239" w:bottom="0" w:gutter="0" w:footer="0" w:header="0"/>
        </w:sectPr>
      </w:pPr>
    </w:p>
    <w:bookmarkStart w:id="61" w:name="page62"/>
    <w:bookmarkEnd w:id="61"/>
    <w:p>
      <w:pPr>
        <w:spacing w:after="0" w:line="103" w:lineRule="exact"/>
        <w:rPr>
          <w:sz w:val="20"/>
          <w:szCs w:val="20"/>
          <w:color w:val="auto"/>
        </w:rPr>
      </w:pPr>
    </w:p>
    <w:p>
      <w:pPr>
        <w:ind w:left="640" w:right="100" w:firstLine="645"/>
        <w:spacing w:after="0" w:line="264" w:lineRule="auto"/>
        <w:tabs>
          <w:tab w:leader="none" w:pos="195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It is not necessary in connection with the offer, sale and delivery of the Securities to the Initial Purchasers in the manner contemplated by this Agreement to register the Securities under the Securities Act or to qualify the Indenture under the Trust Indenture Act of 1939, as amended.</w:t>
      </w:r>
    </w:p>
    <w:p>
      <w:pPr>
        <w:spacing w:after="0" w:line="181" w:lineRule="exact"/>
        <w:rPr>
          <w:rFonts w:ascii="Arial" w:cs="Arial" w:eastAsia="Arial" w:hAnsi="Arial"/>
          <w:sz w:val="18"/>
          <w:szCs w:val="18"/>
          <w:color w:val="auto"/>
        </w:rPr>
      </w:pPr>
    </w:p>
    <w:p>
      <w:pPr>
        <w:ind w:left="1940" w:hanging="655"/>
        <w:spacing w:after="0"/>
        <w:tabs>
          <w:tab w:leader="none" w:pos="19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Securities satisfy the requirements set forth in Rule 144A(d)(3) under the Securities Act.</w:t>
      </w:r>
    </w:p>
    <w:p>
      <w:pPr>
        <w:spacing w:after="0" w:line="225" w:lineRule="exact"/>
        <w:rPr>
          <w:rFonts w:ascii="Arial" w:cs="Arial" w:eastAsia="Arial" w:hAnsi="Arial"/>
          <w:sz w:val="18"/>
          <w:szCs w:val="18"/>
          <w:color w:val="auto"/>
        </w:rPr>
      </w:pPr>
    </w:p>
    <w:p>
      <w:pPr>
        <w:ind w:left="640" w:right="20" w:firstLine="645"/>
        <w:spacing w:after="0" w:line="287" w:lineRule="auto"/>
        <w:tabs>
          <w:tab w:leader="none" w:pos="1944"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 None of the Company or its subsidiaries or controlled affiliates, nor any director or officer thereof, nor, to the Company’s knowledge, any employee, agent or representative of the Company or of any of its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Arial" w:cs="Arial" w:eastAsia="Arial" w:hAnsi="Arial"/>
          <w:sz w:val="16"/>
          <w:szCs w:val="16"/>
          <w:b w:val="1"/>
          <w:bCs w:val="1"/>
          <w:color w:val="auto"/>
        </w:rPr>
        <w:t>Government Official</w:t>
      </w:r>
      <w:r>
        <w:rPr>
          <w:rFonts w:ascii="Arial" w:cs="Arial" w:eastAsia="Arial" w:hAnsi="Arial"/>
          <w:sz w:val="16"/>
          <w:szCs w:val="16"/>
          <w:color w:val="auto"/>
        </w:rPr>
        <w:t>”) in order to influence official action, or to any person in violation of any applicable anti-corruption laws; (ii) the Company and its subsidiaries and controlled affiliates have conducted their businesses in compliance with applicable anti-corruption and anti-bribery laws and have instituted and maintained policies and procedures reasonably designed to promote and achieve compliance with such laws and with the representations and warranties contained herein; and (iii) neither the Company nor its subsidiaries will use, directly or indirectly, the proceeds of the offering in furtherance of an offer, payment, promise to pay, or authorization of the payment or giving of money, or anything else of value, to any person in violation of any applicable anti-corruption or anti-bribery laws.</w:t>
      </w:r>
    </w:p>
    <w:p>
      <w:pPr>
        <w:spacing w:after="0" w:line="172" w:lineRule="exact"/>
        <w:rPr>
          <w:rFonts w:ascii="Arial" w:cs="Arial" w:eastAsia="Arial" w:hAnsi="Arial"/>
          <w:sz w:val="16"/>
          <w:szCs w:val="16"/>
          <w:color w:val="auto"/>
        </w:rPr>
      </w:pPr>
    </w:p>
    <w:p>
      <w:pPr>
        <w:ind w:left="640" w:right="40" w:firstLine="645"/>
        <w:spacing w:after="0" w:line="271" w:lineRule="auto"/>
        <w:tabs>
          <w:tab w:leader="none" w:pos="194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having jurisdiction over the Company or any of its subsidiaries (collectively, the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firstLine="645"/>
        <w:spacing w:after="0" w:line="264" w:lineRule="auto"/>
        <w:tabs>
          <w:tab w:leader="none" w:pos="195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None of the Company, any of its subsidiaries, or any director or officer thereof, or, to the Company’s knowledge, any employee, agent, controlled affiliate or representative of the Company or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pacing w:after="0" w:line="181" w:lineRule="exact"/>
        <w:rPr>
          <w:rFonts w:ascii="Arial" w:cs="Arial" w:eastAsia="Arial" w:hAnsi="Arial"/>
          <w:sz w:val="18"/>
          <w:szCs w:val="18"/>
          <w:color w:val="auto"/>
        </w:rPr>
      </w:pPr>
    </w:p>
    <w:p>
      <w:pPr>
        <w:ind w:left="1280" w:right="180" w:firstLine="653"/>
        <w:spacing w:after="0" w:line="264" w:lineRule="auto"/>
        <w:tabs>
          <w:tab w:leader="none" w:pos="222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subject of any sanctions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 the United Nations Security Council (“</w:t>
      </w:r>
      <w:r>
        <w:rPr>
          <w:rFonts w:ascii="Arial" w:cs="Arial" w:eastAsia="Arial" w:hAnsi="Arial"/>
          <w:sz w:val="18"/>
          <w:szCs w:val="18"/>
          <w:b w:val="1"/>
          <w:bCs w:val="1"/>
          <w:color w:val="auto"/>
        </w:rPr>
        <w:t>UNSC</w:t>
      </w:r>
      <w:r>
        <w:rPr>
          <w:rFonts w:ascii="Arial" w:cs="Arial" w:eastAsia="Arial" w:hAnsi="Arial"/>
          <w:sz w:val="18"/>
          <w:szCs w:val="18"/>
          <w:color w:val="auto"/>
        </w:rPr>
        <w:t>”), the European Union (“</w:t>
      </w:r>
      <w:r>
        <w:rPr>
          <w:rFonts w:ascii="Arial" w:cs="Arial" w:eastAsia="Arial" w:hAnsi="Arial"/>
          <w:sz w:val="18"/>
          <w:szCs w:val="18"/>
          <w:b w:val="1"/>
          <w:bCs w:val="1"/>
          <w:color w:val="auto"/>
        </w:rPr>
        <w:t>EU</w:t>
      </w:r>
      <w:r>
        <w:rPr>
          <w:rFonts w:ascii="Arial" w:cs="Arial" w:eastAsia="Arial" w:hAnsi="Arial"/>
          <w:sz w:val="18"/>
          <w:szCs w:val="18"/>
          <w:color w:val="auto"/>
        </w:rPr>
        <w:t>”), Her Majesty’s Treasury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181" w:lineRule="exact"/>
        <w:rPr>
          <w:rFonts w:ascii="Arial" w:cs="Arial" w:eastAsia="Arial" w:hAnsi="Arial"/>
          <w:sz w:val="18"/>
          <w:szCs w:val="18"/>
          <w:color w:val="auto"/>
        </w:rPr>
      </w:pPr>
    </w:p>
    <w:p>
      <w:pPr>
        <w:ind w:left="1280" w:right="240" w:firstLine="653"/>
        <w:spacing w:after="0" w:line="277" w:lineRule="auto"/>
        <w:tabs>
          <w:tab w:leader="none" w:pos="221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and Syria).</w:t>
      </w:r>
    </w:p>
    <w:p>
      <w:pPr>
        <w:spacing w:after="0" w:line="170" w:lineRule="exact"/>
        <w:rPr>
          <w:sz w:val="20"/>
          <w:szCs w:val="20"/>
          <w:color w:val="auto"/>
        </w:rPr>
      </w:pPr>
    </w:p>
    <w:p>
      <w:pPr>
        <w:ind w:left="-20" w:right="460" w:firstLine="1305"/>
        <w:spacing w:after="0" w:line="277" w:lineRule="auto"/>
        <w:tabs>
          <w:tab w:leader="none" w:pos="15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1280" w:right="500" w:firstLine="653"/>
        <w:spacing w:after="0" w:line="277" w:lineRule="auto"/>
        <w:tabs>
          <w:tab w:leader="none" w:pos="222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1280" w:right="620" w:firstLine="653"/>
        <w:spacing w:after="0" w:line="277" w:lineRule="auto"/>
        <w:tabs>
          <w:tab w:leader="none" w:pos="2213"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20" w:right="80" w:firstLine="1305"/>
        <w:spacing w:after="0" w:line="264" w:lineRule="auto"/>
        <w:tabs>
          <w:tab w:leader="none" w:pos="159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the past 5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81" w:lineRule="exact"/>
        <w:rPr>
          <w:sz w:val="20"/>
          <w:szCs w:val="20"/>
          <w:color w:val="auto"/>
        </w:rPr>
      </w:pPr>
    </w:p>
    <w:p>
      <w:pPr>
        <w:ind w:left="640" w:right="80" w:firstLine="645"/>
        <w:spacing w:after="0" w:line="271" w:lineRule="auto"/>
        <w:tabs>
          <w:tab w:leader="none" w:pos="1944"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Subsequent to the respective dates as of which information is given in the Time of Sale Memorandum, (i) the Company and its subsidiaries have not incurred any material liability or obligation, direct or contingent, nor entered into any material transaction; (ii) the Company has not purchased any of its outstanding capital stock (other than repurchases of shares issued upon exercise of outstanding warrants and options or otherwise issued pursuant to equity compensation plans or agreements set forth in the Time of Sale Memorandum), nor declared, paid or otherwise made any dividend or distribution of any kind on its capital stock other than ordinary and customary dividends; and (iii) there has not been any material change in the capital stock (other than the exercise or grant of equity awards or the forfeiture of equity awards outstanding as of such respective dates as of which information is given in the Time of Sale Memorandum, in each case granted pursuant to the equity compensation plans described in the Time of Sale Memorandum), short-term debt or long-term debt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and its subsidiaries, except in each case as described in the Time of Sale Memorandum, respectively.</w:t>
      </w:r>
    </w:p>
    <w:p>
      <w:pPr>
        <w:spacing w:after="0" w:line="225" w:lineRule="exact"/>
        <w:rPr>
          <w:sz w:val="20"/>
          <w:szCs w:val="20"/>
          <w:color w:val="auto"/>
        </w:rPr>
      </w:pPr>
    </w:p>
    <w:p>
      <w:pPr>
        <w:ind w:left="640" w:right="40" w:firstLine="645"/>
        <w:spacing w:after="0" w:line="297" w:lineRule="auto"/>
        <w:tabs>
          <w:tab w:leader="none" w:pos="194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in fee simple to all real property and good and marketable title to all personal property (other than intellectual property, which is addressed exclusively in Section 1(z)) owned by them, in each case, which is material to the business of the Company and its subsidiaries taken as a whole, free and clear of all liens, encumbrances and defects except as described in the Time of Sale Memorandum or such as do not materially diminish the value of such property and do not materially interfere with the use made and proposed to be made of such property by the Company and its subsidiaries; and any real property and buildings held under lease by the Company</w:t>
      </w:r>
    </w:p>
    <w:p>
      <w:pPr>
        <w:sectPr>
          <w:pgSz w:w="11900" w:h="16941" w:orient="portrait"/>
          <w:cols w:equalWidth="0" w:num="1">
            <w:col w:w="11400"/>
          </w:cols>
          <w:pgMar w:left="260" w:top="341" w:right="239" w:bottom="0" w:gutter="0" w:footer="0" w:header="0"/>
        </w:sectPr>
      </w:pPr>
    </w:p>
    <w:bookmarkStart w:id="62" w:name="page63"/>
    <w:bookmarkEnd w:id="62"/>
    <w:p>
      <w:pPr>
        <w:spacing w:after="0" w:line="88"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and its subsidiaries are held by them under valid, subsisting and enforceable leases with such exceptions as would not reasonably be expected to materially interfere with the use made and proposed to be made of such property and buildings by the Company and its subsidiaries.</w:t>
      </w:r>
    </w:p>
    <w:p>
      <w:pPr>
        <w:spacing w:after="0" w:line="124" w:lineRule="exact"/>
        <w:rPr>
          <w:sz w:val="20"/>
          <w:szCs w:val="20"/>
          <w:color w:val="auto"/>
        </w:rPr>
      </w:pPr>
    </w:p>
    <w:p>
      <w:pPr>
        <w:ind w:right="100" w:firstLine="645"/>
        <w:spacing w:after="0" w:line="273" w:lineRule="auto"/>
        <w:tabs>
          <w:tab w:leader="none" w:pos="1307"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Company and its subsidiaries own or possess, or can acquire on commercially reasonable terms, sufficient rights to use all material patents, patent rights, licenses, inventions, copyrights, know-how (including trade secrets and other unpatented or unpatentable proprietary or confidential information, systems or procedures), trademarks, service marks and trade names currently employed by them in connection with the business described in the Time of Sale Memorandum. Neither the Company nor any of its subsidiaries has received any written notice of infringement of or conflict with asserted rights of others with respect to any of the foregoing which, singly or in the aggregate, would reasonably be expected to have a material adverse effect on the Company and its subsidiaries, taken as a whole.</w:t>
      </w:r>
    </w:p>
    <w:p>
      <w:pPr>
        <w:spacing w:after="0" w:line="178" w:lineRule="exact"/>
        <w:rPr>
          <w:sz w:val="20"/>
          <w:szCs w:val="20"/>
          <w:color w:val="auto"/>
        </w:rPr>
      </w:pPr>
    </w:p>
    <w:p>
      <w:pPr>
        <w:ind w:right="280" w:firstLine="645"/>
        <w:spacing w:after="0" w:line="312" w:lineRule="auto"/>
        <w:tabs>
          <w:tab w:leader="none" w:pos="127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have a material adverse effect on the Company and its subsidiaries, taken as a whole.</w:t>
      </w:r>
    </w:p>
    <w:p>
      <w:pPr>
        <w:spacing w:after="0" w:line="146" w:lineRule="exact"/>
        <w:rPr>
          <w:rFonts w:ascii="Arial" w:cs="Arial" w:eastAsia="Arial" w:hAnsi="Arial"/>
          <w:sz w:val="16"/>
          <w:szCs w:val="16"/>
          <w:color w:val="auto"/>
        </w:rPr>
      </w:pPr>
    </w:p>
    <w:p>
      <w:pPr>
        <w:ind w:right="40" w:firstLine="645"/>
        <w:spacing w:after="0" w:line="255" w:lineRule="auto"/>
        <w:tabs>
          <w:tab w:leader="none" w:pos="129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and each of its subsidiaries are insured by insurers of recognized financial responsibility against such losses and risks and in such amounts as the Company believes in good faith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on the Company and its subsidiaries, taken as a whole.</w:t>
      </w:r>
    </w:p>
    <w:p>
      <w:pPr>
        <w:spacing w:after="0" w:line="19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55" w:lineRule="auto"/>
        <w:tabs>
          <w:tab w:leader="none" w:pos="130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and its subsidiaries, taken as a whole, possess all certificates, authorizations and permits issued by the appropriate federal, state or foreign regulatory authorities necessary to conduct their respective businesses, except where the failure to have such certificates, authorizations or permits would not reasonably be expected to have a material adverse effect on the Company and its subsidiaries, taken as a whole; and neither the Company nor any of its subsidiaries has received any notice of proceedings relating to the revocation or modification of any such certificate, authorization or permit which, singly or in the aggregate, would reasonably be expected to have a material adverse effect on the Company and its subsidiaries, taken as a whole.</w:t>
      </w:r>
    </w:p>
    <w:p>
      <w:pPr>
        <w:spacing w:after="0" w:line="193" w:lineRule="exact"/>
        <w:rPr>
          <w:rFonts w:ascii="Arial" w:cs="Arial" w:eastAsia="Arial" w:hAnsi="Arial"/>
          <w:sz w:val="18"/>
          <w:szCs w:val="18"/>
          <w:color w:val="auto"/>
        </w:rPr>
      </w:pPr>
    </w:p>
    <w:p>
      <w:pPr>
        <w:ind w:right="80" w:firstLine="645"/>
        <w:spacing w:after="0" w:line="289" w:lineRule="auto"/>
        <w:tabs>
          <w:tab w:leader="none" w:pos="1299"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and each of its subsidiaries have filed all federal, state, local and foreign tax returns required to be filed through the date of this Agreement or have requested extensions thereof (except where the failure to file would not, individually or in the aggregate, reasonably be expected to have a material adverse effect on the Company and its subsidiaries, taken as a whole) and have paid all taxes required to be paid thereon (except for cases in which the failure to file or pay would not reasonably be expected to have a material adverse effect on the Company and its subsidiaries, taken as a whole, or, except as currently being contested in good faith and for which reserves required by generally accepted accounting principles in the United States (“</w:t>
      </w:r>
      <w:r>
        <w:rPr>
          <w:rFonts w:ascii="Arial" w:cs="Arial" w:eastAsia="Arial" w:hAnsi="Arial"/>
          <w:sz w:val="16"/>
          <w:szCs w:val="16"/>
          <w:b w:val="1"/>
          <w:bCs w:val="1"/>
          <w:color w:val="auto"/>
        </w:rPr>
        <w:t>U.S. GAAP</w:t>
      </w:r>
      <w:r>
        <w:rPr>
          <w:rFonts w:ascii="Arial" w:cs="Arial" w:eastAsia="Arial" w:hAnsi="Arial"/>
          <w:sz w:val="16"/>
          <w:szCs w:val="16"/>
          <w:color w:val="auto"/>
        </w:rPr>
        <w:t>”) have been created in the financial statements of the Company), and no tax deficiency has been determined adversely to the Company or any of its subsidiaries which has had (nor does the Company nor any of its subsidiaries have any notice or knowledge of any tax deficiency which would reasonably be expected to be determined adversely to the Company or its subsidiaries and which would reasonably be expected to have) a material adverse effect on the Company and its subsidiaries, taken as a whole.</w:t>
      </w:r>
    </w:p>
    <w:p>
      <w:pPr>
        <w:spacing w:after="0" w:line="166" w:lineRule="exact"/>
        <w:rPr>
          <w:rFonts w:ascii="Arial" w:cs="Arial" w:eastAsia="Arial" w:hAnsi="Arial"/>
          <w:sz w:val="16"/>
          <w:szCs w:val="16"/>
          <w:color w:val="auto"/>
        </w:rPr>
      </w:pPr>
    </w:p>
    <w:p>
      <w:pPr>
        <w:ind w:right="120" w:firstLine="645"/>
        <w:spacing w:after="0" w:line="270" w:lineRule="auto"/>
        <w:tabs>
          <w:tab w:leader="none" w:pos="130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Company and its subsidiaries on a consolidated basis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U.S.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Memorandum,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and adversely affected, or is reasonably likely to materially and adversely affect, the Company’s internal control over financial reporting.</w:t>
      </w:r>
    </w:p>
    <w:p>
      <w:pPr>
        <w:spacing w:after="0" w:line="181" w:lineRule="exact"/>
        <w:rPr>
          <w:rFonts w:ascii="Arial" w:cs="Arial" w:eastAsia="Arial" w:hAnsi="Arial"/>
          <w:sz w:val="17"/>
          <w:szCs w:val="17"/>
          <w:color w:val="auto"/>
        </w:rPr>
      </w:pPr>
    </w:p>
    <w:p>
      <w:pPr>
        <w:ind w:left="1280" w:hanging="635"/>
        <w:spacing w:after="0"/>
        <w:tabs>
          <w:tab w:leader="none" w:pos="12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has not sold, issued or distributed any shares of Common Stock during the six-month period preceding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 including</w:t>
      </w:r>
    </w:p>
    <w:p>
      <w:pPr>
        <w:spacing w:after="0" w:line="21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any sales pursuant to Rule 144A under, or Regulation D or S of, the Securities Act, other than shares issued pursuant to employee benefit plans, qualified stock option plans or other employee or director compensation plans or arrangements or pursuant to outstanding options, rights or warrants.</w:t>
      </w:r>
    </w:p>
    <w:p>
      <w:pPr>
        <w:spacing w:after="0" w:line="124" w:lineRule="exact"/>
        <w:rPr>
          <w:sz w:val="20"/>
          <w:szCs w:val="20"/>
          <w:color w:val="auto"/>
        </w:rPr>
      </w:pPr>
    </w:p>
    <w:p>
      <w:pPr>
        <w:ind w:right="60" w:firstLine="645"/>
        <w:spacing w:after="0" w:line="342" w:lineRule="auto"/>
        <w:tabs>
          <w:tab w:leader="none" w:pos="132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Nothing has come to the attention of the Company that has caused it to reasonably believe that the industry-related and market-related data included in the Time of Sale Memorandum is not based on or derived from sources that are reliable and accurate in all material respects.</w:t>
      </w:r>
    </w:p>
    <w:p>
      <w:pPr>
        <w:spacing w:after="0" w:line="123" w:lineRule="exact"/>
        <w:rPr>
          <w:rFonts w:ascii="Arial" w:cs="Arial" w:eastAsia="Arial" w:hAnsi="Arial"/>
          <w:sz w:val="16"/>
          <w:szCs w:val="16"/>
          <w:color w:val="auto"/>
        </w:rPr>
      </w:pPr>
    </w:p>
    <w:p>
      <w:pPr>
        <w:ind w:firstLine="645"/>
        <w:spacing w:after="0" w:line="287" w:lineRule="auto"/>
        <w:tabs>
          <w:tab w:leader="none" w:pos="129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consolidated financial statements (including the related notes thereto) of the Company and its consolidated subsidiaries incorporated by reference in the Time of Sale Memorandum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U.S. GAAP applied on a consistent basis throughout the periods covered thereby; and any supporting schedules incorporated by reference in the Time of Sale Memorandum present fairly in all material respects the information required to be stated therein; the other financial information included in the Time of Sale Memorandum has been derived from the accounting or other records of the Company and its consolidated subsidiaries and presents fairly in all material respects the information shown thereby; the pro forma financial information and the related notes thereto included in the Time of Sale Memorandum have been prepared in accordance with the applicable requirements of the Securities Act and the assumptions underlying such pro forma financial information are set forth in the Time of Sale Memorandum and provide a reasonable basis for presenting the effects directly attributable to the transactions and events described therein; and, in the case of “non-GAAP financial measures” (as such term is</w:t>
      </w:r>
    </w:p>
    <w:p>
      <w:pPr>
        <w:sectPr>
          <w:pgSz w:w="11900" w:h="16926" w:orient="portrait"/>
          <w:cols w:equalWidth="0" w:num="1">
            <w:col w:w="10740"/>
          </w:cols>
          <w:pgMar w:left="900" w:top="125" w:right="259" w:bottom="0" w:gutter="0" w:footer="0" w:header="0"/>
        </w:sectPr>
      </w:pPr>
    </w:p>
    <w:bookmarkStart w:id="63" w:name="page64"/>
    <w:bookmarkEnd w:id="63"/>
    <w:p>
      <w:pPr>
        <w:spacing w:after="0" w:line="92"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defined by the rules and regulations of the Commission) included in the Time of Sale Memorandum, such measures are presented in all material respects in compliance with Regulation G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and Item 10 of Regulation S-K under the Securities Act, as applicable.</w:t>
      </w:r>
    </w:p>
    <w:p>
      <w:pPr>
        <w:spacing w:after="0" w:line="177" w:lineRule="exact"/>
        <w:rPr>
          <w:sz w:val="20"/>
          <w:szCs w:val="20"/>
          <w:color w:val="auto"/>
        </w:rPr>
      </w:pPr>
    </w:p>
    <w:p>
      <w:pPr>
        <w:jc w:val="both"/>
        <w:ind w:left="660" w:right="140" w:firstLine="645"/>
        <w:spacing w:after="0" w:line="314" w:lineRule="auto"/>
        <w:tabs>
          <w:tab w:leader="none" w:pos="198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PricewaterhouseCoopers LLP (“</w:t>
      </w:r>
      <w:r>
        <w:rPr>
          <w:rFonts w:ascii="Arial" w:cs="Arial" w:eastAsia="Arial" w:hAnsi="Arial"/>
          <w:sz w:val="16"/>
          <w:szCs w:val="16"/>
          <w:b w:val="1"/>
          <w:bCs w:val="1"/>
          <w:color w:val="auto"/>
        </w:rPr>
        <w:t>PwC</w:t>
      </w:r>
      <w:r>
        <w:rPr>
          <w:rFonts w:ascii="Arial" w:cs="Arial" w:eastAsia="Arial" w:hAnsi="Arial"/>
          <w:sz w:val="16"/>
          <w:szCs w:val="16"/>
          <w:color w:val="auto"/>
        </w:rPr>
        <w:t>”) who have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46" w:lineRule="exact"/>
        <w:rPr>
          <w:rFonts w:ascii="Arial" w:cs="Arial" w:eastAsia="Arial" w:hAnsi="Arial"/>
          <w:sz w:val="16"/>
          <w:szCs w:val="16"/>
          <w:color w:val="auto"/>
        </w:rPr>
      </w:pPr>
    </w:p>
    <w:p>
      <w:pPr>
        <w:ind w:left="660" w:right="400" w:firstLine="645"/>
        <w:spacing w:after="0" w:line="264" w:lineRule="auto"/>
        <w:tabs>
          <w:tab w:leader="none" w:pos="1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employee benefit plan, within the meaning of Section 3(3) of the Employee Retirement Income Security Act of 1974, as amended (“</w:t>
      </w:r>
      <w:r>
        <w:rPr>
          <w:rFonts w:ascii="Arial" w:cs="Arial" w:eastAsia="Arial" w:hAnsi="Arial"/>
          <w:sz w:val="18"/>
          <w:szCs w:val="18"/>
          <w:b w:val="1"/>
          <w:bCs w:val="1"/>
          <w:color w:val="auto"/>
        </w:rPr>
        <w:t>ERISA</w:t>
      </w:r>
      <w:r>
        <w:rPr>
          <w:rFonts w:ascii="Arial" w:cs="Arial" w:eastAsia="Arial" w:hAnsi="Arial"/>
          <w:sz w:val="18"/>
          <w:szCs w:val="18"/>
          <w:color w:val="auto"/>
        </w:rPr>
        <w:t>”), for which the Company or any member of its “Controlled Group” (defined as any organization which is a member of a controlled group of corporations within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660" w:right="120"/>
        <w:spacing w:after="0" w:line="261" w:lineRule="auto"/>
        <w:rPr>
          <w:sz w:val="20"/>
          <w:szCs w:val="20"/>
          <w:color w:val="auto"/>
        </w:rPr>
      </w:pPr>
      <w:r>
        <w:rPr>
          <w:rFonts w:ascii="Arial" w:cs="Arial" w:eastAsia="Arial" w:hAnsi="Arial"/>
          <w:sz w:val="18"/>
          <w:szCs w:val="18"/>
          <w:color w:val="auto"/>
        </w:rPr>
        <w:t>meaning of Section 414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would have any liability has been maintained in material compliance with its terms and the requirements of any applicable statutes, orders, rules and regulations, including but not limited to, ERISA and the Code, except for noncompliance that would not reasonably be expected to have a material adverse effect on the Company and its subsidiaries, taken as a whole.</w:t>
      </w:r>
    </w:p>
    <w:p>
      <w:pPr>
        <w:spacing w:after="0" w:line="184" w:lineRule="exact"/>
        <w:rPr>
          <w:sz w:val="20"/>
          <w:szCs w:val="20"/>
          <w:color w:val="auto"/>
        </w:rPr>
      </w:pPr>
    </w:p>
    <w:p>
      <w:pPr>
        <w:ind w:left="660" w:right="20" w:firstLine="645"/>
        <w:spacing w:after="0" w:line="302" w:lineRule="auto"/>
        <w:tabs>
          <w:tab w:leader="none" w:pos="195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taken, directly or indirectly, any action which is designed, or would reasonably be expected, to cause or result in, or which constitutes, the stabilization or manipulation of the price of the Securities or the Underlying Securities to facilitate the sale or resale of the Securities or the Underlying Securities or to result in a violation of Regulation M under the Exchange Act, provided, however, the Company makes no representation with respect to any actions taken by the Initial Purchasers.</w:t>
      </w:r>
    </w:p>
    <w:p>
      <w:pPr>
        <w:spacing w:after="0" w:line="154" w:lineRule="exact"/>
        <w:rPr>
          <w:rFonts w:ascii="Arial" w:cs="Arial" w:eastAsia="Arial" w:hAnsi="Arial"/>
          <w:sz w:val="16"/>
          <w:szCs w:val="16"/>
          <w:color w:val="auto"/>
        </w:rPr>
      </w:pPr>
    </w:p>
    <w:p>
      <w:pPr>
        <w:ind w:left="660" w:right="40" w:firstLine="645"/>
        <w:spacing w:after="0" w:line="264" w:lineRule="auto"/>
        <w:tabs>
          <w:tab w:leader="none" w:pos="198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contract, agreement or understanding with any person (other than this Agreement) that would reasonably be expected to give rise to a valid claim against any of them or any Initial Purchaser for a brokerage commission, finder’s fee or like payment in connection with the offering.</w:t>
      </w:r>
    </w:p>
    <w:p>
      <w:pPr>
        <w:spacing w:after="0" w:line="181" w:lineRule="exact"/>
        <w:rPr>
          <w:rFonts w:ascii="Arial" w:cs="Arial" w:eastAsia="Arial" w:hAnsi="Arial"/>
          <w:sz w:val="18"/>
          <w:szCs w:val="18"/>
          <w:color w:val="auto"/>
        </w:rPr>
      </w:pPr>
    </w:p>
    <w:p>
      <w:pPr>
        <w:ind w:left="660" w:right="100" w:firstLine="645"/>
        <w:spacing w:after="0" w:line="257" w:lineRule="auto"/>
        <w:tabs>
          <w:tab w:leader="none" w:pos="1951"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in each case would not reasonably be expected to have a material adverse effect on the Company and its subsidiaries, taken as a whole, the Company has operated its business in a manner compliant with all privacy and data protection laws and regulations applicable to the Company’s collection, handling, and storage of its customers’ data; the Company has policies and procedures in place designed to ensure privacy and data protection laws are complied with and takes steps which are reasonably designed to assure compliance in all material respects with such policies and procedures.</w:t>
      </w:r>
    </w:p>
    <w:p>
      <w:pPr>
        <w:spacing w:after="0" w:line="188" w:lineRule="exact"/>
        <w:rPr>
          <w:rFonts w:ascii="Arial" w:cs="Arial" w:eastAsia="Arial" w:hAnsi="Arial"/>
          <w:sz w:val="18"/>
          <w:szCs w:val="18"/>
          <w:color w:val="auto"/>
        </w:rPr>
      </w:pPr>
    </w:p>
    <w:p>
      <w:pPr>
        <w:ind w:left="660" w:right="80" w:firstLine="645"/>
        <w:spacing w:after="0" w:line="270" w:lineRule="auto"/>
        <w:tabs>
          <w:tab w:leader="none" w:pos="195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information technology systems, equipment and software used by the Company or any of its subsidiaries in their respective businesses (the “</w:t>
      </w:r>
      <w:r>
        <w:rPr>
          <w:rFonts w:ascii="Arial" w:cs="Arial" w:eastAsia="Arial" w:hAnsi="Arial"/>
          <w:sz w:val="17"/>
          <w:szCs w:val="17"/>
          <w:b w:val="1"/>
          <w:bCs w:val="1"/>
          <w:color w:val="auto"/>
        </w:rPr>
        <w:t>IT Assets</w:t>
      </w:r>
      <w:r>
        <w:rPr>
          <w:rFonts w:ascii="Arial" w:cs="Arial" w:eastAsia="Arial" w:hAnsi="Arial"/>
          <w:sz w:val="17"/>
          <w:szCs w:val="17"/>
          <w:color w:val="auto"/>
        </w:rPr>
        <w:t>”) are adequate for the operation of the business of the Company as currently conducted. Such IT Assets (i) operate and perform in all material respects in accordance with their documentation and functional specifications and otherwise as required by the Company’s and its subsidiaries’ respective businesses as currently conducted, (ii) except as described in the Time of Sale Memorandum, have not materially malfunctioned or failed since the Company’s inception, except as would not be expected to have a material adverse effect on the Company and its subsidiaries, taken as a whole, and (iii) are free of any viruses, “back doors,” “Trojan horses,” “time bombs, “worms,” “drop dead devices” or other software or hardware components that are designed or intended to interrupt use of, permit unauthorized access to, or disable, damage or erase, any software material to the business of the Company or any of its subsidiaries. The Company and its subsidiaries have implemented commercially reasonable backup and disaster recovery technology processes consistent with prevalent industry practices. To the Company’s knowledge, no person has gained unauthorized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access to any IT Asset since the Company’s inception in a manner that has resulted or could reasonably be expected to result in a material adverse effect on the Company and its subsidiaries, taken as a whole.</w:t>
      </w:r>
    </w:p>
    <w:p>
      <w:pPr>
        <w:spacing w:after="0" w:line="170" w:lineRule="exact"/>
        <w:rPr>
          <w:sz w:val="20"/>
          <w:szCs w:val="20"/>
          <w:color w:val="auto"/>
        </w:rPr>
      </w:pPr>
    </w:p>
    <w:p>
      <w:pPr>
        <w:ind w:left="660" w:right="280" w:firstLine="645"/>
        <w:spacing w:after="0" w:line="277" w:lineRule="auto"/>
        <w:tabs>
          <w:tab w:leader="none" w:pos="195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There are no debt securities or preferred stock issued, or guaranteed, by the Company that are rated by a “nationally recognized statistical rating organization,” as such term is defined in Section 3(a)(62) of the Exchange Act.</w:t>
      </w:r>
    </w:p>
    <w:p>
      <w:pPr>
        <w:spacing w:after="0" w:line="170" w:lineRule="exact"/>
        <w:rPr>
          <w:rFonts w:ascii="Arial" w:cs="Arial" w:eastAsia="Arial" w:hAnsi="Arial"/>
          <w:sz w:val="18"/>
          <w:szCs w:val="18"/>
          <w:color w:val="auto"/>
        </w:rPr>
      </w:pPr>
    </w:p>
    <w:p>
      <w:pPr>
        <w:ind w:left="660" w:right="20" w:firstLine="645"/>
        <w:spacing w:after="0" w:line="264" w:lineRule="auto"/>
        <w:tabs>
          <w:tab w:leader="none" w:pos="195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interactive data in eXtensible Business Reporting Language included or incorporated by reference in the Time of Sale Memorandum and the Final Memorandum fairly presents the information called for in all material respects and has been prepared in accordance with the Commission’s rules and guidelines applicable thereto.</w:t>
      </w:r>
    </w:p>
    <w:p>
      <w:pPr>
        <w:spacing w:after="0" w:line="181" w:lineRule="exact"/>
        <w:rPr>
          <w:rFonts w:ascii="Arial" w:cs="Arial" w:eastAsia="Arial" w:hAnsi="Arial"/>
          <w:sz w:val="18"/>
          <w:szCs w:val="18"/>
          <w:color w:val="auto"/>
        </w:rPr>
      </w:pPr>
    </w:p>
    <w:p>
      <w:pPr>
        <w:ind w:right="20" w:firstLine="656"/>
        <w:spacing w:after="0" w:line="259" w:lineRule="auto"/>
        <w:tabs>
          <w:tab w:leader="none" w:pos="1175"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Agreements to Sell and Purchase</w:t>
      </w:r>
      <w:r>
        <w:rPr>
          <w:rFonts w:ascii="Arial" w:cs="Arial" w:eastAsia="Arial" w:hAnsi="Arial"/>
          <w:sz w:val="18"/>
          <w:szCs w:val="18"/>
          <w:color w:val="auto"/>
        </w:rPr>
        <w:t>. The Company hereby agrees to sell to the several Initial Purchasers, and each Initial Purchaser,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basis of the representations and warranties herein contained, but subject to the conditions hereinafter stated, agrees, severally and not jointly, to purchase from the Company the respective principal amount of Firm Securities set forth in Schedule I hereto opposite its name at a purchase price of 97.375% of the principal amount thereof (the “</w:t>
      </w:r>
      <w:r>
        <w:rPr>
          <w:rFonts w:ascii="Arial" w:cs="Arial" w:eastAsia="Arial" w:hAnsi="Arial"/>
          <w:sz w:val="18"/>
          <w:szCs w:val="18"/>
          <w:b w:val="1"/>
          <w:bCs w:val="1"/>
          <w:color w:val="auto"/>
        </w:rPr>
        <w:t>Purchase Price</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 the Initial Purchasers the Additional Securities, and the Initial Purchasers shall have the right to purchase, severally and not jointly, up to $50,000,000 principal amount of Additional Securities at the Purchase Price. The Representatives may exercise this right on behalf of the Initial Purchasers in whole or from time to time in part by giving written notice to the Company; provided that the Option Closing Date (as defined below) shall occur within a period of 13 calendar days from, and including, the Closing Date. Any exercise notice shall specify the principal amount of Additional Securities to be purchased by the Initial Purchasers and the date on which such Additional Securities are to be purchased. Each purchase date must be at least one business day after the written notice is given and may not be earlier than the closing date for the Firm Securities nor later than ten business days after the date of such notice. Additional Securities may be purchased as provided in Section 4 solely for the purpose of covering sales of securities in excess of the number of the Firm Securities. On each day, if any, that Additional Securities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Initial Purchaser agrees, severally and not jointly, to purchase the principal amount of Additional Securities (subject to such adjustments to eliminate fractional Securities as the Representatives may determine)</w:t>
      </w:r>
    </w:p>
    <w:p>
      <w:pPr>
        <w:sectPr>
          <w:pgSz w:w="11900" w:h="16930" w:orient="portrait"/>
          <w:cols w:equalWidth="0" w:num="1">
            <w:col w:w="11420"/>
          </w:cols>
          <w:pgMar w:left="240" w:top="125" w:right="239" w:bottom="0" w:gutter="0" w:footer="0" w:header="0"/>
        </w:sectPr>
      </w:pPr>
    </w:p>
    <w:bookmarkStart w:id="64" w:name="page65"/>
    <w:bookmarkEnd w:id="64"/>
    <w:p>
      <w:pPr>
        <w:ind w:right="120"/>
        <w:spacing w:after="0" w:line="308" w:lineRule="auto"/>
        <w:rPr>
          <w:sz w:val="20"/>
          <w:szCs w:val="20"/>
          <w:color w:val="auto"/>
        </w:rPr>
      </w:pPr>
      <w:r>
        <w:rPr>
          <w:rFonts w:ascii="Arial" w:cs="Arial" w:eastAsia="Arial" w:hAnsi="Arial"/>
          <w:sz w:val="17"/>
          <w:szCs w:val="17"/>
          <w:color w:val="auto"/>
        </w:rPr>
        <w:t>that bears the same proportion to the total principal amount of Additional Securities to be purchased on such Option Closing Date as the principal amount of Firm Securities set forth in Schedule I opposite the name of such Initial Purchaser bears to the total principal amount of Firm Securities.</w:t>
      </w:r>
    </w:p>
    <w:p>
      <w:pPr>
        <w:spacing w:after="0" w:line="147" w:lineRule="exact"/>
        <w:rPr>
          <w:sz w:val="20"/>
          <w:szCs w:val="20"/>
          <w:color w:val="auto"/>
        </w:rPr>
      </w:pPr>
    </w:p>
    <w:p>
      <w:pPr>
        <w:ind w:right="660" w:firstLine="656"/>
        <w:spacing w:after="0" w:line="277" w:lineRule="auto"/>
        <w:tabs>
          <w:tab w:leader="none" w:pos="1175"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Terms of Offering. </w:t>
      </w:r>
      <w:r>
        <w:rPr>
          <w:rFonts w:ascii="Arial" w:cs="Arial" w:eastAsia="Arial" w:hAnsi="Arial"/>
          <w:sz w:val="18"/>
          <w:szCs w:val="18"/>
          <w:color w:val="auto"/>
        </w:rPr>
        <w:t>The Representatives have advised the Company that the Initial Purchasers will make an offering of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by the Initial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Purchasers hereunder as soon as practicable after this Agreement is entered into as in the Representatives’ judgment is advisable.</w:t>
      </w:r>
    </w:p>
    <w:p>
      <w:pPr>
        <w:spacing w:after="0" w:line="225" w:lineRule="exact"/>
        <w:rPr>
          <w:sz w:val="20"/>
          <w:szCs w:val="20"/>
          <w:color w:val="auto"/>
        </w:rPr>
      </w:pPr>
    </w:p>
    <w:p>
      <w:pPr>
        <w:jc w:val="both"/>
        <w:ind w:right="120" w:firstLine="656"/>
        <w:spacing w:after="0" w:line="259" w:lineRule="auto"/>
        <w:tabs>
          <w:tab w:leader="none" w:pos="1175"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Payment and Delivery. </w:t>
      </w:r>
      <w:r>
        <w:rPr>
          <w:rFonts w:ascii="Arial" w:cs="Arial" w:eastAsia="Arial" w:hAnsi="Arial"/>
          <w:sz w:val="18"/>
          <w:szCs w:val="18"/>
          <w:color w:val="auto"/>
        </w:rPr>
        <w:t>Payment for the Firm Securities shall be made to the Company in Federal or other funds immediately available in</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City against delivery of such Firm Securities for the respective accounts of the several Initial Purchasers at 10:00 a.m., New York City time, on June 28, 2018, or at such other time on the same or such other date, not later than July 5, 2018,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Payment for any Additional Securities shall be made to the Company in Federal or other funds immediately available in New York City against delivery of such Additional Securities for the respective accounts of the several Initial Purchasers at 10:00 a.m., New York City time, on the date specified in the corresponding notice described in Section 2 or at such other time on the same or on such other date, in any event not later than the last calendar day of the 13-calendar day period beginning on, and including, the Closing Date, as shall be designated in writing by the Representatives.</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Securities shall be in definitive form or global form, as specified by the Representatives, and registered in such names and in such denominations as the Representatives shall request in writing not later than one full business day prior to the Closing Date or the applicable Option Closing Date, as the case may be. The Securities shall be delivered to the Representatives on the Closing Date or an Option Closing Date, as the case may be, for the respective accounts of the several Initial Purchasers, with any transfer taxes payable in connection with the transfer of the Securities to the Initial Purchasers duly paid, against payment of the Purchase Price therefor.</w:t>
      </w:r>
    </w:p>
    <w:p>
      <w:pPr>
        <w:spacing w:after="0" w:line="188" w:lineRule="exact"/>
        <w:rPr>
          <w:sz w:val="20"/>
          <w:szCs w:val="20"/>
          <w:color w:val="auto"/>
        </w:rPr>
      </w:pPr>
    </w:p>
    <w:p>
      <w:pPr>
        <w:ind w:right="720" w:firstLine="656"/>
        <w:spacing w:after="0" w:line="277" w:lineRule="auto"/>
        <w:tabs>
          <w:tab w:leader="none" w:pos="1175"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 xml:space="preserve">Conditions to the Initial Purchasers’ Obligations. </w:t>
      </w:r>
      <w:r>
        <w:rPr>
          <w:rFonts w:ascii="Arial" w:cs="Arial" w:eastAsia="Arial" w:hAnsi="Arial"/>
          <w:sz w:val="18"/>
          <w:szCs w:val="18"/>
          <w:color w:val="auto"/>
        </w:rPr>
        <w:t>The several obligations of the Initial Purchasers to purchase and pay for the Firm</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on the Closing Date are subject to the following conditions:</w:t>
      </w:r>
    </w:p>
    <w:p>
      <w:pPr>
        <w:spacing w:after="0" w:line="170" w:lineRule="exact"/>
        <w:rPr>
          <w:rFonts w:ascii="Arial" w:cs="Arial" w:eastAsia="Arial" w:hAnsi="Arial"/>
          <w:sz w:val="18"/>
          <w:szCs w:val="18"/>
          <w:color w:val="auto"/>
        </w:rPr>
      </w:pPr>
    </w:p>
    <w:p>
      <w:pPr>
        <w:ind w:left="660" w:right="80" w:firstLine="774"/>
        <w:spacing w:after="0" w:line="257" w:lineRule="auto"/>
        <w:tabs>
          <w:tab w:leader="none" w:pos="194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 there shall not have occurred any change, or any development involving a prospective change, in the condition, financial or otherwise, or in the earnings, business, management or operations of the Company and its subsidiaries, taken as a whole, from that set forth in the Time of Sale Memorandum that, in the Representatives’ judgment, is material and adverse and that makes it, in the Representatives’ judgment, impracticable to market the Securities on the terms and in the manner contemplated in the Time of Sale Memorandum.</w:t>
      </w:r>
    </w:p>
    <w:p>
      <w:pPr>
        <w:spacing w:after="0" w:line="188" w:lineRule="exact"/>
        <w:rPr>
          <w:rFonts w:ascii="Arial" w:cs="Arial" w:eastAsia="Arial" w:hAnsi="Arial"/>
          <w:sz w:val="18"/>
          <w:szCs w:val="18"/>
          <w:color w:val="auto"/>
        </w:rPr>
      </w:pPr>
    </w:p>
    <w:p>
      <w:pPr>
        <w:ind w:left="660" w:right="120" w:firstLine="774"/>
        <w:spacing w:after="0" w:line="286" w:lineRule="auto"/>
        <w:tabs>
          <w:tab w:leader="none" w:pos="1958"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The Representatives shall have received on the Closing Date a certificate, dated the Closing Date and signed on behalf of the Company by an executive officer of the Company, to the effect that the representations and warranties of the Company contained in this Agreement are true and correct as of the Closing Date and that the Company has complied with all of the agreements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satisfied all of the conditions on its part to be performed or satisfied hereunder on or before the Closing Date.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officer signing and delivering such certificate may rely upon his or her knowledge as to proceedings threatened.</w:t>
      </w:r>
    </w:p>
    <w:p>
      <w:pPr>
        <w:spacing w:after="0" w:line="221" w:lineRule="exact"/>
        <w:rPr>
          <w:sz w:val="20"/>
          <w:szCs w:val="20"/>
          <w:color w:val="auto"/>
        </w:rPr>
      </w:pPr>
    </w:p>
    <w:p>
      <w:pPr>
        <w:ind w:left="660" w:right="40" w:firstLine="774"/>
        <w:spacing w:after="0" w:line="289" w:lineRule="auto"/>
        <w:tabs>
          <w:tab w:leader="none" w:pos="1962"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Representatives shall have received on the Closing Date an opinion and negative assurance letter of Cooley LLP (“</w:t>
      </w:r>
      <w:r>
        <w:rPr>
          <w:rFonts w:ascii="Arial" w:cs="Arial" w:eastAsia="Arial" w:hAnsi="Arial"/>
          <w:sz w:val="17"/>
          <w:szCs w:val="17"/>
          <w:b w:val="1"/>
          <w:bCs w:val="1"/>
          <w:color w:val="auto"/>
        </w:rPr>
        <w:t>Cooley</w:t>
      </w:r>
      <w:r>
        <w:rPr>
          <w:rFonts w:ascii="Arial" w:cs="Arial" w:eastAsia="Arial" w:hAnsi="Arial"/>
          <w:sz w:val="17"/>
          <w:szCs w:val="17"/>
          <w:color w:val="auto"/>
        </w:rPr>
        <w:t>”), outside counsel for the Company, each dated the Closing Date, in form and substance satisfactory to the Representatives. Such opinion and negative assurance letter shall be rendered to the Initial Purchasers at the request of the Company and shall so state therein.</w:t>
      </w:r>
    </w:p>
    <w:p>
      <w:pPr>
        <w:spacing w:after="0" w:line="162" w:lineRule="exact"/>
        <w:rPr>
          <w:rFonts w:ascii="Arial" w:cs="Arial" w:eastAsia="Arial" w:hAnsi="Arial"/>
          <w:sz w:val="17"/>
          <w:szCs w:val="17"/>
          <w:color w:val="auto"/>
        </w:rPr>
      </w:pPr>
    </w:p>
    <w:p>
      <w:pPr>
        <w:ind w:left="1960" w:hanging="526"/>
        <w:spacing w:after="0"/>
        <w:tabs>
          <w:tab w:leader="none" w:pos="19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Representatives shall have received on the Closing Date an opinion and negative assurance letter of Wilson Sonsini</w:t>
      </w:r>
    </w:p>
    <w:p>
      <w:pPr>
        <w:spacing w:after="0" w:line="35" w:lineRule="exact"/>
        <w:rPr>
          <w:sz w:val="20"/>
          <w:szCs w:val="20"/>
          <w:color w:val="auto"/>
        </w:rPr>
      </w:pPr>
    </w:p>
    <w:p>
      <w:pPr>
        <w:ind w:left="660" w:right="240"/>
        <w:spacing w:after="0" w:line="261" w:lineRule="auto"/>
        <w:rPr>
          <w:sz w:val="20"/>
          <w:szCs w:val="20"/>
          <w:color w:val="auto"/>
        </w:rPr>
      </w:pPr>
      <w:r>
        <w:rPr>
          <w:rFonts w:ascii="Arial" w:cs="Arial" w:eastAsia="Arial" w:hAnsi="Arial"/>
          <w:sz w:val="18"/>
          <w:szCs w:val="18"/>
          <w:color w:val="auto"/>
        </w:rPr>
        <w:t>Goodrich &amp; Rosati, Professional Corporation (“</w:t>
      </w:r>
      <w:r>
        <w:rPr>
          <w:rFonts w:ascii="Arial" w:cs="Arial" w:eastAsia="Arial" w:hAnsi="Arial"/>
          <w:sz w:val="18"/>
          <w:szCs w:val="18"/>
          <w:b w:val="1"/>
          <w:bCs w:val="1"/>
          <w:color w:val="auto"/>
        </w:rPr>
        <w:t>WSGR</w:t>
      </w:r>
      <w:r>
        <w:rPr>
          <w:rFonts w:ascii="Arial" w:cs="Arial" w:eastAsia="Arial" w:hAnsi="Arial"/>
          <w:sz w:val="18"/>
          <w:szCs w:val="18"/>
          <w:color w:val="auto"/>
        </w:rPr>
        <w:t>”), counsel for the Initial Purchasers, each dated the Closing Date, in a form and substance satisfactory to the Representatives.</w:t>
      </w:r>
    </w:p>
    <w:p>
      <w:pPr>
        <w:spacing w:after="0" w:line="184" w:lineRule="exact"/>
        <w:rPr>
          <w:sz w:val="20"/>
          <w:szCs w:val="20"/>
          <w:color w:val="auto"/>
        </w:rPr>
      </w:pPr>
    </w:p>
    <w:p>
      <w:pPr>
        <w:ind w:left="660" w:firstLine="774"/>
        <w:spacing w:after="0" w:line="255" w:lineRule="auto"/>
        <w:tabs>
          <w:tab w:leader="none" w:pos="196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The Representatives shall have received on each of the date hereof and the Closing Date a letter, dated the date hereof or the Closing Date, as the case may be, in form and substance satisfactory to the Initial Purchasers, from PricewaterhouseCoopers LLP, an independent registered public accounting firm, containing statements and information of the type ordinarily included in accountants’ “comfort letters” to underwriters with respect to the financial statements and certain financial information contained in or incorporated by reference into the Time of Sale Memorandum and the Final Memorandum;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Closing Date shall use a “cut-off date” not earlier than the date hereof.</w:t>
      </w:r>
    </w:p>
    <w:p>
      <w:pPr>
        <w:spacing w:after="0" w:line="193" w:lineRule="exact"/>
        <w:rPr>
          <w:rFonts w:ascii="Arial" w:cs="Arial" w:eastAsia="Arial" w:hAnsi="Arial"/>
          <w:sz w:val="18"/>
          <w:szCs w:val="18"/>
          <w:color w:val="auto"/>
        </w:rPr>
      </w:pPr>
    </w:p>
    <w:p>
      <w:pPr>
        <w:ind w:left="660" w:right="480" w:firstLine="774"/>
        <w:spacing w:after="0" w:line="312" w:lineRule="auto"/>
        <w:tabs>
          <w:tab w:leader="none" w:pos="195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“lock-up” agreements, each substantially in the form of Exhibit A hereto, between the Representatives and certain shareholders, officers and directors of the Company relating to sales and certain other dispositions of shares of Common Stock or certain other securities, delivered to the Representatives on or before the date hereof, shall be in full force and effect on the Closing Date.</w:t>
      </w:r>
    </w:p>
    <w:p>
      <w:pPr>
        <w:spacing w:after="0" w:line="146" w:lineRule="exact"/>
        <w:rPr>
          <w:rFonts w:ascii="Arial" w:cs="Arial" w:eastAsia="Arial" w:hAnsi="Arial"/>
          <w:sz w:val="16"/>
          <w:szCs w:val="16"/>
          <w:color w:val="auto"/>
        </w:rPr>
      </w:pPr>
    </w:p>
    <w:p>
      <w:pPr>
        <w:ind w:left="660" w:right="120" w:firstLine="774"/>
        <w:spacing w:after="0" w:line="277" w:lineRule="auto"/>
        <w:tabs>
          <w:tab w:leader="none" w:pos="197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 certificate of the principal financial officer of the Company, with respect to certain financial information of the Company, in form and substance satisfactory to the Representatives.</w:t>
      </w:r>
    </w:p>
    <w:p>
      <w:pPr>
        <w:spacing w:after="0" w:line="166" w:lineRule="exact"/>
        <w:rPr>
          <w:rFonts w:ascii="Arial" w:cs="Arial" w:eastAsia="Arial" w:hAnsi="Arial"/>
          <w:sz w:val="18"/>
          <w:szCs w:val="18"/>
          <w:color w:val="auto"/>
        </w:rPr>
      </w:pPr>
    </w:p>
    <w:p>
      <w:pPr>
        <w:ind w:left="660" w:right="280" w:firstLine="774"/>
        <w:spacing w:after="0" w:line="282" w:lineRule="auto"/>
        <w:tabs>
          <w:tab w:leader="none" w:pos="195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application for the listing of the Underlying Securities shall have been submitted to The Nasdaq Global Market (“</w:t>
      </w:r>
      <w:r>
        <w:rPr>
          <w:rFonts w:ascii="Arial" w:cs="Arial" w:eastAsia="Arial" w:hAnsi="Arial"/>
          <w:sz w:val="18"/>
          <w:szCs w:val="18"/>
          <w:b w:val="1"/>
          <w:bCs w:val="1"/>
          <w:color w:val="auto"/>
        </w:rPr>
        <w:t>Nasdaq</w:t>
      </w:r>
      <w:r>
        <w:rPr>
          <w:rFonts w:ascii="Arial" w:cs="Arial" w:eastAsia="Arial" w:hAnsi="Arial"/>
          <w:sz w:val="18"/>
          <w:szCs w:val="18"/>
          <w:color w:val="auto"/>
        </w:rPr>
        <w:t>”) and the Underlying Securities shall have been approved for listing on Nasdaq, subject to official notice of issuance.</w:t>
      </w:r>
    </w:p>
    <w:p>
      <w:pPr>
        <w:sectPr>
          <w:pgSz w:w="11900" w:h="16838" w:orient="portrait"/>
          <w:cols w:equalWidth="0" w:num="1">
            <w:col w:w="11400"/>
          </w:cols>
          <w:pgMar w:left="240" w:top="125" w:right="259" w:bottom="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65" w:name="page66"/>
    <w:bookmarkEnd w:id="65"/>
    <w:p>
      <w:pPr>
        <w:ind w:left="4" w:right="140" w:firstLine="774"/>
        <w:spacing w:after="0" w:line="277" w:lineRule="auto"/>
        <w:tabs>
          <w:tab w:leader="none" w:pos="131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have furnished to the Representatives such further certificates and documents as the Representatives may reasonably request.</w:t>
      </w:r>
    </w:p>
    <w:p>
      <w:pPr>
        <w:spacing w:after="0" w:line="170" w:lineRule="exact"/>
        <w:rPr>
          <w:rFonts w:ascii="Arial" w:cs="Arial" w:eastAsia="Arial" w:hAnsi="Arial"/>
          <w:sz w:val="18"/>
          <w:szCs w:val="18"/>
          <w:color w:val="auto"/>
        </w:rPr>
      </w:pPr>
    </w:p>
    <w:p>
      <w:pPr>
        <w:ind w:left="4" w:right="460" w:firstLine="774"/>
        <w:spacing w:after="0" w:line="277" w:lineRule="auto"/>
        <w:tabs>
          <w:tab w:leader="none" w:pos="130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several obligations of the Initial Purchasers to purchase Additional Securities hereunder are subject to the delivery to the Representatives on the applicable Option Closing Date of the following:</w:t>
      </w:r>
    </w:p>
    <w:p>
      <w:pPr>
        <w:spacing w:after="0" w:line="170" w:lineRule="exact"/>
        <w:rPr>
          <w:rFonts w:ascii="Arial" w:cs="Arial" w:eastAsia="Arial" w:hAnsi="Arial"/>
          <w:sz w:val="18"/>
          <w:szCs w:val="18"/>
          <w:color w:val="auto"/>
        </w:rPr>
      </w:pPr>
    </w:p>
    <w:p>
      <w:pPr>
        <w:ind w:left="704" w:right="380" w:firstLine="787"/>
        <w:spacing w:after="0" w:line="342" w:lineRule="auto"/>
        <w:tabs>
          <w:tab w:leader="none" w:pos="2070" w:val="left"/>
        </w:tabs>
        <w:numPr>
          <w:ilvl w:val="2"/>
          <w:numId w:val="130"/>
        </w:numPr>
        <w:rPr>
          <w:rFonts w:ascii="Arial" w:cs="Arial" w:eastAsia="Arial" w:hAnsi="Arial"/>
          <w:sz w:val="16"/>
          <w:szCs w:val="16"/>
          <w:color w:val="auto"/>
        </w:rPr>
      </w:pPr>
      <w:r>
        <w:rPr>
          <w:rFonts w:ascii="Arial" w:cs="Arial" w:eastAsia="Arial" w:hAnsi="Arial"/>
          <w:sz w:val="16"/>
          <w:szCs w:val="16"/>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123" w:lineRule="exact"/>
        <w:rPr>
          <w:rFonts w:ascii="Arial" w:cs="Arial" w:eastAsia="Arial" w:hAnsi="Arial"/>
          <w:sz w:val="16"/>
          <w:szCs w:val="16"/>
          <w:color w:val="auto"/>
        </w:rPr>
      </w:pPr>
    </w:p>
    <w:p>
      <w:pPr>
        <w:ind w:left="704" w:right="220" w:firstLine="787"/>
        <w:spacing w:after="0" w:line="264" w:lineRule="auto"/>
        <w:tabs>
          <w:tab w:leader="none" w:pos="208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an opinion and negative assurance letter of Cooley LLP, outside counsel for the Company, dated the Option Closing Date, relating to the Additional Securities to be purchased on such Option Closing Date and otherwise to substantially the same effect as the opinion required by Section 5(c) hereof;</w:t>
      </w:r>
    </w:p>
    <w:p>
      <w:pPr>
        <w:spacing w:after="0" w:line="181" w:lineRule="exact"/>
        <w:rPr>
          <w:rFonts w:ascii="Arial" w:cs="Arial" w:eastAsia="Arial" w:hAnsi="Arial"/>
          <w:sz w:val="18"/>
          <w:szCs w:val="18"/>
          <w:color w:val="auto"/>
        </w:rPr>
      </w:pPr>
    </w:p>
    <w:p>
      <w:pPr>
        <w:jc w:val="both"/>
        <w:ind w:left="704" w:right="40" w:firstLine="787"/>
        <w:spacing w:after="0" w:line="264" w:lineRule="auto"/>
        <w:tabs>
          <w:tab w:leader="none" w:pos="2089"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an opinion of Wilson Sonsini Goodrich &amp; Rosati, Professional Corporation, counsel for the Initial Purchasers, dated the Option Closing Date, relating to the Additional Securities to be purchased on such Option Closing Date and otherwise to the same effect as the opinion required by Section 5(d) hereof;</w:t>
      </w:r>
    </w:p>
    <w:p>
      <w:pPr>
        <w:spacing w:after="0" w:line="181" w:lineRule="exact"/>
        <w:rPr>
          <w:rFonts w:ascii="Arial" w:cs="Arial" w:eastAsia="Arial" w:hAnsi="Arial"/>
          <w:sz w:val="18"/>
          <w:szCs w:val="18"/>
          <w:color w:val="auto"/>
        </w:rPr>
      </w:pPr>
    </w:p>
    <w:p>
      <w:pPr>
        <w:ind w:left="704" w:right="100" w:firstLine="787"/>
        <w:spacing w:after="0" w:line="259" w:lineRule="auto"/>
        <w:tabs>
          <w:tab w:leader="none" w:pos="2065" w:val="left"/>
        </w:tabs>
        <w:numPr>
          <w:ilvl w:val="2"/>
          <w:numId w:val="130"/>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satisfactory to the Initial Purchasers, from PricewaterhouseCoopers LLP, an independent registered public accounting firm, substantially in the same form and substance as the letter furnished to the Initial Purchasers pursuant to Section 5(e)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Option Closing Date shall use a “cut-off date” not earlier than three business days prior to such Option Closing Date;</w:t>
      </w:r>
    </w:p>
    <w:p>
      <w:pPr>
        <w:spacing w:after="0" w:line="186" w:lineRule="exact"/>
        <w:rPr>
          <w:rFonts w:ascii="Arial" w:cs="Arial" w:eastAsia="Arial" w:hAnsi="Arial"/>
          <w:sz w:val="18"/>
          <w:szCs w:val="18"/>
          <w:color w:val="auto"/>
        </w:rPr>
      </w:pPr>
    </w:p>
    <w:p>
      <w:pPr>
        <w:ind w:left="704" w:right="140" w:firstLine="787"/>
        <w:spacing w:after="0" w:line="264" w:lineRule="auto"/>
        <w:tabs>
          <w:tab w:leader="none" w:pos="2056"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 certificate, dated the Option Closing Date and signed by the principal financial officer of the Company, confirming that the certificate delivered on the Closing Date pursuant to Section 5(g) hereof remains true and correct as of such Option Closing Date; and</w:t>
      </w:r>
    </w:p>
    <w:p>
      <w:pPr>
        <w:spacing w:after="0" w:line="181" w:lineRule="exact"/>
        <w:rPr>
          <w:rFonts w:ascii="Arial" w:cs="Arial" w:eastAsia="Arial" w:hAnsi="Arial"/>
          <w:sz w:val="18"/>
          <w:szCs w:val="18"/>
          <w:color w:val="auto"/>
        </w:rPr>
      </w:pPr>
    </w:p>
    <w:p>
      <w:pPr>
        <w:ind w:left="704" w:right="60" w:firstLine="787"/>
        <w:spacing w:after="0" w:line="286" w:lineRule="auto"/>
        <w:tabs>
          <w:tab w:leader="none" w:pos="2065" w:val="left"/>
        </w:tabs>
        <w:numPr>
          <w:ilvl w:val="2"/>
          <w:numId w:val="130"/>
        </w:numPr>
        <w:rPr>
          <w:rFonts w:ascii="Arial" w:cs="Arial" w:eastAsia="Arial" w:hAnsi="Arial"/>
          <w:sz w:val="17"/>
          <w:szCs w:val="17"/>
          <w:color w:val="auto"/>
        </w:rPr>
      </w:pPr>
      <w:r>
        <w:rPr>
          <w:rFonts w:ascii="Arial" w:cs="Arial" w:eastAsia="Arial" w:hAnsi="Arial"/>
          <w:sz w:val="17"/>
          <w:szCs w:val="17"/>
          <w:color w:val="auto"/>
        </w:rPr>
        <w:t>such other documents as the Representatives may reasonably request with respect to the good standing of the Company, the due authorization, execution and authentication and issuance of the Additional Securities to be sold on such Option Closing Date and other matters related to the execution and authentication and issuance of such Additional Securities.</w:t>
      </w:r>
    </w:p>
    <w:p>
      <w:pPr>
        <w:spacing w:after="0" w:line="165" w:lineRule="exact"/>
        <w:rPr>
          <w:rFonts w:ascii="Arial" w:cs="Arial" w:eastAsia="Arial" w:hAnsi="Arial"/>
          <w:sz w:val="17"/>
          <w:szCs w:val="17"/>
          <w:color w:val="auto"/>
        </w:rPr>
      </w:pPr>
    </w:p>
    <w:p>
      <w:pPr>
        <w:ind w:left="524" w:hanging="524"/>
        <w:spacing w:after="0"/>
        <w:tabs>
          <w:tab w:leader="none" w:pos="524"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 xml:space="preserve">Covenants of the Company. </w:t>
      </w:r>
      <w:r>
        <w:rPr>
          <w:rFonts w:ascii="Arial" w:cs="Arial" w:eastAsia="Arial" w:hAnsi="Arial"/>
          <w:sz w:val="18"/>
          <w:szCs w:val="18"/>
          <w:color w:val="auto"/>
        </w:rPr>
        <w:t>The Company covenants with each Initial Purchaser as follows:</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40" w:firstLine="645"/>
        <w:spacing w:after="0" w:line="259" w:lineRule="auto"/>
        <w:tabs>
          <w:tab w:leader="none" w:pos="129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furnish to the Representatives in New York City, without charge, prior to 10:00 a.m. New York City time on the business day next succeeding the date of this Agreement and during the period mentioned in Section 6(d) or (e), as many copies of the Time of Sale Memorandum, the Final Memorandum, any documents incorporated by reference therein and any supplements and amendments thereto as the Representatives may reasonably request.</w:t>
      </w:r>
    </w:p>
    <w:p>
      <w:pPr>
        <w:spacing w:after="0" w:line="186" w:lineRule="exact"/>
        <w:rPr>
          <w:rFonts w:ascii="Arial" w:cs="Arial" w:eastAsia="Arial" w:hAnsi="Arial"/>
          <w:sz w:val="18"/>
          <w:szCs w:val="18"/>
          <w:color w:val="auto"/>
        </w:rPr>
      </w:pPr>
    </w:p>
    <w:p>
      <w:pPr>
        <w:ind w:left="4" w:right="100" w:firstLine="645"/>
        <w:spacing w:after="0" w:line="264" w:lineRule="auto"/>
        <w:tabs>
          <w:tab w:leader="none" w:pos="130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Before amending or supplementing the Preliminary Memorandum, the Time of Sale Memorandum or the Final Memorandum, to furnish to the Representatives a copy of each such proposed amendment or supplement and not to use any such proposed amendment or supplement to which the Representatives reasonably object.</w:t>
      </w:r>
    </w:p>
    <w:p>
      <w:pPr>
        <w:spacing w:after="0" w:line="181" w:lineRule="exact"/>
        <w:rPr>
          <w:rFonts w:ascii="Arial" w:cs="Arial" w:eastAsia="Arial" w:hAnsi="Arial"/>
          <w:sz w:val="18"/>
          <w:szCs w:val="18"/>
          <w:color w:val="auto"/>
        </w:rPr>
      </w:pPr>
    </w:p>
    <w:p>
      <w:pPr>
        <w:ind w:left="4" w:right="180" w:firstLine="645"/>
        <w:spacing w:after="0" w:line="264" w:lineRule="auto"/>
        <w:tabs>
          <w:tab w:leader="none" w:pos="131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furnish to the Representatives a copy of each proposed Additional Written Offering Communication to be prepared by or on behalf of, used by, or referred to by the Company and not to use or refer to any proposed Additional Written Offering Communication to which the Representatives reasonably object.</w:t>
      </w:r>
    </w:p>
    <w:p>
      <w:pPr>
        <w:spacing w:after="0" w:line="181" w:lineRule="exact"/>
        <w:rPr>
          <w:rFonts w:ascii="Arial" w:cs="Arial" w:eastAsia="Arial" w:hAnsi="Arial"/>
          <w:sz w:val="18"/>
          <w:szCs w:val="18"/>
          <w:color w:val="auto"/>
        </w:rPr>
      </w:pPr>
    </w:p>
    <w:p>
      <w:pPr>
        <w:ind w:left="4" w:right="60" w:firstLine="645"/>
        <w:spacing w:after="0" w:line="271" w:lineRule="auto"/>
        <w:tabs>
          <w:tab w:leader="none" w:pos="1308"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If the Time of Sale Memorandum is being used to solicit offers to buy the Securities prior to the completion of the distribution of the Securities and at a time when the Final Memorandum is not yet available to prospective purchasers and any event shall occur or condition exist as a result of which it is necessary to amend or supplement the Time of Sale Memorandum in order to make the statements therein, in the light of the circumstances, not misleading, or if, in the opinion of counsel for the Initial Purchasers, it is necessary to amend or supplement the Time of Sale Memorandum to comply with applicable law, forthwith to prepare and furnish, at its own expense, to the Initial Purchasers and to any dealer upon request, either amendments or supplements to the Time of Sale Memorandum so that the statements in the Time of Sale Memorandum as so amended or supplemented will not, in the light of the circumstances when delivered to a prospective purchaser, be misleading or so that the Time of Sale Memorandum, as amended or supplemented, will comply with applicable law.</w:t>
      </w:r>
    </w:p>
    <w:p>
      <w:pPr>
        <w:spacing w:after="0" w:line="178" w:lineRule="exact"/>
        <w:rPr>
          <w:rFonts w:ascii="Arial" w:cs="Arial" w:eastAsia="Arial" w:hAnsi="Arial"/>
          <w:sz w:val="17"/>
          <w:szCs w:val="17"/>
          <w:color w:val="auto"/>
        </w:rPr>
      </w:pPr>
    </w:p>
    <w:p>
      <w:pPr>
        <w:ind w:left="4" w:firstLine="645"/>
        <w:spacing w:after="0" w:line="293" w:lineRule="auto"/>
        <w:tabs>
          <w:tab w:leader="none" w:pos="1311"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during such period after the date hereof and prior to the date on which all of the Securities shall have been sold by the Initial Purchasers, any event shall occur or condition exist as a result of which it is necessary to amend or supplement the Final Memorandum in order to make the statements therein, in the light of the circumstances when the Final Memorandum is delivered to a purchaser, not misleading, or if, in the opinion of counsel for the Initial Purchasers, it is necessary to amend or supplement the Final Memorandum to comply with applicable law, forthwith to prepare and furnish, at its own expense, to the Initial Purchasers, either amendments or supplements to the Final Memorandum so that the statements in the Final Memorandum as so amended or supplemented will not, in the light of the circumstances when the Final</w:t>
      </w:r>
    </w:p>
    <w:p>
      <w:pPr>
        <w:spacing w:after="0" w:line="16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760"/>
        <w:spacing w:after="0" w:line="277" w:lineRule="auto"/>
        <w:rPr>
          <w:sz w:val="20"/>
          <w:szCs w:val="20"/>
          <w:color w:val="auto"/>
        </w:rPr>
      </w:pPr>
      <w:r>
        <w:rPr>
          <w:rFonts w:ascii="Arial" w:cs="Arial" w:eastAsia="Arial" w:hAnsi="Arial"/>
          <w:sz w:val="18"/>
          <w:szCs w:val="18"/>
          <w:color w:val="auto"/>
        </w:rPr>
        <w:t>Memorandum is delivered to a purchaser, be misleading or so that the Final Memorandum, as amended or supplemented, will comply with applicable law.</w:t>
      </w:r>
    </w:p>
    <w:p>
      <w:pPr>
        <w:sectPr>
          <w:pgSz w:w="11900" w:h="16838" w:orient="portrait"/>
          <w:cols w:equalWidth="0" w:num="1">
            <w:col w:w="10764"/>
          </w:cols>
          <w:pgMar w:left="896" w:top="584" w:right="239" w:bottom="166" w:gutter="0" w:footer="0" w:header="0"/>
        </w:sectPr>
      </w:pPr>
    </w:p>
    <w:bookmarkStart w:id="66" w:name="page67"/>
    <w:bookmarkEnd w:id="66"/>
    <w:p>
      <w:pPr>
        <w:ind w:left="660" w:right="20" w:firstLine="645"/>
        <w:spacing w:after="0" w:line="279" w:lineRule="auto"/>
        <w:tabs>
          <w:tab w:leader="none" w:pos="1961"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To endeavor to qualify the Securities for offer and sale under the securities or Blue Sky laws of such jurisdictions as the Representatives shall reasonably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171" w:lineRule="exact"/>
        <w:rPr>
          <w:rFonts w:ascii="Arial" w:cs="Arial" w:eastAsia="Arial" w:hAnsi="Arial"/>
          <w:sz w:val="17"/>
          <w:szCs w:val="17"/>
          <w:color w:val="auto"/>
        </w:rPr>
      </w:pPr>
    </w:p>
    <w:p>
      <w:pPr>
        <w:ind w:left="660" w:firstLine="645"/>
        <w:spacing w:after="0" w:line="285" w:lineRule="auto"/>
        <w:tabs>
          <w:tab w:leader="none" w:pos="197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issuance and sale of the Securities and all other fees or expenses in connection with the preparation of the Preliminary Memorandum, the Time of Sale Memorandum, the Final Memorandum, any Additional Written Offering Communication prepared by or on behalf of, used by, or referred to by the Company and any amendments and supplements to any of the foregoing, including all printing costs associated therewith, and the delivering of copies thereof to the Initial Purchasers, in the quantities herein above specified, (ii) all costs and expenses related to the transfer and delivery of the Securities to the Initial Purchasers, including any transfer or other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hereof, including filing fees and the reasonable fees and disbursements of counsel for the Initial Purchasers in connection with such qualification and in connection with the Blue Sky or legal investment memorandum,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fees and disbursements do not exceed $10,000, (iv) any fees charged by rating agencies for the rating of the Securities, (v) the fees and expenses, if any, incurred in connection with the listing of the Underlying Securities on Nasdaq, (vi) the costs and charges of the Trustee and any transfer agent, registrar or depositary, (vii) the cost of the preparation, issuance and delivery of the Securities,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and (ix) all other cost and expenses incident to the performance of the obligations of the Company hereunder for which provision is not otherwise made in this Section. It is understood, however, that except as provided in this Section, Section 8, and the last paragraph of Section 10, the Initial Purchasers will pay all of their costs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expenses, including fees and disbursements of their counsel, transfer taxes payable on resale of any of the Securities by them and any advertising expenses connected with any offers they may make.</w:t>
      </w:r>
    </w:p>
    <w:p>
      <w:pPr>
        <w:spacing w:after="0" w:line="170" w:lineRule="exact"/>
        <w:rPr>
          <w:sz w:val="20"/>
          <w:szCs w:val="20"/>
          <w:color w:val="auto"/>
        </w:rPr>
      </w:pPr>
    </w:p>
    <w:p>
      <w:pPr>
        <w:ind w:left="660" w:right="120" w:firstLine="645"/>
        <w:spacing w:after="0" w:line="264" w:lineRule="auto"/>
        <w:tabs>
          <w:tab w:leader="none" w:pos="196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Neither the Company nor any Affiliate will sell, offer for sale or solicit offers to buy or otherwise negotiate in respect of any security (as defined in the Securities Act) which could be integrated with the sale of the Securities in a manner which would require the registration under the Securities Act of the Securities.</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197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furnish the Representatives with any proposed General Solicitation to be made by the Company or on its behalf before its use, and not to make or use any proposed General Solicitation without the Representatives’ prior written consent.</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196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While any of the Securities or the Underlying Securities remain “restricted securities” within the meaning of the Securities Act, to make available, upon request, to any seller of such Securities the information specified in Rule 144A(d)(4) under the Securities Act, unless the Company is then subject to Section 13 or 15(d) of the Exchange Act.</w:t>
      </w:r>
    </w:p>
    <w:p>
      <w:pPr>
        <w:spacing w:after="0" w:line="181" w:lineRule="exact"/>
        <w:rPr>
          <w:rFonts w:ascii="Arial" w:cs="Arial" w:eastAsia="Arial" w:hAnsi="Arial"/>
          <w:sz w:val="18"/>
          <w:szCs w:val="18"/>
          <w:color w:val="auto"/>
        </w:rPr>
      </w:pPr>
    </w:p>
    <w:p>
      <w:pPr>
        <w:jc w:val="both"/>
        <w:ind w:left="660" w:right="400" w:firstLine="645"/>
        <w:spacing w:after="0" w:line="264" w:lineRule="auto"/>
        <w:tabs>
          <w:tab w:leader="none" w:pos="196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During the period of one year after the Closing Date or any Option Closing Date, if later, the Company will not be, nor will it become, an open-end investment company, unit investment trust or face-amount certificate company that is or is required to be registered under Section 8 of the Investment Company Act.</w:t>
      </w:r>
    </w:p>
    <w:p>
      <w:pPr>
        <w:spacing w:after="0" w:line="181" w:lineRule="exact"/>
        <w:rPr>
          <w:rFonts w:ascii="Arial" w:cs="Arial" w:eastAsia="Arial" w:hAnsi="Arial"/>
          <w:sz w:val="18"/>
          <w:szCs w:val="18"/>
          <w:color w:val="auto"/>
        </w:rPr>
      </w:pPr>
    </w:p>
    <w:p>
      <w:pPr>
        <w:ind w:left="660" w:right="60" w:firstLine="645"/>
        <w:spacing w:after="0" w:line="297" w:lineRule="auto"/>
        <w:tabs>
          <w:tab w:leader="none" w:pos="197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During the period of one year after the Closing Date or any Option Closing Date, if later, the Company will not, and will not permit any person that is a controlled affiliate (as defined in Rule 144 under the Securities Act) at such time (or has been a controlled affiliate within the three months preceding such time) to, resell any of the Securities or the Underlying Securities which constitute “restricted securities” under Rule 144 that have been reacquired by any of them, unless registered under the Securities Act or resold pursuant to an exemption from the registration requirements of the Securities Act in a transaction that results in such Securities no longer being a “restricted security” under Rule 144.</w:t>
      </w:r>
    </w:p>
    <w:p>
      <w:pPr>
        <w:spacing w:after="0" w:line="158" w:lineRule="exact"/>
        <w:rPr>
          <w:rFonts w:ascii="Arial" w:cs="Arial" w:eastAsia="Arial" w:hAnsi="Arial"/>
          <w:sz w:val="16"/>
          <w:szCs w:val="16"/>
          <w:color w:val="auto"/>
        </w:rPr>
      </w:pPr>
    </w:p>
    <w:p>
      <w:pPr>
        <w:ind w:left="660" w:right="280" w:firstLine="645"/>
        <w:spacing w:after="0" w:line="277" w:lineRule="auto"/>
        <w:tabs>
          <w:tab w:leader="none" w:pos="1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 to take any action prohibited by Regulation M under the Exchange Act in connection with the distribution of the Securities contemplated hereby.</w:t>
      </w:r>
    </w:p>
    <w:p>
      <w:pPr>
        <w:spacing w:after="0" w:line="170" w:lineRule="exact"/>
        <w:rPr>
          <w:rFonts w:ascii="Arial" w:cs="Arial" w:eastAsia="Arial" w:hAnsi="Arial"/>
          <w:sz w:val="18"/>
          <w:szCs w:val="18"/>
          <w:color w:val="auto"/>
        </w:rPr>
      </w:pPr>
    </w:p>
    <w:p>
      <w:pPr>
        <w:ind w:left="660" w:firstLine="645"/>
        <w:spacing w:after="0" w:line="264" w:lineRule="auto"/>
        <w:tabs>
          <w:tab w:leader="none" w:pos="196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Company will deliver to each Initial Purchaser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Initial Purchaser may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reasonably request in connection with the verification of the foregoing Certification.</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Company also agrees that, without the prior written consent of Morgan Stanley &amp; Co. LLC and Goldman Sachs &amp; Co. LLC. on behalf of the Initial Purchasers, it will not, during the period ending 60 days after the date of the Final Memorandum ( the “</w:t>
      </w:r>
      <w:r>
        <w:rPr>
          <w:rFonts w:ascii="Arial" w:cs="Arial" w:eastAsia="Arial" w:hAnsi="Arial"/>
          <w:sz w:val="17"/>
          <w:szCs w:val="17"/>
          <w:b w:val="1"/>
          <w:bCs w:val="1"/>
          <w:color w:val="auto"/>
        </w:rPr>
        <w:t>Restricted Period</w:t>
      </w:r>
      <w:r>
        <w:rPr>
          <w:rFonts w:ascii="Arial" w:cs="Arial" w:eastAsia="Arial" w:hAnsi="Arial"/>
          <w:sz w:val="17"/>
          <w:szCs w:val="17"/>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confidentially submit or file any registration statement with the Commission relating to the offering of any shares of Common Stock or any securities convertible into or exercisable or exchangeable for Common Stock.</w:t>
      </w:r>
    </w:p>
    <w:p>
      <w:pPr>
        <w:sectPr>
          <w:pgSz w:w="11900" w:h="16838" w:orient="portrait"/>
          <w:cols w:equalWidth="0" w:num="1">
            <w:col w:w="11400"/>
          </w:cols>
          <w:pgMar w:left="240" w:top="125" w:right="259" w:bottom="0" w:gutter="0" w:footer="0" w:header="0"/>
        </w:sectPr>
      </w:pPr>
    </w:p>
    <w:bookmarkStart w:id="67" w:name="page68"/>
    <w:bookmarkEnd w:id="67"/>
    <w:p>
      <w:pPr>
        <w:spacing w:after="0" w:line="88"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 xml:space="preserve">The foregoing sentence shall not apply to (a) the sale of the Securities under this Agreement and the issuance of Underlying Securities upon conversion thereof, (b) the issuance by the Company of any shares of Common Stock or securities convertible into or exercisable for Common Stock pursuant to the conversion or exchange of convertible or exchangeable securities or the exercise of warrants or options, in each case outstanding on the date hereof of which the Initial Purchasers have been advised in writing, (c) grants of stock options, stock awards, restricted stock or other equity awards and the issuance of Common Stock or securities convertible into or exercisable for Common Stock (whether upon the exercise of stock options or otherwise) to employees, officers, directors, advisors, or consultants of the Company pursuant to the terms of a plan in effect on the date hereof and described in the Time of Sale Memorandum, (d) the entry into an agreement providing for the issuance by the Company of Common Stock or securities convertible into, exercisable for or which are otherwise exchangeable for or represent the right to receive Common Stock in connection with (x) the acquisition by the Company or any of its subsidiaries of the securities, business, technology, property or other assets of another person or entity or pursuant to an employee benefit plan assumed by the Company in connection with such acquisition, and the issuance of any Common Stock or securities convertible into, exercisable for or which are otherwise exchangeable for or represent the right to receive Common Stock pursuant to any such agreement or (y) the Company’s joint ventures, commercial relationships and other strategic transactions, provided that the aggregate number of shares of Common Stock, securities convertible into, exercisable for or which are otherwise exchangeable for or represent the right to receive Common Stock that the Company may sell or issue or agree to sell or issue pursuant to this clause (e) shall not exceed 5% of the total number of shares of Common Stock outstanding immediately following the completion of the transactions contemplated by this Agreement and all recipients of any such securities shall enter into a lock-up letter substantially in the form of Exhibit A covering the remainder of the Restricted Period, (e) the establishment or amendment of a trading plan pursuant to Rule 10b5-1 under the Exchange Act for the transfer of shares of Common Stock, </w:t>
      </w:r>
      <w:r>
        <w:rPr>
          <w:rFonts w:ascii="Arial" w:cs="Arial" w:eastAsia="Arial" w:hAnsi="Arial"/>
          <w:sz w:val="17"/>
          <w:szCs w:val="17"/>
          <w:i w:val="1"/>
          <w:iCs w:val="1"/>
          <w:color w:val="auto"/>
        </w:rPr>
        <w:t>provided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that (i) such plan does not provide for the transfer of Common Stock during the Restricted Period and (ii) to the extent a public announcement or filing under the Exchange Act, if any, is required of or voluntarily made by the Company regarding the establishment or amendment of such plan, such announcement or filing shall include a statement to the effect that no transfer of Common Stock may be made under such plan during the Restricted Period or (f) the filing of any registration statement on Form S-8 relating to securities granted or to be granted pursuant to any plan in effect on the date hereof and described in the Time of Sale Memorandum or any assumed benefit plan contemplated by clause (d).</w:t>
      </w:r>
    </w:p>
    <w:p>
      <w:pPr>
        <w:spacing w:after="0" w:line="173" w:lineRule="exact"/>
        <w:rPr>
          <w:sz w:val="20"/>
          <w:szCs w:val="20"/>
          <w:color w:val="auto"/>
        </w:rPr>
      </w:pPr>
    </w:p>
    <w:p>
      <w:pPr>
        <w:ind w:firstLine="656"/>
        <w:spacing w:after="0" w:line="255" w:lineRule="auto"/>
        <w:tabs>
          <w:tab w:leader="none" w:pos="1175"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Offering of Securities; Restrictions on Transfer</w:t>
      </w:r>
      <w:r>
        <w:rPr>
          <w:rFonts w:ascii="Arial" w:cs="Arial" w:eastAsia="Arial" w:hAnsi="Arial"/>
          <w:sz w:val="18"/>
          <w:szCs w:val="18"/>
          <w:color w:val="auto"/>
        </w:rPr>
        <w:t>. (a) Each Initial Purchaser, severally and not jointly, represents and warrants that such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 is a qualified institutional buyer as defined in Rule 144A under the Securities Act (a “</w:t>
      </w:r>
      <w:r>
        <w:rPr>
          <w:rFonts w:ascii="Arial" w:cs="Arial" w:eastAsia="Arial" w:hAnsi="Arial"/>
          <w:sz w:val="18"/>
          <w:szCs w:val="18"/>
          <w:b w:val="1"/>
          <w:bCs w:val="1"/>
          <w:color w:val="auto"/>
        </w:rPr>
        <w:t>QIB</w:t>
      </w:r>
      <w:r>
        <w:rPr>
          <w:rFonts w:ascii="Arial" w:cs="Arial" w:eastAsia="Arial" w:hAnsi="Arial"/>
          <w:sz w:val="18"/>
          <w:szCs w:val="18"/>
          <w:color w:val="auto"/>
        </w:rPr>
        <w:t>”). Each Initial Purchaser, severally and not jointly, agrees with the Company that (i) it will not solicit offers for, or offer or sell, such Securities by any General Solicitation, other than a permitted communication listed on Schedule II hereto, or those made with the prior written consent of the Company, or in any manner involving a public offering within the meaning of Section 4(a)(2) of the Securities Act, and (ii) it will sell such Securities in the United States only to persons that it reasonably believes to be QIBs, that in purchasing such Securities are deemed to have represented and agreed as provided in the Final Memorandum under the captions “Notice to Investors” and “Transfer Restrictions”.</w:t>
      </w:r>
    </w:p>
    <w:p>
      <w:pPr>
        <w:spacing w:after="0" w:line="189" w:lineRule="exact"/>
        <w:rPr>
          <w:rFonts w:ascii="Arial" w:cs="Arial" w:eastAsia="Arial" w:hAnsi="Arial"/>
          <w:sz w:val="18"/>
          <w:szCs w:val="18"/>
          <w:color w:val="auto"/>
        </w:rPr>
      </w:pPr>
    </w:p>
    <w:p>
      <w:pPr>
        <w:ind w:left="660" w:right="20" w:firstLine="774"/>
        <w:spacing w:after="0" w:line="259" w:lineRule="auto"/>
        <w:tabs>
          <w:tab w:leader="none" w:pos="195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Company agrees that the Initial Purchasers may provide copies of the Preliminary Memorandum, the Time of Sale Memorandum, the Final Memorandum and any other agreements or documents relating thereto, including without limitation, the Indenture, to Xtract Research LLC (“Xtract”), following completion of the offering, for inclusion in an online research service sponsored by Xtract, access to which shall be restricted by Xtract to QIBs.</w:t>
      </w:r>
    </w:p>
    <w:p>
      <w:pPr>
        <w:spacing w:after="0" w:line="186" w:lineRule="exact"/>
        <w:rPr>
          <w:rFonts w:ascii="Arial" w:cs="Arial" w:eastAsia="Arial" w:hAnsi="Arial"/>
          <w:sz w:val="18"/>
          <w:szCs w:val="18"/>
          <w:color w:val="auto"/>
        </w:rPr>
      </w:pPr>
    </w:p>
    <w:p>
      <w:pPr>
        <w:ind w:right="20" w:firstLine="656"/>
        <w:spacing w:after="0" w:line="270" w:lineRule="auto"/>
        <w:tabs>
          <w:tab w:leader="none" w:pos="1175"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Indemnity and Contribution</w:t>
      </w:r>
      <w:r>
        <w:rPr>
          <w:rFonts w:ascii="Arial" w:cs="Arial" w:eastAsia="Arial" w:hAnsi="Arial"/>
          <w:sz w:val="17"/>
          <w:szCs w:val="17"/>
          <w:color w:val="auto"/>
        </w:rPr>
        <w:t>. (a) The Company agrees to indemnify and hold harmless each Initial Purchaser, each person, if any, who</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any Initial Purchaser within the meaning of either Section 15 of the Securities Act or Section 20 of the Exchange Act, and each affiliate of any Initial Purchaser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Preliminary Memorandum, the Time of Sale Memorandum, any Additional Written Offering Communication prepared by or on behalf of, used by, or referred to by the Company, any General Solicitation made by the Company, any “road show” as defined in Rule 433(h) under the Securities Act (a “road show”), the Final Memorandum or any amendment or supplement thereto, or caused by any omission or alleged omission to state therein a material fact required to be stated therein or necessary to make the statements therein in the light of the circumstances under which they were made not misleading, except insofar as such losses, claims, damages or liabilities are caused by any such untrue statement or omission or alleged untrue statement or omission based upon information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relating to any Initial Purchaser furnished to the Company in writing by such Initial Purchaser through the Representatives expressly for use therein.</w:t>
      </w:r>
    </w:p>
    <w:p>
      <w:pPr>
        <w:spacing w:after="0" w:line="237" w:lineRule="exact"/>
        <w:rPr>
          <w:sz w:val="20"/>
          <w:szCs w:val="20"/>
          <w:color w:val="auto"/>
        </w:rPr>
      </w:pPr>
    </w:p>
    <w:p>
      <w:pPr>
        <w:ind w:left="660" w:firstLine="774"/>
        <w:spacing w:after="0" w:line="273" w:lineRule="auto"/>
        <w:tabs>
          <w:tab w:leader="none" w:pos="195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Each Initial Purchaser agrees, severally and not jointly, to indemnify and hold harmless the Company, its directors, its officers and each person, if any, who controls the Company within the meaning of either Section 15 of the Securities Act or Section 20 of the Exchange Act to the same extent as the foregoing indemnity from the Company to such Initial Purchaser, but only with reference to information relating to such Initial Purchaser furnished to the Company in writing by such Initial Purchaser through the Representatives expressly for use in the Preliminary Memorandum, the Time of Sale Memorandum, any Additional Written Offering Communication set forth in Schedule II hereto, road show, General Solicitation set forth in Schedule II hereto, the Final Memorandum or any amendment or supplement thereto.</w:t>
      </w:r>
    </w:p>
    <w:p>
      <w:pPr>
        <w:spacing w:after="0" w:line="178" w:lineRule="exact"/>
        <w:rPr>
          <w:rFonts w:ascii="Arial" w:cs="Arial" w:eastAsia="Arial" w:hAnsi="Arial"/>
          <w:sz w:val="17"/>
          <w:szCs w:val="17"/>
          <w:color w:val="auto"/>
        </w:rPr>
      </w:pPr>
    </w:p>
    <w:p>
      <w:pPr>
        <w:ind w:left="660" w:right="80" w:firstLine="774"/>
        <w:spacing w:after="0" w:line="287" w:lineRule="auto"/>
        <w:tabs>
          <w:tab w:leader="none" w:pos="1962"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to any such proceeding (including any impleaded parties) include both the indemnifying party and the indemnified party and representation of both parties by the same counsel would be inappropriate due to actual or</w:t>
      </w:r>
    </w:p>
    <w:p>
      <w:pPr>
        <w:sectPr>
          <w:pgSz w:w="11900" w:h="16926" w:orient="portrait"/>
          <w:cols w:equalWidth="0" w:num="1">
            <w:col w:w="11420"/>
          </w:cols>
          <w:pgMar w:left="240" w:top="125" w:right="239" w:bottom="0" w:gutter="0" w:footer="0" w:header="0"/>
        </w:sectPr>
      </w:pPr>
    </w:p>
    <w:bookmarkStart w:id="68" w:name="page69"/>
    <w:bookmarkEnd w:id="68"/>
    <w:p>
      <w:pPr>
        <w:ind w:left="640" w:right="40"/>
        <w:spacing w:after="0" w:line="272" w:lineRule="auto"/>
        <w:rPr>
          <w:sz w:val="20"/>
          <w:szCs w:val="20"/>
          <w:color w:val="auto"/>
        </w:rPr>
      </w:pPr>
      <w:r>
        <w:rPr>
          <w:rFonts w:ascii="Arial" w:cs="Arial" w:eastAsia="Arial" w:hAnsi="Arial"/>
          <w:sz w:val="17"/>
          <w:szCs w:val="17"/>
          <w:color w:val="auto"/>
        </w:rPr>
        <w:t>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all Initial Purchasers and all persons, if any, who control any Initial Purchaser within the meaning of either Section 15 of the Securities Act or Section 20 of the Exchange Act or who are affiliates of any Underwriter within the meaning of Rule 405 under the Securities Act and (ii) the fees and expenses of more than one separate firm (in addition to any local counsel) for the Company, its directors, its officers who sign the Preliminary Statement and each person, if any, who controls the Company within the meaning of either such Section, and that all such fees and expenses shall be reimbursed as they are incurred. In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case of any such separate firm for the Initial Purchasers and such control persons and affiliates of any Initial Purchaser, such firm shall be designated in writing by the Representatives. In the case of any such separate firm for the Company, and such directors, officers and control persons of the Company, such firm shall be designated in writing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(A) more than 90 days after receipt by such indemnifying party of the aforesaid request and (B) more than 15 days after receipt by such indemnifying party of notice specifying the terms of such settlement and that the indemnified party intends to enter into such settlement,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in form and substance reasonably satisfactory to such indemnified party from all liability on claims that are the subject matter of such proceeding and (ii) does not include a statement as to or an admission of fault, culpability or a failure to act, by or on behalf of any indemnified party..</w:t>
      </w:r>
    </w:p>
    <w:p>
      <w:pPr>
        <w:spacing w:after="0" w:line="181" w:lineRule="exact"/>
        <w:rPr>
          <w:sz w:val="20"/>
          <w:szCs w:val="20"/>
          <w:color w:val="auto"/>
        </w:rPr>
      </w:pPr>
    </w:p>
    <w:p>
      <w:pPr>
        <w:ind w:left="640" w:right="160" w:firstLine="774"/>
        <w:spacing w:after="0" w:line="285" w:lineRule="auto"/>
        <w:tabs>
          <w:tab w:leader="none" w:pos="1938" w:val="left"/>
        </w:tabs>
        <w:numPr>
          <w:ilvl w:val="1"/>
          <w:numId w:val="137"/>
        </w:numPr>
        <w:rPr>
          <w:rFonts w:ascii="Arial" w:cs="Arial" w:eastAsia="Arial" w:hAnsi="Arial"/>
          <w:sz w:val="16"/>
          <w:szCs w:val="16"/>
          <w:color w:val="auto"/>
        </w:rPr>
      </w:pPr>
      <w:r>
        <w:rPr>
          <w:rFonts w:ascii="Arial" w:cs="Arial" w:eastAsia="Arial" w:hAnsi="Arial"/>
          <w:sz w:val="16"/>
          <w:szCs w:val="16"/>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Securities or (ii) if the allocation provided by clause 8(d)</w:t>
      </w:r>
    </w:p>
    <w:p>
      <w:pPr>
        <w:spacing w:after="0" w:line="2" w:lineRule="exact"/>
        <w:rPr>
          <w:rFonts w:ascii="Arial" w:cs="Arial" w:eastAsia="Arial" w:hAnsi="Arial"/>
          <w:sz w:val="16"/>
          <w:szCs w:val="16"/>
          <w:color w:val="auto"/>
        </w:rPr>
      </w:pPr>
    </w:p>
    <w:p>
      <w:pPr>
        <w:ind w:left="860" w:hanging="224"/>
        <w:spacing w:after="0"/>
        <w:tabs>
          <w:tab w:leader="none" w:pos="8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above is not permitted by applicable law, in such proportion as is appropriate to reflect not only the relative benefits referred to in clause 8(d)</w:t>
      </w:r>
    </w:p>
    <w:p>
      <w:pPr>
        <w:spacing w:after="0" w:line="32" w:lineRule="exact"/>
        <w:rPr>
          <w:rFonts w:ascii="Arial" w:cs="Arial" w:eastAsia="Arial" w:hAnsi="Arial"/>
          <w:sz w:val="16"/>
          <w:szCs w:val="16"/>
          <w:color w:val="auto"/>
        </w:rPr>
      </w:pPr>
    </w:p>
    <w:p>
      <w:pPr>
        <w:ind w:left="640" w:right="160" w:hanging="4"/>
        <w:spacing w:after="0" w:line="295" w:lineRule="auto"/>
        <w:tabs>
          <w:tab w:leader="none" w:pos="85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Company on the one hand and the Initial Purchasers on the other hand in connection with the offering of the Securities shall be deemed to be in the same respective proportions as the net proceeds from the offering of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line="293" w:lineRule="auto"/>
        <w:rPr>
          <w:sz w:val="20"/>
          <w:szCs w:val="20"/>
          <w:color w:val="auto"/>
        </w:rPr>
      </w:pPr>
      <w:r>
        <w:rPr>
          <w:rFonts w:ascii="Arial" w:cs="Arial" w:eastAsia="Arial" w:hAnsi="Arial"/>
          <w:sz w:val="16"/>
          <w:szCs w:val="16"/>
          <w:color w:val="auto"/>
        </w:rPr>
        <w:t>Securities (before deducting expenses) received by the Company and the total discounts received by the Initial Purchasers bear to the aggregate offering price of the Securities. The relative fault of the Company on the one hand and of the Initial Purchasers on the other hand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The Initial Purchasers’ respective obligations to contribute pursuant to this Section 8 are several in proportion to the respective principal amount of Securities they have purchased hereunder, and not joint.</w:t>
      </w:r>
    </w:p>
    <w:p>
      <w:pPr>
        <w:spacing w:after="0" w:line="165" w:lineRule="exact"/>
        <w:rPr>
          <w:sz w:val="20"/>
          <w:szCs w:val="20"/>
          <w:color w:val="auto"/>
        </w:rPr>
      </w:pPr>
    </w:p>
    <w:p>
      <w:pPr>
        <w:ind w:left="640" w:right="60" w:firstLine="774"/>
        <w:spacing w:after="0" w:line="287" w:lineRule="auto"/>
        <w:tabs>
          <w:tab w:leader="none" w:pos="1942" w:val="left"/>
        </w:tabs>
        <w:numPr>
          <w:ilvl w:val="1"/>
          <w:numId w:val="140"/>
        </w:numPr>
        <w:rPr>
          <w:rFonts w:ascii="Arial" w:cs="Arial" w:eastAsia="Arial" w:hAnsi="Arial"/>
          <w:sz w:val="16"/>
          <w:szCs w:val="16"/>
          <w:color w:val="auto"/>
        </w:rPr>
      </w:pPr>
      <w:r>
        <w:rPr>
          <w:rFonts w:ascii="Arial" w:cs="Arial" w:eastAsia="Arial" w:hAnsi="Arial"/>
          <w:sz w:val="16"/>
          <w:szCs w:val="16"/>
          <w:color w:val="auto"/>
        </w:rPr>
        <w:t xml:space="preserve">The Company and the Initial Purchasers agree that it would not be just or equitable if contribution pursuant to this Section 8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Initial Purchasers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Initial Purchaser shall be required to contribute any amount in excess of the amount by which the total price at which the Securities resold by it in the initial placement of such Securities were offered to investors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72" w:lineRule="exact"/>
        <w:rPr>
          <w:rFonts w:ascii="Arial" w:cs="Arial" w:eastAsia="Arial" w:hAnsi="Arial"/>
          <w:sz w:val="16"/>
          <w:szCs w:val="16"/>
          <w:color w:val="auto"/>
        </w:rPr>
      </w:pPr>
    </w:p>
    <w:p>
      <w:pPr>
        <w:ind w:left="640" w:right="160" w:firstLine="774"/>
        <w:spacing w:after="0" w:line="291" w:lineRule="auto"/>
        <w:tabs>
          <w:tab w:leader="none" w:pos="1935"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w:t>
      </w:r>
    </w:p>
    <w:p>
      <w:pPr>
        <w:ind w:left="640" w:right="40" w:hanging="4"/>
        <w:spacing w:after="0" w:line="255" w:lineRule="auto"/>
        <w:tabs>
          <w:tab w:leader="none" w:pos="90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any investigation made by or on behalf of any Initial Purchaser, any person controlling any Initial Purchaser or any affiliate of any Initial Purchaser or by or on behalf of the Company, its officers or directors or any person controlling the Company and (iii) acceptance of and payment for any of the Securities.</w:t>
      </w:r>
    </w:p>
    <w:p>
      <w:pPr>
        <w:spacing w:after="0" w:line="190" w:lineRule="exact"/>
        <w:rPr>
          <w:sz w:val="20"/>
          <w:szCs w:val="20"/>
          <w:color w:val="auto"/>
        </w:rPr>
      </w:pPr>
    </w:p>
    <w:p>
      <w:pPr>
        <w:ind w:left="-20" w:right="120" w:firstLine="656"/>
        <w:spacing w:after="0" w:line="286" w:lineRule="auto"/>
        <w:tabs>
          <w:tab w:leader="none" w:pos="1155"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 xml:space="preserve">Termination. </w:t>
      </w:r>
      <w:r>
        <w:rPr>
          <w:rFonts w:ascii="Arial" w:cs="Arial" w:eastAsia="Arial" w:hAnsi="Arial"/>
          <w:sz w:val="17"/>
          <w:szCs w:val="17"/>
          <w:color w:val="auto"/>
        </w:rPr>
        <w:t>The Initial Purchasers may terminate this Agreement by notice given by the Representatives to the Company, if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execution and delivery of this Agreement and prior to the Closing Date (i) trading generally shall have been suspended or materially limited on, or by, as the case may be, any of the New York Stock Exchange, the NYSE MKT, the Nasdaq Global Market, (ii) trading of any securities of</w:t>
      </w:r>
    </w:p>
    <w:p>
      <w:pPr>
        <w:sectPr>
          <w:pgSz w:w="11900" w:h="16838" w:orient="portrait"/>
          <w:cols w:equalWidth="0" w:num="1">
            <w:col w:w="11380"/>
          </w:cols>
          <w:pgMar w:left="260" w:top="125" w:right="259" w:bottom="55"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95885</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125" w:right="259" w:bottom="55" w:gutter="0" w:footer="0" w:header="0"/>
          <w:type w:val="continuous"/>
        </w:sectPr>
      </w:pPr>
    </w:p>
    <w:bookmarkStart w:id="69" w:name="page70"/>
    <w:bookmarkEnd w:id="69"/>
    <w:p>
      <w:pPr>
        <w:ind w:right="160"/>
        <w:spacing w:after="0" w:line="273" w:lineRule="auto"/>
        <w:rPr>
          <w:sz w:val="20"/>
          <w:szCs w:val="20"/>
          <w:color w:val="auto"/>
        </w:rPr>
      </w:pPr>
      <w:r>
        <w:rPr>
          <w:rFonts w:ascii="Arial" w:cs="Arial" w:eastAsia="Arial" w:hAnsi="Arial"/>
          <w:sz w:val="17"/>
          <w:szCs w:val="17"/>
          <w:color w:val="auto"/>
        </w:rPr>
        <w:t>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in the Representatives’ judgment, impracticable or inadvisable to proceed with the offer, sale or delivery of the Securities on the terms and in the manner contemplated in the Time of Sale Memorandum or the Final Memorandum.</w:t>
      </w:r>
    </w:p>
    <w:p>
      <w:pPr>
        <w:spacing w:after="0" w:line="178" w:lineRule="exact"/>
        <w:rPr>
          <w:sz w:val="20"/>
          <w:szCs w:val="20"/>
          <w:color w:val="auto"/>
        </w:rPr>
      </w:pPr>
    </w:p>
    <w:p>
      <w:pPr>
        <w:ind w:left="1180" w:hanging="524"/>
        <w:spacing w:after="0"/>
        <w:tabs>
          <w:tab w:leader="none" w:pos="1180" w:val="left"/>
        </w:tabs>
        <w:numPr>
          <w:ilvl w:val="0"/>
          <w:numId w:val="143"/>
        </w:numPr>
        <w:rPr>
          <w:rFonts w:ascii="Arial" w:cs="Arial" w:eastAsia="Arial" w:hAnsi="Arial"/>
          <w:sz w:val="16"/>
          <w:szCs w:val="16"/>
          <w:color w:val="auto"/>
        </w:rPr>
      </w:pPr>
      <w:r>
        <w:rPr>
          <w:rFonts w:ascii="Arial" w:cs="Arial" w:eastAsia="Arial" w:hAnsi="Arial"/>
          <w:sz w:val="16"/>
          <w:szCs w:val="16"/>
          <w:i w:val="1"/>
          <w:iCs w:val="1"/>
          <w:color w:val="auto"/>
        </w:rPr>
        <w:t>Effectiveness; Defaulting Initial Purchasers</w:t>
      </w:r>
      <w:r>
        <w:rPr>
          <w:rFonts w:ascii="Arial" w:cs="Arial" w:eastAsia="Arial" w:hAnsi="Arial"/>
          <w:sz w:val="16"/>
          <w:szCs w:val="16"/>
          <w:color w:val="auto"/>
        </w:rPr>
        <w:t>. This Agreement shall become effective upon the execution and delivery hereof by the parties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Initial Purchasers shall fail or refuse to purchase Securities that it or they have agreed to purchase hereunder on such date, and the aggregate principal amount of Securities which such defaulting Initial Purchaser or Initial Purchasers agreed but failed or refused to purchase is not more than one-tenth of the aggregate principal amount of Securities to be purchased on such date, the other Initial Purchasers shall be obligated severally in the proportions that the principal amount of Firm Securities set forth opposite their respective names in Schedule I bears to the aggregate principal amount of Firm Securities set forth opposite the names of all such non-defaulting Initial Purchasers, or in such other proportions as the Representatives may specify, to purchase the Securities which such defaulting Initial Purchaser or Initial Purchasers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principal amount of Securities that any Initial Purchaser has agreed to purchase pursuant to this Agreement be increased pursuant to this Section 10 by an amount in excess of one-ninth of such principal amount of Securities without the written consent of such Initial Purchaser. If, on the Closing Date any Initial Purchaser or Initial Purchasers shall fail or refuse to purchase Firm Securities which it or they have agreed to purchase hereunder on such date and the aggregate principal amount of Securities with respect to which such default occurs is more than one-tenth of the aggregate principal amount of Firm Securities to be purchased on such date, and arrangements satisfactory to the Representatives and the Company for the purchase of such Firm Securities are not made within 36 hours after such default, this Agreement shall terminate without liability on the part of any non-defaulting Initial Purchaser or of the Company. In any such case either the Representatives or the Company shall have the right to postpone the Closing Date, but in no event for longer than seven days, in order that the required changes, if any, in the Time of Sale Memorandum, the Final Memorandum or in any other documents or arrangements may be effected. If, on an Option Closing Date, any Initial Purchaser or Initial Purchasers shall fail or refuse to purchase Additional Securities and the aggregate principal amount of Additional Securities with respect to which such default occurs is more than one-tenth of the aggregate principal amount of Additional Securities to be purchased on such Option Closing Date, the non-defaulting Initial Purchasers shall have the option to (a) terminate their obligation hereunder to purchase the Additional Securities to be sold on such Option Closing Date or (b) purchase not less than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principal amount of Additional Securities that such non-defaulting Initial Purchasers would have been obligated to purchase in the absence of such default. Any action taken under this paragraph shall not relieve any defaulting Initial Purchaser from liability in respect of any default of such Initial Purchaser under this Agreement.</w:t>
      </w:r>
    </w:p>
    <w:p>
      <w:pPr>
        <w:spacing w:after="0" w:line="18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If this Agreement shall be terminated by the Initial Purchasers, or any of them, because of any failure or refusal on the part of the Company to comply with the terms or to fulfill any of the conditions of this Agreement required to be complied with, or if for any reason the Company shall be unable to perform its obligations under this Agreement other than by reason of a default by the Initial Purchasers or the occurrence of any of the events described in clauses (i), (iii), (iv) or (v) of Section 11, the Company will reimburse the Initial Purchasers or such Initial Purchasers as have so terminated this Agreement with respect to themselves, severally, for all documented out-of-pocket expenses (including the fees and disbursements of their counsel) reasonably incurred by such Initial Purchasers in connection with this Agreement or the offering contemplated hereunder, and in the case of a default by the Initial Purchasers, the Company will reimburse the non-defaulting Initial Purchasers who have terminated this Agreement, severally, for all of their documented out-of-pocket expenses (including their pro rata share of fees and disbursements of their counsel) reasonably incurred by such non-defaulting Initial Purchasers in connection with this Agreement. Notwithstanding the foregoing sentence, if, after the Closing Date but prior to any Option Closing Date with respect to the purchase of any Additional Securities pursuant to a notice delivered by the Representatives to the Company under Section 2 hereof, the Company fails or refuses to comply with the terms or to fulfill any of the conditions of the Agreement in connection with such Option Closing Date, the Company will reimburse the Initial Purchasers severally for all out-of-pocket expenses (including the fees and disbursements of their counsel) reasonably incurred by such Initial Purchasers in connection with the proposed purchase of any such Additional Securities pursuant to this Agreement.</w:t>
      </w:r>
    </w:p>
    <w:p>
      <w:pPr>
        <w:spacing w:after="0" w:line="175" w:lineRule="exact"/>
        <w:rPr>
          <w:sz w:val="20"/>
          <w:szCs w:val="20"/>
          <w:color w:val="auto"/>
        </w:rPr>
      </w:pPr>
    </w:p>
    <w:p>
      <w:pPr>
        <w:ind w:right="340" w:firstLine="656"/>
        <w:spacing w:after="0" w:line="259" w:lineRule="auto"/>
        <w:tabs>
          <w:tab w:leader="none" w:pos="1164"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and the Initial Purchasers with respect to the preparation of the Preliminary Memorandum, the Time of Sale Memorandum, the Final Memorandum, the conduct of the offering, and the purchase and sale of the Securities.</w:t>
      </w:r>
    </w:p>
    <w:p>
      <w:pPr>
        <w:spacing w:after="0" w:line="186" w:lineRule="exact"/>
        <w:rPr>
          <w:rFonts w:ascii="Arial" w:cs="Arial" w:eastAsia="Arial" w:hAnsi="Arial"/>
          <w:sz w:val="18"/>
          <w:szCs w:val="18"/>
          <w:color w:val="auto"/>
        </w:rPr>
      </w:pPr>
    </w:p>
    <w:p>
      <w:pPr>
        <w:ind w:left="660" w:right="60" w:firstLine="774"/>
        <w:spacing w:after="0" w:line="297" w:lineRule="auto"/>
        <w:tabs>
          <w:tab w:leader="none" w:pos="1958"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Securities: (i) the Initial Purchasers have acted at arms’ length, are not agents of, and owe no fiduciary duties to, the Company or any other person, (ii) the Initial Purchasers owe the Company only those duties and obligations set forth in this Agreement and prior written agreements (to the extent not superseded by this Agreement) if any, and (iii) the Initial Purchasers may have interests that differ from those of the Company. The Company waives to the full extent permitted by applicable law any claims it may have against the Initial Purchasers arising from an alleged breach of fiduciary duty in connection with the offering of the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firstLine="656"/>
        <w:spacing w:after="0" w:line="277" w:lineRule="auto"/>
        <w:tabs>
          <w:tab w:leader="none" w:pos="117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0"/>
          <w:numId w:val="145"/>
        </w:numPr>
        <w:rPr>
          <w:rFonts w:ascii="Arial" w:cs="Arial" w:eastAsia="Arial" w:hAnsi="Arial"/>
          <w:sz w:val="17"/>
          <w:szCs w:val="17"/>
          <w:color w:val="auto"/>
        </w:rPr>
      </w:pPr>
      <w:r>
        <w:rPr>
          <w:rFonts w:ascii="Arial" w:cs="Arial" w:eastAsia="Arial" w:hAnsi="Arial"/>
          <w:sz w:val="17"/>
          <w:szCs w:val="17"/>
          <w:i w:val="1"/>
          <w:iCs w:val="1"/>
          <w:color w:val="auto"/>
        </w:rPr>
        <w:t xml:space="preserve">Applicable Law. </w:t>
      </w:r>
      <w:r>
        <w:rPr>
          <w:rFonts w:ascii="Arial" w:cs="Arial" w:eastAsia="Arial" w:hAnsi="Arial"/>
          <w:sz w:val="17"/>
          <w:szCs w:val="17"/>
          <w:color w:val="auto"/>
        </w:rPr>
        <w:t>This Agreement shall be governed by and construed in accordance with the internal laws of the State of New York.</w:t>
      </w:r>
    </w:p>
    <w:p>
      <w:pPr>
        <w:sectPr>
          <w:pgSz w:w="11900" w:h="16838" w:orient="portrait"/>
          <w:cols w:equalWidth="0" w:num="1">
            <w:col w:w="11420"/>
          </w:cols>
          <w:pgMar w:left="240" w:top="584" w:right="239" w:bottom="233" w:gutter="0" w:footer="0" w:header="0"/>
        </w:sectPr>
      </w:pPr>
    </w:p>
    <w:bookmarkStart w:id="70" w:name="page71"/>
    <w:bookmarkEnd w:id="70"/>
    <w:p>
      <w:pPr>
        <w:ind w:right="300" w:firstLine="656"/>
        <w:spacing w:after="0" w:line="277" w:lineRule="auto"/>
        <w:tabs>
          <w:tab w:leader="none" w:pos="117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right="80" w:firstLine="656"/>
        <w:spacing w:after="0" w:line="300" w:lineRule="auto"/>
        <w:tabs>
          <w:tab w:leader="none" w:pos="1170" w:val="left"/>
        </w:tabs>
        <w:numPr>
          <w:ilvl w:val="0"/>
          <w:numId w:val="146"/>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communications hereunder shall be in writing and effective only upon receipt and if to the Underwriters shall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mailed or sent to the Representatives in care of Morgan Stanley &amp; Co. LLC, 1585 Broadway, New York, New York 10036, Attention: Equity Syndicate Desk, with a copy to the Legal Department; in care of Goldman Sachs &amp; Co. LLC, 200 West Street, New York, New York 10282, Attention: Control Room; in care of Barclays Capital Inc., 745 Seventh Avenue, New York, New York 10019, Attention: Syndicate Registration; with a copy (which shall not constitute notice) to Wilson Sonsini Goodrich &amp; Rosati, P.C., 1700 K Street NW, 5th Floor, Washington, DC 20006, Attention: Michael C. Labriola; if to the Company shall be delivered, mailed or sent to MongoDB, Inc., 229 W. 43</w:t>
      </w:r>
      <w:r>
        <w:rPr>
          <w:rFonts w:ascii="Arial" w:cs="Arial" w:eastAsia="Arial" w:hAnsi="Arial"/>
          <w:sz w:val="20"/>
          <w:szCs w:val="20"/>
          <w:color w:val="auto"/>
          <w:vertAlign w:val="superscript"/>
        </w:rPr>
        <w:t>rd</w:t>
      </w:r>
      <w:r>
        <w:rPr>
          <w:rFonts w:ascii="Arial" w:cs="Arial" w:eastAsia="Arial" w:hAnsi="Arial"/>
          <w:sz w:val="16"/>
          <w:szCs w:val="16"/>
          <w:color w:val="auto"/>
        </w:rPr>
        <w:t xml:space="preserve"> Street, 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10036, Attention: Chief Financial Officer.</w:t>
      </w:r>
    </w:p>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MONGODB, INC.</w:t>
      </w:r>
    </w:p>
    <w:p>
      <w:pPr>
        <w:spacing w:after="0" w:line="22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Michael Gordon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Michael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several Initial Purchasers named in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Schedule I hereto.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gridSpan w:val="2"/>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13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gridSpan w:val="2"/>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Oakes</w:t>
            </w:r>
          </w:p>
        </w:tc>
        <w:tc>
          <w:tcPr>
            <w:tcW w:w="1380" w:type="dxa"/>
            <w:vAlign w:val="bottom"/>
            <w:tcBorders>
              <w:bottom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Name: David Oakes</w:t>
            </w:r>
          </w:p>
        </w:tc>
        <w:tc>
          <w:tcPr>
            <w:tcW w:w="13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13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gridSpan w:val="2"/>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1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gridSpan w:val="2"/>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Young</w:t>
            </w:r>
          </w:p>
        </w:tc>
        <w:tc>
          <w:tcPr>
            <w:tcW w:w="1380" w:type="dxa"/>
            <w:vAlign w:val="bottom"/>
            <w:tcBorders>
              <w:bottom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Name: Daniel Young</w:t>
            </w:r>
          </w:p>
        </w:tc>
        <w:tc>
          <w:tcPr>
            <w:tcW w:w="13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13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gridSpan w:val="2"/>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Barclays Capital Inc.</w:t>
            </w:r>
          </w:p>
        </w:tc>
        <w:tc>
          <w:tcPr>
            <w:tcW w:w="1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gridSpan w:val="2"/>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Syed Rajib Imtaez</w:t>
            </w:r>
          </w:p>
        </w:tc>
        <w:tc>
          <w:tcPr>
            <w:tcW w:w="1380" w:type="dxa"/>
            <w:vAlign w:val="bottom"/>
            <w:tcBorders>
              <w:bottom w:val="single" w:sz="8" w:color="auto"/>
            </w:tcBorders>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40" w:type="dxa"/>
            <w:vAlign w:val="bottom"/>
          </w:tcPr>
          <w:p>
            <w:pPr>
              <w:spacing w:after="0" w:line="195" w:lineRule="exact"/>
              <w:rPr>
                <w:sz w:val="20"/>
                <w:szCs w:val="20"/>
                <w:color w:val="auto"/>
              </w:rPr>
            </w:pPr>
            <w:r>
              <w:rPr>
                <w:rFonts w:ascii="Arial" w:cs="Arial" w:eastAsia="Arial" w:hAnsi="Arial"/>
                <w:sz w:val="18"/>
                <w:szCs w:val="18"/>
                <w:color w:val="auto"/>
              </w:rPr>
              <w:t>Name: Syed Rajib Imtaez</w:t>
            </w:r>
          </w:p>
        </w:tc>
        <w:tc>
          <w:tcPr>
            <w:tcW w:w="13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13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640" w:type="dxa"/>
            <w:vAlign w:val="bottom"/>
            <w:gridSpan w:val="2"/>
          </w:tcPr>
          <w:p>
            <w:pPr>
              <w:ind w:left="128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8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3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3"/>
          </w:tcPr>
          <w:p>
            <w:pPr>
              <w:ind w:left="82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49"/>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Initial Purchaser</w:t>
            </w:r>
          </w:p>
        </w:tc>
        <w:tc>
          <w:tcPr>
            <w:tcW w:w="13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Firm Securities to be</w:t>
            </w:r>
          </w:p>
        </w:tc>
        <w:tc>
          <w:tcPr>
            <w:tcW w:w="0" w:type="dxa"/>
            <w:vAlign w:val="bottom"/>
          </w:tcPr>
          <w:p>
            <w:pPr>
              <w:spacing w:after="0"/>
              <w:rPr>
                <w:sz w:val="1"/>
                <w:szCs w:val="1"/>
                <w:color w:val="auto"/>
              </w:rPr>
            </w:pPr>
          </w:p>
        </w:tc>
      </w:tr>
      <w:tr>
        <w:trPr>
          <w:trHeight w:val="171"/>
        </w:trPr>
        <w:tc>
          <w:tcPr>
            <w:tcW w:w="4340" w:type="dxa"/>
            <w:vAlign w:val="bottom"/>
            <w:gridSpan w:val="3"/>
            <w:vMerge w:val="continue"/>
          </w:tcPr>
          <w:p>
            <w:pPr>
              <w:spacing w:after="0"/>
              <w:rPr>
                <w:sz w:val="14"/>
                <w:szCs w:val="14"/>
                <w:color w:val="auto"/>
              </w:rPr>
            </w:pPr>
          </w:p>
        </w:tc>
        <w:tc>
          <w:tcPr>
            <w:tcW w:w="1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5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51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85,000,000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5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51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8,350,000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51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JMP Securities LLC</w:t>
            </w:r>
          </w:p>
        </w:tc>
        <w:tc>
          <w:tcPr>
            <w:tcW w:w="51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8,325,000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18"/>
                <w:szCs w:val="18"/>
                <w:color w:val="auto"/>
              </w:rPr>
            </w:pPr>
          </w:p>
        </w:tc>
        <w:tc>
          <w:tcPr>
            <w:tcW w:w="46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5160" w:type="dxa"/>
            <w:vAlign w:val="bottom"/>
            <w:gridSpan w:val="4"/>
          </w:tcPr>
          <w:p>
            <w:pPr>
              <w:jc w:val="right"/>
              <w:ind w:right="14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250,000,000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60" w:type="dxa"/>
            <w:vAlign w:val="bottom"/>
            <w:gridSpan w:val="4"/>
          </w:tcPr>
          <w:p>
            <w:pPr>
              <w:ind w:left="1260"/>
              <w:spacing w:after="0"/>
              <w:rPr>
                <w:sz w:val="20"/>
                <w:szCs w:val="20"/>
                <w:color w:val="auto"/>
              </w:rPr>
            </w:pPr>
            <w:r>
              <w:rPr>
                <w:rFonts w:ascii="Arial" w:cs="Arial" w:eastAsia="Arial" w:hAnsi="Arial"/>
                <w:sz w:val="18"/>
                <w:szCs w:val="18"/>
                <w:color w:val="auto"/>
              </w:rPr>
              <w:t>I-1</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8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32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-2559050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-2559050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Permitted Communications</w:t>
      </w:r>
    </w:p>
    <w:p>
      <w:pPr>
        <w:sectPr>
          <w:pgSz w:w="11900" w:h="16838" w:orient="portrait"/>
          <w:cols w:equalWidth="0" w:num="1">
            <w:col w:w="11460"/>
          </w:cols>
          <w:pgMar w:left="240" w:top="125" w:right="199" w:bottom="0" w:gutter="0" w:footer="0" w:header="0"/>
        </w:sectPr>
      </w:pPr>
    </w:p>
    <w:bookmarkStart w:id="71" w:name="page72"/>
    <w:bookmarkEnd w:id="71"/>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Sale Memorandum</w:t>
      </w:r>
    </w:p>
    <w:p>
      <w:pPr>
        <w:spacing w:after="0" w:line="229"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Preliminary Memorandum issued June 25, 2018.</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Pricing term sheet attached as Exhibit B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Additional Written Offering Communications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Each electronic “road show” as defined in Rule 433(h) furnished to the Initial Purchasers prior to use that the Initial Purchasers and Company have agreed may be used in connection with the offering of the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General Solicitations other than Permitted Additional Written Offering Communications set forth above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understands that Morgan Stanley &amp; Co. LLC (“</w:t>
      </w:r>
      <w:r>
        <w:rPr>
          <w:rFonts w:ascii="Arial" w:cs="Arial" w:eastAsia="Arial" w:hAnsi="Arial"/>
          <w:sz w:val="17"/>
          <w:szCs w:val="17"/>
          <w:b w:val="1"/>
          <w:bCs w:val="1"/>
          <w:color w:val="auto"/>
        </w:rPr>
        <w:t>Morgan Stanley</w:t>
      </w:r>
      <w:r>
        <w:rPr>
          <w:rFonts w:ascii="Arial" w:cs="Arial" w:eastAsia="Arial" w:hAnsi="Arial"/>
          <w:sz w:val="17"/>
          <w:szCs w:val="17"/>
          <w:color w:val="auto"/>
        </w:rPr>
        <w:t>”), Goldman Sachs &amp; Co. LLC (“</w:t>
      </w:r>
      <w:r>
        <w:rPr>
          <w:rFonts w:ascii="Arial" w:cs="Arial" w:eastAsia="Arial" w:hAnsi="Arial"/>
          <w:sz w:val="17"/>
          <w:szCs w:val="17"/>
          <w:b w:val="1"/>
          <w:bCs w:val="1"/>
          <w:color w:val="auto"/>
        </w:rPr>
        <w:t>Goldman</w:t>
      </w:r>
      <w:r>
        <w:rPr>
          <w:rFonts w:ascii="Arial" w:cs="Arial" w:eastAsia="Arial" w:hAnsi="Arial"/>
          <w:sz w:val="17"/>
          <w:szCs w:val="17"/>
          <w:color w:val="auto"/>
        </w:rPr>
        <w:t>”) and Barclays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Capital Inc. (“</w:t>
      </w:r>
      <w:r>
        <w:rPr>
          <w:rFonts w:ascii="Arial" w:cs="Arial" w:eastAsia="Arial" w:hAnsi="Arial"/>
          <w:sz w:val="17"/>
          <w:szCs w:val="17"/>
          <w:b w:val="1"/>
          <w:bCs w:val="1"/>
          <w:color w:val="auto"/>
        </w:rPr>
        <w:t>Barclays</w:t>
      </w:r>
      <w:r>
        <w:rPr>
          <w:rFonts w:ascii="Arial" w:cs="Arial" w:eastAsia="Arial" w:hAnsi="Arial"/>
          <w:sz w:val="17"/>
          <w:szCs w:val="17"/>
          <w:color w:val="auto"/>
        </w:rPr>
        <w:t>”) propose to enter into a Purchase Agreement (the “</w:t>
      </w:r>
      <w:r>
        <w:rPr>
          <w:rFonts w:ascii="Arial" w:cs="Arial" w:eastAsia="Arial" w:hAnsi="Arial"/>
          <w:sz w:val="17"/>
          <w:szCs w:val="17"/>
          <w:b w:val="1"/>
          <w:bCs w:val="1"/>
          <w:color w:val="auto"/>
        </w:rPr>
        <w:t>Purchase Agreement</w:t>
      </w:r>
      <w:r>
        <w:rPr>
          <w:rFonts w:ascii="Arial" w:cs="Arial" w:eastAsia="Arial" w:hAnsi="Arial"/>
          <w:sz w:val="17"/>
          <w:szCs w:val="17"/>
          <w:color w:val="auto"/>
        </w:rPr>
        <w:t>”) with MongoDB, Inc., a Delaware corporation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providing for the offering (the “</w:t>
      </w:r>
      <w:r>
        <w:rPr>
          <w:rFonts w:ascii="Arial" w:cs="Arial" w:eastAsia="Arial" w:hAnsi="Arial"/>
          <w:sz w:val="17"/>
          <w:szCs w:val="17"/>
          <w:b w:val="1"/>
          <w:bCs w:val="1"/>
          <w:color w:val="auto"/>
        </w:rPr>
        <w:t>Offering</w:t>
      </w:r>
      <w:r>
        <w:rPr>
          <w:rFonts w:ascii="Arial" w:cs="Arial" w:eastAsia="Arial" w:hAnsi="Arial"/>
          <w:sz w:val="17"/>
          <w:szCs w:val="17"/>
          <w:color w:val="auto"/>
        </w:rPr>
        <w:t>”) by the several Initial Purchasers (the “</w:t>
      </w:r>
      <w:r>
        <w:rPr>
          <w:rFonts w:ascii="Arial" w:cs="Arial" w:eastAsia="Arial" w:hAnsi="Arial"/>
          <w:sz w:val="17"/>
          <w:szCs w:val="17"/>
          <w:b w:val="1"/>
          <w:bCs w:val="1"/>
          <w:color w:val="auto"/>
        </w:rPr>
        <w:t>Initial Purchasers</w:t>
      </w:r>
      <w:r>
        <w:rPr>
          <w:rFonts w:ascii="Arial" w:cs="Arial" w:eastAsia="Arial" w:hAnsi="Arial"/>
          <w:sz w:val="17"/>
          <w:szCs w:val="17"/>
          <w:color w:val="auto"/>
        </w:rPr>
        <w:t>”), including Morgan Stanley, Goldman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Barclays, of $[·] principal amount of Convertible Senior Notes due [·] of the Company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will be convertible into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par value $0.001 per share, of the Company (the “</w:t>
      </w:r>
      <w:r>
        <w:rPr>
          <w:rFonts w:ascii="Arial" w:cs="Arial" w:eastAsia="Arial" w:hAnsi="Arial"/>
          <w:sz w:val="16"/>
          <w:szCs w:val="16"/>
          <w:b w:val="1"/>
          <w:bCs w:val="1"/>
          <w:color w:val="auto"/>
        </w:rPr>
        <w:t>Class A Stock</w:t>
      </w:r>
      <w:r>
        <w:rPr>
          <w:rFonts w:ascii="Arial" w:cs="Arial" w:eastAsia="Arial" w:hAnsi="Arial"/>
          <w:sz w:val="16"/>
          <w:szCs w:val="16"/>
          <w:color w:val="auto"/>
        </w:rPr>
        <w:t>”) or a combination of cash and shares of Class A Stock,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election. Class A Stock, together with the Company’s Class B common stock, par value $0.001 per share (the “</w:t>
      </w:r>
      <w:r>
        <w:rPr>
          <w:rFonts w:ascii="Arial" w:cs="Arial" w:eastAsia="Arial" w:hAnsi="Arial"/>
          <w:sz w:val="16"/>
          <w:szCs w:val="16"/>
          <w:b w:val="1"/>
          <w:bCs w:val="1"/>
          <w:color w:val="auto"/>
        </w:rPr>
        <w:t>Class B Stock</w:t>
      </w:r>
      <w:r>
        <w:rPr>
          <w:rFonts w:ascii="Arial" w:cs="Arial" w:eastAsia="Arial" w:hAnsi="Arial"/>
          <w:sz w:val="16"/>
          <w:szCs w:val="16"/>
          <w:color w:val="auto"/>
        </w:rPr>
        <w:t>”), is referred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as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To induce the Initial Purchasers that may participate in the Offering to continue their efforts in connection with the Offering, the undersigned hereby agrees that, without the prior written consent of Morgan Stanley and Goldman (collectively, the “</w:t>
      </w:r>
      <w:r>
        <w:rPr>
          <w:rFonts w:ascii="Arial" w:cs="Arial" w:eastAsia="Arial" w:hAnsi="Arial"/>
          <w:sz w:val="18"/>
          <w:szCs w:val="18"/>
          <w:b w:val="1"/>
          <w:bCs w:val="1"/>
          <w:color w:val="auto"/>
        </w:rPr>
        <w:t>Representatives</w:t>
      </w:r>
      <w:r>
        <w:rPr>
          <w:rFonts w:ascii="Arial" w:cs="Arial" w:eastAsia="Arial" w:hAnsi="Arial"/>
          <w:sz w:val="18"/>
          <w:szCs w:val="18"/>
          <w:color w:val="auto"/>
        </w:rPr>
        <w:t>”) on behalf of the Initial Purchasers, it will not, and will not publicly announce its intention to, during the period commencing on the date hereof and ending 60 days after the date of the final offering memorandum (the “</w:t>
      </w:r>
      <w:r>
        <w:rPr>
          <w:rFonts w:ascii="Arial" w:cs="Arial" w:eastAsia="Arial" w:hAnsi="Arial"/>
          <w:sz w:val="18"/>
          <w:szCs w:val="18"/>
          <w:b w:val="1"/>
          <w:bCs w:val="1"/>
          <w:color w:val="auto"/>
        </w:rPr>
        <w:t>Restricted Period</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relating to the Offering (the “</w:t>
      </w:r>
      <w:r>
        <w:rPr>
          <w:rFonts w:ascii="Arial" w:cs="Arial" w:eastAsia="Arial" w:hAnsi="Arial"/>
          <w:sz w:val="16"/>
          <w:szCs w:val="16"/>
          <w:b w:val="1"/>
          <w:bCs w:val="1"/>
          <w:color w:val="auto"/>
        </w:rPr>
        <w:t>Final Memorandum</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w:t>
      </w:r>
    </w:p>
    <w:p>
      <w:pPr>
        <w:spacing w:after="0" w:line="160" w:lineRule="exact"/>
        <w:rPr>
          <w:sz w:val="20"/>
          <w:szCs w:val="20"/>
          <w:color w:val="auto"/>
        </w:rPr>
      </w:pPr>
    </w:p>
    <w:p>
      <w:pPr>
        <w:ind w:right="140" w:firstLine="656"/>
        <w:spacing w:after="0" w:line="259" w:lineRule="auto"/>
        <w:tabs>
          <w:tab w:leader="none" w:pos="893"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transactions relating to shares of Common Stock or other securities acquired in open market transactions after the completion of the Offering,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filing under Section 16(a) of the Exchange Act, reporting a reduction in beneficial ownership of shares of Common Stock, shall be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or shall be voluntarily made in connection with subsequent sales of Common Stock or other securities acquired in such open market transactions during the Restricted Period;</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as a bona fide gift,</w:t>
      </w:r>
    </w:p>
    <w:p>
      <w:pPr>
        <w:spacing w:after="0" w:line="46" w:lineRule="exact"/>
        <w:rPr>
          <w:rFonts w:ascii="Arial" w:cs="Arial" w:eastAsia="Arial" w:hAnsi="Arial"/>
          <w:sz w:val="16"/>
          <w:szCs w:val="16"/>
          <w:color w:val="auto"/>
        </w:rPr>
      </w:pPr>
    </w:p>
    <w:p>
      <w:pPr>
        <w:ind w:right="160" w:firstLine="8"/>
        <w:spacing w:after="0" w:line="323" w:lineRule="auto"/>
        <w:tabs>
          <w:tab w:leader="none" w:pos="26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to an immediate family member (as defined below) or to any trust for the direct or indirect benefit of the undersigned or an immediate family member of the undersigned, (iii) to any corporation, partnership, limited liability company, investment fund or other entity controlled or managed, or under common</w:t>
      </w:r>
    </w:p>
    <w:p>
      <w:pPr>
        <w:sectPr>
          <w:pgSz w:w="11900" w:h="16961" w:orient="portrait"/>
          <w:cols w:equalWidth="0" w:num="1">
            <w:col w:w="11420"/>
          </w:cols>
          <w:pgMar w:left="240" w:top="337" w:right="239" w:bottom="0" w:gutter="0" w:footer="0" w:header="0"/>
        </w:sectPr>
      </w:pPr>
    </w:p>
    <w:bookmarkStart w:id="72" w:name="page73"/>
    <w:bookmarkEnd w:id="72"/>
    <w:p>
      <w:pPr>
        <w:spacing w:after="0" w:line="257" w:lineRule="auto"/>
        <w:rPr>
          <w:sz w:val="20"/>
          <w:szCs w:val="20"/>
          <w:color w:val="auto"/>
        </w:rPr>
      </w:pPr>
      <w:r>
        <w:rPr>
          <w:rFonts w:ascii="Arial" w:cs="Arial" w:eastAsia="Arial" w:hAnsi="Arial"/>
          <w:sz w:val="18"/>
          <w:szCs w:val="18"/>
          <w:color w:val="auto"/>
        </w:rPr>
        <w:t xml:space="preserve">control or management by, the undersigned, or (iv) by will, other testamentary document or intestate succession to the legal representative, heir, beneficiary or an immediate family member of the undersigned,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transfer pursuant to this clause (b), (i) each transferee shall sign and deliver a lock-up agreement substantially in the form of this agreement, (ii) no filing under Section 16(a) of the Exchange Act, reporting a reduction in beneficial ownership of shares of Common Stock, shall be required or shall be voluntarily made during the Restricted Period and (iii) such transfer shall not involve a disposition for value;</w:t>
      </w:r>
    </w:p>
    <w:p>
      <w:pPr>
        <w:spacing w:after="0" w:line="188" w:lineRule="exact"/>
        <w:rPr>
          <w:sz w:val="20"/>
          <w:szCs w:val="20"/>
          <w:color w:val="auto"/>
        </w:rPr>
      </w:pPr>
    </w:p>
    <w:p>
      <w:pPr>
        <w:ind w:right="20" w:firstLine="697"/>
        <w:spacing w:after="0" w:line="273" w:lineRule="auto"/>
        <w:tabs>
          <w:tab w:leader="none" w:pos="934"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transfers or distributions of shares of Common Stock or any security convertible into or exercisable or exchangeable for Common Stock to current or former general or limited partners, managers or members, stockholders or direct or indirect affiliates (within the meaning of Rule 405 under the Securities Act of 1933, as amended) of the undersigned or to the estates of any of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transfer or distribution pursuant to this clause (c), (i) each transferee or distributee shall sign and deliver a lock-up agreement substantially in the form of this agreement, (ii) no filing under Section 16(a) of the Exchange Act, reporting a reduction in beneficial ownership of shares of Common Stock, shall be required or shall be voluntarily made during the Restricted Period and (iii) such transfer shall not involve a disposition for value;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56"/>
        <w:spacing w:after="0" w:line="281" w:lineRule="auto"/>
        <w:tabs>
          <w:tab w:leader="none" w:pos="903"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(i) the exercise of (A) options or other stock awards to purchase shares of Common Stock insofar as such options or stock awards are outstanding as of the date of the Final Memorandum and granted under any equity incentive plan or stock purchase plan of the Company described in the Final Memorandum or the documents incorporated by reference therein or (B) warrants, insofar as such warrants are outstanding on the date of the Final Memorandum and described in the Final Memorandum or the documents incorporated by reference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case, the underlying shares shall continue to be subject to the restrictions on transfer set forth in this agreement, or (ii) the transfer of shares of Common Stock or any securities convertible into or exercisable or exchangeable for Common Stock to the Company upon a vesting event of the Company’s securities, including the vesting and settlement of restricted stock units granted under any equity incentive plan or stock purchase plan of the Company described in the Final Memorandum or the documents incorporated by reference therein, or upon the “net” or “cashless” exercise of options or warrants that would otherwise expire during the Restricted Period to the extent permitted by the instruments representing such securities, options or warrants (including any transfer to the Company necessary to generate any amount of cash needed for the payment of taxes, including estimated taxes, due as a result of such vesting or exercise whether by means of a “net settlement” or otherwise), so long as such “cashless” or “net” exercise is effected solely by the surrender of outstanding securities, options or warrants (or underlying shares of Common Stock) to the Company, and the Company’s cancellation of all or a portion thereof to pay the exercise price and/or withholding tax obligations, but for the avoidance of doubt, excluding all methods of exercise that would involve a sale other than to the Company of any shares of Common Stock relating to securities, options or warrants, whether to cover the applicable exercise price and/or withholding tax obligations or otherwise,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clauses (i) and (ii), no filing under Section 16(a) of the Exchange Act, or any other public filing or disclosure of such receipt or transfer by or on behalf of the undersigned shall be required or shall be voluntarily made within 30 days after the date of the Final Memorandum, and after such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any filing under Section 16(a) of the Exchange Act shall clearly indicate in the footnotes thereto that (A) the filing relates to the circumstances described in clause (i) or (ii), as the case may be, (B) no shares were sold by the reporting person and (C) in the case of clause (i), the shares received upon exercise of the option are subject to a lock-up agreement with the Initial Purchasers of the Offering;</w:t>
      </w:r>
    </w:p>
    <w:p>
      <w:pPr>
        <w:spacing w:after="0" w:line="174" w:lineRule="exact"/>
        <w:rPr>
          <w:rFonts w:ascii="Arial" w:cs="Arial" w:eastAsia="Arial" w:hAnsi="Arial"/>
          <w:sz w:val="16"/>
          <w:szCs w:val="16"/>
          <w:color w:val="auto"/>
        </w:rPr>
      </w:pPr>
    </w:p>
    <w:p>
      <w:pPr>
        <w:ind w:right="200" w:firstLine="656"/>
        <w:spacing w:after="0" w:line="288" w:lineRule="auto"/>
        <w:tabs>
          <w:tab w:leader="none" w:pos="938" w:val="left"/>
        </w:tabs>
        <w:numPr>
          <w:ilvl w:val="1"/>
          <w:numId w:val="151"/>
        </w:numPr>
        <w:rPr>
          <w:rFonts w:ascii="Arial" w:cs="Arial" w:eastAsia="Arial" w:hAnsi="Arial"/>
          <w:sz w:val="16"/>
          <w:szCs w:val="16"/>
          <w:color w:val="auto"/>
        </w:rPr>
      </w:pPr>
      <w:r>
        <w:rPr>
          <w:rFonts w:ascii="Arial" w:cs="Arial" w:eastAsia="Arial" w:hAnsi="Arial"/>
          <w:sz w:val="16"/>
          <w:szCs w:val="16"/>
          <w:color w:val="auto"/>
        </w:rPr>
        <w:t>(i) the transfer of shares of Common Stock pursuant to a written plan meeting the requirements of Rule 10b5-1 under the Exchange Act for the transfer of shares of Common Stock (each, a “</w:t>
      </w:r>
      <w:r>
        <w:rPr>
          <w:rFonts w:ascii="Arial" w:cs="Arial" w:eastAsia="Arial" w:hAnsi="Arial"/>
          <w:sz w:val="16"/>
          <w:szCs w:val="16"/>
          <w:b w:val="1"/>
          <w:bCs w:val="1"/>
          <w:i w:val="1"/>
          <w:iCs w:val="1"/>
          <w:color w:val="auto"/>
        </w:rPr>
        <w:t>10b5-1 Plan</w:t>
      </w:r>
      <w:r>
        <w:rPr>
          <w:rFonts w:ascii="Arial" w:cs="Arial" w:eastAsia="Arial" w:hAnsi="Arial"/>
          <w:sz w:val="16"/>
          <w:szCs w:val="16"/>
          <w:color w:val="auto"/>
        </w:rPr>
        <w:t xml:space="preserve">”) in effect as of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filing required under Section 16(a) of the Exchange Act during the Restricted Period shall clearly indicate in the footnotes thereto that the filing relates to a transaction pursuant to a 10b5-1 Plan and</w:t>
      </w:r>
    </w:p>
    <w:p>
      <w:pPr>
        <w:ind w:right="340" w:firstLine="8"/>
        <w:spacing w:after="0" w:line="254" w:lineRule="auto"/>
        <w:tabs>
          <w:tab w:leader="none" w:pos="26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the establishment of a10b5-1 Plan for the transfer of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10b5-1 Plan does not provide for the transfer of Common Stock during the Restricted Period and (B) to the extent a public announcement or filing under the Exchange Act, if any, is required of or voluntarily made by or on behalf of the undersigned or the Company regarding the establishment of such plan during the Restricted Period, such announcement or filing shall include a statement to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effect that no transfer of Common Stock may be made under such plan during the Restricted Period;</w:t>
      </w:r>
    </w:p>
    <w:p>
      <w:pPr>
        <w:spacing w:after="0" w:line="225" w:lineRule="exact"/>
        <w:rPr>
          <w:sz w:val="20"/>
          <w:szCs w:val="20"/>
          <w:color w:val="auto"/>
        </w:rPr>
      </w:pPr>
    </w:p>
    <w:p>
      <w:pPr>
        <w:ind w:right="200" w:firstLine="656"/>
        <w:spacing w:after="0" w:line="276" w:lineRule="auto"/>
        <w:tabs>
          <w:tab w:leader="none" w:pos="873"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the transfer of shares of Common Stock or any security convertible into or exercisable or exchangeable for Common Stock that occurs by operation of law pursuant to a qualified domestic order or in connection with a divorce settlement or other court order,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transferee shall sign and deliver a lock-up agreement substantially in the form of this agreement, (ii) any filing required under Section 16(a) of the Exchange Act during the Restricted Period shall clearly indicate in the footnotes thereto that the filing relates to the circumstances described above and (iii) the undersigned does not otherwise voluntarily effect any other public filing or announcement regarding such transfers during the Restricted Period; or</w:t>
      </w:r>
    </w:p>
    <w:p>
      <w:pPr>
        <w:spacing w:after="0" w:line="172" w:lineRule="exact"/>
        <w:rPr>
          <w:rFonts w:ascii="Arial" w:cs="Arial" w:eastAsia="Arial" w:hAnsi="Arial"/>
          <w:sz w:val="17"/>
          <w:szCs w:val="17"/>
          <w:color w:val="auto"/>
        </w:rPr>
      </w:pPr>
    </w:p>
    <w:p>
      <w:pPr>
        <w:ind w:right="60" w:firstLine="656"/>
        <w:spacing w:after="0" w:line="302" w:lineRule="auto"/>
        <w:tabs>
          <w:tab w:leader="none" w:pos="903"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the transfer of shares of Common Stock or any security convertible into or exercisable or exchangeable for Common Stock pursuant to a bona fide third-party tender offer, merger, consolidation or other similar transaction that is approved by the Board of Directors of the Company, made to all holders of Common Stock involving a change of control (as defined below),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consolidation or other such transaction is not completed, the Common Stock owned by the undersigned shall remain subject to the restrictions contained in this agreement; or</w:t>
      </w:r>
    </w:p>
    <w:p>
      <w:pPr>
        <w:spacing w:after="0" w:line="154" w:lineRule="exact"/>
        <w:rPr>
          <w:rFonts w:ascii="Arial" w:cs="Arial" w:eastAsia="Arial" w:hAnsi="Arial"/>
          <w:sz w:val="16"/>
          <w:szCs w:val="16"/>
          <w:color w:val="auto"/>
        </w:rPr>
      </w:pPr>
    </w:p>
    <w:p>
      <w:pPr>
        <w:ind w:right="80" w:firstLine="656"/>
        <w:spacing w:after="0" w:line="277" w:lineRule="auto"/>
        <w:tabs>
          <w:tab w:leader="none" w:pos="90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the conversion of shares of Class B Stock into shares of Class A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such shares shall continue to be subject to the restrictions on transfer set forth in this agreement.</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As used herein, (i) “immediate family member” means the spouse, domestic partner, lineal descendant, father, mother, brother, sister, or any other person with whom the undersigned has a relationship by blood, marriage or adoption not more remote than first cousin and (ii) “change of control” shall mean the transfer (whether by tender offer, merger, consolidation or other similar transaction), in one transaction or a series of related transactions, to a person or group of affiliated persons (other than an Initial Purchaser pursuant to the Offering), of the Company’s voting securities if, after such transfer, such person or group of affiliated persons would hold more than 65% of the number of outstanding voting securities of the Company (or the surviving entity) and 65% of the voting control of the outstanding voting securities of the Company (or the surviving entity).</w:t>
      </w:r>
    </w:p>
    <w:p>
      <w:pPr>
        <w:spacing w:after="0" w:line="17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addition, the undersigned agrees that, without the prior written consent of the Representatives on behalf of the Initial Purchasers,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w:t>
      </w:r>
    </w:p>
    <w:p>
      <w:pPr>
        <w:sectPr>
          <w:pgSz w:w="11900" w:h="16838" w:orient="portrait"/>
          <w:cols w:equalWidth="0" w:num="1">
            <w:col w:w="11420"/>
          </w:cols>
          <w:pgMar w:left="240" w:top="125" w:right="239" w:bottom="0" w:gutter="0" w:footer="0" w:header="0"/>
        </w:sectPr>
      </w:pPr>
    </w:p>
    <w:bookmarkStart w:id="73" w:name="page74"/>
    <w:bookmarkEnd w:id="73"/>
    <w:p>
      <w:pPr>
        <w:ind w:right="880"/>
        <w:spacing w:after="0" w:line="277" w:lineRule="auto"/>
        <w:rPr>
          <w:sz w:val="20"/>
          <w:szCs w:val="20"/>
          <w:color w:val="auto"/>
        </w:rPr>
      </w:pPr>
      <w:r>
        <w:rPr>
          <w:rFonts w:ascii="Arial" w:cs="Arial" w:eastAsia="Arial" w:hAnsi="Arial"/>
          <w:sz w:val="18"/>
          <w:szCs w:val="18"/>
          <w:color w:val="auto"/>
        </w:rPr>
        <w:t>Company’s transfer agent and registrar against the transfer of the undersigned’s shares of Common Stock except in compliance with the foregoing restrictions.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undersigned understands that the Company and the Initial Purchasers are relying upon this agreement in proceeding toward consummation of the Offering. The undersigned further understands that this agreement is irrevocable and shall be binding upon the undersigned’s heirs, legal representatives, successors and assigns.</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Whether or not the Offering actually occurs depends on a number of factors, including market conditions. Any Offering will only be made pursuant to a Purchase Agreement, the terms of which are subject to negotiation between the Company and the Initial Purchasers.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shall automatically terminate and the undersigned will be released from all obligations hereunder upon the earliest to occur, if any, of</w:t>
      </w:r>
    </w:p>
    <w:p>
      <w:pPr>
        <w:spacing w:after="0" w:line="46" w:lineRule="exact"/>
        <w:rPr>
          <w:sz w:val="20"/>
          <w:szCs w:val="20"/>
          <w:color w:val="auto"/>
        </w:rPr>
      </w:pPr>
    </w:p>
    <w:p>
      <w:pPr>
        <w:ind w:right="440" w:firstLine="8"/>
        <w:spacing w:after="0" w:line="281" w:lineRule="auto"/>
        <w:tabs>
          <w:tab w:leader="none" w:pos="24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Company, on the one hand, or the Representatives, on the other hand, advising the other in writing that it has determined not to proceed with the Offering prior to the execution of the Purchase Agreement, (b) the date the Purchase Agreement is terminated, if prior to the closing of the Offering,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July 13, 2018, if the Purchase Agreement has not been executed by such date.</w:t>
      </w:r>
    </w:p>
    <w:p>
      <w:pPr>
        <w:spacing w:after="0" w:line="211"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This agreement and any claim, controversy or dispute arising under or related to this agreement shall be governed by and construed in accordance with the laws of the State of New York, without regard to the conflict of laws principles thereof.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99.2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 name and address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00" w:type="dxa"/>
            <w:vAlign w:val="bottom"/>
          </w:tcPr>
          <w:p>
            <w:pPr>
              <w:spacing w:after="0"/>
              <w:rPr>
                <w:sz w:val="20"/>
                <w:szCs w:val="20"/>
                <w:color w:val="auto"/>
              </w:rPr>
            </w:pPr>
            <w:r>
              <w:rPr>
                <w:rFonts w:ascii="Arial" w:cs="Arial" w:eastAsia="Arial" w:hAnsi="Arial"/>
                <w:sz w:val="18"/>
                <w:szCs w:val="18"/>
                <w:b w:val="1"/>
                <w:bCs w:val="1"/>
                <w:color w:val="auto"/>
              </w:rPr>
              <w:t>To:</w:t>
            </w:r>
          </w:p>
        </w:tc>
        <w:tc>
          <w:tcPr>
            <w:tcW w:w="3440" w:type="dxa"/>
            <w:vAlign w:val="bottom"/>
            <w:gridSpan w:val="2"/>
          </w:tcPr>
          <w:p>
            <w:pPr>
              <w:ind w:left="260"/>
              <w:spacing w:after="0"/>
              <w:rPr>
                <w:sz w:val="20"/>
                <w:szCs w:val="20"/>
                <w:color w:val="auto"/>
              </w:rPr>
            </w:pPr>
            <w:r>
              <w:rPr>
                <w:rFonts w:ascii="Arial" w:cs="Arial" w:eastAsia="Arial" w:hAnsi="Arial"/>
                <w:sz w:val="18"/>
                <w:szCs w:val="18"/>
                <w:color w:val="auto"/>
              </w:rPr>
              <w:t>MongoDB, Inc.</w:t>
            </w:r>
          </w:p>
        </w:tc>
      </w:tr>
      <w:tr>
        <w:trPr>
          <w:trHeight w:val="216"/>
        </w:trPr>
        <w:tc>
          <w:tcPr>
            <w:tcW w:w="900" w:type="dxa"/>
            <w:vAlign w:val="bottom"/>
          </w:tcPr>
          <w:p>
            <w:pPr>
              <w:spacing w:after="0"/>
              <w:rPr>
                <w:sz w:val="18"/>
                <w:szCs w:val="18"/>
                <w:color w:val="auto"/>
              </w:rPr>
            </w:pPr>
          </w:p>
        </w:tc>
        <w:tc>
          <w:tcPr>
            <w:tcW w:w="3440" w:type="dxa"/>
            <w:vAlign w:val="bottom"/>
            <w:gridSpan w:val="2"/>
          </w:tcPr>
          <w:p>
            <w:pPr>
              <w:ind w:left="260"/>
              <w:spacing w:after="0"/>
              <w:rPr>
                <w:sz w:val="20"/>
                <w:szCs w:val="20"/>
                <w:color w:val="auto"/>
              </w:rPr>
            </w:pPr>
            <w:r>
              <w:rPr>
                <w:rFonts w:ascii="Arial" w:cs="Arial" w:eastAsia="Arial" w:hAnsi="Arial"/>
                <w:sz w:val="18"/>
                <w:szCs w:val="18"/>
                <w:color w:val="auto"/>
              </w:rPr>
              <w:t>229 W. 43rd Street, 5th Floor</w:t>
            </w:r>
          </w:p>
        </w:tc>
      </w:tr>
      <w:tr>
        <w:trPr>
          <w:trHeight w:val="230"/>
        </w:trPr>
        <w:tc>
          <w:tcPr>
            <w:tcW w:w="900" w:type="dxa"/>
            <w:vAlign w:val="bottom"/>
          </w:tcPr>
          <w:p>
            <w:pPr>
              <w:spacing w:after="0"/>
              <w:rPr>
                <w:sz w:val="20"/>
                <w:szCs w:val="20"/>
                <w:color w:val="auto"/>
              </w:rPr>
            </w:pPr>
          </w:p>
        </w:tc>
        <w:tc>
          <w:tcPr>
            <w:tcW w:w="3440" w:type="dxa"/>
            <w:vAlign w:val="bottom"/>
            <w:gridSpan w:val="2"/>
          </w:tcPr>
          <w:p>
            <w:pPr>
              <w:ind w:left="260"/>
              <w:spacing w:after="0"/>
              <w:rPr>
                <w:sz w:val="20"/>
                <w:szCs w:val="20"/>
                <w:color w:val="auto"/>
              </w:rPr>
            </w:pPr>
            <w:r>
              <w:rPr>
                <w:rFonts w:ascii="Arial" w:cs="Arial" w:eastAsia="Arial" w:hAnsi="Arial"/>
                <w:sz w:val="18"/>
                <w:szCs w:val="18"/>
                <w:color w:val="auto"/>
              </w:rPr>
              <w:t>New York, NY 10036</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From:</w:t>
            </w:r>
          </w:p>
        </w:tc>
        <w:tc>
          <w:tcPr>
            <w:tcW w:w="3440" w:type="dxa"/>
            <w:vAlign w:val="bottom"/>
            <w:gridSpan w:val="2"/>
          </w:tcPr>
          <w:p>
            <w:pPr>
              <w:ind w:left="260"/>
              <w:spacing w:after="0"/>
              <w:rPr>
                <w:sz w:val="20"/>
                <w:szCs w:val="20"/>
                <w:color w:val="auto"/>
              </w:rPr>
            </w:pPr>
            <w:r>
              <w:rPr>
                <w:rFonts w:ascii="Arial" w:cs="Arial" w:eastAsia="Arial" w:hAnsi="Arial"/>
                <w:sz w:val="18"/>
                <w:szCs w:val="18"/>
                <w:color w:val="auto"/>
              </w:rPr>
              <w:t>[Dealer]</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Re:</w:t>
            </w:r>
          </w:p>
        </w:tc>
        <w:tc>
          <w:tcPr>
            <w:tcW w:w="3440" w:type="dxa"/>
            <w:vAlign w:val="bottom"/>
            <w:gridSpan w:val="2"/>
          </w:tcPr>
          <w:p>
            <w:pPr>
              <w:ind w:left="260"/>
              <w:spacing w:after="0"/>
              <w:rPr>
                <w:sz w:val="20"/>
                <w:szCs w:val="20"/>
                <w:color w:val="auto"/>
              </w:rPr>
            </w:pPr>
            <w:r>
              <w:rPr>
                <w:rFonts w:ascii="Arial" w:cs="Arial" w:eastAsia="Arial" w:hAnsi="Arial"/>
                <w:sz w:val="18"/>
                <w:szCs w:val="18"/>
                <w:color w:val="auto"/>
                <w:w w:val="92"/>
              </w:rPr>
              <w:t>[Base][Additional] Capped Call Transaction</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Ref. No:</w:t>
            </w:r>
          </w:p>
        </w:tc>
        <w:tc>
          <w:tcPr>
            <w:tcW w:w="720" w:type="dxa"/>
            <w:vAlign w:val="bottom"/>
          </w:tcPr>
          <w:p>
            <w:pPr>
              <w:ind w:left="260"/>
              <w:spacing w:after="0"/>
              <w:rPr>
                <w:sz w:val="20"/>
                <w:szCs w:val="20"/>
                <w:color w:val="auto"/>
              </w:rPr>
            </w:pPr>
            <w:r>
              <w:rPr>
                <w:rFonts w:ascii="Arial" w:cs="Arial" w:eastAsia="Arial" w:hAnsi="Arial"/>
                <w:sz w:val="18"/>
                <w:szCs w:val="18"/>
                <w:color w:val="auto"/>
              </w:rPr>
              <w:t>[</w:t>
            </w:r>
          </w:p>
        </w:tc>
        <w:tc>
          <w:tcPr>
            <w:tcW w:w="2720" w:type="dxa"/>
            <w:vAlign w:val="bottom"/>
          </w:tcPr>
          <w:p>
            <w:pPr>
              <w:ind w:left="40"/>
              <w:spacing w:after="0"/>
              <w:rPr>
                <w:sz w:val="20"/>
                <w:szCs w:val="20"/>
                <w:color w:val="auto"/>
              </w:rPr>
            </w:pPr>
            <w:r>
              <w:rPr>
                <w:rFonts w:ascii="Arial" w:cs="Arial" w:eastAsia="Arial" w:hAnsi="Arial"/>
                <w:sz w:val="18"/>
                <w:szCs w:val="18"/>
                <w:color w:val="auto"/>
              </w:rPr>
              <w:t>](1)</w:t>
            </w: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720" w:type="dxa"/>
            <w:vAlign w:val="bottom"/>
          </w:tcPr>
          <w:p>
            <w:pPr>
              <w:ind w:left="260"/>
              <w:spacing w:after="0"/>
              <w:rPr>
                <w:sz w:val="20"/>
                <w:szCs w:val="20"/>
                <w:color w:val="auto"/>
              </w:rPr>
            </w:pPr>
            <w:r>
              <w:rPr>
                <w:rFonts w:ascii="Arial" w:cs="Arial" w:eastAsia="Arial" w:hAnsi="Arial"/>
                <w:sz w:val="18"/>
                <w:szCs w:val="18"/>
                <w:color w:val="auto"/>
                <w:w w:val="89"/>
              </w:rPr>
              <w:t>June [</w:t>
            </w:r>
          </w:p>
        </w:tc>
        <w:tc>
          <w:tcPr>
            <w:tcW w:w="2720" w:type="dxa"/>
            <w:vAlign w:val="bottom"/>
          </w:tcPr>
          <w:p>
            <w:pPr>
              <w:ind w:left="60"/>
              <w:spacing w:after="0"/>
              <w:rPr>
                <w:sz w:val="20"/>
                <w:szCs w:val="20"/>
                <w:color w:val="auto"/>
              </w:rPr>
            </w:pPr>
            <w:r>
              <w:rPr>
                <w:rFonts w:ascii="Arial" w:cs="Arial" w:eastAsia="Arial" w:hAnsi="Arial"/>
                <w:sz w:val="18"/>
                <w:szCs w:val="18"/>
                <w:color w:val="auto"/>
              </w:rPr>
              <w:t>],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The purpose of this communication (this “</w:t>
      </w:r>
      <w:r>
        <w:rPr>
          <w:rFonts w:ascii="Arial" w:cs="Arial" w:eastAsia="Arial" w:hAnsi="Arial"/>
          <w:sz w:val="18"/>
          <w:szCs w:val="18"/>
          <w:b w:val="1"/>
          <w:bCs w:val="1"/>
          <w:color w:val="auto"/>
        </w:rPr>
        <w:t>Confirmation</w:t>
      </w:r>
      <w:r>
        <w:rPr>
          <w:rFonts w:ascii="Arial" w:cs="Arial" w:eastAsia="Arial" w:hAnsi="Arial"/>
          <w:sz w:val="18"/>
          <w:szCs w:val="18"/>
          <w:color w:val="auto"/>
        </w:rPr>
        <w:t>”) is to set forth the terms and conditions of the above-referenced transaction entered into on 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 [Dealer] (“</w:t>
      </w:r>
      <w:r>
        <w:rPr>
          <w:rFonts w:ascii="Arial" w:cs="Arial" w:eastAsia="Arial" w:hAnsi="Arial"/>
          <w:sz w:val="18"/>
          <w:szCs w:val="18"/>
          <w:b w:val="1"/>
          <w:bCs w:val="1"/>
          <w:color w:val="auto"/>
        </w:rPr>
        <w:t>Dealer</w:t>
      </w:r>
      <w:r>
        <w:rPr>
          <w:rFonts w:ascii="Arial" w:cs="Arial" w:eastAsia="Arial" w:hAnsi="Arial"/>
          <w:sz w:val="18"/>
          <w:szCs w:val="18"/>
          <w:color w:val="auto"/>
        </w:rPr>
        <w:t>”) and MongoDB, Inc., a Delaware corporation (“</w:t>
      </w:r>
      <w:r>
        <w:rPr>
          <w:rFonts w:ascii="Arial" w:cs="Arial" w:eastAsia="Arial" w:hAnsi="Arial"/>
          <w:sz w:val="18"/>
          <w:szCs w:val="18"/>
          <w:b w:val="1"/>
          <w:bCs w:val="1"/>
          <w:color w:val="auto"/>
        </w:rPr>
        <w:t>Counterparty</w:t>
      </w:r>
      <w:r>
        <w:rPr>
          <w:rFonts w:ascii="Arial" w:cs="Arial" w:eastAsia="Arial" w:hAnsi="Arial"/>
          <w:sz w:val="18"/>
          <w:szCs w:val="18"/>
          <w:color w:val="auto"/>
        </w:rPr>
        <w:t>”). This communication constitutes a “Confirmation” as referred to in the ISDA Master Agreement specified below.</w:t>
      </w:r>
    </w:p>
    <w:p>
      <w:pPr>
        <w:spacing w:after="0" w:line="176" w:lineRule="exact"/>
        <w:rPr>
          <w:sz w:val="20"/>
          <w:szCs w:val="20"/>
          <w:color w:val="auto"/>
        </w:rPr>
      </w:pPr>
    </w:p>
    <w:p>
      <w:pPr>
        <w:ind w:right="60" w:firstLine="656"/>
        <w:spacing w:after="0" w:line="258" w:lineRule="auto"/>
        <w:tabs>
          <w:tab w:leader="none" w:pos="8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This Confirmation is subject to, and incorporates, the definitions and provisions of the 2006 ISDA Definitions (the “</w:t>
      </w:r>
      <w:r>
        <w:rPr>
          <w:rFonts w:ascii="Arial" w:cs="Arial" w:eastAsia="Arial" w:hAnsi="Arial"/>
          <w:sz w:val="18"/>
          <w:szCs w:val="18"/>
          <w:b w:val="1"/>
          <w:bCs w:val="1"/>
          <w:color w:val="auto"/>
        </w:rPr>
        <w:t>2006 Definitions</w:t>
      </w:r>
      <w:r>
        <w:rPr>
          <w:rFonts w:ascii="Arial" w:cs="Arial" w:eastAsia="Arial" w:hAnsi="Arial"/>
          <w:sz w:val="18"/>
          <w:szCs w:val="18"/>
          <w:color w:val="auto"/>
        </w:rPr>
        <w:t>”) and the definitions and provisions of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and together with the 2006 Definitions, the “</w:t>
      </w:r>
      <w:r>
        <w:rPr>
          <w:rFonts w:ascii="Arial" w:cs="Arial" w:eastAsia="Arial" w:hAnsi="Arial"/>
          <w:sz w:val="18"/>
          <w:szCs w:val="18"/>
          <w:b w:val="1"/>
          <w:bCs w:val="1"/>
          <w:color w:val="auto"/>
        </w:rPr>
        <w:t>Definitions</w:t>
      </w:r>
      <w:r>
        <w:rPr>
          <w:rFonts w:ascii="Arial" w:cs="Arial" w:eastAsia="Arial" w:hAnsi="Arial"/>
          <w:sz w:val="18"/>
          <w:szCs w:val="18"/>
          <w:color w:val="auto"/>
        </w:rPr>
        <w:t>”), in each case as published by the International Swaps and Derivatives Association, Inc. (“</w:t>
      </w:r>
      <w:r>
        <w:rPr>
          <w:rFonts w:ascii="Arial" w:cs="Arial" w:eastAsia="Arial" w:hAnsi="Arial"/>
          <w:sz w:val="18"/>
          <w:szCs w:val="18"/>
          <w:b w:val="1"/>
          <w:bCs w:val="1"/>
          <w:color w:val="auto"/>
        </w:rPr>
        <w:t>ISDA</w:t>
      </w:r>
      <w:r>
        <w:rPr>
          <w:rFonts w:ascii="Arial" w:cs="Arial" w:eastAsia="Arial" w:hAnsi="Arial"/>
          <w:sz w:val="18"/>
          <w:szCs w:val="18"/>
          <w:color w:val="auto"/>
        </w:rPr>
        <w:t>”). In the event of any inconsistency between the 2006 Definitions and the Equity Definitions, the Equity Definitions will govern and in the event of any inconsistency between terms defined in the Equity Definitions and this Confirmation, this Confirmation shall govern.</w:t>
      </w:r>
    </w:p>
    <w:p>
      <w:pPr>
        <w:spacing w:after="0" w:line="188" w:lineRule="exact"/>
        <w:rPr>
          <w:sz w:val="20"/>
          <w:szCs w:val="20"/>
          <w:color w:val="auto"/>
        </w:rPr>
      </w:pPr>
    </w:p>
    <w:p>
      <w:pPr>
        <w:jc w:val="both"/>
        <w:ind w:right="180" w:firstLine="648"/>
        <w:spacing w:after="0" w:line="288" w:lineRule="auto"/>
        <w:rPr>
          <w:sz w:val="20"/>
          <w:szCs w:val="20"/>
          <w:color w:val="auto"/>
        </w:rPr>
      </w:pPr>
      <w:r>
        <w:rPr>
          <w:rFonts w:ascii="Arial" w:cs="Arial" w:eastAsia="Arial" w:hAnsi="Arial"/>
          <w:sz w:val="16"/>
          <w:szCs w:val="16"/>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in the form of the 2002 ISDA Master Agreement as if Dealer and Counterparty had executed an agreement in such form on the Trade Date (but without any Schedule except for (i) the election of the laws of the State of</w:t>
      </w:r>
    </w:p>
    <w:p>
      <w:pPr>
        <w:ind w:right="20"/>
        <w:spacing w:after="0" w:line="281" w:lineRule="auto"/>
        <w:rPr>
          <w:sz w:val="20"/>
          <w:szCs w:val="20"/>
          <w:color w:val="auto"/>
        </w:rPr>
      </w:pPr>
      <w:r>
        <w:rPr>
          <w:rFonts w:ascii="Arial" w:cs="Arial" w:eastAsia="Arial" w:hAnsi="Arial"/>
          <w:sz w:val="16"/>
          <w:szCs w:val="16"/>
          <w:color w:val="auto"/>
        </w:rPr>
        <w:t>New York as the governing law (without reference to choice of law doctrine, [(ii) the election of an executed guarantee of [ ] (“</w:t>
      </w:r>
      <w:r>
        <w:rPr>
          <w:rFonts w:ascii="Arial" w:cs="Arial" w:eastAsia="Arial" w:hAnsi="Arial"/>
          <w:sz w:val="16"/>
          <w:szCs w:val="16"/>
          <w:b w:val="1"/>
          <w:bCs w:val="1"/>
          <w:color w:val="auto"/>
        </w:rPr>
        <w:t>Guarantor</w:t>
      </w:r>
      <w:r>
        <w:rPr>
          <w:rFonts w:ascii="Arial" w:cs="Arial" w:eastAsia="Arial" w:hAnsi="Arial"/>
          <w:sz w:val="16"/>
          <w:szCs w:val="16"/>
          <w:color w:val="auto"/>
        </w:rPr>
        <w:t>”) dated as of the Trade Date in substantially the form attached hereto as Schedule 1 as a Credit Support Document, (iii) the election of Guarantor as Credit Support Provider in relation to Dealer and (iv)](2) [and (ii)] the election that the “Cross Default” provisions of Section 5(a)(vi) of the Agreement shall apply to Dealer,</w:t>
      </w:r>
    </w:p>
    <w:p>
      <w:pPr>
        <w:spacing w:after="0" w:line="2" w:lineRule="exact"/>
        <w:rPr>
          <w:sz w:val="20"/>
          <w:szCs w:val="20"/>
          <w:color w:val="auto"/>
        </w:rPr>
      </w:pPr>
    </w:p>
    <w:p>
      <w:pPr>
        <w:ind w:right="260" w:firstLine="8"/>
        <w:spacing w:after="0" w:line="269" w:lineRule="auto"/>
        <w:tabs>
          <w:tab w:leader="none" w:pos="24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[with a Threshold Amount” of 3% of the shareholders’ equity of [Dealer] [[ ] [(“</w:t>
      </w:r>
      <w:r>
        <w:rPr>
          <w:rFonts w:ascii="Arial" w:cs="Arial" w:eastAsia="Arial" w:hAnsi="Arial"/>
          <w:sz w:val="17"/>
          <w:szCs w:val="17"/>
          <w:b w:val="1"/>
          <w:bCs w:val="1"/>
          <w:color w:val="auto"/>
        </w:rPr>
        <w:t>Dealer Parent</w:t>
      </w:r>
      <w:r>
        <w:rPr>
          <w:rFonts w:ascii="Arial" w:cs="Arial" w:eastAsia="Arial" w:hAnsi="Arial"/>
          <w:sz w:val="17"/>
          <w:szCs w:val="17"/>
          <w:color w:val="auto"/>
        </w:rPr>
        <w:t>”)](3) on the Trade Date, (b) “Specified Indebtedness” having the meaning set forth in Section 14 of the Agreement, except that it shall not include any obligation in respect of deposits received in the ordinary course of Dealer’s banking business, (c) the phrase “, or becoming capable at such time of being declared,” shall be deleted from clause (1) of such Section 5(a)(vi) of the Agreement, and (d) the following sentence shall be added to the end of Section 5(a)(vi) of the Agreement: “Notwithstanding the foregoing, a default under subsection (2) hereof shall not constitute an Event of Default if (i) the default was caused solely by error or omission of an administrative or operational nature; (ii) funds were available to enable the relevant party to make payment when due; and (iii) the payment is made within two Local Business Days of such party’s receipt of written notice of its failure to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2689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ind w:left="300" w:hanging="292"/>
        <w:spacing w:after="0"/>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applicable</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Requested if Dealer is not the highest rated entity in group, typically from Parent.</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Include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All provisions contained in, or incorporated by reference to, the Agreement will govern this Confirmation except as expressly modified herein. In the event of any inconsistency between this Confirmation and either the Definitions or the Agreement, this Confirmation shall govern.</w:t>
      </w:r>
    </w:p>
    <w:p>
      <w:pPr>
        <w:spacing w:after="0" w:line="147" w:lineRule="exact"/>
        <w:rPr>
          <w:sz w:val="20"/>
          <w:szCs w:val="20"/>
          <w:color w:val="auto"/>
        </w:rPr>
      </w:pPr>
    </w:p>
    <w:p>
      <w:pPr>
        <w:jc w:val="both"/>
        <w:ind w:right="280" w:firstLine="648"/>
        <w:spacing w:after="0" w:line="257" w:lineRule="auto"/>
        <w:rPr>
          <w:sz w:val="20"/>
          <w:szCs w:val="20"/>
          <w:color w:val="auto"/>
        </w:rPr>
      </w:pPr>
      <w:r>
        <w:rPr>
          <w:rFonts w:ascii="Arial" w:cs="Arial" w:eastAsia="Arial" w:hAnsi="Arial"/>
          <w:sz w:val="18"/>
          <w:szCs w:val="18"/>
          <w:color w:val="auto"/>
        </w:rPr>
        <w:t>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spacing w:after="0" w:line="188" w:lineRule="exact"/>
        <w:rPr>
          <w:sz w:val="20"/>
          <w:szCs w:val="20"/>
          <w:color w:val="auto"/>
        </w:rPr>
      </w:pPr>
    </w:p>
    <w:p>
      <w:pPr>
        <w:ind w:right="200" w:firstLine="656"/>
        <w:spacing w:after="0" w:line="277" w:lineRule="auto"/>
        <w:tabs>
          <w:tab w:leader="none" w:pos="8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Transaction constitutes a Share Option Transaction for purposes of the Equity Definitions. The terms of the particular Transaction to which this Confirmation relates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20"/>
                <w:szCs w:val="20"/>
                <w:color w:val="auto"/>
              </w:rPr>
            </w:pPr>
            <w:r>
              <w:rPr>
                <w:rFonts w:ascii="Arial" w:cs="Arial" w:eastAsia="Arial" w:hAnsi="Arial"/>
                <w:sz w:val="18"/>
                <w:szCs w:val="18"/>
                <w:color w:val="auto"/>
              </w:rPr>
              <w:t>General Terms:</w:t>
            </w:r>
          </w:p>
        </w:tc>
        <w:tc>
          <w:tcPr>
            <w:tcW w:w="1840" w:type="dxa"/>
            <w:vAlign w:val="bottom"/>
          </w:tcPr>
          <w:p>
            <w:pPr>
              <w:spacing w:after="0"/>
              <w:rPr>
                <w:sz w:val="20"/>
                <w:szCs w:val="20"/>
                <w:color w:val="auto"/>
              </w:rPr>
            </w:pPr>
          </w:p>
        </w:tc>
        <w:tc>
          <w:tcPr>
            <w:tcW w:w="6000" w:type="dxa"/>
            <w:vAlign w:val="bottom"/>
          </w:tcPr>
          <w:p>
            <w:pPr>
              <w:spacing w:after="0"/>
              <w:rPr>
                <w:sz w:val="20"/>
                <w:szCs w:val="20"/>
                <w:color w:val="auto"/>
              </w:rPr>
            </w:pPr>
          </w:p>
        </w:tc>
      </w:tr>
      <w:tr>
        <w:trPr>
          <w:trHeight w:val="432"/>
        </w:trPr>
        <w:tc>
          <w:tcPr>
            <w:tcW w:w="2960" w:type="dxa"/>
            <w:vAlign w:val="bottom"/>
          </w:tcPr>
          <w:p>
            <w:pPr>
              <w:ind w:left="520"/>
              <w:spacing w:after="0"/>
              <w:rPr>
                <w:sz w:val="20"/>
                <w:szCs w:val="20"/>
                <w:color w:val="auto"/>
              </w:rPr>
            </w:pPr>
            <w:r>
              <w:rPr>
                <w:rFonts w:ascii="Arial" w:cs="Arial" w:eastAsia="Arial" w:hAnsi="Arial"/>
                <w:sz w:val="18"/>
                <w:szCs w:val="18"/>
                <w:color w:val="auto"/>
              </w:rPr>
              <w:t>Trade Date:</w:t>
            </w:r>
          </w:p>
        </w:tc>
        <w:tc>
          <w:tcPr>
            <w:tcW w:w="1840" w:type="dxa"/>
            <w:vAlign w:val="bottom"/>
          </w:tcPr>
          <w:p>
            <w:pPr>
              <w:ind w:left="1360"/>
              <w:spacing w:after="0"/>
              <w:rPr>
                <w:sz w:val="20"/>
                <w:szCs w:val="20"/>
                <w:color w:val="auto"/>
              </w:rPr>
            </w:pPr>
            <w:r>
              <w:rPr>
                <w:rFonts w:ascii="Arial" w:cs="Arial" w:eastAsia="Arial" w:hAnsi="Arial"/>
                <w:sz w:val="18"/>
                <w:szCs w:val="18"/>
                <w:color w:val="auto"/>
                <w:w w:val="93"/>
              </w:rPr>
              <w:t>June [</w:t>
            </w:r>
          </w:p>
        </w:tc>
        <w:tc>
          <w:tcPr>
            <w:tcW w:w="6000" w:type="dxa"/>
            <w:vAlign w:val="bottom"/>
          </w:tcPr>
          <w:p>
            <w:pPr>
              <w:ind w:left="40"/>
              <w:spacing w:after="0"/>
              <w:rPr>
                <w:sz w:val="20"/>
                <w:szCs w:val="20"/>
                <w:color w:val="auto"/>
              </w:rPr>
            </w:pPr>
            <w:r>
              <w:rPr>
                <w:rFonts w:ascii="Arial" w:cs="Arial" w:eastAsia="Arial" w:hAnsi="Arial"/>
                <w:sz w:val="18"/>
                <w:szCs w:val="18"/>
                <w:color w:val="auto"/>
              </w:rPr>
              <w:t>], 2018</w:t>
            </w:r>
          </w:p>
        </w:tc>
      </w:tr>
      <w:tr>
        <w:trPr>
          <w:trHeight w:val="432"/>
        </w:trPr>
        <w:tc>
          <w:tcPr>
            <w:tcW w:w="2960" w:type="dxa"/>
            <w:vAlign w:val="bottom"/>
          </w:tcPr>
          <w:p>
            <w:pPr>
              <w:ind w:left="520"/>
              <w:spacing w:after="0"/>
              <w:rPr>
                <w:sz w:val="20"/>
                <w:szCs w:val="20"/>
                <w:color w:val="auto"/>
              </w:rPr>
            </w:pPr>
            <w:r>
              <w:rPr>
                <w:rFonts w:ascii="Arial" w:cs="Arial" w:eastAsia="Arial" w:hAnsi="Arial"/>
                <w:sz w:val="18"/>
                <w:szCs w:val="18"/>
                <w:color w:val="auto"/>
              </w:rPr>
              <w:t>Effective Date:</w:t>
            </w:r>
          </w:p>
        </w:tc>
        <w:tc>
          <w:tcPr>
            <w:tcW w:w="1840" w:type="dxa"/>
            <w:vAlign w:val="bottom"/>
          </w:tcPr>
          <w:p>
            <w:pPr>
              <w:ind w:left="1360"/>
              <w:spacing w:after="0"/>
              <w:rPr>
                <w:sz w:val="20"/>
                <w:szCs w:val="20"/>
                <w:color w:val="auto"/>
              </w:rPr>
            </w:pPr>
            <w:r>
              <w:rPr>
                <w:rFonts w:ascii="Arial" w:cs="Arial" w:eastAsia="Arial" w:hAnsi="Arial"/>
                <w:sz w:val="18"/>
                <w:szCs w:val="18"/>
                <w:color w:val="auto"/>
                <w:w w:val="93"/>
              </w:rPr>
              <w:t>June [</w:t>
            </w:r>
          </w:p>
        </w:tc>
        <w:tc>
          <w:tcPr>
            <w:tcW w:w="6000" w:type="dxa"/>
            <w:vAlign w:val="bottom"/>
          </w:tcPr>
          <w:p>
            <w:pPr>
              <w:ind w:left="40"/>
              <w:spacing w:after="0"/>
              <w:rPr>
                <w:sz w:val="20"/>
                <w:szCs w:val="20"/>
                <w:color w:val="auto"/>
              </w:rPr>
            </w:pPr>
            <w:r>
              <w:rPr>
                <w:rFonts w:ascii="Arial" w:cs="Arial" w:eastAsia="Arial" w:hAnsi="Arial"/>
                <w:sz w:val="18"/>
                <w:szCs w:val="18"/>
                <w:color w:val="auto"/>
              </w:rPr>
              <w:t>], 2018, or such other date as agreed by the parties in writing.</w:t>
            </w:r>
          </w:p>
        </w:tc>
      </w:tr>
      <w:tr>
        <w:trPr>
          <w:trHeight w:val="418"/>
        </w:trPr>
        <w:tc>
          <w:tcPr>
            <w:tcW w:w="2960" w:type="dxa"/>
            <w:vAlign w:val="bottom"/>
          </w:tcPr>
          <w:p>
            <w:pPr>
              <w:ind w:left="520"/>
              <w:spacing w:after="0"/>
              <w:rPr>
                <w:sz w:val="20"/>
                <w:szCs w:val="20"/>
                <w:color w:val="auto"/>
              </w:rPr>
            </w:pPr>
            <w:r>
              <w:rPr>
                <w:rFonts w:ascii="Arial" w:cs="Arial" w:eastAsia="Arial" w:hAnsi="Arial"/>
                <w:sz w:val="18"/>
                <w:szCs w:val="18"/>
                <w:color w:val="auto"/>
              </w:rPr>
              <w:t>Components:</w:t>
            </w:r>
          </w:p>
        </w:tc>
        <w:tc>
          <w:tcPr>
            <w:tcW w:w="7840" w:type="dxa"/>
            <w:vAlign w:val="bottom"/>
            <w:gridSpan w:val="2"/>
          </w:tcPr>
          <w:p>
            <w:pPr>
              <w:ind w:left="1360"/>
              <w:spacing w:after="0"/>
              <w:rPr>
                <w:sz w:val="20"/>
                <w:szCs w:val="20"/>
                <w:color w:val="auto"/>
              </w:rPr>
            </w:pPr>
            <w:r>
              <w:rPr>
                <w:rFonts w:ascii="Arial" w:cs="Arial" w:eastAsia="Arial" w:hAnsi="Arial"/>
                <w:sz w:val="18"/>
                <w:szCs w:val="18"/>
                <w:color w:val="auto"/>
                <w:w w:val="91"/>
              </w:rPr>
              <w:t>The Transaction will be divided into individual Components, each with the terms set forth</w:t>
            </w:r>
          </w:p>
        </w:tc>
      </w:tr>
      <w:tr>
        <w:trPr>
          <w:trHeight w:val="216"/>
        </w:trPr>
        <w:tc>
          <w:tcPr>
            <w:tcW w:w="2960" w:type="dxa"/>
            <w:vAlign w:val="bottom"/>
          </w:tcPr>
          <w:p>
            <w:pPr>
              <w:spacing w:after="0"/>
              <w:rPr>
                <w:sz w:val="18"/>
                <w:szCs w:val="18"/>
                <w:color w:val="auto"/>
              </w:rPr>
            </w:pPr>
          </w:p>
        </w:tc>
        <w:tc>
          <w:tcPr>
            <w:tcW w:w="7840" w:type="dxa"/>
            <w:vAlign w:val="bottom"/>
            <w:gridSpan w:val="2"/>
          </w:tcPr>
          <w:p>
            <w:pPr>
              <w:ind w:left="1360"/>
              <w:spacing w:after="0"/>
              <w:rPr>
                <w:sz w:val="20"/>
                <w:szCs w:val="20"/>
                <w:color w:val="auto"/>
              </w:rPr>
            </w:pPr>
            <w:r>
              <w:rPr>
                <w:rFonts w:ascii="Arial" w:cs="Arial" w:eastAsia="Arial" w:hAnsi="Arial"/>
                <w:sz w:val="18"/>
                <w:szCs w:val="18"/>
                <w:color w:val="auto"/>
                <w:w w:val="93"/>
              </w:rPr>
              <w:t>in this Confirmation, and, in particular, with the Number of Options and Expiration Date</w:t>
            </w:r>
          </w:p>
        </w:tc>
      </w:tr>
      <w:tr>
        <w:trPr>
          <w:trHeight w:val="216"/>
        </w:trPr>
        <w:tc>
          <w:tcPr>
            <w:tcW w:w="2960" w:type="dxa"/>
            <w:vAlign w:val="bottom"/>
          </w:tcPr>
          <w:p>
            <w:pPr>
              <w:spacing w:after="0"/>
              <w:rPr>
                <w:sz w:val="18"/>
                <w:szCs w:val="18"/>
                <w:color w:val="auto"/>
              </w:rPr>
            </w:pPr>
          </w:p>
        </w:tc>
        <w:tc>
          <w:tcPr>
            <w:tcW w:w="7840" w:type="dxa"/>
            <w:vAlign w:val="bottom"/>
            <w:gridSpan w:val="2"/>
          </w:tcPr>
          <w:p>
            <w:pPr>
              <w:ind w:left="1360"/>
              <w:spacing w:after="0"/>
              <w:rPr>
                <w:sz w:val="20"/>
                <w:szCs w:val="20"/>
                <w:color w:val="auto"/>
              </w:rPr>
            </w:pPr>
            <w:r>
              <w:rPr>
                <w:rFonts w:ascii="Arial" w:cs="Arial" w:eastAsia="Arial" w:hAnsi="Arial"/>
                <w:sz w:val="18"/>
                <w:szCs w:val="18"/>
                <w:color w:val="auto"/>
                <w:w w:val="94"/>
              </w:rPr>
              <w:t>set forth in Annex A to this Confirmation. The exercise, valuation and settlement of the</w:t>
            </w:r>
          </w:p>
        </w:tc>
      </w:tr>
      <w:tr>
        <w:trPr>
          <w:trHeight w:val="216"/>
        </w:trPr>
        <w:tc>
          <w:tcPr>
            <w:tcW w:w="2960" w:type="dxa"/>
            <w:vAlign w:val="bottom"/>
          </w:tcPr>
          <w:p>
            <w:pPr>
              <w:spacing w:after="0"/>
              <w:rPr>
                <w:sz w:val="18"/>
                <w:szCs w:val="18"/>
                <w:color w:val="auto"/>
              </w:rPr>
            </w:pPr>
          </w:p>
        </w:tc>
        <w:tc>
          <w:tcPr>
            <w:tcW w:w="7840" w:type="dxa"/>
            <w:vAlign w:val="bottom"/>
            <w:gridSpan w:val="2"/>
          </w:tcPr>
          <w:p>
            <w:pPr>
              <w:ind w:left="1360"/>
              <w:spacing w:after="0"/>
              <w:rPr>
                <w:sz w:val="20"/>
                <w:szCs w:val="20"/>
                <w:color w:val="auto"/>
              </w:rPr>
            </w:pPr>
            <w:r>
              <w:rPr>
                <w:rFonts w:ascii="Arial" w:cs="Arial" w:eastAsia="Arial" w:hAnsi="Arial"/>
                <w:sz w:val="18"/>
                <w:szCs w:val="18"/>
                <w:color w:val="auto"/>
                <w:w w:val="90"/>
              </w:rPr>
              <w:t>Transaction will be effected separately for each Component as if each Component were a</w:t>
            </w:r>
          </w:p>
        </w:tc>
      </w:tr>
      <w:tr>
        <w:trPr>
          <w:trHeight w:val="230"/>
        </w:trPr>
        <w:tc>
          <w:tcPr>
            <w:tcW w:w="2960" w:type="dxa"/>
            <w:vAlign w:val="bottom"/>
          </w:tcPr>
          <w:p>
            <w:pPr>
              <w:spacing w:after="0"/>
              <w:rPr>
                <w:sz w:val="20"/>
                <w:szCs w:val="20"/>
                <w:color w:val="auto"/>
              </w:rPr>
            </w:pPr>
          </w:p>
        </w:tc>
        <w:tc>
          <w:tcPr>
            <w:tcW w:w="7840" w:type="dxa"/>
            <w:vAlign w:val="bottom"/>
            <w:gridSpan w:val="2"/>
          </w:tcPr>
          <w:p>
            <w:pPr>
              <w:ind w:left="1360"/>
              <w:spacing w:after="0"/>
              <w:rPr>
                <w:sz w:val="20"/>
                <w:szCs w:val="20"/>
                <w:color w:val="auto"/>
              </w:rPr>
            </w:pPr>
            <w:r>
              <w:rPr>
                <w:rFonts w:ascii="Arial" w:cs="Arial" w:eastAsia="Arial" w:hAnsi="Arial"/>
                <w:sz w:val="18"/>
                <w:szCs w:val="18"/>
                <w:color w:val="auto"/>
              </w:rPr>
              <w:t>separate Transaction under the Agreement.</w:t>
            </w:r>
          </w:p>
        </w:tc>
      </w:tr>
      <w:tr>
        <w:trPr>
          <w:trHeight w:val="432"/>
        </w:trPr>
        <w:tc>
          <w:tcPr>
            <w:tcW w:w="2960" w:type="dxa"/>
            <w:vAlign w:val="bottom"/>
          </w:tcPr>
          <w:p>
            <w:pPr>
              <w:ind w:left="520"/>
              <w:spacing w:after="0"/>
              <w:rPr>
                <w:sz w:val="20"/>
                <w:szCs w:val="20"/>
                <w:color w:val="auto"/>
              </w:rPr>
            </w:pPr>
            <w:r>
              <w:rPr>
                <w:rFonts w:ascii="Arial" w:cs="Arial" w:eastAsia="Arial" w:hAnsi="Arial"/>
                <w:sz w:val="18"/>
                <w:szCs w:val="18"/>
                <w:color w:val="auto"/>
              </w:rPr>
              <w:t>Option Style:</w:t>
            </w:r>
          </w:p>
        </w:tc>
        <w:tc>
          <w:tcPr>
            <w:tcW w:w="7840" w:type="dxa"/>
            <w:vAlign w:val="bottom"/>
            <w:gridSpan w:val="2"/>
          </w:tcPr>
          <w:p>
            <w:pPr>
              <w:ind w:left="1360"/>
              <w:spacing w:after="0"/>
              <w:rPr>
                <w:sz w:val="20"/>
                <w:szCs w:val="20"/>
                <w:color w:val="auto"/>
              </w:rPr>
            </w:pPr>
            <w:r>
              <w:rPr>
                <w:rFonts w:ascii="Arial" w:cs="Arial" w:eastAsia="Arial" w:hAnsi="Arial"/>
                <w:sz w:val="18"/>
                <w:szCs w:val="18"/>
                <w:color w:val="auto"/>
              </w:rPr>
              <w:t>“European”, as described under “Procedures for Exercise” below.</w:t>
            </w:r>
          </w:p>
        </w:tc>
      </w:tr>
    </w:tbl>
    <w:p>
      <w:pPr>
        <w:sectPr>
          <w:pgSz w:w="11900" w:h="16838" w:orient="portrait"/>
          <w:cols w:equalWidth="0" w:num="1">
            <w:col w:w="11420"/>
          </w:cols>
          <w:pgMar w:left="240" w:top="121" w:right="239" w:bottom="0" w:gutter="0" w:footer="0" w:header="0"/>
        </w:sectPr>
      </w:pPr>
    </w:p>
    <w:bookmarkStart w:id="75" w:name="page76"/>
    <w:bookmarkEnd w:id="75"/>
    <w:p>
      <w:pPr>
        <w:spacing w:after="0" w:line="5" w:lineRule="exact"/>
        <w:rPr>
          <w:sz w:val="20"/>
          <w:szCs w:val="20"/>
          <w:color w:val="auto"/>
        </w:rPr>
      </w:pPr>
    </w:p>
    <w:p>
      <w:pPr>
        <w:ind w:left="512"/>
        <w:spacing w:after="0"/>
        <w:rPr>
          <w:sz w:val="20"/>
          <w:szCs w:val="20"/>
          <w:color w:val="auto"/>
        </w:rPr>
      </w:pPr>
      <w:r>
        <w:rPr>
          <w:rFonts w:ascii="Arial" w:cs="Arial" w:eastAsia="Arial" w:hAnsi="Arial"/>
          <w:sz w:val="16"/>
          <w:szCs w:val="16"/>
          <w:color w:val="auto"/>
        </w:rPr>
        <w:t>Option Type: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Call</w:t>
      </w:r>
    </w:p>
    <w:p>
      <w:pPr>
        <w:spacing w:after="0" w:line="200" w:lineRule="exact"/>
        <w:rPr>
          <w:sz w:val="20"/>
          <w:szCs w:val="20"/>
          <w:color w:val="auto"/>
        </w:rPr>
      </w:pPr>
    </w:p>
    <w:p>
      <w:pPr>
        <w:sectPr>
          <w:pgSz w:w="11900" w:h="16843" w:orient="portrait"/>
          <w:cols w:equalWidth="0" w:num="2">
            <w:col w:w="3592" w:space="720"/>
            <w:col w:w="7020"/>
          </w:cols>
          <w:pgMar w:left="248" w:top="125" w:right="319" w:bottom="0" w:gutter="0" w:footer="0" w:header="0"/>
        </w:sectPr>
      </w:pPr>
    </w:p>
    <w:p>
      <w:pPr>
        <w:spacing w:after="0" w:line="37" w:lineRule="exact"/>
        <w:rPr>
          <w:sz w:val="20"/>
          <w:szCs w:val="20"/>
          <w:color w:val="auto"/>
        </w:rPr>
      </w:pPr>
    </w:p>
    <w:p>
      <w:pPr>
        <w:ind w:left="512"/>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Dealer</w:t>
      </w:r>
    </w:p>
    <w:p>
      <w:pPr>
        <w:spacing w:after="0" w:line="200" w:lineRule="exact"/>
        <w:rPr>
          <w:sz w:val="20"/>
          <w:szCs w:val="20"/>
          <w:color w:val="auto"/>
        </w:rPr>
      </w:pPr>
    </w:p>
    <w:p>
      <w:pPr>
        <w:sectPr>
          <w:pgSz w:w="11900" w:h="16843" w:orient="portrait"/>
          <w:cols w:equalWidth="0" w:num="2">
            <w:col w:w="3592" w:space="720"/>
            <w:col w:w="7020"/>
          </w:cols>
          <w:pgMar w:left="248" w:top="125" w:right="319" w:bottom="0" w:gutter="0" w:footer="0" w:header="0"/>
          <w:type w:val="continuous"/>
        </w:sectPr>
      </w:pPr>
    </w:p>
    <w:p>
      <w:pPr>
        <w:spacing w:after="0" w:line="48" w:lineRule="exact"/>
        <w:rPr>
          <w:sz w:val="20"/>
          <w:szCs w:val="20"/>
          <w:color w:val="auto"/>
        </w:rPr>
      </w:pPr>
    </w:p>
    <w:p>
      <w:pPr>
        <w:ind w:left="512"/>
        <w:spacing w:after="0"/>
        <w:rPr>
          <w:sz w:val="20"/>
          <w:szCs w:val="20"/>
          <w:color w:val="auto"/>
        </w:rPr>
      </w:pPr>
      <w:r>
        <w:rPr>
          <w:rFonts w:ascii="Arial" w:cs="Arial" w:eastAsia="Arial" w:hAnsi="Arial"/>
          <w:sz w:val="16"/>
          <w:szCs w:val="16"/>
          <w:color w:val="auto"/>
        </w:rPr>
        <w:t>Buyer: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Counterparty</w:t>
      </w:r>
    </w:p>
    <w:p>
      <w:pPr>
        <w:spacing w:after="0" w:line="200" w:lineRule="exact"/>
        <w:rPr>
          <w:sz w:val="20"/>
          <w:szCs w:val="20"/>
          <w:color w:val="auto"/>
        </w:rPr>
      </w:pPr>
    </w:p>
    <w:p>
      <w:pPr>
        <w:sectPr>
          <w:pgSz w:w="11900" w:h="16843" w:orient="portrait"/>
          <w:cols w:equalWidth="0" w:num="2">
            <w:col w:w="3592" w:space="720"/>
            <w:col w:w="7020"/>
          </w:cols>
          <w:pgMar w:left="248" w:top="125" w:right="319" w:bottom="0" w:gutter="0" w:footer="0" w:header="0"/>
          <w:type w:val="continuous"/>
        </w:sectPr>
      </w:pPr>
    </w:p>
    <w:p>
      <w:pPr>
        <w:spacing w:after="0" w:line="48" w:lineRule="exact"/>
        <w:rPr>
          <w:sz w:val="20"/>
          <w:szCs w:val="20"/>
          <w:color w:val="auto"/>
        </w:rPr>
      </w:pPr>
    </w:p>
    <w:p>
      <w:pPr>
        <w:ind w:left="512"/>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of Counterparty, par value USD$0.0001 (Ticker Symbol: “MDB”).</w:t>
      </w:r>
    </w:p>
    <w:p>
      <w:pPr>
        <w:spacing w:after="0" w:line="200" w:lineRule="exact"/>
        <w:rPr>
          <w:sz w:val="20"/>
          <w:szCs w:val="20"/>
          <w:color w:val="auto"/>
        </w:rPr>
      </w:pPr>
    </w:p>
    <w:p>
      <w:pPr>
        <w:sectPr>
          <w:pgSz w:w="11900" w:h="16843" w:orient="portrait"/>
          <w:cols w:equalWidth="0" w:num="2">
            <w:col w:w="3592" w:space="720"/>
            <w:col w:w="7020"/>
          </w:cols>
          <w:pgMar w:left="248" w:top="125" w:right="319" w:bottom="0" w:gutter="0" w:footer="0" w:header="0"/>
          <w:type w:val="continuous"/>
        </w:sectPr>
      </w:pPr>
    </w:p>
    <w:p>
      <w:pPr>
        <w:spacing w:after="0" w:line="48" w:lineRule="exact"/>
        <w:rPr>
          <w:sz w:val="20"/>
          <w:szCs w:val="20"/>
          <w:color w:val="auto"/>
        </w:rPr>
      </w:pPr>
    </w:p>
    <w:p>
      <w:pPr>
        <w:ind w:left="512"/>
        <w:spacing w:after="0"/>
        <w:rPr>
          <w:sz w:val="20"/>
          <w:szCs w:val="20"/>
          <w:color w:val="auto"/>
        </w:rPr>
      </w:pPr>
      <w:r>
        <w:rPr>
          <w:rFonts w:ascii="Arial" w:cs="Arial" w:eastAsia="Arial" w:hAnsi="Arial"/>
          <w:sz w:val="16"/>
          <w:szCs w:val="16"/>
          <w:color w:val="auto"/>
        </w:rPr>
        <w:t>Number of Options: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For each Component, as provided in Annex A to this Confirmation.(4)</w:t>
      </w:r>
    </w:p>
    <w:p>
      <w:pPr>
        <w:spacing w:after="0" w:line="200" w:lineRule="exact"/>
        <w:rPr>
          <w:sz w:val="20"/>
          <w:szCs w:val="20"/>
          <w:color w:val="auto"/>
        </w:rPr>
      </w:pPr>
    </w:p>
    <w:p>
      <w:pPr>
        <w:sectPr>
          <w:pgSz w:w="11900" w:h="16843" w:orient="portrait"/>
          <w:cols w:equalWidth="0" w:num="2">
            <w:col w:w="3592" w:space="720"/>
            <w:col w:w="7020"/>
          </w:cols>
          <w:pgMar w:left="248" w:top="125" w:right="319" w:bottom="0" w:gutter="0" w:footer="0" w:header="0"/>
          <w:type w:val="continuous"/>
        </w:sectPr>
      </w:pPr>
    </w:p>
    <w:p>
      <w:pPr>
        <w:spacing w:after="0" w:line="48" w:lineRule="exact"/>
        <w:rPr>
          <w:sz w:val="20"/>
          <w:szCs w:val="20"/>
          <w:color w:val="auto"/>
        </w:rPr>
      </w:pPr>
    </w:p>
    <w:p>
      <w:pPr>
        <w:ind w:left="512"/>
        <w:spacing w:after="0"/>
        <w:rPr>
          <w:sz w:val="20"/>
          <w:szCs w:val="20"/>
          <w:color w:val="auto"/>
        </w:rPr>
      </w:pPr>
      <w:r>
        <w:rPr>
          <w:rFonts w:ascii="Arial" w:cs="Arial" w:eastAsia="Arial" w:hAnsi="Arial"/>
          <w:sz w:val="16"/>
          <w:szCs w:val="16"/>
          <w:color w:val="auto"/>
        </w:rPr>
        <w:t>Option Entitlement: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One Share Per Option</w:t>
      </w:r>
    </w:p>
    <w:p>
      <w:pPr>
        <w:spacing w:after="0" w:line="211" w:lineRule="exact"/>
        <w:rPr>
          <w:sz w:val="20"/>
          <w:szCs w:val="20"/>
          <w:color w:val="auto"/>
        </w:rPr>
      </w:pPr>
    </w:p>
    <w:p>
      <w:pPr>
        <w:sectPr>
          <w:pgSz w:w="11900" w:h="16843" w:orient="portrait"/>
          <w:cols w:equalWidth="0" w:num="2">
            <w:col w:w="3592" w:space="720"/>
            <w:col w:w="7020"/>
          </w:cols>
          <w:pgMar w:left="248" w:top="125" w:right="319" w:bottom="0" w:gutter="0" w:footer="0" w:header="0"/>
          <w:type w:val="continuous"/>
        </w:sectPr>
      </w:pPr>
    </w:p>
    <w:p>
      <w:pPr>
        <w:spacing w:after="0" w:line="48" w:lineRule="exact"/>
        <w:rPr>
          <w:sz w:val="20"/>
          <w:szCs w:val="20"/>
          <w:color w:val="auto"/>
        </w:rPr>
      </w:pPr>
    </w:p>
    <w:p>
      <w:pPr>
        <w:ind w:left="512"/>
        <w:spacing w:after="0"/>
        <w:rPr>
          <w:sz w:val="20"/>
          <w:szCs w:val="20"/>
          <w:color w:val="auto"/>
        </w:rPr>
      </w:pPr>
      <w:r>
        <w:rPr>
          <w:rFonts w:ascii="Arial" w:cs="Arial" w:eastAsia="Arial" w:hAnsi="Arial"/>
          <w:sz w:val="16"/>
          <w:szCs w:val="16"/>
          <w:color w:val="auto"/>
        </w:rPr>
        <w:t>Strike Price: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USD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43" w:orient="portrait"/>
          <w:cols w:equalWidth="0" w:num="3">
            <w:col w:w="3592" w:space="720"/>
            <w:col w:w="460" w:space="220"/>
            <w:col w:w="6340"/>
          </w:cols>
          <w:pgMar w:left="248" w:top="125" w:right="319" w:bottom="0" w:gutter="0" w:footer="0" w:header="0"/>
          <w:type w:val="continuous"/>
        </w:sectPr>
      </w:pPr>
    </w:p>
    <w:p>
      <w:pPr>
        <w:spacing w:after="0" w:line="25" w:lineRule="exact"/>
        <w:rPr>
          <w:sz w:val="20"/>
          <w:szCs w:val="20"/>
          <w:color w:val="auto"/>
        </w:rPr>
      </w:pPr>
    </w:p>
    <w:p>
      <w:pPr>
        <w:ind w:left="512"/>
        <w:spacing w:after="0"/>
        <w:rPr>
          <w:sz w:val="20"/>
          <w:szCs w:val="20"/>
          <w:color w:val="auto"/>
        </w:rPr>
      </w:pPr>
      <w:r>
        <w:rPr>
          <w:rFonts w:ascii="Arial" w:cs="Arial" w:eastAsia="Arial" w:hAnsi="Arial"/>
          <w:sz w:val="15"/>
          <w:szCs w:val="15"/>
          <w:color w:val="auto"/>
        </w:rPr>
        <w:t>Cap Price: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USD [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Cap Price be reduced to an amount less than the Strike Price in connection with any adjustment by the Calculation Agent under this Confirmation.</w:t>
      </w:r>
    </w:p>
    <w:p>
      <w:pPr>
        <w:spacing w:after="0" w:line="181" w:lineRule="exact"/>
        <w:rPr>
          <w:sz w:val="20"/>
          <w:szCs w:val="20"/>
          <w:color w:val="auto"/>
        </w:rPr>
      </w:pPr>
    </w:p>
    <w:p>
      <w:pPr>
        <w:sectPr>
          <w:pgSz w:w="11900" w:h="16843" w:orient="portrait"/>
          <w:cols w:equalWidth="0" w:num="2">
            <w:col w:w="3592" w:space="720"/>
            <w:col w:w="7020"/>
          </w:cols>
          <w:pgMar w:left="248" w:top="125" w:right="319" w:bottom="0" w:gutter="0" w:footer="0" w:header="0"/>
          <w:type w:val="continuous"/>
        </w:sectPr>
      </w:pPr>
    </w:p>
    <w:p>
      <w:pPr>
        <w:ind w:left="512"/>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 of any date, a number of Shares equal to the product of (i) the Number of Options and</w:t>
      </w:r>
    </w:p>
    <w:p>
      <w:pPr>
        <w:spacing w:after="0" w:line="46" w:lineRule="exact"/>
        <w:rPr>
          <w:sz w:val="20"/>
          <w:szCs w:val="20"/>
          <w:color w:val="auto"/>
        </w:rPr>
      </w:pPr>
    </w:p>
    <w:p>
      <w:pPr>
        <w:sectPr>
          <w:pgSz w:w="11900" w:h="16843" w:orient="portrait"/>
          <w:cols w:equalWidth="0" w:num="2">
            <w:col w:w="3592" w:space="720"/>
            <w:col w:w="7020"/>
          </w:cols>
          <w:pgMar w:left="248" w:top="125" w:right="319" w:bottom="0" w:gutter="0" w:footer="0" w:header="0"/>
          <w:type w:val="continuous"/>
        </w:sectPr>
      </w:pPr>
    </w:p>
    <w:p>
      <w:pPr>
        <w:ind w:left="4572" w:hanging="264"/>
        <w:spacing w:after="0"/>
        <w:tabs>
          <w:tab w:leader="none" w:pos="457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the Option Entitlement.</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8" w:firstLine="8"/>
        <w:spacing w:after="0" w:line="259" w:lineRule="auto"/>
        <w:tabs>
          <w:tab w:leader="none" w:pos="29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For the base capped call, the total should be equal to (i) the number of Convertible Securities in principal amount of $1,000 initially issued on the closing date for the Convertible Securities (excluding any Convertible Securities sold pursuant to the over-allotment option)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(ii) the initial conversion rate. For the additional capped call, the total should be equal to (i) the number of additional Convertible Securities in principal amount of $1,000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w:t>
      </w:r>
      <w:r>
        <w:rPr>
          <w:rFonts w:ascii="Arial" w:cs="Arial" w:eastAsia="Arial" w:hAnsi="Arial"/>
          <w:sz w:val="18"/>
          <w:szCs w:val="18"/>
          <w:color w:val="auto"/>
        </w:rPr>
        <w:t>(ii) the initial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-635000</wp:posOffset>
            </wp:positionV>
            <wp:extent cx="18268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194310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332" w:type="dxa"/>
        <w:tblCellMar>
          <w:top w:w="0" w:type="dxa"/>
          <w:left w:w="0" w:type="dxa"/>
          <w:bottom w:w="0" w:type="dxa"/>
          <w:right w:w="0" w:type="dxa"/>
        </w:tblCellMar>
      </w:tblP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Premium:</w:t>
            </w: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rPr>
              <w:t>USD [   ] (Premium per Option approximately USD [   ]); Dealer and Counterparty</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6"/>
              </w:rPr>
              <w:t>hereby agree that notwithstanding anything to the contrary herein or in the Agreement,</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7"/>
              </w:rPr>
              <w:t>following the payment of the Premium, in the event that (a) an Early Termination Date</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1"/>
              </w:rPr>
              <w:t>(whether as a result of an Event of Default or a Termination Event) (other than an Event of</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rPr>
              <w:t>Default arising under Section 5(a)(ii) or 5(a)(iv) of the Agreement that is within the</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3"/>
              </w:rPr>
              <w:t>Counterparty’s control) occurs or is designated with respect to any Transaction and, as a</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rPr>
              <w:t>result, Counterparty owes to Dealer the amount calculated under Section 6(d) and</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0"/>
              </w:rPr>
              <w:t>Section 6(e) or otherwise under the Agreement (calculated as if the Transactions terminated</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8"/>
              </w:rPr>
              <w:t>on such Early Termination Date were the sole Transactions under the Agreement) or</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0"/>
              </w:rPr>
              <w:t>(b) Counterparty owes to Dealer, pursuant to Sections 12.2, 12.3, 12.6, 12.7, 12.8 or 12.9 of</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7"/>
              </w:rPr>
              <w:t>the Equity Definitions or otherwise under the Equity Definitions, an amount calculated</w:t>
            </w:r>
          </w:p>
        </w:tc>
      </w:tr>
      <w:tr>
        <w:trPr>
          <w:trHeight w:val="230"/>
        </w:trPr>
        <w:tc>
          <w:tcPr>
            <w:tcW w:w="2960" w:type="dxa"/>
            <w:vAlign w:val="bottom"/>
          </w:tcPr>
          <w:p>
            <w:pPr>
              <w:spacing w:after="0"/>
              <w:rPr>
                <w:sz w:val="20"/>
                <w:szCs w:val="20"/>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6"/>
              </w:rPr>
              <w:t>under Section 12.8 of the Equity Definitions, such amount shall be deemed to be zero.</w:t>
            </w:r>
          </w:p>
        </w:tc>
      </w:tr>
      <w:tr>
        <w:trPr>
          <w:trHeight w:val="432"/>
        </w:trPr>
        <w:tc>
          <w:tcPr>
            <w:tcW w:w="2960" w:type="dxa"/>
            <w:vAlign w:val="bottom"/>
          </w:tcPr>
          <w:p>
            <w:pPr>
              <w:ind w:left="180"/>
              <w:spacing w:after="0"/>
              <w:rPr>
                <w:sz w:val="20"/>
                <w:szCs w:val="20"/>
                <w:color w:val="auto"/>
              </w:rPr>
            </w:pPr>
            <w:r>
              <w:rPr>
                <w:rFonts w:ascii="Arial" w:cs="Arial" w:eastAsia="Arial" w:hAnsi="Arial"/>
                <w:sz w:val="18"/>
                <w:szCs w:val="18"/>
                <w:color w:val="auto"/>
              </w:rPr>
              <w:t>Premium Payment Date:</w:t>
            </w: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rPr>
              <w:t>The Effective Date</w:t>
            </w:r>
          </w:p>
        </w:tc>
      </w:tr>
      <w:tr>
        <w:trPr>
          <w:trHeight w:val="432"/>
        </w:trPr>
        <w:tc>
          <w:tcPr>
            <w:tcW w:w="2960" w:type="dxa"/>
            <w:vAlign w:val="bottom"/>
          </w:tcPr>
          <w:p>
            <w:pPr>
              <w:ind w:left="180"/>
              <w:spacing w:after="0"/>
              <w:rPr>
                <w:sz w:val="20"/>
                <w:szCs w:val="20"/>
                <w:color w:val="auto"/>
              </w:rPr>
            </w:pPr>
            <w:r>
              <w:rPr>
                <w:rFonts w:ascii="Arial" w:cs="Arial" w:eastAsia="Arial" w:hAnsi="Arial"/>
                <w:sz w:val="18"/>
                <w:szCs w:val="18"/>
                <w:color w:val="auto"/>
              </w:rPr>
              <w:t>Exchange:</w:t>
            </w: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rPr>
              <w:t>The NASDAQ Global Market</w:t>
            </w:r>
          </w:p>
        </w:tc>
      </w:tr>
      <w:tr>
        <w:trPr>
          <w:trHeight w:val="418"/>
        </w:trPr>
        <w:tc>
          <w:tcPr>
            <w:tcW w:w="2960" w:type="dxa"/>
            <w:vAlign w:val="bottom"/>
          </w:tcPr>
          <w:p>
            <w:pPr>
              <w:ind w:left="180"/>
              <w:spacing w:after="0"/>
              <w:rPr>
                <w:sz w:val="20"/>
                <w:szCs w:val="20"/>
                <w:color w:val="auto"/>
              </w:rPr>
            </w:pPr>
            <w:r>
              <w:rPr>
                <w:rFonts w:ascii="Arial" w:cs="Arial" w:eastAsia="Arial" w:hAnsi="Arial"/>
                <w:sz w:val="18"/>
                <w:szCs w:val="18"/>
                <w:color w:val="auto"/>
              </w:rPr>
              <w:t>Related Exchange:</w:t>
            </w: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5"/>
              </w:rPr>
              <w:t xml:space="preserve">All Exchanges; </w:t>
            </w:r>
            <w:r>
              <w:rPr>
                <w:rFonts w:ascii="Arial" w:cs="Arial" w:eastAsia="Arial" w:hAnsi="Arial"/>
                <w:sz w:val="18"/>
                <w:szCs w:val="18"/>
                <w:i w:val="1"/>
                <w:iCs w:val="1"/>
                <w:color w:val="auto"/>
                <w:w w:val="95"/>
              </w:rPr>
              <w:t>provided</w:t>
            </w:r>
            <w:r>
              <w:rPr>
                <w:rFonts w:ascii="Arial" w:cs="Arial" w:eastAsia="Arial" w:hAnsi="Arial"/>
                <w:sz w:val="18"/>
                <w:szCs w:val="18"/>
                <w:color w:val="auto"/>
                <w:w w:val="95"/>
              </w:rPr>
              <w:t xml:space="preserve"> that Section 1.26 of the Equity Definitions shall be amended to</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rPr>
              <w:t>add the words “United States” before the word “exchange” in the tenth line of such</w:t>
            </w:r>
          </w:p>
        </w:tc>
      </w:tr>
      <w:tr>
        <w:trPr>
          <w:trHeight w:val="230"/>
        </w:trPr>
        <w:tc>
          <w:tcPr>
            <w:tcW w:w="2960" w:type="dxa"/>
            <w:vAlign w:val="bottom"/>
          </w:tcPr>
          <w:p>
            <w:pPr>
              <w:spacing w:after="0"/>
              <w:rPr>
                <w:sz w:val="20"/>
                <w:szCs w:val="20"/>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rPr>
              <w:t>Section.</w:t>
            </w:r>
          </w:p>
        </w:tc>
      </w:tr>
      <w:tr>
        <w:trPr>
          <w:trHeight w:val="432"/>
        </w:trPr>
        <w:tc>
          <w:tcPr>
            <w:tcW w:w="2960" w:type="dxa"/>
            <w:vAlign w:val="bottom"/>
          </w:tcPr>
          <w:p>
            <w:pPr>
              <w:spacing w:after="0"/>
              <w:rPr>
                <w:sz w:val="20"/>
                <w:szCs w:val="20"/>
                <w:color w:val="auto"/>
              </w:rPr>
            </w:pPr>
            <w:r>
              <w:rPr>
                <w:rFonts w:ascii="Arial" w:cs="Arial" w:eastAsia="Arial" w:hAnsi="Arial"/>
                <w:sz w:val="18"/>
                <w:szCs w:val="18"/>
                <w:color w:val="auto"/>
              </w:rPr>
              <w:t>Procedures for Exercise:</w:t>
            </w:r>
          </w:p>
        </w:tc>
        <w:tc>
          <w:tcPr>
            <w:tcW w:w="3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32"/>
        </w:trPr>
        <w:tc>
          <w:tcPr>
            <w:tcW w:w="2960" w:type="dxa"/>
            <w:vAlign w:val="bottom"/>
          </w:tcPr>
          <w:p>
            <w:pPr>
              <w:ind w:left="180"/>
              <w:spacing w:after="0"/>
              <w:rPr>
                <w:sz w:val="20"/>
                <w:szCs w:val="20"/>
                <w:color w:val="auto"/>
              </w:rPr>
            </w:pPr>
            <w:r>
              <w:rPr>
                <w:rFonts w:ascii="Arial" w:cs="Arial" w:eastAsia="Arial" w:hAnsi="Arial"/>
                <w:sz w:val="18"/>
                <w:szCs w:val="18"/>
                <w:color w:val="auto"/>
              </w:rPr>
              <w:t>Expiration Time:</w:t>
            </w: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rPr>
              <w:t>The Valuation Time</w:t>
            </w:r>
          </w:p>
        </w:tc>
      </w:tr>
      <w:tr>
        <w:trPr>
          <w:trHeight w:val="392"/>
        </w:trPr>
        <w:tc>
          <w:tcPr>
            <w:tcW w:w="2960" w:type="dxa"/>
            <w:vAlign w:val="bottom"/>
          </w:tcPr>
          <w:p>
            <w:pPr>
              <w:ind w:left="180"/>
              <w:spacing w:after="0"/>
              <w:rPr>
                <w:sz w:val="20"/>
                <w:szCs w:val="20"/>
                <w:color w:val="auto"/>
              </w:rPr>
            </w:pPr>
            <w:r>
              <w:rPr>
                <w:rFonts w:ascii="Arial" w:cs="Arial" w:eastAsia="Arial" w:hAnsi="Arial"/>
                <w:sz w:val="18"/>
                <w:szCs w:val="18"/>
                <w:color w:val="auto"/>
              </w:rPr>
              <w:t>Expiration Date:</w:t>
            </w: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3"/>
              </w:rPr>
              <w:t>For any Component, as provided in Annex A to this Confirmation (or, if such date is not a</w:t>
            </w:r>
          </w:p>
        </w:tc>
      </w:tr>
      <w:tr>
        <w:trPr>
          <w:trHeight w:val="20"/>
        </w:trPr>
        <w:tc>
          <w:tcPr>
            <w:tcW w:w="29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22"/>
        </w:trPr>
        <w:tc>
          <w:tcPr>
            <w:tcW w:w="2960" w:type="dxa"/>
            <w:vAlign w:val="bottom"/>
          </w:tcPr>
          <w:p>
            <w:pPr>
              <w:spacing w:after="0"/>
              <w:rPr>
                <w:sz w:val="19"/>
                <w:szCs w:val="19"/>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9"/>
              </w:rPr>
              <w:t>Scheduled Valid Day, the next following Scheduled Valid Day that is not already an</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3"/>
              </w:rPr>
              <w:t xml:space="preserve">Expiration Date for another Component);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if that date is a Disrupted Day, the</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1"/>
              </w:rPr>
              <w:t>Expiration Date for such Component shall be the first succeeding Scheduled Valid Day that</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4"/>
              </w:rPr>
              <w:t>is not a Disrupted Day and is not or is not deemed to be an Expiration Date in respect of</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3"/>
              </w:rPr>
              <w:t xml:space="preserve">any other Component of the Transaction hereunder; and </w:t>
            </w:r>
            <w:r>
              <w:rPr>
                <w:rFonts w:ascii="Arial" w:cs="Arial" w:eastAsia="Arial" w:hAnsi="Arial"/>
                <w:sz w:val="18"/>
                <w:szCs w:val="18"/>
                <w:i w:val="1"/>
                <w:iCs w:val="1"/>
                <w:color w:val="auto"/>
                <w:w w:val="93"/>
              </w:rPr>
              <w:t>provided further</w:t>
            </w:r>
            <w:r>
              <w:rPr>
                <w:rFonts w:ascii="Arial" w:cs="Arial" w:eastAsia="Arial" w:hAnsi="Arial"/>
                <w:sz w:val="18"/>
                <w:szCs w:val="18"/>
                <w:color w:val="auto"/>
                <w:w w:val="93"/>
              </w:rPr>
              <w:t xml:space="preserve"> that in no event</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1"/>
              </w:rPr>
              <w:t>shall the Expiration Date be postponed to a date later than the Final Termination Date and,</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5"/>
              </w:rPr>
              <w:t>notwithstanding anything to the contrary in this Confirmation or the Equity Definitions, if</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0"/>
              </w:rPr>
              <w:t>the Expiration Date is a Disrupted Day, the Relevant Price for such Expiration Date shall be</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2"/>
              </w:rPr>
              <w:t>the prevailing market value per Share determined by the Calculation Agent in a good faith</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3"/>
              </w:rPr>
              <w:t>and commercially reasonable manner. Notwithstanding the foregoing and anything to the</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5"/>
              </w:rPr>
              <w:t>contrary in the Equity Definitions, if a Market Disruption Event occurs on any Expiration</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4"/>
              </w:rPr>
              <w:t>Date, the Calculation Agent may determine in a good faith and commercially reasonable</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9"/>
              </w:rPr>
              <w:t>manner that such Expiration Date is a Disrupted Day only in part, in which case the</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7"/>
              </w:rPr>
              <w:t>Calculation Agent shall make commercially reasonable adjustments to the Number of</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2"/>
              </w:rPr>
              <w:t>Options for the relevant Component for which such day shall be the Expiration Date, shall</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1"/>
              </w:rPr>
              <w:t>designate the Scheduled Valid Day determined in the manner described in the immediately</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2"/>
              </w:rPr>
              <w:t>preceding sentence as the Expiration Date for the remaining Options for such Component</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9"/>
              </w:rPr>
              <w:t>and may determine the Relevant Price based on transactions in the Shares on such</w:t>
            </w:r>
          </w:p>
        </w:tc>
      </w:tr>
      <w:tr>
        <w:trPr>
          <w:trHeight w:val="216"/>
        </w:trPr>
        <w:tc>
          <w:tcPr>
            <w:tcW w:w="2960" w:type="dxa"/>
            <w:vAlign w:val="bottom"/>
          </w:tcPr>
          <w:p>
            <w:pPr>
              <w:spacing w:after="0"/>
              <w:rPr>
                <w:sz w:val="18"/>
                <w:szCs w:val="18"/>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w w:val="91"/>
              </w:rPr>
              <w:t>Disrupted Day taking into account the nature and duration of such Market Disruption Event</w:t>
            </w:r>
          </w:p>
        </w:tc>
      </w:tr>
      <w:tr>
        <w:trPr>
          <w:trHeight w:val="230"/>
        </w:trPr>
        <w:tc>
          <w:tcPr>
            <w:tcW w:w="2960" w:type="dxa"/>
            <w:vAlign w:val="bottom"/>
          </w:tcPr>
          <w:p>
            <w:pPr>
              <w:spacing w:after="0"/>
              <w:rPr>
                <w:sz w:val="20"/>
                <w:szCs w:val="20"/>
                <w:color w:val="auto"/>
              </w:rPr>
            </w:pPr>
          </w:p>
        </w:tc>
        <w:tc>
          <w:tcPr>
            <w:tcW w:w="7640" w:type="dxa"/>
            <w:vAlign w:val="bottom"/>
            <w:gridSpan w:val="3"/>
          </w:tcPr>
          <w:p>
            <w:pPr>
              <w:ind w:left="1020"/>
              <w:spacing w:after="0"/>
              <w:rPr>
                <w:sz w:val="20"/>
                <w:szCs w:val="20"/>
                <w:color w:val="auto"/>
              </w:rPr>
            </w:pPr>
            <w:r>
              <w:rPr>
                <w:rFonts w:ascii="Arial" w:cs="Arial" w:eastAsia="Arial" w:hAnsi="Arial"/>
                <w:sz w:val="18"/>
                <w:szCs w:val="18"/>
                <w:color w:val="auto"/>
              </w:rPr>
              <w:t>on such day. Any Scheduled Valid Day on which, as</w:t>
            </w:r>
          </w:p>
        </w:tc>
      </w:tr>
    </w:tbl>
    <w:p>
      <w:pPr>
        <w:sectPr>
          <w:pgSz w:w="11900" w:h="16843" w:orient="portrait"/>
          <w:cols w:equalWidth="0" w:num="1">
            <w:col w:w="11332"/>
          </w:cols>
          <w:pgMar w:left="248" w:top="125" w:right="319" w:bottom="0" w:gutter="0" w:footer="0" w:header="0"/>
          <w:type w:val="continuous"/>
        </w:sectPr>
      </w:pPr>
    </w:p>
    <w:bookmarkStart w:id="76" w:name="page77"/>
    <w:bookmarkEnd w:id="76"/>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ind w:left="4320"/>
        <w:spacing w:after="0" w:line="255" w:lineRule="auto"/>
        <w:rPr>
          <w:sz w:val="20"/>
          <w:szCs w:val="20"/>
          <w:color w:val="auto"/>
        </w:rPr>
      </w:pPr>
      <w:r>
        <w:rPr>
          <w:rFonts w:ascii="Arial" w:cs="Arial" w:eastAsia="Arial" w:hAnsi="Arial"/>
          <w:sz w:val="18"/>
          <w:szCs w:val="18"/>
          <w:color w:val="auto"/>
        </w:rPr>
        <w:t>of the date hereof, the Exchange is scheduled to close prior to its normal close of trading shall be deemed not to be a Scheduled Valid Day; if a closure of the Exchange prior to its normal close of trading on any Scheduled Valid Day is scheduled following the date hereof, then such Scheduled Valid Day shall be deemed to be a Disrupted Day in full</w:t>
      </w:r>
      <w:r>
        <w:rPr>
          <w:rFonts w:ascii="Arial" w:cs="Arial" w:eastAsia="Arial" w:hAnsi="Arial"/>
          <w:sz w:val="18"/>
          <w:szCs w:val="18"/>
          <w:b w:val="1"/>
          <w:bCs w:val="1"/>
          <w:color w:val="auto"/>
        </w:rPr>
        <w:t>.</w:t>
      </w:r>
      <w:r>
        <w:rPr>
          <w:rFonts w:ascii="Arial" w:cs="Arial" w:eastAsia="Arial" w:hAnsi="Arial"/>
          <w:sz w:val="18"/>
          <w:szCs w:val="18"/>
          <w:color w:val="auto"/>
        </w:rPr>
        <w:t xml:space="preserve"> Section 6.6 of the Equity Definitions shall not apply to any Valuation Date occurring on an Expiration Date.</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Final Termination Date:</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920" w:type="dxa"/>
            <w:vAlign w:val="bottom"/>
          </w:tcPr>
          <w:p>
            <w:pPr>
              <w:jc w:val="right"/>
              <w:ind w:right="5410"/>
              <w:spacing w:after="0"/>
              <w:rPr>
                <w:sz w:val="20"/>
                <w:szCs w:val="20"/>
                <w:color w:val="auto"/>
              </w:rPr>
            </w:pPr>
            <w:r>
              <w:rPr>
                <w:rFonts w:ascii="Arial" w:cs="Arial" w:eastAsia="Arial" w:hAnsi="Arial"/>
                <w:sz w:val="18"/>
                <w:szCs w:val="18"/>
                <w:color w:val="auto"/>
              </w:rPr>
              <w:t>](5)</w:t>
            </w:r>
          </w:p>
        </w:tc>
      </w:tr>
      <w:tr>
        <w:trPr>
          <w:trHeight w:val="418"/>
        </w:trPr>
        <w:tc>
          <w:tcPr>
            <w:tcW w:w="3100" w:type="dxa"/>
            <w:vAlign w:val="bottom"/>
          </w:tcPr>
          <w:p>
            <w:pPr>
              <w:ind w:left="180"/>
              <w:spacing w:after="0"/>
              <w:rPr>
                <w:sz w:val="20"/>
                <w:szCs w:val="20"/>
                <w:color w:val="auto"/>
              </w:rPr>
            </w:pPr>
            <w:r>
              <w:rPr>
                <w:rFonts w:ascii="Arial" w:cs="Arial" w:eastAsia="Arial" w:hAnsi="Arial"/>
                <w:sz w:val="18"/>
                <w:szCs w:val="18"/>
                <w:color w:val="auto"/>
              </w:rPr>
              <w:t>Automatic Exercise:</w:t>
            </w: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6"/>
              </w:rPr>
              <w:t>Applicable; and means that the Number of Options for the relevant Component will be</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5"/>
              </w:rPr>
              <w:t>deemed to be automatically exercised at the Expiration Time on the Expiration Date for</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4"/>
              </w:rPr>
              <w:t>such Component if at such time such Component is In-the-Money, unless Buyer notifies</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7"/>
              </w:rPr>
              <w:t>Seller (in writing) prior to the Expiration Time on such Expiration Date that it does not</w:t>
            </w:r>
          </w:p>
        </w:tc>
      </w:tr>
      <w:tr>
        <w:trPr>
          <w:trHeight w:val="212"/>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rPr>
              <w:t>wish Automatic Exercise to occur with respect to such Component, in which case</w:t>
            </w:r>
          </w:p>
        </w:tc>
      </w:tr>
      <w:tr>
        <w:trPr>
          <w:trHeight w:val="220"/>
        </w:trPr>
        <w:tc>
          <w:tcPr>
            <w:tcW w:w="3100" w:type="dxa"/>
            <w:vAlign w:val="bottom"/>
          </w:tcPr>
          <w:p>
            <w:pPr>
              <w:spacing w:after="0"/>
              <w:rPr>
                <w:sz w:val="19"/>
                <w:szCs w:val="19"/>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9"/>
              </w:rPr>
              <w:t>Automatic Exercise will not apply with respect to such Component. “</w:t>
            </w:r>
            <w:r>
              <w:rPr>
                <w:rFonts w:ascii="Arial" w:cs="Arial" w:eastAsia="Arial" w:hAnsi="Arial"/>
                <w:sz w:val="18"/>
                <w:szCs w:val="18"/>
                <w:b w:val="1"/>
                <w:bCs w:val="1"/>
                <w:color w:val="auto"/>
                <w:w w:val="99"/>
              </w:rPr>
              <w:t>In-the-Money</w:t>
            </w:r>
            <w:r>
              <w:rPr>
                <w:rFonts w:ascii="Arial" w:cs="Arial" w:eastAsia="Arial" w:hAnsi="Arial"/>
                <w:sz w:val="18"/>
                <w:szCs w:val="18"/>
                <w:color w:val="auto"/>
                <w:w w:val="99"/>
              </w:rPr>
              <w:t>”</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4"/>
              </w:rPr>
              <w:t>means, in respect of any Component, that the Relevant Price on the Expiration Date for</w:t>
            </w:r>
          </w:p>
        </w:tc>
      </w:tr>
      <w:tr>
        <w:trPr>
          <w:trHeight w:val="230"/>
        </w:trPr>
        <w:tc>
          <w:tcPr>
            <w:tcW w:w="3100" w:type="dxa"/>
            <w:vAlign w:val="bottom"/>
          </w:tcPr>
          <w:p>
            <w:pPr>
              <w:spacing w:after="0"/>
              <w:rPr>
                <w:sz w:val="20"/>
                <w:szCs w:val="20"/>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rPr>
              <w:t>such Component is greater than the Strike Price for such Component.</w:t>
            </w:r>
          </w:p>
        </w:tc>
      </w:tr>
      <w:tr>
        <w:trPr>
          <w:trHeight w:val="418"/>
        </w:trPr>
        <w:tc>
          <w:tcPr>
            <w:tcW w:w="3100" w:type="dxa"/>
            <w:vAlign w:val="bottom"/>
          </w:tcPr>
          <w:p>
            <w:pPr>
              <w:ind w:left="180"/>
              <w:spacing w:after="0"/>
              <w:rPr>
                <w:sz w:val="20"/>
                <w:szCs w:val="20"/>
                <w:color w:val="auto"/>
              </w:rPr>
            </w:pPr>
            <w:r>
              <w:rPr>
                <w:rFonts w:ascii="Arial" w:cs="Arial" w:eastAsia="Arial" w:hAnsi="Arial"/>
                <w:sz w:val="18"/>
                <w:szCs w:val="18"/>
                <w:color w:val="auto"/>
              </w:rPr>
              <w:t>Valuation Time:</w:t>
            </w: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2"/>
              </w:rPr>
              <w:t xml:space="preserve">At the close of trading of the regular trading session on the Exchange;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if the</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2"/>
              </w:rPr>
              <w:t>principal trading session is extended, the Calculation Agent shall determine the Valuation</w:t>
            </w:r>
          </w:p>
        </w:tc>
      </w:tr>
      <w:tr>
        <w:trPr>
          <w:trHeight w:val="230"/>
        </w:trPr>
        <w:tc>
          <w:tcPr>
            <w:tcW w:w="3100" w:type="dxa"/>
            <w:vAlign w:val="bottom"/>
          </w:tcPr>
          <w:p>
            <w:pPr>
              <w:spacing w:after="0"/>
              <w:rPr>
                <w:sz w:val="20"/>
                <w:szCs w:val="20"/>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rPr>
              <w:t>Time in a good faith and commercially reasonable manner.</w:t>
            </w:r>
          </w:p>
        </w:tc>
      </w:tr>
      <w:tr>
        <w:trPr>
          <w:trHeight w:val="432"/>
        </w:trPr>
        <w:tc>
          <w:tcPr>
            <w:tcW w:w="3100" w:type="dxa"/>
            <w:vAlign w:val="bottom"/>
          </w:tcPr>
          <w:p>
            <w:pPr>
              <w:ind w:left="180"/>
              <w:spacing w:after="0"/>
              <w:rPr>
                <w:sz w:val="20"/>
                <w:szCs w:val="20"/>
                <w:color w:val="auto"/>
              </w:rPr>
            </w:pPr>
            <w:r>
              <w:rPr>
                <w:rFonts w:ascii="Arial" w:cs="Arial" w:eastAsia="Arial" w:hAnsi="Arial"/>
                <w:sz w:val="18"/>
                <w:szCs w:val="18"/>
                <w:color w:val="auto"/>
              </w:rPr>
              <w:t>Valuation Date:</w:t>
            </w: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rPr>
              <w:t>For any Component, the Expiration Date therefor.</w:t>
            </w:r>
          </w:p>
        </w:tc>
      </w:tr>
      <w:tr>
        <w:trPr>
          <w:trHeight w:val="418"/>
        </w:trPr>
        <w:tc>
          <w:tcPr>
            <w:tcW w:w="3100" w:type="dxa"/>
            <w:vAlign w:val="bottom"/>
          </w:tcPr>
          <w:p>
            <w:pPr>
              <w:ind w:left="180"/>
              <w:spacing w:after="0"/>
              <w:rPr>
                <w:sz w:val="20"/>
                <w:szCs w:val="20"/>
                <w:color w:val="auto"/>
              </w:rPr>
            </w:pPr>
            <w:r>
              <w:rPr>
                <w:rFonts w:ascii="Arial" w:cs="Arial" w:eastAsia="Arial" w:hAnsi="Arial"/>
                <w:sz w:val="18"/>
                <w:szCs w:val="18"/>
                <w:color w:val="auto"/>
              </w:rPr>
              <w:t>Market Disruption Event:</w:t>
            </w: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3"/>
              </w:rPr>
              <w:t>Section 6.3(a) of the Equity Definitions is hereby amended by deleting the words “during</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0"/>
              </w:rPr>
              <w:t>the one hour period that ends at the relevant Valuation Time, Latest Exercise Time, Knock-</w:t>
            </w:r>
          </w:p>
        </w:tc>
      </w:tr>
      <w:tr>
        <w:trPr>
          <w:trHeight w:val="230"/>
        </w:trPr>
        <w:tc>
          <w:tcPr>
            <w:tcW w:w="3100" w:type="dxa"/>
            <w:vAlign w:val="bottom"/>
          </w:tcPr>
          <w:p>
            <w:pPr>
              <w:spacing w:after="0"/>
              <w:rPr>
                <w:sz w:val="20"/>
                <w:szCs w:val="20"/>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1"/>
              </w:rPr>
              <w:t>in Valuation Time or Knock-out Valuation Time, as the case may be,” in clause (ii) thereof.</w:t>
            </w:r>
          </w:p>
        </w:tc>
      </w:tr>
      <w:tr>
        <w:trPr>
          <w:trHeight w:val="418"/>
        </w:trPr>
        <w:tc>
          <w:tcPr>
            <w:tcW w:w="3100" w:type="dxa"/>
            <w:vAlign w:val="bottom"/>
          </w:tcPr>
          <w:p>
            <w:pPr>
              <w:spacing w:after="0"/>
              <w:rPr>
                <w:sz w:val="24"/>
                <w:szCs w:val="24"/>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1"/>
              </w:rPr>
              <w:t>Section 6.3(d) of the Equity Definitions is hereby amended by deleting the remainder of the</w:t>
            </w:r>
          </w:p>
        </w:tc>
      </w:tr>
      <w:tr>
        <w:trPr>
          <w:trHeight w:val="230"/>
        </w:trPr>
        <w:tc>
          <w:tcPr>
            <w:tcW w:w="3100" w:type="dxa"/>
            <w:vAlign w:val="bottom"/>
          </w:tcPr>
          <w:p>
            <w:pPr>
              <w:spacing w:after="0"/>
              <w:rPr>
                <w:sz w:val="20"/>
                <w:szCs w:val="20"/>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rPr>
              <w:t>provision following the term “Scheduled Closing Time” in the fourth line thereof.</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Settlement Terms:</w:t>
            </w: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418"/>
        </w:trPr>
        <w:tc>
          <w:tcPr>
            <w:tcW w:w="3100" w:type="dxa"/>
            <w:vAlign w:val="bottom"/>
          </w:tcPr>
          <w:p>
            <w:pPr>
              <w:ind w:left="180"/>
              <w:spacing w:after="0"/>
              <w:rPr>
                <w:sz w:val="20"/>
                <w:szCs w:val="20"/>
                <w:color w:val="auto"/>
              </w:rPr>
            </w:pPr>
            <w:r>
              <w:rPr>
                <w:rFonts w:ascii="Arial" w:cs="Arial" w:eastAsia="Arial" w:hAnsi="Arial"/>
                <w:sz w:val="18"/>
                <w:szCs w:val="18"/>
                <w:color w:val="auto"/>
              </w:rPr>
              <w:t>Settlement Method Election:</w:t>
            </w: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4"/>
              </w:rPr>
              <w:t xml:space="preserve">Applicable; </w:t>
            </w:r>
            <w:r>
              <w:rPr>
                <w:rFonts w:ascii="Arial" w:cs="Arial" w:eastAsia="Arial" w:hAnsi="Arial"/>
                <w:sz w:val="18"/>
                <w:szCs w:val="18"/>
                <w:i w:val="1"/>
                <w:iCs w:val="1"/>
                <w:color w:val="auto"/>
                <w:w w:val="94"/>
              </w:rPr>
              <w:t>provided</w:t>
            </w:r>
            <w:r>
              <w:rPr>
                <w:rFonts w:ascii="Arial" w:cs="Arial" w:eastAsia="Arial" w:hAnsi="Arial"/>
                <w:sz w:val="18"/>
                <w:szCs w:val="18"/>
                <w:color w:val="auto"/>
                <w:w w:val="94"/>
              </w:rPr>
              <w:t xml:space="preserve"> that (a) Section 7.1 of the Equity Definitions is hereby amended by</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rPr>
              <w:t>replacing the term “Physical Settlement” with the term “Net Share Settlement”,</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6"/>
              </w:rPr>
              <w:t>(b) Counterparty must make a single irrevocable election for all Components and (c) if</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7"/>
              </w:rPr>
              <w:t>Counterparty is electing Cash Settlement, such Settlement Method Election would be</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4"/>
              </w:rPr>
              <w:t>effective only if Counterparty represents and warrants to Dealer in writing on the date of</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2"/>
              </w:rPr>
              <w:t>such Settlement Method Election that (i) Counterparty is not in possession of any material</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91"/>
              </w:rPr>
              <w:t>non-public information regarding Counterparty or the Shares, and (ii) such election is being</w:t>
            </w:r>
          </w:p>
        </w:tc>
      </w:tr>
      <w:tr>
        <w:trPr>
          <w:trHeight w:val="216"/>
        </w:trPr>
        <w:tc>
          <w:tcPr>
            <w:tcW w:w="3100" w:type="dxa"/>
            <w:vAlign w:val="bottom"/>
          </w:tcPr>
          <w:p>
            <w:pPr>
              <w:spacing w:after="0"/>
              <w:rPr>
                <w:sz w:val="18"/>
                <w:szCs w:val="18"/>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w w:val="89"/>
              </w:rPr>
              <w:t>made in good faith and not as part of a plan or scheme to evade compliance with the federal</w:t>
            </w:r>
          </w:p>
        </w:tc>
      </w:tr>
      <w:tr>
        <w:trPr>
          <w:trHeight w:val="230"/>
        </w:trPr>
        <w:tc>
          <w:tcPr>
            <w:tcW w:w="3100" w:type="dxa"/>
            <w:vAlign w:val="bottom"/>
          </w:tcPr>
          <w:p>
            <w:pPr>
              <w:spacing w:after="0"/>
              <w:rPr>
                <w:sz w:val="20"/>
                <w:szCs w:val="20"/>
                <w:color w:val="auto"/>
              </w:rPr>
            </w:pPr>
          </w:p>
        </w:tc>
        <w:tc>
          <w:tcPr>
            <w:tcW w:w="7480" w:type="dxa"/>
            <w:vAlign w:val="bottom"/>
            <w:gridSpan w:val="3"/>
          </w:tcPr>
          <w:p>
            <w:pPr>
              <w:ind w:left="880"/>
              <w:spacing w:after="0"/>
              <w:rPr>
                <w:sz w:val="20"/>
                <w:szCs w:val="20"/>
                <w:color w:val="auto"/>
              </w:rPr>
            </w:pPr>
            <w:r>
              <w:rPr>
                <w:rFonts w:ascii="Arial" w:cs="Arial" w:eastAsia="Arial" w:hAnsi="Arial"/>
                <w:sz w:val="18"/>
                <w:szCs w:val="18"/>
                <w:color w:val="auto"/>
              </w:rPr>
              <w:t>securities laws.</w:t>
            </w:r>
          </w:p>
        </w:tc>
      </w:tr>
    </w:tbl>
    <w:p>
      <w:pPr>
        <w:spacing w:after="0" w:line="202" w:lineRule="exact"/>
        <w:rPr>
          <w:sz w:val="20"/>
          <w:szCs w:val="20"/>
          <w:color w:val="auto"/>
        </w:rPr>
      </w:pPr>
    </w:p>
    <w:p>
      <w:pPr>
        <w:ind w:left="4320" w:right="180"/>
        <w:spacing w:after="0" w:line="264" w:lineRule="auto"/>
        <w:rPr>
          <w:sz w:val="20"/>
          <w:szCs w:val="20"/>
          <w:color w:val="auto"/>
        </w:rPr>
      </w:pPr>
      <w:r>
        <w:rPr>
          <w:rFonts w:ascii="Arial" w:cs="Arial" w:eastAsia="Arial" w:hAnsi="Arial"/>
          <w:sz w:val="18"/>
          <w:szCs w:val="18"/>
          <w:color w:val="auto"/>
        </w:rPr>
        <w:t>Without limiting the generality of the foregoing, Counterparty acknowledges its responsibilities under applicable securities laws, and in particular Sections 9 and 10(b) of the Exchange Act and the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182689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(5) To be 80 Scheduled Trading Days following the last scheduled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 regulations promulgated thereunder in respect of such election.</w:t>
      </w:r>
    </w:p>
    <w:p>
      <w:pPr>
        <w:sectPr>
          <w:pgSz w:w="11900" w:h="16931" w:orient="portrait"/>
          <w:cols w:equalWidth="0" w:num="1">
            <w:col w:w="10920"/>
          </w:cols>
          <w:pgMar w:left="240" w:top="1273" w:right="739" w:bottom="0" w:gutter="0" w:footer="0" w:header="0"/>
        </w:sect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Electing Party: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Counterparty</w:t>
      </w:r>
    </w:p>
    <w:p>
      <w:pPr>
        <w:spacing w:after="0" w:line="200" w:lineRule="exact"/>
        <w:rPr>
          <w:sz w:val="20"/>
          <w:szCs w:val="20"/>
          <w:color w:val="auto"/>
        </w:rPr>
      </w:pPr>
    </w:p>
    <w:p>
      <w:pPr>
        <w:sectPr>
          <w:pgSz w:w="11900" w:h="16931" w:orient="portrait"/>
          <w:cols w:equalWidth="0" w:num="2">
            <w:col w:w="3600" w:space="720"/>
            <w:col w:w="6600"/>
          </w:cols>
          <w:pgMar w:left="240" w:top="1273" w:right="739" w:bottom="0" w:gutter="0" w:footer="0" w:header="0"/>
          <w:type w:val="continuous"/>
        </w:sectPr>
      </w:pPr>
    </w:p>
    <w:p>
      <w:pPr>
        <w:spacing w:after="0" w:line="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Settlement Method Election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second Scheduled Valid Day prior to the scheduled Expiration Date for the Component with the earliest scheduled Expiration Date.</w:t>
      </w:r>
    </w:p>
    <w:p>
      <w:pPr>
        <w:spacing w:after="0" w:line="170" w:lineRule="exact"/>
        <w:rPr>
          <w:sz w:val="20"/>
          <w:szCs w:val="20"/>
          <w:color w:val="auto"/>
        </w:rPr>
      </w:pPr>
    </w:p>
    <w:p>
      <w:pPr>
        <w:sectPr>
          <w:pgSz w:w="11900" w:h="16931" w:orient="portrait"/>
          <w:cols w:equalWidth="0" w:num="2">
            <w:col w:w="3600" w:space="720"/>
            <w:col w:w="6600"/>
          </w:cols>
          <w:pgMar w:left="240" w:top="1273" w:right="739" w:bottom="0" w:gutter="0" w:footer="0" w:header="0"/>
          <w:type w:val="continuous"/>
        </w:sectPr>
      </w:pPr>
    </w:p>
    <w:p>
      <w:pPr>
        <w:ind w:left="520"/>
        <w:spacing w:after="0"/>
        <w:rPr>
          <w:sz w:val="20"/>
          <w:szCs w:val="20"/>
          <w:color w:val="auto"/>
        </w:rPr>
      </w:pPr>
      <w:r>
        <w:rPr>
          <w:rFonts w:ascii="Arial" w:cs="Arial" w:eastAsia="Arial" w:hAnsi="Arial"/>
          <w:sz w:val="16"/>
          <w:szCs w:val="16"/>
          <w:color w:val="auto"/>
        </w:rPr>
        <w:t>Default Settlement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Net Share Settlement</w:t>
      </w:r>
    </w:p>
    <w:p>
      <w:pPr>
        <w:spacing w:after="0" w:line="211" w:lineRule="exact"/>
        <w:rPr>
          <w:sz w:val="20"/>
          <w:szCs w:val="20"/>
          <w:color w:val="auto"/>
        </w:rPr>
      </w:pPr>
    </w:p>
    <w:p>
      <w:pPr>
        <w:sectPr>
          <w:pgSz w:w="11900" w:h="16931" w:orient="portrait"/>
          <w:cols w:equalWidth="0" w:num="2">
            <w:col w:w="3600" w:space="720"/>
            <w:col w:w="6600"/>
          </w:cols>
          <w:pgMar w:left="240" w:top="1273" w:right="739" w:bottom="0" w:gutter="0" w:footer="0" w:header="0"/>
          <w:type w:val="continuous"/>
        </w:sectPr>
      </w:pPr>
    </w:p>
    <w:p>
      <w:pPr>
        <w:spacing w:after="0" w:line="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Share Settlement: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With respect to any Component, if Net Share Settlement is applicable to the Options exercised or deemed exercised hereunder, Dealer will deliver to Counterparty, on the relevant Settlement Date for such Component, a number of Shares (the “</w:t>
      </w:r>
      <w:r>
        <w:rPr>
          <w:rFonts w:ascii="Arial" w:cs="Arial" w:eastAsia="Arial" w:hAnsi="Arial"/>
          <w:sz w:val="17"/>
          <w:szCs w:val="17"/>
          <w:b w:val="1"/>
          <w:bCs w:val="1"/>
          <w:color w:val="auto"/>
        </w:rPr>
        <w:t>Net Share</w:t>
      </w:r>
      <w:r>
        <w:rPr>
          <w:rFonts w:ascii="Arial" w:cs="Arial" w:eastAsia="Arial" w:hAnsi="Arial"/>
          <w:sz w:val="17"/>
          <w:szCs w:val="17"/>
          <w:color w:val="auto"/>
        </w:rPr>
        <w:t xml:space="preserve"> </w:t>
      </w:r>
      <w:r>
        <w:rPr>
          <w:rFonts w:ascii="Arial" w:cs="Arial" w:eastAsia="Arial" w:hAnsi="Arial"/>
          <w:sz w:val="17"/>
          <w:szCs w:val="17"/>
          <w:b w:val="1"/>
          <w:bCs w:val="1"/>
          <w:color w:val="auto"/>
        </w:rPr>
        <w:t>Settlement Amount</w:t>
      </w:r>
      <w:r>
        <w:rPr>
          <w:rFonts w:ascii="Arial" w:cs="Arial" w:eastAsia="Arial" w:hAnsi="Arial"/>
          <w:sz w:val="17"/>
          <w:szCs w:val="17"/>
          <w:color w:val="auto"/>
        </w:rPr>
        <w:t>”) equal to (i) the Daily Option Value on the Expiration Date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Component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Relevant Price on such Expiration Date.</w:t>
      </w:r>
    </w:p>
    <w:p>
      <w:pPr>
        <w:spacing w:after="0" w:line="173" w:lineRule="exact"/>
        <w:rPr>
          <w:sz w:val="20"/>
          <w:szCs w:val="20"/>
          <w:color w:val="auto"/>
        </w:rPr>
      </w:pPr>
    </w:p>
    <w:p>
      <w:pPr>
        <w:sectPr>
          <w:pgSz w:w="11900" w:h="16931" w:orient="portrait"/>
          <w:cols w:equalWidth="0" w:num="2">
            <w:col w:w="3600" w:space="720"/>
            <w:col w:w="6600"/>
          </w:cols>
          <w:pgMar w:left="240" w:top="1273" w:right="739" w:bottom="0" w:gutter="0" w:footer="0" w:header="0"/>
          <w:type w:val="continuous"/>
        </w:sectPr>
      </w:pPr>
    </w:p>
    <w:p>
      <w:pPr>
        <w:jc w:val="both"/>
        <w:ind w:left="4320" w:right="20"/>
        <w:spacing w:after="0" w:line="264" w:lineRule="auto"/>
        <w:rPr>
          <w:sz w:val="20"/>
          <w:szCs w:val="20"/>
          <w:color w:val="auto"/>
        </w:rPr>
      </w:pPr>
      <w:r>
        <w:rPr>
          <w:rFonts w:ascii="Arial" w:cs="Arial" w:eastAsia="Arial" w:hAnsi="Arial"/>
          <w:sz w:val="18"/>
          <w:szCs w:val="18"/>
          <w:color w:val="auto"/>
        </w:rPr>
        <w:t>Dealer will deliver cash in lieu of any fractional Shares to be delivered with respect to any Net Share Settlement Share Amount valued at the Relevant Price for the Expiration Date of such Component.</w:t>
      </w:r>
    </w:p>
    <w:p>
      <w:pPr>
        <w:sectPr>
          <w:pgSz w:w="11900" w:h="16931" w:orient="portrait"/>
          <w:cols w:equalWidth="0" w:num="1">
            <w:col w:w="10920"/>
          </w:cols>
          <w:pgMar w:left="240" w:top="1273" w:right="739" w:bottom="0" w:gutter="0" w:footer="0" w:header="0"/>
          <w:type w:val="continuous"/>
        </w:sectPr>
      </w:pPr>
    </w:p>
    <w:bookmarkStart w:id="77" w:name="page78"/>
    <w:bookmarkEnd w:id="77"/>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ind w:left="520"/>
              <w:spacing w:after="0"/>
              <w:rPr>
                <w:sz w:val="20"/>
                <w:szCs w:val="20"/>
                <w:color w:val="auto"/>
              </w:rPr>
            </w:pPr>
            <w:r>
              <w:rPr>
                <w:rFonts w:ascii="Arial" w:cs="Arial" w:eastAsia="Arial" w:hAnsi="Arial"/>
                <w:sz w:val="18"/>
                <w:szCs w:val="18"/>
                <w:color w:val="auto"/>
              </w:rPr>
              <w:t>Cash Settlement:</w:t>
            </w:r>
          </w:p>
        </w:tc>
        <w:tc>
          <w:tcPr>
            <w:tcW w:w="8260" w:type="dxa"/>
            <w:vAlign w:val="bottom"/>
          </w:tcPr>
          <w:p>
            <w:pPr>
              <w:ind w:left="1120"/>
              <w:spacing w:after="0"/>
              <w:rPr>
                <w:sz w:val="20"/>
                <w:szCs w:val="20"/>
                <w:color w:val="auto"/>
              </w:rPr>
            </w:pPr>
            <w:r>
              <w:rPr>
                <w:rFonts w:ascii="Arial" w:cs="Arial" w:eastAsia="Arial" w:hAnsi="Arial"/>
                <w:sz w:val="18"/>
                <w:szCs w:val="18"/>
                <w:color w:val="auto"/>
                <w:w w:val="99"/>
              </w:rPr>
              <w:t>With respect to any Component, if Cash Settlement is applicable to the Options exercised</w:t>
            </w:r>
          </w:p>
        </w:tc>
      </w:tr>
      <w:tr>
        <w:trPr>
          <w:trHeight w:val="216"/>
        </w:trPr>
        <w:tc>
          <w:tcPr>
            <w:tcW w:w="3200" w:type="dxa"/>
            <w:vAlign w:val="bottom"/>
          </w:tcPr>
          <w:p>
            <w:pPr>
              <w:spacing w:after="0"/>
              <w:rPr>
                <w:sz w:val="18"/>
                <w:szCs w:val="18"/>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w w:val="99"/>
              </w:rPr>
              <w:t>or deemed exercised hereunder, in lieu of Section 8.1 of the Equity Definitions, Dealer will</w:t>
            </w:r>
          </w:p>
        </w:tc>
      </w:tr>
      <w:tr>
        <w:trPr>
          <w:trHeight w:val="212"/>
        </w:trPr>
        <w:tc>
          <w:tcPr>
            <w:tcW w:w="3200" w:type="dxa"/>
            <w:vAlign w:val="bottom"/>
          </w:tcPr>
          <w:p>
            <w:pPr>
              <w:spacing w:after="0"/>
              <w:rPr>
                <w:sz w:val="18"/>
                <w:szCs w:val="18"/>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pay to Counterparty, on the relevant Settlement Date for each such Option, an amount of</w:t>
            </w:r>
          </w:p>
        </w:tc>
      </w:tr>
      <w:tr>
        <w:trPr>
          <w:trHeight w:val="220"/>
        </w:trPr>
        <w:tc>
          <w:tcPr>
            <w:tcW w:w="3200" w:type="dxa"/>
            <w:vAlign w:val="bottom"/>
          </w:tcPr>
          <w:p>
            <w:pPr>
              <w:spacing w:after="0"/>
              <w:rPr>
                <w:sz w:val="19"/>
                <w:szCs w:val="19"/>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cash (the “</w:t>
            </w:r>
            <w:r>
              <w:rPr>
                <w:rFonts w:ascii="Arial" w:cs="Arial" w:eastAsia="Arial" w:hAnsi="Arial"/>
                <w:sz w:val="18"/>
                <w:szCs w:val="18"/>
                <w:b w:val="1"/>
                <w:bCs w:val="1"/>
                <w:color w:val="auto"/>
              </w:rPr>
              <w:t>Cash Settlement Amount</w:t>
            </w:r>
            <w:r>
              <w:rPr>
                <w:rFonts w:ascii="Arial" w:cs="Arial" w:eastAsia="Arial" w:hAnsi="Arial"/>
                <w:sz w:val="18"/>
                <w:szCs w:val="18"/>
                <w:color w:val="auto"/>
              </w:rPr>
              <w:t>”) equal to the Daily Option Value on the Expiration</w:t>
            </w:r>
          </w:p>
        </w:tc>
      </w:tr>
      <w:tr>
        <w:trPr>
          <w:trHeight w:val="230"/>
        </w:trPr>
        <w:tc>
          <w:tcPr>
            <w:tcW w:w="3200" w:type="dxa"/>
            <w:vAlign w:val="bottom"/>
          </w:tcPr>
          <w:p>
            <w:pPr>
              <w:spacing w:after="0"/>
              <w:rPr>
                <w:sz w:val="20"/>
                <w:szCs w:val="20"/>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Date of such Component.</w:t>
            </w:r>
          </w:p>
        </w:tc>
      </w:tr>
      <w:tr>
        <w:trPr>
          <w:trHeight w:val="418"/>
        </w:trPr>
        <w:tc>
          <w:tcPr>
            <w:tcW w:w="3200" w:type="dxa"/>
            <w:vAlign w:val="bottom"/>
          </w:tcPr>
          <w:p>
            <w:pPr>
              <w:ind w:left="520"/>
              <w:spacing w:after="0"/>
              <w:rPr>
                <w:sz w:val="20"/>
                <w:szCs w:val="20"/>
                <w:color w:val="auto"/>
              </w:rPr>
            </w:pPr>
            <w:r>
              <w:rPr>
                <w:rFonts w:ascii="Arial" w:cs="Arial" w:eastAsia="Arial" w:hAnsi="Arial"/>
                <w:sz w:val="18"/>
                <w:szCs w:val="18"/>
                <w:color w:val="auto"/>
              </w:rPr>
              <w:t>Delivery Obligation:</w:t>
            </w:r>
          </w:p>
        </w:tc>
        <w:tc>
          <w:tcPr>
            <w:tcW w:w="8260" w:type="dxa"/>
            <w:vAlign w:val="bottom"/>
          </w:tcPr>
          <w:p>
            <w:pPr>
              <w:ind w:left="1120"/>
              <w:spacing w:after="0"/>
              <w:rPr>
                <w:sz w:val="20"/>
                <w:szCs w:val="20"/>
                <w:color w:val="auto"/>
              </w:rPr>
            </w:pPr>
            <w:r>
              <w:rPr>
                <w:rFonts w:ascii="Arial" w:cs="Arial" w:eastAsia="Arial" w:hAnsi="Arial"/>
                <w:sz w:val="18"/>
                <w:szCs w:val="18"/>
                <w:color w:val="auto"/>
                <w:w w:val="97"/>
              </w:rPr>
              <w:t>For any Settlement Date, the Net Share Settlement Amount or the Cash Settlement Amount</w:t>
            </w:r>
          </w:p>
        </w:tc>
      </w:tr>
      <w:tr>
        <w:trPr>
          <w:trHeight w:val="230"/>
        </w:trPr>
        <w:tc>
          <w:tcPr>
            <w:tcW w:w="3200" w:type="dxa"/>
            <w:vAlign w:val="bottom"/>
          </w:tcPr>
          <w:p>
            <w:pPr>
              <w:spacing w:after="0"/>
              <w:rPr>
                <w:sz w:val="20"/>
                <w:szCs w:val="20"/>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payable or deliverable on such Settlement Date.</w:t>
            </w:r>
          </w:p>
        </w:tc>
      </w:tr>
      <w:tr>
        <w:trPr>
          <w:trHeight w:val="418"/>
        </w:trPr>
        <w:tc>
          <w:tcPr>
            <w:tcW w:w="3200" w:type="dxa"/>
            <w:vAlign w:val="bottom"/>
          </w:tcPr>
          <w:p>
            <w:pPr>
              <w:ind w:left="520"/>
              <w:spacing w:after="0"/>
              <w:rPr>
                <w:sz w:val="20"/>
                <w:szCs w:val="20"/>
                <w:color w:val="auto"/>
              </w:rPr>
            </w:pPr>
            <w:r>
              <w:rPr>
                <w:rFonts w:ascii="Arial" w:cs="Arial" w:eastAsia="Arial" w:hAnsi="Arial"/>
                <w:sz w:val="18"/>
                <w:szCs w:val="18"/>
                <w:color w:val="auto"/>
              </w:rPr>
              <w:t>Daily Option Value:</w:t>
            </w:r>
          </w:p>
        </w:tc>
        <w:tc>
          <w:tcPr>
            <w:tcW w:w="8260" w:type="dxa"/>
            <w:vAlign w:val="bottom"/>
          </w:tcPr>
          <w:p>
            <w:pPr>
              <w:ind w:left="1120"/>
              <w:spacing w:after="0"/>
              <w:rPr>
                <w:sz w:val="20"/>
                <w:szCs w:val="20"/>
                <w:color w:val="auto"/>
              </w:rPr>
            </w:pPr>
            <w:r>
              <w:rPr>
                <w:rFonts w:ascii="Arial" w:cs="Arial" w:eastAsia="Arial" w:hAnsi="Arial"/>
                <w:sz w:val="18"/>
                <w:szCs w:val="18"/>
                <w:color w:val="auto"/>
              </w:rPr>
              <w:t>For any Component, an amount equal to (i) the Number of Options in such Component,</w:t>
            </w:r>
          </w:p>
        </w:tc>
      </w:tr>
      <w:tr>
        <w:trPr>
          <w:trHeight w:val="216"/>
        </w:trPr>
        <w:tc>
          <w:tcPr>
            <w:tcW w:w="3200" w:type="dxa"/>
            <w:vAlign w:val="bottom"/>
          </w:tcPr>
          <w:p>
            <w:pPr>
              <w:spacing w:after="0"/>
              <w:rPr>
                <w:sz w:val="18"/>
                <w:szCs w:val="18"/>
                <w:color w:val="auto"/>
              </w:rPr>
            </w:pPr>
          </w:p>
        </w:tc>
        <w:tc>
          <w:tcPr>
            <w:tcW w:w="8260" w:type="dxa"/>
            <w:vAlign w:val="bottom"/>
          </w:tcPr>
          <w:p>
            <w:pPr>
              <w:ind w:left="1120"/>
              <w:spacing w:after="0"/>
              <w:rPr>
                <w:sz w:val="20"/>
                <w:szCs w:val="20"/>
                <w:color w:val="auto"/>
              </w:rPr>
            </w:pPr>
            <w:r>
              <w:rPr>
                <w:rFonts w:ascii="Arial" w:cs="Arial" w:eastAsia="Arial" w:hAnsi="Arial"/>
                <w:sz w:val="18"/>
                <w:szCs w:val="18"/>
                <w:i w:val="1"/>
                <w:iCs w:val="1"/>
                <w:color w:val="auto"/>
              </w:rPr>
              <w:t xml:space="preserve">multiplied by </w:t>
            </w:r>
            <w:r>
              <w:rPr>
                <w:rFonts w:ascii="Arial" w:cs="Arial" w:eastAsia="Arial" w:hAnsi="Arial"/>
                <w:sz w:val="18"/>
                <w:szCs w:val="18"/>
                <w:color w:val="auto"/>
              </w:rPr>
              <w:t>(ii) (A) the lesser of the Relevant Price on the Expiration Date of such</w:t>
            </w:r>
          </w:p>
        </w:tc>
      </w:tr>
      <w:tr>
        <w:trPr>
          <w:trHeight w:val="216"/>
        </w:trPr>
        <w:tc>
          <w:tcPr>
            <w:tcW w:w="3200" w:type="dxa"/>
            <w:vAlign w:val="bottom"/>
          </w:tcPr>
          <w:p>
            <w:pPr>
              <w:spacing w:after="0"/>
              <w:rPr>
                <w:sz w:val="18"/>
                <w:szCs w:val="18"/>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w w:val="98"/>
              </w:rPr>
              <w:t xml:space="preserve">Component and the Cap Price, minus (B) the Strike Price on such Expiration Day; </w:t>
            </w:r>
            <w:r>
              <w:rPr>
                <w:rFonts w:ascii="Arial" w:cs="Arial" w:eastAsia="Arial" w:hAnsi="Arial"/>
                <w:sz w:val="18"/>
                <w:szCs w:val="18"/>
                <w:i w:val="1"/>
                <w:iCs w:val="1"/>
                <w:color w:val="auto"/>
                <w:w w:val="98"/>
              </w:rPr>
              <w:t>provided</w:t>
            </w:r>
          </w:p>
        </w:tc>
      </w:tr>
      <w:tr>
        <w:trPr>
          <w:trHeight w:val="216"/>
        </w:trPr>
        <w:tc>
          <w:tcPr>
            <w:tcW w:w="3200" w:type="dxa"/>
            <w:vAlign w:val="bottom"/>
          </w:tcPr>
          <w:p>
            <w:pPr>
              <w:spacing w:after="0"/>
              <w:rPr>
                <w:sz w:val="18"/>
                <w:szCs w:val="18"/>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w w:val="99"/>
              </w:rPr>
              <w:t>that if the calculation contained in clause (ii) above results in a negative number, the Daily</w:t>
            </w:r>
          </w:p>
        </w:tc>
      </w:tr>
      <w:tr>
        <w:trPr>
          <w:trHeight w:val="216"/>
        </w:trPr>
        <w:tc>
          <w:tcPr>
            <w:tcW w:w="3200" w:type="dxa"/>
            <w:vAlign w:val="bottom"/>
          </w:tcPr>
          <w:p>
            <w:pPr>
              <w:spacing w:after="0"/>
              <w:rPr>
                <w:sz w:val="18"/>
                <w:szCs w:val="18"/>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Option Value for such Component shall be deemed to be zero. In no event will the Daily</w:t>
            </w:r>
          </w:p>
        </w:tc>
      </w:tr>
      <w:tr>
        <w:trPr>
          <w:trHeight w:val="230"/>
        </w:trPr>
        <w:tc>
          <w:tcPr>
            <w:tcW w:w="3200" w:type="dxa"/>
            <w:vAlign w:val="bottom"/>
          </w:tcPr>
          <w:p>
            <w:pPr>
              <w:spacing w:after="0"/>
              <w:rPr>
                <w:sz w:val="20"/>
                <w:szCs w:val="20"/>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Option Value be less than zero.</w:t>
            </w:r>
          </w:p>
        </w:tc>
      </w:tr>
      <w:tr>
        <w:trPr>
          <w:trHeight w:val="418"/>
        </w:trPr>
        <w:tc>
          <w:tcPr>
            <w:tcW w:w="3200" w:type="dxa"/>
            <w:vAlign w:val="bottom"/>
          </w:tcPr>
          <w:p>
            <w:pPr>
              <w:ind w:left="520"/>
              <w:spacing w:after="0"/>
              <w:rPr>
                <w:sz w:val="20"/>
                <w:szCs w:val="20"/>
                <w:color w:val="auto"/>
              </w:rPr>
            </w:pPr>
            <w:r>
              <w:rPr>
                <w:rFonts w:ascii="Arial" w:cs="Arial" w:eastAsia="Arial" w:hAnsi="Arial"/>
                <w:sz w:val="18"/>
                <w:szCs w:val="18"/>
                <w:color w:val="auto"/>
              </w:rPr>
              <w:t>Valid Day:</w:t>
            </w:r>
          </w:p>
        </w:tc>
        <w:tc>
          <w:tcPr>
            <w:tcW w:w="8260" w:type="dxa"/>
            <w:vAlign w:val="bottom"/>
          </w:tcPr>
          <w:p>
            <w:pPr>
              <w:ind w:left="1120"/>
              <w:spacing w:after="0"/>
              <w:rPr>
                <w:sz w:val="20"/>
                <w:szCs w:val="20"/>
                <w:color w:val="auto"/>
              </w:rPr>
            </w:pPr>
            <w:r>
              <w:rPr>
                <w:rFonts w:ascii="Arial" w:cs="Arial" w:eastAsia="Arial" w:hAnsi="Arial"/>
                <w:sz w:val="18"/>
                <w:szCs w:val="18"/>
                <w:color w:val="auto"/>
              </w:rPr>
              <w:t>A day on which (i) there is no Market Disruption Event and (ii) trading in the Shares</w:t>
            </w:r>
          </w:p>
        </w:tc>
      </w:tr>
      <w:tr>
        <w:trPr>
          <w:trHeight w:val="212"/>
        </w:trPr>
        <w:tc>
          <w:tcPr>
            <w:tcW w:w="3200" w:type="dxa"/>
            <w:vAlign w:val="bottom"/>
          </w:tcPr>
          <w:p>
            <w:pPr>
              <w:spacing w:after="0"/>
              <w:rPr>
                <w:sz w:val="18"/>
                <w:szCs w:val="18"/>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w w:val="97"/>
              </w:rPr>
              <w:t>generally occurs on the Exchange. If the Shares are not listed, quoted or traded on any U.S.</w:t>
            </w:r>
          </w:p>
        </w:tc>
      </w:tr>
      <w:tr>
        <w:trPr>
          <w:trHeight w:val="234"/>
        </w:trPr>
        <w:tc>
          <w:tcPr>
            <w:tcW w:w="3200" w:type="dxa"/>
            <w:vAlign w:val="bottom"/>
          </w:tcPr>
          <w:p>
            <w:pPr>
              <w:spacing w:after="0"/>
              <w:rPr>
                <w:sz w:val="20"/>
                <w:szCs w:val="20"/>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securities exchange or any other market, “</w:t>
            </w:r>
            <w:r>
              <w:rPr>
                <w:rFonts w:ascii="Arial" w:cs="Arial" w:eastAsia="Arial" w:hAnsi="Arial"/>
                <w:sz w:val="18"/>
                <w:szCs w:val="18"/>
                <w:b w:val="1"/>
                <w:bCs w:val="1"/>
                <w:color w:val="auto"/>
              </w:rPr>
              <w:t>Valid Day</w:t>
            </w:r>
            <w:r>
              <w:rPr>
                <w:rFonts w:ascii="Arial" w:cs="Arial" w:eastAsia="Arial" w:hAnsi="Arial"/>
                <w:sz w:val="18"/>
                <w:szCs w:val="18"/>
                <w:color w:val="auto"/>
              </w:rPr>
              <w:t>” means a Business Day.</w:t>
            </w:r>
          </w:p>
        </w:tc>
      </w:tr>
      <w:tr>
        <w:trPr>
          <w:trHeight w:val="414"/>
        </w:trPr>
        <w:tc>
          <w:tcPr>
            <w:tcW w:w="3200" w:type="dxa"/>
            <w:vAlign w:val="bottom"/>
          </w:tcPr>
          <w:p>
            <w:pPr>
              <w:ind w:left="520"/>
              <w:spacing w:after="0"/>
              <w:rPr>
                <w:sz w:val="20"/>
                <w:szCs w:val="20"/>
                <w:color w:val="auto"/>
              </w:rPr>
            </w:pPr>
            <w:r>
              <w:rPr>
                <w:rFonts w:ascii="Arial" w:cs="Arial" w:eastAsia="Arial" w:hAnsi="Arial"/>
                <w:sz w:val="18"/>
                <w:szCs w:val="18"/>
                <w:color w:val="auto"/>
              </w:rPr>
              <w:t>Scheduled Valid Day:</w:t>
            </w:r>
          </w:p>
        </w:tc>
        <w:tc>
          <w:tcPr>
            <w:tcW w:w="8260" w:type="dxa"/>
            <w:vAlign w:val="bottom"/>
          </w:tcPr>
          <w:p>
            <w:pPr>
              <w:ind w:left="1120"/>
              <w:spacing w:after="0"/>
              <w:rPr>
                <w:sz w:val="20"/>
                <w:szCs w:val="20"/>
                <w:color w:val="auto"/>
              </w:rPr>
            </w:pPr>
            <w:r>
              <w:rPr>
                <w:rFonts w:ascii="Arial" w:cs="Arial" w:eastAsia="Arial" w:hAnsi="Arial"/>
                <w:sz w:val="18"/>
                <w:szCs w:val="18"/>
                <w:color w:val="auto"/>
              </w:rPr>
              <w:t>A day that is scheduled to be a Valid Day on the Exchange. If the Shares are not listed,</w:t>
            </w:r>
          </w:p>
        </w:tc>
      </w:tr>
      <w:tr>
        <w:trPr>
          <w:trHeight w:val="216"/>
        </w:trPr>
        <w:tc>
          <w:tcPr>
            <w:tcW w:w="3200" w:type="dxa"/>
            <w:vAlign w:val="bottom"/>
          </w:tcPr>
          <w:p>
            <w:pPr>
              <w:spacing w:after="0"/>
              <w:rPr>
                <w:sz w:val="18"/>
                <w:szCs w:val="18"/>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quoted or traded on any U.S. securities exchange or any other market, “</w:t>
            </w:r>
            <w:r>
              <w:rPr>
                <w:rFonts w:ascii="Arial" w:cs="Arial" w:eastAsia="Arial" w:hAnsi="Arial"/>
                <w:sz w:val="18"/>
                <w:szCs w:val="18"/>
                <w:b w:val="1"/>
                <w:bCs w:val="1"/>
                <w:color w:val="auto"/>
              </w:rPr>
              <w:t>Scheduled Valid</w:t>
            </w:r>
          </w:p>
        </w:tc>
      </w:tr>
      <w:tr>
        <w:trPr>
          <w:trHeight w:val="234"/>
        </w:trPr>
        <w:tc>
          <w:tcPr>
            <w:tcW w:w="3200" w:type="dxa"/>
            <w:vAlign w:val="bottom"/>
          </w:tcPr>
          <w:p>
            <w:pPr>
              <w:spacing w:after="0"/>
              <w:rPr>
                <w:sz w:val="20"/>
                <w:szCs w:val="20"/>
                <w:color w:val="auto"/>
              </w:rPr>
            </w:pPr>
          </w:p>
        </w:tc>
        <w:tc>
          <w:tcPr>
            <w:tcW w:w="8260" w:type="dxa"/>
            <w:vAlign w:val="bottom"/>
          </w:tcPr>
          <w:p>
            <w:pPr>
              <w:ind w:left="1120"/>
              <w:spacing w:after="0"/>
              <w:rPr>
                <w:sz w:val="20"/>
                <w:szCs w:val="20"/>
                <w:color w:val="auto"/>
              </w:rPr>
            </w:pPr>
            <w:r>
              <w:rPr>
                <w:rFonts w:ascii="Arial" w:cs="Arial" w:eastAsia="Arial" w:hAnsi="Arial"/>
                <w:sz w:val="18"/>
                <w:szCs w:val="18"/>
                <w:b w:val="1"/>
                <w:bCs w:val="1"/>
                <w:color w:val="auto"/>
              </w:rPr>
              <w:t>Day</w:t>
            </w:r>
            <w:r>
              <w:rPr>
                <w:rFonts w:ascii="Arial" w:cs="Arial" w:eastAsia="Arial" w:hAnsi="Arial"/>
                <w:sz w:val="18"/>
                <w:szCs w:val="18"/>
                <w:color w:val="auto"/>
              </w:rPr>
              <w:t>” means a Business Day.</w:t>
            </w:r>
          </w:p>
        </w:tc>
      </w:tr>
      <w:tr>
        <w:trPr>
          <w:trHeight w:val="418"/>
        </w:trPr>
        <w:tc>
          <w:tcPr>
            <w:tcW w:w="3200" w:type="dxa"/>
            <w:vAlign w:val="bottom"/>
          </w:tcPr>
          <w:p>
            <w:pPr>
              <w:ind w:left="520"/>
              <w:spacing w:after="0"/>
              <w:rPr>
                <w:sz w:val="20"/>
                <w:szCs w:val="20"/>
                <w:color w:val="auto"/>
              </w:rPr>
            </w:pPr>
            <w:r>
              <w:rPr>
                <w:rFonts w:ascii="Arial" w:cs="Arial" w:eastAsia="Arial" w:hAnsi="Arial"/>
                <w:sz w:val="18"/>
                <w:szCs w:val="18"/>
                <w:color w:val="auto"/>
              </w:rPr>
              <w:t>Business Day:</w:t>
            </w:r>
          </w:p>
        </w:tc>
        <w:tc>
          <w:tcPr>
            <w:tcW w:w="8260" w:type="dxa"/>
            <w:vAlign w:val="bottom"/>
          </w:tcPr>
          <w:p>
            <w:pPr>
              <w:ind w:left="1120"/>
              <w:spacing w:after="0"/>
              <w:rPr>
                <w:sz w:val="20"/>
                <w:szCs w:val="20"/>
                <w:color w:val="auto"/>
              </w:rPr>
            </w:pPr>
            <w:r>
              <w:rPr>
                <w:rFonts w:ascii="Arial" w:cs="Arial" w:eastAsia="Arial" w:hAnsi="Arial"/>
                <w:sz w:val="18"/>
                <w:szCs w:val="18"/>
                <w:color w:val="auto"/>
              </w:rPr>
              <w:t>Any day other than a Saturday, a Sunday or other day on which banking institutions are</w:t>
            </w:r>
          </w:p>
        </w:tc>
      </w:tr>
      <w:tr>
        <w:trPr>
          <w:trHeight w:val="216"/>
        </w:trPr>
        <w:tc>
          <w:tcPr>
            <w:tcW w:w="3200" w:type="dxa"/>
            <w:vAlign w:val="bottom"/>
          </w:tcPr>
          <w:p>
            <w:pPr>
              <w:spacing w:after="0"/>
              <w:rPr>
                <w:sz w:val="18"/>
                <w:szCs w:val="18"/>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authorized or required by law, regulation or executive order to close or be closed in the</w:t>
            </w:r>
          </w:p>
        </w:tc>
      </w:tr>
      <w:tr>
        <w:trPr>
          <w:trHeight w:val="230"/>
        </w:trPr>
        <w:tc>
          <w:tcPr>
            <w:tcW w:w="3200" w:type="dxa"/>
            <w:vAlign w:val="bottom"/>
          </w:tcPr>
          <w:p>
            <w:pPr>
              <w:spacing w:after="0"/>
              <w:rPr>
                <w:sz w:val="20"/>
                <w:szCs w:val="20"/>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State of New York.</w:t>
            </w:r>
          </w:p>
        </w:tc>
      </w:tr>
      <w:tr>
        <w:trPr>
          <w:trHeight w:val="418"/>
        </w:trPr>
        <w:tc>
          <w:tcPr>
            <w:tcW w:w="3200" w:type="dxa"/>
            <w:vAlign w:val="bottom"/>
          </w:tcPr>
          <w:p>
            <w:pPr>
              <w:ind w:left="520"/>
              <w:spacing w:after="0"/>
              <w:rPr>
                <w:sz w:val="20"/>
                <w:szCs w:val="20"/>
                <w:color w:val="auto"/>
              </w:rPr>
            </w:pPr>
            <w:r>
              <w:rPr>
                <w:rFonts w:ascii="Arial" w:cs="Arial" w:eastAsia="Arial" w:hAnsi="Arial"/>
                <w:sz w:val="18"/>
                <w:szCs w:val="18"/>
                <w:color w:val="auto"/>
              </w:rPr>
              <w:t>Relevant Price:</w:t>
            </w:r>
          </w:p>
        </w:tc>
        <w:tc>
          <w:tcPr>
            <w:tcW w:w="8260" w:type="dxa"/>
            <w:vAlign w:val="bottom"/>
          </w:tcPr>
          <w:p>
            <w:pPr>
              <w:ind w:left="1120"/>
              <w:spacing w:after="0"/>
              <w:rPr>
                <w:sz w:val="20"/>
                <w:szCs w:val="20"/>
                <w:color w:val="auto"/>
              </w:rPr>
            </w:pPr>
            <w:r>
              <w:rPr>
                <w:rFonts w:ascii="Arial" w:cs="Arial" w:eastAsia="Arial" w:hAnsi="Arial"/>
                <w:sz w:val="18"/>
                <w:szCs w:val="18"/>
                <w:color w:val="auto"/>
              </w:rPr>
              <w:t>On any Valid Day, the per Share volume-weighted average price as displayed under the</w:t>
            </w:r>
          </w:p>
        </w:tc>
      </w:tr>
      <w:tr>
        <w:trPr>
          <w:trHeight w:val="212"/>
        </w:trPr>
        <w:tc>
          <w:tcPr>
            <w:tcW w:w="3200" w:type="dxa"/>
            <w:vAlign w:val="bottom"/>
          </w:tcPr>
          <w:p>
            <w:pPr>
              <w:spacing w:after="0"/>
              <w:rPr>
                <w:sz w:val="18"/>
                <w:szCs w:val="18"/>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heading “Bloomberg VWAP” on Bloomberg page “MDB &lt;equity&gt; AQR” (or its equivalent</w:t>
            </w:r>
          </w:p>
        </w:tc>
      </w:tr>
      <w:tr>
        <w:trPr>
          <w:trHeight w:val="220"/>
        </w:trPr>
        <w:tc>
          <w:tcPr>
            <w:tcW w:w="3200" w:type="dxa"/>
            <w:vAlign w:val="bottom"/>
          </w:tcPr>
          <w:p>
            <w:pPr>
              <w:spacing w:after="0"/>
              <w:rPr>
                <w:sz w:val="19"/>
                <w:szCs w:val="19"/>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successor if such page is not available) (the “</w:t>
            </w:r>
            <w:r>
              <w:rPr>
                <w:rFonts w:ascii="Arial" w:cs="Arial" w:eastAsia="Arial" w:hAnsi="Arial"/>
                <w:sz w:val="18"/>
                <w:szCs w:val="18"/>
                <w:b w:val="1"/>
                <w:bCs w:val="1"/>
                <w:color w:val="auto"/>
              </w:rPr>
              <w:t>VWAP</w:t>
            </w:r>
            <w:r>
              <w:rPr>
                <w:rFonts w:ascii="Arial" w:cs="Arial" w:eastAsia="Arial" w:hAnsi="Arial"/>
                <w:sz w:val="18"/>
                <w:szCs w:val="18"/>
                <w:color w:val="auto"/>
              </w:rPr>
              <w:t>”) in respect of the period from the</w:t>
            </w:r>
          </w:p>
        </w:tc>
      </w:tr>
      <w:tr>
        <w:trPr>
          <w:trHeight w:val="216"/>
        </w:trPr>
        <w:tc>
          <w:tcPr>
            <w:tcW w:w="3200" w:type="dxa"/>
            <w:vAlign w:val="bottom"/>
          </w:tcPr>
          <w:p>
            <w:pPr>
              <w:spacing w:after="0"/>
              <w:rPr>
                <w:sz w:val="18"/>
                <w:szCs w:val="18"/>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scheduled open of trading until the scheduled close of trading of the primary trading</w:t>
            </w:r>
          </w:p>
        </w:tc>
      </w:tr>
      <w:tr>
        <w:trPr>
          <w:trHeight w:val="230"/>
        </w:trPr>
        <w:tc>
          <w:tcPr>
            <w:tcW w:w="3200" w:type="dxa"/>
            <w:vAlign w:val="bottom"/>
          </w:tcPr>
          <w:p>
            <w:pPr>
              <w:spacing w:after="0"/>
              <w:rPr>
                <w:sz w:val="20"/>
                <w:szCs w:val="20"/>
                <w:color w:val="auto"/>
              </w:rPr>
            </w:pPr>
          </w:p>
        </w:tc>
        <w:tc>
          <w:tcPr>
            <w:tcW w:w="8260" w:type="dxa"/>
            <w:vAlign w:val="bottom"/>
          </w:tcPr>
          <w:p>
            <w:pPr>
              <w:ind w:left="1120"/>
              <w:spacing w:after="0"/>
              <w:rPr>
                <w:sz w:val="20"/>
                <w:szCs w:val="20"/>
                <w:color w:val="auto"/>
              </w:rPr>
            </w:pPr>
            <w:r>
              <w:rPr>
                <w:rFonts w:ascii="Arial" w:cs="Arial" w:eastAsia="Arial" w:hAnsi="Arial"/>
                <w:sz w:val="18"/>
                <w:szCs w:val="18"/>
                <w:color w:val="auto"/>
              </w:rPr>
              <w:t>session on such Valid Day (or if such volume-weighted average</w:t>
            </w:r>
          </w:p>
        </w:tc>
      </w:tr>
      <w:tr>
        <w:trPr>
          <w:trHeight w:val="348"/>
        </w:trPr>
        <w:tc>
          <w:tcPr>
            <w:tcW w:w="3200" w:type="dxa"/>
            <w:vAlign w:val="bottom"/>
            <w:tcBorders>
              <w:bottom w:val="single" w:sz="8" w:color="808080"/>
            </w:tcBorders>
          </w:tcPr>
          <w:p>
            <w:pPr>
              <w:spacing w:after="0"/>
              <w:rPr>
                <w:sz w:val="24"/>
                <w:szCs w:val="24"/>
                <w:color w:val="auto"/>
              </w:rPr>
            </w:pPr>
          </w:p>
        </w:tc>
        <w:tc>
          <w:tcPr>
            <w:tcW w:w="8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320" w:right="600"/>
        <w:spacing w:after="0" w:line="255" w:lineRule="auto"/>
        <w:rPr>
          <w:sz w:val="20"/>
          <w:szCs w:val="20"/>
          <w:color w:val="auto"/>
        </w:rPr>
      </w:pPr>
      <w:r>
        <w:rPr>
          <w:rFonts w:ascii="Arial" w:cs="Arial" w:eastAsia="Arial" w:hAnsi="Arial"/>
          <w:sz w:val="18"/>
          <w:szCs w:val="18"/>
          <w:color w:val="auto"/>
        </w:rPr>
        <w:t>price is unavailable at such time, the market value of one Share on such Valid Day, as determined by the Calculation Agent in a good faith and commercially reasonable manner using, if practicable, a volume-weighted average method substantially similar to the method for determining the VWAP). The Relevant Price will be determined without regard to after-hours trading or any other trading outside of the regular trading session trading hours.</w:t>
      </w:r>
    </w:p>
    <w:p>
      <w:pPr>
        <w:sectPr>
          <w:pgSz w:w="11900" w:h="16884" w:orient="portrait"/>
          <w:cols w:equalWidth="0" w:num="1">
            <w:col w:w="11460"/>
          </w:cols>
          <w:pgMar w:left="240" w:top="341" w:right="199" w:bottom="0" w:gutter="0" w:footer="0" w:header="0"/>
        </w:sectPr>
      </w:pPr>
    </w:p>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For all Components of the Transaction, the date one Settlement Cycle immediately following the Expiration Date for the Component with the latest scheduled Expiration Date.</w:t>
      </w:r>
    </w:p>
    <w:p>
      <w:pPr>
        <w:spacing w:after="0" w:line="124" w:lineRule="exact"/>
        <w:rPr>
          <w:sz w:val="20"/>
          <w:szCs w:val="20"/>
          <w:color w:val="auto"/>
        </w:rPr>
      </w:pPr>
    </w:p>
    <w:p>
      <w:pPr>
        <w:sectPr>
          <w:pgSz w:w="11900" w:h="16884" w:orient="portrait"/>
          <w:cols w:equalWidth="0" w:num="2">
            <w:col w:w="3600" w:space="720"/>
            <w:col w:w="7140"/>
          </w:cols>
          <w:pgMar w:left="240" w:top="341" w:right="199" w:bottom="0" w:gutter="0" w:footer="0" w:header="0"/>
          <w:type w:val="continuous"/>
        </w:sectPr>
      </w:pPr>
    </w:p>
    <w:p>
      <w:pPr>
        <w:ind w:left="520"/>
        <w:spacing w:after="0"/>
        <w:rPr>
          <w:sz w:val="20"/>
          <w:szCs w:val="20"/>
          <w:color w:val="auto"/>
        </w:rPr>
      </w:pPr>
      <w:r>
        <w:rPr>
          <w:rFonts w:ascii="Arial" w:cs="Arial" w:eastAsia="Arial" w:hAnsi="Arial"/>
          <w:sz w:val="16"/>
          <w:szCs w:val="16"/>
          <w:color w:val="auto"/>
        </w:rPr>
        <w:t>Settlement 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USD</w:t>
      </w:r>
    </w:p>
    <w:p>
      <w:pPr>
        <w:spacing w:after="0" w:line="200" w:lineRule="exact"/>
        <w:rPr>
          <w:sz w:val="20"/>
          <w:szCs w:val="20"/>
          <w:color w:val="auto"/>
        </w:rPr>
      </w:pPr>
    </w:p>
    <w:p>
      <w:pPr>
        <w:sectPr>
          <w:pgSz w:w="11900" w:h="16884" w:orient="portrait"/>
          <w:cols w:equalWidth="0" w:num="2">
            <w:col w:w="3600" w:space="720"/>
            <w:col w:w="7140"/>
          </w:cols>
          <w:pgMar w:left="240" w:top="341" w:right="199" w:bottom="0" w:gutter="0" w:footer="0" w:header="0"/>
          <w:type w:val="continuous"/>
        </w:sectPr>
      </w:pPr>
    </w:p>
    <w:p>
      <w:pPr>
        <w:spacing w:after="0" w:line="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 provisions of Sections 9.1(c), 9.8, 9.9, 9.11 and 9.12 of the Equity Definitions will be applicable, except that all references in such provisions to “Physically-settled” shall be read as references to “Net Share Settlement.”</w:t>
      </w:r>
    </w:p>
    <w:p>
      <w:pPr>
        <w:spacing w:after="0" w:line="181" w:lineRule="exact"/>
        <w:rPr>
          <w:sz w:val="20"/>
          <w:szCs w:val="20"/>
          <w:color w:val="auto"/>
        </w:rPr>
      </w:pPr>
    </w:p>
    <w:p>
      <w:pPr>
        <w:sectPr>
          <w:pgSz w:w="11900" w:h="16884" w:orient="portrait"/>
          <w:cols w:equalWidth="0" w:num="2">
            <w:col w:w="3600" w:space="720"/>
            <w:col w:w="7140"/>
          </w:cols>
          <w:pgMar w:left="240" w:top="341" w:right="199" w:bottom="0" w:gutter="0" w:footer="0" w:header="0"/>
          <w:type w:val="continuous"/>
        </w:sectPr>
      </w:pPr>
    </w:p>
    <w:p>
      <w:pPr>
        <w:ind w:left="520"/>
        <w:spacing w:after="0"/>
        <w:rPr>
          <w:sz w:val="20"/>
          <w:szCs w:val="20"/>
          <w:color w:val="auto"/>
        </w:rPr>
      </w:pPr>
      <w:r>
        <w:rPr>
          <w:rFonts w:ascii="Arial" w:cs="Arial" w:eastAsia="Arial" w:hAnsi="Arial"/>
          <w:sz w:val="16"/>
          <w:szCs w:val="16"/>
          <w:color w:val="auto"/>
        </w:rPr>
        <w:t>Representation and Agreement:</w:t>
      </w:r>
    </w:p>
    <w:p>
      <w:pPr>
        <w:spacing w:after="0" w:line="20" w:lineRule="exact"/>
        <w:rPr>
          <w:sz w:val="20"/>
          <w:szCs w:val="20"/>
          <w:color w:val="auto"/>
        </w:rPr>
      </w:pPr>
      <w:r>
        <w:rPr>
          <w:sz w:val="20"/>
          <w:szCs w:val="20"/>
          <w:color w:val="auto"/>
        </w:rPr>
        <w:br w:type="column"/>
      </w:r>
    </w:p>
    <w:p>
      <w:pPr>
        <w:ind w:right="520"/>
        <w:spacing w:after="0" w:line="271" w:lineRule="auto"/>
        <w:rPr>
          <w:sz w:val="20"/>
          <w:szCs w:val="20"/>
          <w:color w:val="auto"/>
        </w:rPr>
      </w:pPr>
      <w:r>
        <w:rPr>
          <w:rFonts w:ascii="Arial" w:cs="Arial" w:eastAsia="Arial" w:hAnsi="Arial"/>
          <w:sz w:val="17"/>
          <w:szCs w:val="17"/>
          <w:color w:val="auto"/>
        </w:rPr>
        <w:t>Notwithstanding anything to the contrary in Equity Definitions (including, but not limited to, Section 9.11 thereof), the parties acknowledge that (i) any Shares delivered to Counterparty shall be, upon delivery, subject to restrictions, obligations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w:t>
      </w:r>
    </w:p>
    <w:p>
      <w:pPr>
        <w:spacing w:after="0" w:line="179" w:lineRule="exact"/>
        <w:rPr>
          <w:sz w:val="20"/>
          <w:szCs w:val="20"/>
          <w:color w:val="auto"/>
        </w:rPr>
      </w:pPr>
    </w:p>
    <w:p>
      <w:pPr>
        <w:sectPr>
          <w:pgSz w:w="11900" w:h="16884" w:orient="portrait"/>
          <w:cols w:equalWidth="0" w:num="2">
            <w:col w:w="3600" w:space="720"/>
            <w:col w:w="7140"/>
          </w:cols>
          <w:pgMar w:left="240" w:top="341" w:right="19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Adjustments: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Method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540"/>
        <w:spacing w:after="0" w:line="319" w:lineRule="auto"/>
        <w:rPr>
          <w:sz w:val="20"/>
          <w:szCs w:val="20"/>
          <w:color w:val="auto"/>
        </w:rPr>
      </w:pPr>
      <w:r>
        <w:rPr>
          <w:rFonts w:ascii="Arial" w:cs="Arial" w:eastAsia="Arial" w:hAnsi="Arial"/>
          <w:sz w:val="16"/>
          <w:szCs w:val="16"/>
          <w:color w:val="auto"/>
        </w:rPr>
        <w:t xml:space="preserve">Calculation Agent Adjustment;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parties agree that (x) open market Share repurchases at prevailing market price and (y) Share repurchases through a dealer pursuant to accelerated share repurchases, forward contracts or similar transactions (including, without limitation, any discount to average VWAP prices) that are entered into at prevailing market prices and in accordance with customary market terms for transactions of such type to repurchase the Shares shall not be considered Potential Adjustment Events;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the entry into any such accelerated share repurchase transaction, forward</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or similar transaction described in the immediately preceding proviso shall constitute a Potential Adjustment Event to the extent that, after giving effect to such pursuant to all such transactions described in the immediately preceding proviso would</w:t>
      </w:r>
    </w:p>
    <w:p>
      <w:pPr>
        <w:sectPr>
          <w:pgSz w:w="11900" w:h="16884" w:orient="portrait"/>
          <w:cols w:equalWidth="0" w:num="2">
            <w:col w:w="3600" w:space="720"/>
            <w:col w:w="7140"/>
          </w:cols>
          <w:pgMar w:left="240" w:top="341" w:right="199" w:bottom="0" w:gutter="0" w:footer="0" w:header="0"/>
          <w:type w:val="continuous"/>
        </w:sectPr>
      </w:pPr>
    </w:p>
    <w:bookmarkStart w:id="78" w:name="page79"/>
    <w:bookmarkEnd w:id="78"/>
    <w:p>
      <w:pPr>
        <w:spacing w:after="0" w:line="137" w:lineRule="exact"/>
        <w:rPr>
          <w:sz w:val="20"/>
          <w:szCs w:val="20"/>
          <w:color w:val="auto"/>
        </w:rPr>
      </w:pPr>
    </w:p>
    <w:p>
      <w:pPr>
        <w:ind w:left="4320" w:right="800"/>
        <w:spacing w:after="0" w:line="277" w:lineRule="auto"/>
        <w:rPr>
          <w:sz w:val="20"/>
          <w:szCs w:val="20"/>
          <w:color w:val="auto"/>
        </w:rPr>
      </w:pPr>
      <w:r>
        <w:rPr>
          <w:rFonts w:ascii="Arial" w:cs="Arial" w:eastAsia="Arial" w:hAnsi="Arial"/>
          <w:sz w:val="18"/>
          <w:szCs w:val="18"/>
          <w:color w:val="auto"/>
        </w:rPr>
        <w:t>exceed 20% of the number of Shares outstanding as of the Trade Date, as determined by Calculation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340"/>
              <w:spacing w:after="0"/>
              <w:rPr>
                <w:sz w:val="20"/>
                <w:szCs w:val="20"/>
                <w:color w:val="auto"/>
              </w:rPr>
            </w:pPr>
            <w:r>
              <w:rPr>
                <w:rFonts w:ascii="Arial" w:cs="Arial" w:eastAsia="Arial" w:hAnsi="Arial"/>
                <w:sz w:val="18"/>
                <w:szCs w:val="18"/>
                <w:color w:val="auto"/>
              </w:rPr>
              <w:t>Extraordinary Events:</w:t>
            </w:r>
          </w:p>
        </w:tc>
        <w:tc>
          <w:tcPr>
            <w:tcW w:w="7560" w:type="dxa"/>
            <w:vAlign w:val="bottom"/>
          </w:tcPr>
          <w:p>
            <w:pPr>
              <w:spacing w:after="0"/>
              <w:rPr>
                <w:sz w:val="20"/>
                <w:szCs w:val="20"/>
                <w:color w:val="auto"/>
              </w:rPr>
            </w:pPr>
          </w:p>
        </w:tc>
      </w:tr>
      <w:tr>
        <w:trPr>
          <w:trHeight w:val="418"/>
        </w:trPr>
        <w:tc>
          <w:tcPr>
            <w:tcW w:w="3900" w:type="dxa"/>
            <w:vAlign w:val="bottom"/>
          </w:tcPr>
          <w:p>
            <w:pPr>
              <w:ind w:left="520"/>
              <w:spacing w:after="0"/>
              <w:rPr>
                <w:sz w:val="20"/>
                <w:szCs w:val="20"/>
                <w:color w:val="auto"/>
              </w:rPr>
            </w:pPr>
            <w:r>
              <w:rPr>
                <w:rFonts w:ascii="Arial" w:cs="Arial" w:eastAsia="Arial" w:hAnsi="Arial"/>
                <w:sz w:val="18"/>
                <w:szCs w:val="18"/>
                <w:color w:val="auto"/>
              </w:rPr>
              <w:t>New Shares:</w:t>
            </w:r>
          </w:p>
        </w:tc>
        <w:tc>
          <w:tcPr>
            <w:tcW w:w="7560" w:type="dxa"/>
            <w:vAlign w:val="bottom"/>
          </w:tcPr>
          <w:p>
            <w:pPr>
              <w:ind w:left="420"/>
              <w:spacing w:after="0"/>
              <w:rPr>
                <w:sz w:val="20"/>
                <w:szCs w:val="20"/>
                <w:color w:val="auto"/>
              </w:rPr>
            </w:pPr>
            <w:r>
              <w:rPr>
                <w:rFonts w:ascii="Arial" w:cs="Arial" w:eastAsia="Arial" w:hAnsi="Arial"/>
                <w:sz w:val="18"/>
                <w:szCs w:val="18"/>
                <w:color w:val="auto"/>
              </w:rPr>
              <w:t>In the definition of New Shares in Section 12.1(i) of the Equity Definitions, the text in</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clause (i) thereof shall be deleted in its entirety and replaced with “publicly quoted, traded</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or listed on any of The New York Stock Exchange, The NASDAQ Global Market or The</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w w:val="99"/>
              </w:rPr>
              <w:t>NASDAQ Global Select Market (or their respective successors) and of an entity or person</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organized under the laws of the United States, any State thereof or the District of</w:t>
            </w:r>
          </w:p>
        </w:tc>
      </w:tr>
      <w:tr>
        <w:trPr>
          <w:trHeight w:val="230"/>
        </w:trPr>
        <w:tc>
          <w:tcPr>
            <w:tcW w:w="3900" w:type="dxa"/>
            <w:vAlign w:val="bottom"/>
          </w:tcPr>
          <w:p>
            <w:pPr>
              <w:spacing w:after="0"/>
              <w:rPr>
                <w:sz w:val="20"/>
                <w:szCs w:val="20"/>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Columbia”.</w:t>
            </w:r>
          </w:p>
        </w:tc>
      </w:tr>
      <w:tr>
        <w:trPr>
          <w:trHeight w:val="432"/>
        </w:trPr>
        <w:tc>
          <w:tcPr>
            <w:tcW w:w="3900" w:type="dxa"/>
            <w:vAlign w:val="bottom"/>
          </w:tcPr>
          <w:p>
            <w:pPr>
              <w:ind w:left="520"/>
              <w:spacing w:after="0"/>
              <w:rPr>
                <w:sz w:val="20"/>
                <w:szCs w:val="20"/>
                <w:color w:val="auto"/>
              </w:rPr>
            </w:pPr>
            <w:r>
              <w:rPr>
                <w:rFonts w:ascii="Arial" w:cs="Arial" w:eastAsia="Arial" w:hAnsi="Arial"/>
                <w:sz w:val="18"/>
                <w:szCs w:val="18"/>
                <w:color w:val="auto"/>
              </w:rPr>
              <w:t>Merger Events:</w:t>
            </w:r>
          </w:p>
        </w:tc>
        <w:tc>
          <w:tcPr>
            <w:tcW w:w="7560" w:type="dxa"/>
            <w:vAlign w:val="bottom"/>
          </w:tcPr>
          <w:p>
            <w:pPr>
              <w:ind w:left="420"/>
              <w:spacing w:after="0"/>
              <w:rPr>
                <w:sz w:val="20"/>
                <w:szCs w:val="20"/>
                <w:color w:val="auto"/>
              </w:rPr>
            </w:pPr>
            <w:r>
              <w:rPr>
                <w:rFonts w:ascii="Arial" w:cs="Arial" w:eastAsia="Arial" w:hAnsi="Arial"/>
                <w:sz w:val="18"/>
                <w:szCs w:val="18"/>
                <w:color w:val="auto"/>
              </w:rPr>
              <w:t>Applicable</w:t>
            </w:r>
          </w:p>
        </w:tc>
      </w:tr>
      <w:tr>
        <w:trPr>
          <w:trHeight w:val="432"/>
        </w:trPr>
        <w:tc>
          <w:tcPr>
            <w:tcW w:w="3900" w:type="dxa"/>
            <w:vAlign w:val="bottom"/>
          </w:tcPr>
          <w:p>
            <w:pPr>
              <w:ind w:left="520"/>
              <w:spacing w:after="0"/>
              <w:rPr>
                <w:sz w:val="20"/>
                <w:szCs w:val="20"/>
                <w:color w:val="auto"/>
              </w:rPr>
            </w:pPr>
            <w:r>
              <w:rPr>
                <w:rFonts w:ascii="Arial" w:cs="Arial" w:eastAsia="Arial" w:hAnsi="Arial"/>
                <w:sz w:val="18"/>
                <w:szCs w:val="18"/>
                <w:color w:val="auto"/>
              </w:rPr>
              <w:t>Consequences of Merger Events:</w:t>
            </w:r>
          </w:p>
        </w:tc>
        <w:tc>
          <w:tcPr>
            <w:tcW w:w="7560" w:type="dxa"/>
            <w:vAlign w:val="bottom"/>
          </w:tcPr>
          <w:p>
            <w:pPr>
              <w:spacing w:after="0"/>
              <w:rPr>
                <w:sz w:val="24"/>
                <w:szCs w:val="24"/>
                <w:color w:val="auto"/>
              </w:rPr>
            </w:pPr>
          </w:p>
        </w:tc>
      </w:tr>
      <w:tr>
        <w:trPr>
          <w:trHeight w:val="432"/>
        </w:trPr>
        <w:tc>
          <w:tcPr>
            <w:tcW w:w="3900" w:type="dxa"/>
            <w:vAlign w:val="bottom"/>
          </w:tcPr>
          <w:p>
            <w:pPr>
              <w:ind w:left="520"/>
              <w:spacing w:after="0"/>
              <w:rPr>
                <w:sz w:val="20"/>
                <w:szCs w:val="20"/>
                <w:color w:val="auto"/>
              </w:rPr>
            </w:pPr>
            <w:r>
              <w:rPr>
                <w:rFonts w:ascii="Arial" w:cs="Arial" w:eastAsia="Arial" w:hAnsi="Arial"/>
                <w:sz w:val="18"/>
                <w:szCs w:val="18"/>
                <w:color w:val="auto"/>
              </w:rPr>
              <w:t>(a)  Share-for-Share:</w:t>
            </w:r>
          </w:p>
        </w:tc>
        <w:tc>
          <w:tcPr>
            <w:tcW w:w="7560" w:type="dxa"/>
            <w:vAlign w:val="bottom"/>
          </w:tcPr>
          <w:p>
            <w:pPr>
              <w:ind w:left="420"/>
              <w:spacing w:after="0"/>
              <w:rPr>
                <w:sz w:val="20"/>
                <w:szCs w:val="20"/>
                <w:color w:val="auto"/>
              </w:rPr>
            </w:pPr>
            <w:r>
              <w:rPr>
                <w:rFonts w:ascii="Arial" w:cs="Arial" w:eastAsia="Arial" w:hAnsi="Arial"/>
                <w:sz w:val="18"/>
                <w:szCs w:val="18"/>
                <w:color w:val="auto"/>
              </w:rPr>
              <w:t>Modified Calculation Agent Adjustment</w:t>
            </w:r>
          </w:p>
        </w:tc>
      </w:tr>
      <w:tr>
        <w:trPr>
          <w:trHeight w:val="432"/>
        </w:trPr>
        <w:tc>
          <w:tcPr>
            <w:tcW w:w="3900" w:type="dxa"/>
            <w:vAlign w:val="bottom"/>
          </w:tcPr>
          <w:p>
            <w:pPr>
              <w:ind w:left="520"/>
              <w:spacing w:after="0"/>
              <w:rPr>
                <w:sz w:val="20"/>
                <w:szCs w:val="20"/>
                <w:color w:val="auto"/>
              </w:rPr>
            </w:pPr>
            <w:r>
              <w:rPr>
                <w:rFonts w:ascii="Arial" w:cs="Arial" w:eastAsia="Arial" w:hAnsi="Arial"/>
                <w:sz w:val="18"/>
                <w:szCs w:val="18"/>
                <w:color w:val="auto"/>
              </w:rPr>
              <w:t>(b)  Share-for-Other:</w:t>
            </w:r>
          </w:p>
        </w:tc>
        <w:tc>
          <w:tcPr>
            <w:tcW w:w="7560" w:type="dxa"/>
            <w:vAlign w:val="bottom"/>
          </w:tcPr>
          <w:p>
            <w:pPr>
              <w:ind w:left="420"/>
              <w:spacing w:after="0"/>
              <w:rPr>
                <w:sz w:val="20"/>
                <w:szCs w:val="20"/>
                <w:color w:val="auto"/>
              </w:rPr>
            </w:pPr>
            <w:r>
              <w:rPr>
                <w:rFonts w:ascii="Arial" w:cs="Arial" w:eastAsia="Arial" w:hAnsi="Arial"/>
                <w:sz w:val="18"/>
                <w:szCs w:val="18"/>
                <w:color w:val="auto"/>
              </w:rPr>
              <w:t>Cancellation and Payment (Calculation Agent Determination)</w:t>
            </w:r>
          </w:p>
        </w:tc>
      </w:tr>
      <w:tr>
        <w:trPr>
          <w:trHeight w:val="418"/>
        </w:trPr>
        <w:tc>
          <w:tcPr>
            <w:tcW w:w="3900" w:type="dxa"/>
            <w:vAlign w:val="bottom"/>
          </w:tcPr>
          <w:p>
            <w:pPr>
              <w:ind w:left="520"/>
              <w:spacing w:after="0"/>
              <w:rPr>
                <w:sz w:val="20"/>
                <w:szCs w:val="20"/>
                <w:color w:val="auto"/>
              </w:rPr>
            </w:pPr>
            <w:r>
              <w:rPr>
                <w:rFonts w:ascii="Arial" w:cs="Arial" w:eastAsia="Arial" w:hAnsi="Arial"/>
                <w:sz w:val="18"/>
                <w:szCs w:val="18"/>
                <w:color w:val="auto"/>
              </w:rPr>
              <w:t>(c)  Share-for-Combined:</w:t>
            </w:r>
          </w:p>
        </w:tc>
        <w:tc>
          <w:tcPr>
            <w:tcW w:w="7560" w:type="dxa"/>
            <w:vAlign w:val="bottom"/>
          </w:tcPr>
          <w:p>
            <w:pPr>
              <w:ind w:left="420"/>
              <w:spacing w:after="0"/>
              <w:rPr>
                <w:sz w:val="20"/>
                <w:szCs w:val="20"/>
                <w:color w:val="auto"/>
              </w:rPr>
            </w:pPr>
            <w:r>
              <w:rPr>
                <w:rFonts w:ascii="Arial" w:cs="Arial" w:eastAsia="Arial" w:hAnsi="Arial"/>
                <w:sz w:val="18"/>
                <w:szCs w:val="18"/>
                <w:color w:val="auto"/>
              </w:rPr>
              <w:t xml:space="preserve">Cancellation and Payment (Calculation Agent Determination);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w:t>
            </w:r>
          </w:p>
        </w:tc>
      </w:tr>
      <w:tr>
        <w:trPr>
          <w:trHeight w:val="230"/>
        </w:trPr>
        <w:tc>
          <w:tcPr>
            <w:tcW w:w="3900" w:type="dxa"/>
            <w:vAlign w:val="bottom"/>
          </w:tcPr>
          <w:p>
            <w:pPr>
              <w:spacing w:after="0"/>
              <w:rPr>
                <w:sz w:val="20"/>
                <w:szCs w:val="20"/>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Calculation Agent may elect Component Adjustment for all or part of the Transaction</w:t>
            </w:r>
          </w:p>
        </w:tc>
      </w:tr>
      <w:tr>
        <w:trPr>
          <w:trHeight w:val="418"/>
        </w:trPr>
        <w:tc>
          <w:tcPr>
            <w:tcW w:w="3900" w:type="dxa"/>
            <w:vAlign w:val="bottom"/>
          </w:tcPr>
          <w:p>
            <w:pPr>
              <w:ind w:left="520"/>
              <w:spacing w:after="0"/>
              <w:rPr>
                <w:sz w:val="20"/>
                <w:szCs w:val="20"/>
                <w:color w:val="auto"/>
              </w:rPr>
            </w:pPr>
            <w:r>
              <w:rPr>
                <w:rFonts w:ascii="Arial" w:cs="Arial" w:eastAsia="Arial" w:hAnsi="Arial"/>
                <w:sz w:val="18"/>
                <w:szCs w:val="18"/>
                <w:color w:val="auto"/>
              </w:rPr>
              <w:t>Tender Offer:</w:t>
            </w:r>
          </w:p>
        </w:tc>
        <w:tc>
          <w:tcPr>
            <w:tcW w:w="7560" w:type="dxa"/>
            <w:vAlign w:val="bottom"/>
          </w:tcPr>
          <w:p>
            <w:pPr>
              <w:ind w:left="42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definition of “Tender Offer” in Section 12.1 of the Equity</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w w:val="98"/>
              </w:rPr>
              <w:t>Definitions will be amended by replacing the phrase “greater than 10% and less than 100%</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of the outstanding voting shares of the Counterparty” in the third and fourth line thereof</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with “(a) greater than 20% and less than 100% of the outstanding Shares of the</w:t>
            </w:r>
          </w:p>
        </w:tc>
      </w:tr>
      <w:tr>
        <w:trPr>
          <w:trHeight w:val="230"/>
        </w:trPr>
        <w:tc>
          <w:tcPr>
            <w:tcW w:w="3900" w:type="dxa"/>
            <w:vAlign w:val="bottom"/>
          </w:tcPr>
          <w:p>
            <w:pPr>
              <w:spacing w:after="0"/>
              <w:rPr>
                <w:sz w:val="20"/>
                <w:szCs w:val="20"/>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Counterparty”.</w:t>
            </w:r>
          </w:p>
        </w:tc>
      </w:tr>
      <w:tr>
        <w:trPr>
          <w:trHeight w:val="432"/>
        </w:trPr>
        <w:tc>
          <w:tcPr>
            <w:tcW w:w="3900" w:type="dxa"/>
            <w:vAlign w:val="bottom"/>
          </w:tcPr>
          <w:p>
            <w:pPr>
              <w:ind w:left="520"/>
              <w:spacing w:after="0"/>
              <w:rPr>
                <w:sz w:val="20"/>
                <w:szCs w:val="20"/>
                <w:color w:val="auto"/>
              </w:rPr>
            </w:pPr>
            <w:r>
              <w:rPr>
                <w:rFonts w:ascii="Arial" w:cs="Arial" w:eastAsia="Arial" w:hAnsi="Arial"/>
                <w:sz w:val="18"/>
                <w:szCs w:val="18"/>
                <w:color w:val="auto"/>
              </w:rPr>
              <w:t>Consequences of Tender Offers:</w:t>
            </w:r>
          </w:p>
        </w:tc>
        <w:tc>
          <w:tcPr>
            <w:tcW w:w="7560" w:type="dxa"/>
            <w:vAlign w:val="bottom"/>
          </w:tcPr>
          <w:p>
            <w:pPr>
              <w:spacing w:after="0"/>
              <w:rPr>
                <w:sz w:val="24"/>
                <w:szCs w:val="24"/>
                <w:color w:val="auto"/>
              </w:rPr>
            </w:pPr>
          </w:p>
        </w:tc>
      </w:tr>
      <w:tr>
        <w:trPr>
          <w:trHeight w:val="432"/>
        </w:trPr>
        <w:tc>
          <w:tcPr>
            <w:tcW w:w="3900" w:type="dxa"/>
            <w:vAlign w:val="bottom"/>
          </w:tcPr>
          <w:p>
            <w:pPr>
              <w:ind w:left="520"/>
              <w:spacing w:after="0"/>
              <w:rPr>
                <w:sz w:val="20"/>
                <w:szCs w:val="20"/>
                <w:color w:val="auto"/>
              </w:rPr>
            </w:pPr>
            <w:r>
              <w:rPr>
                <w:rFonts w:ascii="Arial" w:cs="Arial" w:eastAsia="Arial" w:hAnsi="Arial"/>
                <w:sz w:val="18"/>
                <w:szCs w:val="18"/>
                <w:color w:val="auto"/>
              </w:rPr>
              <w:t>(a)  Share-for-Share:</w:t>
            </w:r>
          </w:p>
        </w:tc>
        <w:tc>
          <w:tcPr>
            <w:tcW w:w="7560" w:type="dxa"/>
            <w:vAlign w:val="bottom"/>
          </w:tcPr>
          <w:p>
            <w:pPr>
              <w:ind w:left="420"/>
              <w:spacing w:after="0"/>
              <w:rPr>
                <w:sz w:val="20"/>
                <w:szCs w:val="20"/>
                <w:color w:val="auto"/>
              </w:rPr>
            </w:pPr>
            <w:r>
              <w:rPr>
                <w:rFonts w:ascii="Arial" w:cs="Arial" w:eastAsia="Arial" w:hAnsi="Arial"/>
                <w:sz w:val="18"/>
                <w:szCs w:val="18"/>
                <w:color w:val="auto"/>
              </w:rPr>
              <w:t>Modified Calculation Agent Adjustment</w:t>
            </w:r>
          </w:p>
        </w:tc>
      </w:tr>
      <w:tr>
        <w:trPr>
          <w:trHeight w:val="432"/>
        </w:trPr>
        <w:tc>
          <w:tcPr>
            <w:tcW w:w="3900" w:type="dxa"/>
            <w:vAlign w:val="bottom"/>
          </w:tcPr>
          <w:p>
            <w:pPr>
              <w:ind w:left="520"/>
              <w:spacing w:after="0"/>
              <w:rPr>
                <w:sz w:val="20"/>
                <w:szCs w:val="20"/>
                <w:color w:val="auto"/>
              </w:rPr>
            </w:pPr>
            <w:r>
              <w:rPr>
                <w:rFonts w:ascii="Arial" w:cs="Arial" w:eastAsia="Arial" w:hAnsi="Arial"/>
                <w:sz w:val="18"/>
                <w:szCs w:val="18"/>
                <w:color w:val="auto"/>
              </w:rPr>
              <w:t>(b)  Share-for-Other:</w:t>
            </w:r>
          </w:p>
        </w:tc>
        <w:tc>
          <w:tcPr>
            <w:tcW w:w="7560" w:type="dxa"/>
            <w:vAlign w:val="bottom"/>
          </w:tcPr>
          <w:p>
            <w:pPr>
              <w:ind w:left="420"/>
              <w:spacing w:after="0"/>
              <w:rPr>
                <w:sz w:val="20"/>
                <w:szCs w:val="20"/>
                <w:color w:val="auto"/>
              </w:rPr>
            </w:pPr>
            <w:r>
              <w:rPr>
                <w:rFonts w:ascii="Arial" w:cs="Arial" w:eastAsia="Arial" w:hAnsi="Arial"/>
                <w:sz w:val="18"/>
                <w:szCs w:val="18"/>
                <w:color w:val="auto"/>
              </w:rPr>
              <w:t>Modified Calculation Agent Adjustment</w:t>
            </w:r>
          </w:p>
        </w:tc>
      </w:tr>
      <w:tr>
        <w:trPr>
          <w:trHeight w:val="432"/>
        </w:trPr>
        <w:tc>
          <w:tcPr>
            <w:tcW w:w="3900" w:type="dxa"/>
            <w:vAlign w:val="bottom"/>
          </w:tcPr>
          <w:p>
            <w:pPr>
              <w:ind w:left="520"/>
              <w:spacing w:after="0"/>
              <w:rPr>
                <w:sz w:val="20"/>
                <w:szCs w:val="20"/>
                <w:color w:val="auto"/>
              </w:rPr>
            </w:pPr>
            <w:r>
              <w:rPr>
                <w:rFonts w:ascii="Arial" w:cs="Arial" w:eastAsia="Arial" w:hAnsi="Arial"/>
                <w:sz w:val="18"/>
                <w:szCs w:val="18"/>
                <w:color w:val="auto"/>
              </w:rPr>
              <w:t>(c)  Share-for-Combined:</w:t>
            </w:r>
          </w:p>
        </w:tc>
        <w:tc>
          <w:tcPr>
            <w:tcW w:w="7560" w:type="dxa"/>
            <w:vAlign w:val="bottom"/>
          </w:tcPr>
          <w:p>
            <w:pPr>
              <w:ind w:left="42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3900" w:type="dxa"/>
            <w:vAlign w:val="bottom"/>
          </w:tcPr>
          <w:p>
            <w:pPr>
              <w:ind w:left="520"/>
              <w:spacing w:after="0"/>
              <w:rPr>
                <w:sz w:val="20"/>
                <w:szCs w:val="20"/>
                <w:color w:val="auto"/>
              </w:rPr>
            </w:pPr>
            <w:r>
              <w:rPr>
                <w:rFonts w:ascii="Arial" w:cs="Arial" w:eastAsia="Arial" w:hAnsi="Arial"/>
                <w:sz w:val="18"/>
                <w:szCs w:val="18"/>
                <w:color w:val="auto"/>
              </w:rPr>
              <w:t>Consequences of Announcement Events:</w:t>
            </w:r>
          </w:p>
        </w:tc>
        <w:tc>
          <w:tcPr>
            <w:tcW w:w="7560" w:type="dxa"/>
            <w:vAlign w:val="bottom"/>
          </w:tcPr>
          <w:p>
            <w:pPr>
              <w:ind w:left="420"/>
              <w:spacing w:after="0"/>
              <w:rPr>
                <w:sz w:val="20"/>
                <w:szCs w:val="20"/>
                <w:color w:val="auto"/>
              </w:rPr>
            </w:pPr>
            <w:r>
              <w:rPr>
                <w:rFonts w:ascii="Arial" w:cs="Arial" w:eastAsia="Arial" w:hAnsi="Arial"/>
                <w:sz w:val="18"/>
                <w:szCs w:val="18"/>
                <w:color w:val="auto"/>
              </w:rPr>
              <w:t>Modified Calculation Agent Adjustment as set forth in Section 12.3(d) of the Equity</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w w:val="99"/>
              </w:rPr>
              <w:t xml:space="preserve">Definitions;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 in respect of an Announcement Event, (x) references to “Tender</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w w:val="98"/>
              </w:rPr>
              <w:t>Offer” shall be replaced by references to “Announcement Event” and references to “Tender</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w w:val="99"/>
              </w:rPr>
              <w:t>Offer Date” shall be replaced by references to “date of such Announcement Event”, (y) the</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phrase “exercise, settlement, payment or any other terms of the Transaction (including,</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w w:val="99"/>
              </w:rPr>
              <w:t>without limitation, the spread)” shall be replaced with the phrase “Cap Price (</w:t>
            </w:r>
            <w:r>
              <w:rPr>
                <w:rFonts w:ascii="Arial" w:cs="Arial" w:eastAsia="Arial" w:hAnsi="Arial"/>
                <w:sz w:val="18"/>
                <w:szCs w:val="18"/>
                <w:i w:val="1"/>
                <w:iCs w:val="1"/>
                <w:color w:val="auto"/>
                <w:w w:val="99"/>
              </w:rPr>
              <w:t>provided</w:t>
            </w:r>
            <w:r>
              <w:rPr>
                <w:rFonts w:ascii="Arial" w:cs="Arial" w:eastAsia="Arial" w:hAnsi="Arial"/>
                <w:sz w:val="18"/>
                <w:szCs w:val="18"/>
                <w:color w:val="auto"/>
                <w:w w:val="99"/>
              </w:rPr>
              <w:t xml:space="preserve"> that</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in no event shall the Cap Price be less than the Strike Price)” and the words “whether</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within a commercially reasonable (as determined by the Calculation Agent) period of time</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prior to or after the Announcement Event” shall be inserted prior to the word “which” in</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the seventh line, and (z) for the avoidance of doubt, the Calculation Agent shall, in good</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faith and a commercially reasonable manner, determine whether the relevant</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Announcement Event has had a material economic effect on the Transaction and, if so,</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w w:val="99"/>
              </w:rPr>
              <w:t>shall adjust the Cap Price accordingly to take into account such economic effect on one or</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more occasions on or after the date of the Announcement Event up to, and including, the</w:t>
            </w:r>
          </w:p>
        </w:tc>
      </w:tr>
      <w:tr>
        <w:trPr>
          <w:trHeight w:val="216"/>
        </w:trPr>
        <w:tc>
          <w:tcPr>
            <w:tcW w:w="3900" w:type="dxa"/>
            <w:vAlign w:val="bottom"/>
          </w:tcPr>
          <w:p>
            <w:pPr>
              <w:spacing w:after="0"/>
              <w:rPr>
                <w:sz w:val="18"/>
                <w:szCs w:val="18"/>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w w:val="99"/>
              </w:rPr>
              <w:t>Expiration Date, any Early Termination Date and/or any other date of cancellation, it being</w:t>
            </w:r>
          </w:p>
        </w:tc>
      </w:tr>
      <w:tr>
        <w:trPr>
          <w:trHeight w:val="230"/>
        </w:trPr>
        <w:tc>
          <w:tcPr>
            <w:tcW w:w="3900" w:type="dxa"/>
            <w:vAlign w:val="bottom"/>
          </w:tcPr>
          <w:p>
            <w:pPr>
              <w:spacing w:after="0"/>
              <w:rPr>
                <w:sz w:val="20"/>
                <w:szCs w:val="20"/>
                <w:color w:val="auto"/>
              </w:rPr>
            </w:pPr>
          </w:p>
        </w:tc>
        <w:tc>
          <w:tcPr>
            <w:tcW w:w="7560" w:type="dxa"/>
            <w:vAlign w:val="bottom"/>
          </w:tcPr>
          <w:p>
            <w:pPr>
              <w:ind w:left="420"/>
              <w:spacing w:after="0"/>
              <w:rPr>
                <w:sz w:val="20"/>
                <w:szCs w:val="20"/>
                <w:color w:val="auto"/>
              </w:rPr>
            </w:pPr>
            <w:r>
              <w:rPr>
                <w:rFonts w:ascii="Arial" w:cs="Arial" w:eastAsia="Arial" w:hAnsi="Arial"/>
                <w:sz w:val="18"/>
                <w:szCs w:val="18"/>
                <w:color w:val="auto"/>
              </w:rPr>
              <w:t>understood that any</w:t>
            </w:r>
          </w:p>
        </w:tc>
      </w:tr>
      <w:tr>
        <w:trPr>
          <w:trHeight w:val="348"/>
        </w:trPr>
        <w:tc>
          <w:tcPr>
            <w:tcW w:w="3900" w:type="dxa"/>
            <w:vAlign w:val="bottom"/>
            <w:tcBorders>
              <w:bottom w:val="single" w:sz="8" w:color="808080"/>
            </w:tcBorders>
          </w:tcPr>
          <w:p>
            <w:pPr>
              <w:spacing w:after="0"/>
              <w:rPr>
                <w:sz w:val="24"/>
                <w:szCs w:val="24"/>
                <w:color w:val="auto"/>
              </w:rPr>
            </w:pPr>
          </w:p>
        </w:tc>
        <w:tc>
          <w:tcPr>
            <w:tcW w:w="7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320" w:right="580"/>
        <w:spacing w:after="0" w:line="286" w:lineRule="auto"/>
        <w:rPr>
          <w:sz w:val="20"/>
          <w:szCs w:val="20"/>
          <w:color w:val="auto"/>
        </w:rPr>
      </w:pPr>
      <w:r>
        <w:rPr>
          <w:rFonts w:ascii="Arial" w:cs="Arial" w:eastAsia="Arial" w:hAnsi="Arial"/>
          <w:sz w:val="16"/>
          <w:szCs w:val="16"/>
          <w:color w:val="auto"/>
        </w:rPr>
        <w:t xml:space="preserve">adjustment in respect of an Announcement Event shall take into account any earlier adjustment relating to the same Announcement Event and shall not be duplicative with any other adjustment or cancellation valuation made pursuant to this Confirmation, the Equity Definitions or the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Cap Price be adjusted to be less than the Strike Price. An Announcement Event shall be an “Extraordinary Event” for purposes of the Equity Definitions, to which Article 12 of the Equity Definitions is applicable;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upon the Calculation Agent making an adjustment, determined in a commercially reasonable manner, to the Cap Price upon any Announcement Event, then the Calculation Agent shall make an adjustment to the Cap Price upon any announcement regarding the same event that gave rise to the original Announcement Event regarding the abandonment of any such event to the extent necessary to reflect the economic effect of such subsequent announcement on the Transaction (provided that in no event shall the Cap Price be less than the Strike Price).</w:t>
      </w:r>
    </w:p>
    <w:p>
      <w:pPr>
        <w:sectPr>
          <w:pgSz w:w="11900" w:h="16975" w:orient="portrait"/>
          <w:cols w:equalWidth="0" w:num="1">
            <w:col w:w="11460"/>
          </w:cols>
          <w:pgMar w:left="240" w:top="125" w:right="199" w:bottom="0" w:gutter="0" w:footer="0" w:header="0"/>
        </w:sectPr>
      </w:pPr>
    </w:p>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Announcement Event: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(i) The public announcement (whether by Counterparty or a Valid Third Party Entity) of any Merger Event or Tender Offer, or the announcement by Counterparty of any intention</w:t>
      </w:r>
    </w:p>
    <w:p>
      <w:pPr>
        <w:sectPr>
          <w:pgSz w:w="11900" w:h="16975" w:orient="portrait"/>
          <w:cols w:equalWidth="0" w:num="2">
            <w:col w:w="3600" w:space="720"/>
            <w:col w:w="7140"/>
          </w:cols>
          <w:pgMar w:left="240" w:top="125" w:right="199" w:bottom="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w w:val="98"/>
              </w:rPr>
              <w:t>to enter into a Merger Event or Tender Offer, (ii) the public announcement by Counterparty</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w w:val="99"/>
              </w:rPr>
              <w:t>of an intention by Counterparty to solicit or enter into, or to explore strategic alternatives or</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other similar undertaking that may include, a Merger Event or Tender Offer, (iii) there</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occurs a public announcement (whether by Counterparty or a Valid Third Party Entity) of</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any potential acquisition by Counterparty and/or its subsidiaries where the consideration</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exceeds 35% of the market capitalization of the Counterparty as of the date of such</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w w:val="97"/>
              </w:rPr>
              <w:t>announcement, or (iv) any subsequent public announcement (whether by Counterparty or a</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Valid Third Party Entity) of a change to a transaction or intention that is the subject of an</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announcement of the type described in clause (i), (ii) or (iii) of this sentence (including,</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without limitation, a new announcement relating to such a transaction or intention or the</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announcement of a withdrawal from, or the abandonment or discontinuation of, such a</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 xml:space="preserve">transaction or intention);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the occurrence of an</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Announcement Event with respect to any transaction or intention shall not preclude the</w:t>
            </w:r>
          </w:p>
        </w:tc>
      </w:tr>
      <w:tr>
        <w:trPr>
          <w:trHeight w:val="230"/>
        </w:trPr>
        <w:tc>
          <w:tcPr>
            <w:tcW w:w="3720" w:type="dxa"/>
            <w:vAlign w:val="bottom"/>
          </w:tcPr>
          <w:p>
            <w:pPr>
              <w:spacing w:after="0"/>
              <w:rPr>
                <w:sz w:val="20"/>
                <w:szCs w:val="20"/>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occurrence of a later Announcement Event with respect to such transaction or intention.</w:t>
            </w:r>
          </w:p>
        </w:tc>
      </w:tr>
      <w:tr>
        <w:trPr>
          <w:trHeight w:val="418"/>
        </w:trPr>
        <w:tc>
          <w:tcPr>
            <w:tcW w:w="3720" w:type="dxa"/>
            <w:vAlign w:val="bottom"/>
          </w:tcPr>
          <w:p>
            <w:pPr>
              <w:ind w:left="520"/>
              <w:spacing w:after="0"/>
              <w:rPr>
                <w:sz w:val="20"/>
                <w:szCs w:val="20"/>
                <w:color w:val="auto"/>
              </w:rPr>
            </w:pPr>
            <w:r>
              <w:rPr>
                <w:rFonts w:ascii="Arial" w:cs="Arial" w:eastAsia="Arial" w:hAnsi="Arial"/>
                <w:sz w:val="18"/>
                <w:szCs w:val="18"/>
                <w:color w:val="auto"/>
              </w:rPr>
              <w:t>Valid Third Party Entity:</w:t>
            </w:r>
          </w:p>
        </w:tc>
        <w:tc>
          <w:tcPr>
            <w:tcW w:w="7740" w:type="dxa"/>
            <w:vAlign w:val="bottom"/>
          </w:tcPr>
          <w:p>
            <w:pPr>
              <w:ind w:left="600"/>
              <w:spacing w:after="0"/>
              <w:rPr>
                <w:sz w:val="20"/>
                <w:szCs w:val="20"/>
                <w:color w:val="auto"/>
              </w:rPr>
            </w:pPr>
            <w:r>
              <w:rPr>
                <w:rFonts w:ascii="Arial" w:cs="Arial" w:eastAsia="Arial" w:hAnsi="Arial"/>
                <w:sz w:val="18"/>
                <w:szCs w:val="18"/>
                <w:color w:val="auto"/>
              </w:rPr>
              <w:t>In respect of any transaction, any third party that has a bona fide intent to enter into or</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w w:val="98"/>
              </w:rPr>
              <w:t>consummate such transaction (it being understood and agreed that in determining whether</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such third party has such a bona fide intent, the Calculation Agent may take into</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consideration the effect of the relevant announcement by such third party on the Shares</w:t>
            </w:r>
          </w:p>
        </w:tc>
      </w:tr>
      <w:tr>
        <w:trPr>
          <w:trHeight w:val="230"/>
        </w:trPr>
        <w:tc>
          <w:tcPr>
            <w:tcW w:w="3720" w:type="dxa"/>
            <w:vAlign w:val="bottom"/>
          </w:tcPr>
          <w:p>
            <w:pPr>
              <w:spacing w:after="0"/>
              <w:rPr>
                <w:sz w:val="20"/>
                <w:szCs w:val="20"/>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and/or options relating to the Shares).</w:t>
            </w:r>
          </w:p>
        </w:tc>
      </w:tr>
      <w:tr>
        <w:trPr>
          <w:trHeight w:val="418"/>
        </w:trPr>
        <w:tc>
          <w:tcPr>
            <w:tcW w:w="3720" w:type="dxa"/>
            <w:vAlign w:val="bottom"/>
          </w:tcPr>
          <w:p>
            <w:pPr>
              <w:ind w:left="520"/>
              <w:spacing w:after="0"/>
              <w:rPr>
                <w:sz w:val="20"/>
                <w:szCs w:val="20"/>
                <w:color w:val="auto"/>
              </w:rPr>
            </w:pPr>
            <w:r>
              <w:rPr>
                <w:rFonts w:ascii="Arial" w:cs="Arial" w:eastAsia="Arial" w:hAnsi="Arial"/>
                <w:sz w:val="18"/>
                <w:szCs w:val="18"/>
                <w:color w:val="auto"/>
              </w:rPr>
              <w:t>Notice of Merger Consideration and</w:t>
            </w:r>
          </w:p>
        </w:tc>
        <w:tc>
          <w:tcPr>
            <w:tcW w:w="7740" w:type="dxa"/>
            <w:vAlign w:val="bottom"/>
          </w:tcPr>
          <w:p>
            <w:pPr>
              <w:ind w:left="600"/>
              <w:spacing w:after="0"/>
              <w:rPr>
                <w:sz w:val="20"/>
                <w:szCs w:val="20"/>
                <w:color w:val="auto"/>
              </w:rPr>
            </w:pPr>
            <w:r>
              <w:rPr>
                <w:rFonts w:ascii="Arial" w:cs="Arial" w:eastAsia="Arial" w:hAnsi="Arial"/>
                <w:sz w:val="18"/>
                <w:szCs w:val="18"/>
                <w:color w:val="auto"/>
                <w:w w:val="96"/>
              </w:rPr>
              <w:t>Upon the occurrence of a Merger Event that causes the Shares to be converted into the right</w:t>
            </w:r>
          </w:p>
        </w:tc>
      </w:tr>
      <w:tr>
        <w:trPr>
          <w:trHeight w:val="216"/>
        </w:trPr>
        <w:tc>
          <w:tcPr>
            <w:tcW w:w="3720" w:type="dxa"/>
            <w:vAlign w:val="bottom"/>
          </w:tcPr>
          <w:p>
            <w:pPr>
              <w:ind w:left="520"/>
              <w:spacing w:after="0"/>
              <w:rPr>
                <w:sz w:val="20"/>
                <w:szCs w:val="20"/>
                <w:color w:val="auto"/>
              </w:rPr>
            </w:pPr>
            <w:r>
              <w:rPr>
                <w:rFonts w:ascii="Arial" w:cs="Arial" w:eastAsia="Arial" w:hAnsi="Arial"/>
                <w:sz w:val="18"/>
                <w:szCs w:val="18"/>
                <w:color w:val="auto"/>
              </w:rPr>
              <w:t>Consequences:</w:t>
            </w:r>
          </w:p>
        </w:tc>
        <w:tc>
          <w:tcPr>
            <w:tcW w:w="7740" w:type="dxa"/>
            <w:vAlign w:val="bottom"/>
          </w:tcPr>
          <w:p>
            <w:pPr>
              <w:ind w:left="600"/>
              <w:spacing w:after="0"/>
              <w:rPr>
                <w:sz w:val="20"/>
                <w:szCs w:val="20"/>
                <w:color w:val="auto"/>
              </w:rPr>
            </w:pPr>
            <w:r>
              <w:rPr>
                <w:rFonts w:ascii="Arial" w:cs="Arial" w:eastAsia="Arial" w:hAnsi="Arial"/>
                <w:sz w:val="18"/>
                <w:szCs w:val="18"/>
                <w:color w:val="auto"/>
              </w:rPr>
              <w:t>to receive more than a single type of consideration (determined based in part upon any</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form of stockholder election), Counterparty shall reasonably promptly (but in any event</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w w:val="99"/>
              </w:rPr>
              <w:t>prior to the relevant merger date) notify the Calculation Agent of (i) the type and amount of</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consideration that a holder of Shares would have been entitled to in the case of</w:t>
            </w:r>
          </w:p>
        </w:tc>
      </w:tr>
      <w:tr>
        <w:trPr>
          <w:trHeight w:val="216"/>
        </w:trPr>
        <w:tc>
          <w:tcPr>
            <w:tcW w:w="3720" w:type="dxa"/>
            <w:vAlign w:val="bottom"/>
          </w:tcPr>
          <w:p>
            <w:pPr>
              <w:spacing w:after="0"/>
              <w:rPr>
                <w:sz w:val="18"/>
                <w:szCs w:val="18"/>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w w:val="98"/>
              </w:rPr>
              <w:t>reclassifications, consolidations, mergers, sales or transfers of assets or other transactions</w:t>
            </w:r>
          </w:p>
        </w:tc>
      </w:tr>
      <w:tr>
        <w:trPr>
          <w:trHeight w:val="230"/>
        </w:trPr>
        <w:tc>
          <w:tcPr>
            <w:tcW w:w="3720" w:type="dxa"/>
            <w:vAlign w:val="bottom"/>
          </w:tcPr>
          <w:p>
            <w:pPr>
              <w:spacing w:after="0"/>
              <w:rPr>
                <w:sz w:val="20"/>
                <w:szCs w:val="20"/>
                <w:color w:val="auto"/>
              </w:rPr>
            </w:pPr>
          </w:p>
        </w:tc>
        <w:tc>
          <w:tcPr>
            <w:tcW w:w="7740" w:type="dxa"/>
            <w:vAlign w:val="bottom"/>
          </w:tcPr>
          <w:p>
            <w:pPr>
              <w:ind w:left="600"/>
              <w:spacing w:after="0"/>
              <w:rPr>
                <w:sz w:val="20"/>
                <w:szCs w:val="20"/>
                <w:color w:val="auto"/>
              </w:rPr>
            </w:pPr>
            <w:r>
              <w:rPr>
                <w:rFonts w:ascii="Arial" w:cs="Arial" w:eastAsia="Arial" w:hAnsi="Arial"/>
                <w:sz w:val="18"/>
                <w:szCs w:val="18"/>
                <w:color w:val="auto"/>
              </w:rPr>
              <w:t>that cause Shares to be</w:t>
            </w:r>
          </w:p>
        </w:tc>
      </w:tr>
      <w:tr>
        <w:trPr>
          <w:trHeight w:val="348"/>
        </w:trPr>
        <w:tc>
          <w:tcPr>
            <w:tcW w:w="3720" w:type="dxa"/>
            <w:vAlign w:val="bottom"/>
            <w:tcBorders>
              <w:bottom w:val="single" w:sz="8" w:color="808080"/>
            </w:tcBorders>
          </w:tcPr>
          <w:p>
            <w:pPr>
              <w:spacing w:after="0"/>
              <w:rPr>
                <w:sz w:val="24"/>
                <w:szCs w:val="24"/>
                <w:color w:val="auto"/>
              </w:rPr>
            </w:pPr>
          </w:p>
        </w:tc>
        <w:tc>
          <w:tcPr>
            <w:tcW w:w="7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320" w:right="700"/>
        <w:spacing w:after="0" w:line="264" w:lineRule="auto"/>
        <w:rPr>
          <w:sz w:val="20"/>
          <w:szCs w:val="20"/>
          <w:color w:val="auto"/>
        </w:rPr>
      </w:pPr>
      <w:r>
        <w:rPr>
          <w:rFonts w:ascii="Arial" w:cs="Arial" w:eastAsia="Arial" w:hAnsi="Arial"/>
          <w:sz w:val="18"/>
          <w:szCs w:val="18"/>
          <w:color w:val="auto"/>
        </w:rPr>
        <w:t>converted into the right to receive more than a single type of consideration and (ii) the weighted average of the types and amounts of consideration to be received by the holders of Shares that affirmatively make such an election.</w:t>
      </w:r>
    </w:p>
    <w:p>
      <w:pPr>
        <w:sectPr>
          <w:pgSz w:w="11900" w:h="16838" w:orient="portrait"/>
          <w:cols w:equalWidth="0" w:num="1">
            <w:col w:w="11460"/>
          </w:cols>
          <w:pgMar w:left="240" w:top="125" w:right="199" w:bottom="0" w:gutter="0" w:footer="0" w:header="0"/>
        </w:sectPr>
      </w:pP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Nationalization, Insolvency or Delisting:</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580"/>
        <w:spacing w:after="0" w:line="272" w:lineRule="auto"/>
        <w:rPr>
          <w:sz w:val="20"/>
          <w:szCs w:val="20"/>
          <w:color w:val="auto"/>
        </w:rPr>
      </w:pPr>
      <w:r>
        <w:rPr>
          <w:rFonts w:ascii="Arial" w:cs="Arial" w:eastAsia="Arial" w:hAnsi="Arial"/>
          <w:sz w:val="17"/>
          <w:szCs w:val="17"/>
          <w:color w:val="auto"/>
        </w:rPr>
        <w:t xml:space="preserve">Cancellation and Payment (Calculation Agent Determination);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addition to the provisions of Section 12.6(a)(iii) of the Equity Definitions, it will also constitute a Delisting if the Shares are not immediately re-listed, re-traded or re-quoted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w:t>
      </w:r>
    </w:p>
    <w:p>
      <w:pPr>
        <w:spacing w:after="0" w:line="178" w:lineRule="exact"/>
        <w:rPr>
          <w:sz w:val="20"/>
          <w:szCs w:val="20"/>
          <w:color w:val="auto"/>
        </w:rPr>
      </w:pPr>
    </w:p>
    <w:p>
      <w:pPr>
        <w:sectPr>
          <w:pgSz w:w="11900" w:h="16838" w:orient="portrait"/>
          <w:cols w:equalWidth="0" w:num="2">
            <w:col w:w="3600" w:space="720"/>
            <w:col w:w="7140"/>
          </w:cols>
          <w:pgMar w:left="240" w:top="125" w:right="199" w:bottom="0" w:gutter="0" w:footer="0" w:header="0"/>
          <w:type w:val="continuous"/>
        </w:sectPr>
      </w:pPr>
    </w:p>
    <w:p>
      <w:pPr>
        <w:ind w:left="340"/>
        <w:spacing w:after="0"/>
        <w:rPr>
          <w:sz w:val="20"/>
          <w:szCs w:val="20"/>
          <w:color w:val="auto"/>
        </w:rPr>
      </w:pPr>
      <w:r>
        <w:rPr>
          <w:rFonts w:ascii="Arial" w:cs="Arial" w:eastAsia="Arial" w:hAnsi="Arial"/>
          <w:sz w:val="16"/>
          <w:szCs w:val="16"/>
          <w:color w:val="auto"/>
        </w:rPr>
        <w:t>Additional Disruption Events: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Change in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600"/>
        <w:spacing w:after="0" w:line="293" w:lineRule="auto"/>
        <w:rPr>
          <w:sz w:val="20"/>
          <w:szCs w:val="20"/>
          <w:color w:val="auto"/>
        </w:rPr>
      </w:pPr>
      <w:r>
        <w:rPr>
          <w:rFonts w:ascii="Arial" w:cs="Arial" w:eastAsia="Arial" w:hAnsi="Arial"/>
          <w:sz w:val="16"/>
          <w:szCs w:val="16"/>
          <w:color w:val="auto"/>
        </w:rPr>
        <w:t xml:space="preserve">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Section 12.9(a)(ii) of the Equity Definitions is hereby amended by (i) replacing the phrase “the interpretation” in the third line thereof with the phrase “, or public announcement of, the formal or informal interpretation”, (ii) by adding the phrase “and/or Hedge Position” after the word “Shares” in clause (X) thereof and (iii) by immediately following the word “Transaction” in clause (X) thereof, adding the phrase “in the manner contemplated by the Hedging Party on the Trade Date”.</w:t>
      </w:r>
    </w:p>
    <w:p>
      <w:pPr>
        <w:spacing w:after="0" w:line="165" w:lineRule="exact"/>
        <w:rPr>
          <w:sz w:val="20"/>
          <w:szCs w:val="20"/>
          <w:color w:val="auto"/>
        </w:rPr>
      </w:pPr>
    </w:p>
    <w:p>
      <w:pPr>
        <w:sectPr>
          <w:pgSz w:w="11900" w:h="16838" w:orient="portrait"/>
          <w:cols w:equalWidth="0" w:num="2">
            <w:col w:w="3600" w:space="720"/>
            <w:col w:w="7140"/>
          </w:cols>
          <w:pgMar w:left="240" w:top="125" w:right="199" w:bottom="0" w:gutter="0" w:footer="0" w:header="0"/>
          <w:type w:val="continuous"/>
        </w:sectPr>
      </w:pPr>
    </w:p>
    <w:p>
      <w:pPr>
        <w:ind w:left="700"/>
        <w:spacing w:after="0"/>
        <w:rPr>
          <w:sz w:val="20"/>
          <w:szCs w:val="20"/>
          <w:color w:val="auto"/>
        </w:rPr>
      </w:pPr>
      <w:r>
        <w:rPr>
          <w:rFonts w:ascii="Arial" w:cs="Arial" w:eastAsia="Arial" w:hAnsi="Arial"/>
          <w:sz w:val="16"/>
          <w:szCs w:val="16"/>
          <w:color w:val="auto"/>
        </w:rPr>
        <w:t>(b) 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200" w:lineRule="exact"/>
        <w:rPr>
          <w:sz w:val="20"/>
          <w:szCs w:val="20"/>
          <w:color w:val="auto"/>
        </w:rPr>
      </w:pPr>
    </w:p>
    <w:p>
      <w:pPr>
        <w:sectPr>
          <w:pgSz w:w="11900" w:h="16838" w:orient="portrait"/>
          <w:cols w:equalWidth="0" w:num="2">
            <w:col w:w="3600" w:space="720"/>
            <w:col w:w="7140"/>
          </w:cols>
          <w:pgMar w:left="240" w:top="125" w:right="199" w:bottom="0" w:gutter="0" w:footer="0" w:header="0"/>
          <w:type w:val="continuous"/>
        </w:sectPr>
      </w:pPr>
    </w:p>
    <w:p>
      <w:pPr>
        <w:spacing w:after="0" w:line="4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 Insolvency Filing: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211" w:lineRule="exact"/>
        <w:rPr>
          <w:sz w:val="20"/>
          <w:szCs w:val="20"/>
          <w:color w:val="auto"/>
        </w:rPr>
      </w:pPr>
    </w:p>
    <w:p>
      <w:pPr>
        <w:sectPr>
          <w:pgSz w:w="11900" w:h="16838" w:orient="portrait"/>
          <w:cols w:equalWidth="0" w:num="2">
            <w:col w:w="3600" w:space="720"/>
            <w:col w:w="7140"/>
          </w:cols>
          <w:pgMar w:left="240" w:top="125" w:right="199" w:bottom="0" w:gutter="0" w:footer="0" w:header="0"/>
          <w:type w:val="continuous"/>
        </w:sectPr>
      </w:pPr>
    </w:p>
    <w:p>
      <w:pPr>
        <w:spacing w:after="0" w:line="3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 Hedging Disruption: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Applicable</w:t>
      </w:r>
    </w:p>
    <w:p>
      <w:pPr>
        <w:spacing w:after="0" w:line="200" w:lineRule="exact"/>
        <w:rPr>
          <w:sz w:val="20"/>
          <w:szCs w:val="20"/>
          <w:color w:val="auto"/>
        </w:rPr>
      </w:pPr>
    </w:p>
    <w:p>
      <w:pPr>
        <w:sectPr>
          <w:pgSz w:w="11900" w:h="16838" w:orient="portrait"/>
          <w:cols w:equalWidth="0" w:num="2">
            <w:col w:w="3600" w:space="720"/>
            <w:col w:w="7140"/>
          </w:cols>
          <w:pgMar w:left="240" w:top="125" w:right="199" w:bottom="0" w:gutter="0" w:footer="0" w:header="0"/>
          <w:type w:val="continuous"/>
        </w:sectPr>
      </w:pPr>
    </w:p>
    <w:p>
      <w:pPr>
        <w:spacing w:after="0" w:line="4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 Increased Cost of Hedging: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ectPr>
          <w:pgSz w:w="11900" w:h="16838" w:orient="portrait"/>
          <w:cols w:equalWidth="0" w:num="2">
            <w:col w:w="3600" w:space="720"/>
            <w:col w:w="7140"/>
          </w:cols>
          <w:pgMar w:left="240" w:top="125" w:right="199" w:bottom="0" w:gutter="0" w:footer="0" w:header="0"/>
          <w:type w:val="continuous"/>
        </w:sectPr>
      </w:pPr>
    </w:p>
    <w:p>
      <w:pPr>
        <w:spacing w:after="0" w:line="3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Hedging Party: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Dealer</w:t>
      </w:r>
    </w:p>
    <w:p>
      <w:pPr>
        <w:spacing w:after="0" w:line="200" w:lineRule="exact"/>
        <w:rPr>
          <w:sz w:val="20"/>
          <w:szCs w:val="20"/>
          <w:color w:val="auto"/>
        </w:rPr>
      </w:pPr>
    </w:p>
    <w:p>
      <w:pPr>
        <w:sectPr>
          <w:pgSz w:w="11900" w:h="16838" w:orient="portrait"/>
          <w:cols w:equalWidth="0" w:num="2">
            <w:col w:w="3600" w:space="720"/>
            <w:col w:w="7140"/>
          </w:cols>
          <w:pgMar w:left="240" w:top="125" w:right="199" w:bottom="0" w:gutter="0" w:footer="0" w:header="0"/>
          <w:type w:val="continuous"/>
        </w:sectPr>
      </w:pPr>
    </w:p>
    <w:p>
      <w:pPr>
        <w:spacing w:after="0" w:line="4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Determining Party: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580"/>
        <w:spacing w:after="0" w:line="287" w:lineRule="auto"/>
        <w:rPr>
          <w:sz w:val="20"/>
          <w:szCs w:val="20"/>
          <w:color w:val="auto"/>
        </w:rPr>
      </w:pPr>
      <w:r>
        <w:rPr>
          <w:rFonts w:ascii="Arial" w:cs="Arial" w:eastAsia="Arial" w:hAnsi="Arial"/>
          <w:sz w:val="16"/>
          <w:szCs w:val="16"/>
          <w:color w:val="auto"/>
        </w:rPr>
        <w:t xml:space="preserve">For all applicable Extraordinary Events, Dealer; all calculations and determinations made by the Determining Party shall be made in good faith and in a commercially reasonable manner;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receipt of written request from Counterparty, the Determining Party shall promptly provide Counterparty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in a commonly used file format for the storage and manipulation of financial data, but without disclosing Determining Party’s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p>
      <w:pPr>
        <w:sectPr>
          <w:pgSz w:w="11900" w:h="16838" w:orient="portrait"/>
          <w:cols w:equalWidth="0" w:num="2">
            <w:col w:w="3600" w:space="720"/>
            <w:col w:w="7140"/>
          </w:cols>
          <w:pgMar w:left="240" w:top="125" w:right="199" w:bottom="0" w:gutter="0" w:footer="0" w:header="0"/>
          <w:type w:val="continuous"/>
        </w:sectPr>
      </w:pPr>
    </w:p>
    <w:bookmarkStart w:id="80" w:name="page81"/>
    <w:bookmarkEnd w:id="80"/>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ind w:left="520"/>
              <w:spacing w:after="0"/>
              <w:rPr>
                <w:sz w:val="20"/>
                <w:szCs w:val="20"/>
                <w:color w:val="auto"/>
              </w:rPr>
            </w:pPr>
            <w:r>
              <w:rPr>
                <w:rFonts w:ascii="Arial" w:cs="Arial" w:eastAsia="Arial" w:hAnsi="Arial"/>
                <w:sz w:val="18"/>
                <w:szCs w:val="18"/>
                <w:color w:val="auto"/>
              </w:rPr>
              <w:t>Non-Reliance:</w:t>
            </w:r>
          </w:p>
        </w:tc>
        <w:tc>
          <w:tcPr>
            <w:tcW w:w="7360" w:type="dxa"/>
            <w:vAlign w:val="bottom"/>
          </w:tcPr>
          <w:p>
            <w:pPr>
              <w:ind w:left="220"/>
              <w:spacing w:after="0"/>
              <w:rPr>
                <w:sz w:val="20"/>
                <w:szCs w:val="20"/>
                <w:color w:val="auto"/>
              </w:rPr>
            </w:pPr>
            <w:r>
              <w:rPr>
                <w:rFonts w:ascii="Arial" w:cs="Arial" w:eastAsia="Arial" w:hAnsi="Arial"/>
                <w:sz w:val="18"/>
                <w:szCs w:val="18"/>
                <w:color w:val="auto"/>
              </w:rPr>
              <w:t>Applicable</w:t>
            </w:r>
          </w:p>
        </w:tc>
      </w:tr>
      <w:tr>
        <w:trPr>
          <w:trHeight w:val="418"/>
        </w:trPr>
        <w:tc>
          <w:tcPr>
            <w:tcW w:w="4100" w:type="dxa"/>
            <w:vAlign w:val="bottom"/>
          </w:tcPr>
          <w:p>
            <w:pPr>
              <w:ind w:left="520"/>
              <w:spacing w:after="0"/>
              <w:rPr>
                <w:sz w:val="20"/>
                <w:szCs w:val="20"/>
                <w:color w:val="auto"/>
              </w:rPr>
            </w:pPr>
            <w:r>
              <w:rPr>
                <w:rFonts w:ascii="Arial" w:cs="Arial" w:eastAsia="Arial" w:hAnsi="Arial"/>
                <w:sz w:val="18"/>
                <w:szCs w:val="18"/>
                <w:color w:val="auto"/>
                <w:w w:val="95"/>
              </w:rPr>
              <w:t>Agreements and Acknowledgments Regarding</w:t>
            </w:r>
          </w:p>
        </w:tc>
        <w:tc>
          <w:tcPr>
            <w:tcW w:w="7360" w:type="dxa"/>
            <w:vAlign w:val="bottom"/>
          </w:tcPr>
          <w:p>
            <w:pPr>
              <w:ind w:left="220"/>
              <w:spacing w:after="0"/>
              <w:rPr>
                <w:sz w:val="20"/>
                <w:szCs w:val="20"/>
                <w:color w:val="auto"/>
              </w:rPr>
            </w:pPr>
            <w:r>
              <w:rPr>
                <w:rFonts w:ascii="Arial" w:cs="Arial" w:eastAsia="Arial" w:hAnsi="Arial"/>
                <w:sz w:val="18"/>
                <w:szCs w:val="18"/>
                <w:color w:val="auto"/>
              </w:rPr>
              <w:t>Applicable</w:t>
            </w:r>
          </w:p>
        </w:tc>
      </w:tr>
      <w:tr>
        <w:trPr>
          <w:trHeight w:val="230"/>
        </w:trPr>
        <w:tc>
          <w:tcPr>
            <w:tcW w:w="4100" w:type="dxa"/>
            <w:vAlign w:val="bottom"/>
          </w:tcPr>
          <w:p>
            <w:pPr>
              <w:ind w:left="520"/>
              <w:spacing w:after="0"/>
              <w:rPr>
                <w:sz w:val="20"/>
                <w:szCs w:val="20"/>
                <w:color w:val="auto"/>
              </w:rPr>
            </w:pPr>
            <w:r>
              <w:rPr>
                <w:rFonts w:ascii="Arial" w:cs="Arial" w:eastAsia="Arial" w:hAnsi="Arial"/>
                <w:sz w:val="18"/>
                <w:szCs w:val="18"/>
                <w:color w:val="auto"/>
              </w:rPr>
              <w:t>Hedging Activities:</w:t>
            </w:r>
          </w:p>
        </w:tc>
        <w:tc>
          <w:tcPr>
            <w:tcW w:w="7360" w:type="dxa"/>
            <w:vAlign w:val="bottom"/>
          </w:tcPr>
          <w:p>
            <w:pPr>
              <w:spacing w:after="0"/>
              <w:rPr>
                <w:sz w:val="20"/>
                <w:szCs w:val="20"/>
                <w:color w:val="auto"/>
              </w:rPr>
            </w:pPr>
          </w:p>
        </w:tc>
      </w:tr>
      <w:tr>
        <w:trPr>
          <w:trHeight w:val="348"/>
        </w:trPr>
        <w:tc>
          <w:tcPr>
            <w:tcW w:w="4100" w:type="dxa"/>
            <w:vAlign w:val="bottom"/>
            <w:tcBorders>
              <w:bottom w:val="single" w:sz="8" w:color="808080"/>
            </w:tcBorders>
          </w:tcPr>
          <w:p>
            <w:pPr>
              <w:spacing w:after="0"/>
              <w:rPr>
                <w:sz w:val="24"/>
                <w:szCs w:val="24"/>
                <w:color w:val="auto"/>
              </w:rPr>
            </w:pPr>
          </w:p>
        </w:tc>
        <w:tc>
          <w:tcPr>
            <w:tcW w:w="7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20"/>
        <w:spacing w:after="0"/>
        <w:tabs>
          <w:tab w:leader="none" w:pos="4300" w:val="left"/>
        </w:tabs>
        <w:rPr>
          <w:sz w:val="20"/>
          <w:szCs w:val="20"/>
          <w:color w:val="auto"/>
        </w:rPr>
      </w:pPr>
      <w:r>
        <w:rPr>
          <w:rFonts w:ascii="Arial" w:cs="Arial" w:eastAsia="Arial" w:hAnsi="Arial"/>
          <w:sz w:val="18"/>
          <w:szCs w:val="18"/>
          <w:color w:val="auto"/>
        </w:rPr>
        <w:t>Additional Acknowledgments:</w:t>
      </w:r>
      <w:r>
        <w:rPr>
          <w:sz w:val="20"/>
          <w:szCs w:val="20"/>
          <w:color w:val="auto"/>
        </w:rPr>
        <w:tab/>
      </w:r>
      <w:r>
        <w:rPr>
          <w:rFonts w:ascii="Arial" w:cs="Arial" w:eastAsia="Arial" w:hAnsi="Arial"/>
          <w:sz w:val="16"/>
          <w:szCs w:val="16"/>
          <w:color w:val="auto"/>
        </w:rPr>
        <w:t>Applicable</w:t>
      </w:r>
    </w:p>
    <w:p>
      <w:pPr>
        <w:spacing w:after="0" w:line="225" w:lineRule="exact"/>
        <w:rPr>
          <w:sz w:val="20"/>
          <w:szCs w:val="20"/>
          <w:color w:val="auto"/>
        </w:rPr>
      </w:pPr>
    </w:p>
    <w:p>
      <w:pPr>
        <w:ind w:right="80" w:firstLine="656"/>
        <w:spacing w:after="0" w:line="273" w:lineRule="auto"/>
        <w:tabs>
          <w:tab w:leader="none" w:pos="828"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Calculation Agent</w:t>
      </w:r>
      <w:r>
        <w:rPr>
          <w:rFonts w:ascii="Arial" w:cs="Arial" w:eastAsia="Arial" w:hAnsi="Arial"/>
          <w:sz w:val="17"/>
          <w:szCs w:val="17"/>
          <w:color w:val="auto"/>
        </w:rPr>
        <w:t xml:space="preserve">: Dealer;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following the occurrence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or to perform any obligation of the Calculation Agent hereunder and such failure continues for five (5) Exchange Business Days following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w:t>
      </w:r>
    </w:p>
    <w:p>
      <w:pPr>
        <w:spacing w:after="0" w:line="178"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 xml:space="preserve">All calculations and determinations made by the Calculation Agent shall be made in good faith and in a commercially reasonable manner;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receipt of written request from Counterparty, the Calculation Agent shall promptly provide Counterparty with a written explanation describing in reasonable detail any calculation, adjustment or determination made by it (including any quotations, market data or information from internal or external sources used in making such calculation, adjustment or determination, as the case may be, but without disclosing Dealer’s proprietary models or other information that may be proprietary or subject to contractual, legal or regulatory obligations to not disclose such information), and shall use commercially reasonable efforts to provide such written explanation within five (5) Exchange Business Days from the receipt of such request.</w:t>
      </w:r>
    </w:p>
    <w:p>
      <w:pPr>
        <w:spacing w:after="0" w:line="165" w:lineRule="exact"/>
        <w:rPr>
          <w:sz w:val="20"/>
          <w:szCs w:val="20"/>
          <w:color w:val="auto"/>
        </w:rPr>
      </w:pPr>
    </w:p>
    <w:p>
      <w:pPr>
        <w:ind w:left="840" w:hanging="184"/>
        <w:spacing w:after="0"/>
        <w:tabs>
          <w:tab w:leader="none" w:pos="84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Account Details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Dealer Payment Instructions:</w:t>
      </w:r>
    </w:p>
    <w:p>
      <w:pPr>
        <w:spacing w:after="0" w:line="22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[Bank:</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SWIFT:</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Bank Routing:</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Acct Name:</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1560" w:type="dxa"/>
            <w:vAlign w:val="bottom"/>
          </w:tcPr>
          <w:p>
            <w:pPr>
              <w:spacing w:after="0"/>
              <w:rPr>
                <w:sz w:val="20"/>
                <w:szCs w:val="20"/>
                <w:color w:val="auto"/>
              </w:rPr>
            </w:pPr>
            <w:r>
              <w:rPr>
                <w:rFonts w:ascii="Arial" w:cs="Arial" w:eastAsia="Arial" w:hAnsi="Arial"/>
                <w:sz w:val="18"/>
                <w:szCs w:val="18"/>
                <w:color w:val="auto"/>
              </w:rPr>
              <w:t>Acct No.:</w:t>
            </w: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Counterparty Payment Instructions: To be advised.</w:t>
      </w:r>
    </w:p>
    <w:p>
      <w:pPr>
        <w:spacing w:after="0" w:line="225" w:lineRule="exact"/>
        <w:rPr>
          <w:sz w:val="20"/>
          <w:szCs w:val="20"/>
          <w:color w:val="auto"/>
        </w:rPr>
      </w:pPr>
    </w:p>
    <w:p>
      <w:pPr>
        <w:ind w:left="840" w:hanging="184"/>
        <w:spacing w:after="0"/>
        <w:tabs>
          <w:tab w:leader="none" w:pos="84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5920" w:val="left"/>
        </w:tabs>
        <w:rPr>
          <w:sz w:val="20"/>
          <w:szCs w:val="20"/>
          <w:color w:val="auto"/>
        </w:rPr>
      </w:pPr>
      <w:r>
        <w:rPr>
          <w:rFonts w:ascii="Arial" w:cs="Arial" w:eastAsia="Arial" w:hAnsi="Arial"/>
          <w:sz w:val="18"/>
          <w:szCs w:val="18"/>
          <w:color w:val="auto"/>
        </w:rPr>
        <w:t>The Office of Dealer for the Transaction is: [New York][</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Dealer’s Office Address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Office of Counterparty for the Transaction is: Inapplicable, Company is not a Multibranch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Address for notices or communications to Counterparty:</w:t>
      </w:r>
    </w:p>
    <w:p>
      <w:pPr>
        <w:sectPr>
          <w:pgSz w:w="11900" w:h="16952" w:orient="portrait"/>
          <w:cols w:equalWidth="0" w:num="1">
            <w:col w:w="11460"/>
          </w:cols>
          <w:pgMar w:left="240" w:top="125" w:right="199" w:bottom="0" w:gutter="0" w:footer="0" w:header="0"/>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Telephone No.:</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229 W. 43rd Street, 5th Floor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 727-4092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michael.gordon@mongodb.com</w:t>
      </w:r>
    </w:p>
    <w:p>
      <w:pPr>
        <w:spacing w:after="0" w:line="222" w:lineRule="exact"/>
        <w:rPr>
          <w:sz w:val="20"/>
          <w:szCs w:val="20"/>
          <w:color w:val="auto"/>
        </w:rPr>
      </w:pPr>
    </w:p>
    <w:p>
      <w:pPr>
        <w:sectPr>
          <w:pgSz w:w="11900" w:h="16952" w:orient="portrait"/>
          <w:cols w:equalWidth="0" w:num="2">
            <w:col w:w="2420" w:space="700"/>
            <w:col w:w="8340"/>
          </w:cols>
          <w:pgMar w:left="240" w:top="125" w:right="199" w:bottom="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Address for notices or communications to 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[To:</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Attention:</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Telephone: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Facsimile: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Email:</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left="840" w:hanging="184"/>
        <w:spacing w:after="0"/>
        <w:tabs>
          <w:tab w:leader="none" w:pos="84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p>
    <w:p>
      <w:pPr>
        <w:spacing w:after="0" w:line="225" w:lineRule="exact"/>
        <w:rPr>
          <w:sz w:val="20"/>
          <w:szCs w:val="20"/>
          <w:color w:val="auto"/>
        </w:rPr>
      </w:pPr>
    </w:p>
    <w:p>
      <w:pPr>
        <w:ind w:right="100" w:firstLine="656"/>
        <w:spacing w:after="0" w:line="277" w:lineRule="auto"/>
        <w:tabs>
          <w:tab w:leader="none" w:pos="89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addition to the representations and warranties in the Agreement and those contained elsewhere herein, Counterparty represents and warrants to and for the benefit of, and agrees with, Dealer as follows:</w:t>
      </w:r>
    </w:p>
    <w:p>
      <w:pPr>
        <w:spacing w:after="0" w:line="170" w:lineRule="exact"/>
        <w:rPr>
          <w:rFonts w:ascii="Arial" w:cs="Arial" w:eastAsia="Arial" w:hAnsi="Arial"/>
          <w:sz w:val="18"/>
          <w:szCs w:val="18"/>
          <w:color w:val="auto"/>
        </w:rPr>
      </w:pPr>
    </w:p>
    <w:p>
      <w:pPr>
        <w:ind w:left="660" w:right="60" w:firstLine="320"/>
        <w:spacing w:after="0" w:line="312" w:lineRule="auto"/>
        <w:tabs>
          <w:tab w:leader="none" w:pos="1199" w:val="left"/>
        </w:tabs>
        <w:numPr>
          <w:ilvl w:val="1"/>
          <w:numId w:val="166"/>
        </w:numPr>
        <w:rPr>
          <w:rFonts w:ascii="Arial" w:cs="Arial" w:eastAsia="Arial" w:hAnsi="Arial"/>
          <w:sz w:val="16"/>
          <w:szCs w:val="16"/>
          <w:color w:val="auto"/>
        </w:rPr>
      </w:pPr>
      <w:r>
        <w:rPr>
          <w:rFonts w:ascii="Arial" w:cs="Arial" w:eastAsia="Arial" w:hAnsi="Arial"/>
          <w:sz w:val="16"/>
          <w:szCs w:val="16"/>
          <w:color w:val="auto"/>
        </w:rPr>
        <w:t>On the Trade Date (A) none of Counterparty and its officers and directors is aware of any material non-public information regarding Counterparty or the Shares, and (B) all reports and other documents filed by Counterparty with the Securities and Exchange Commission pursuant to the Exchange Act when considered as a whole (with the more recent such reports and documents deemed to amend inconsistent statements contained</w:t>
      </w:r>
    </w:p>
    <w:p>
      <w:pPr>
        <w:sectPr>
          <w:pgSz w:w="11900" w:h="16952" w:orient="portrait"/>
          <w:cols w:equalWidth="0" w:num="1">
            <w:col w:w="11460"/>
          </w:cols>
          <w:pgMar w:left="240" w:top="125" w:right="199" w:bottom="0" w:gutter="0" w:footer="0" w:header="0"/>
          <w:type w:val="continuous"/>
        </w:sectPr>
      </w:pPr>
    </w:p>
    <w:bookmarkStart w:id="81" w:name="page82"/>
    <w:bookmarkEnd w:id="81"/>
    <w:p>
      <w:pPr>
        <w:ind w:left="652" w:right="260"/>
        <w:spacing w:after="0" w:line="342" w:lineRule="auto"/>
        <w:rPr>
          <w:sz w:val="20"/>
          <w:szCs w:val="20"/>
          <w:color w:val="auto"/>
        </w:rPr>
      </w:pPr>
      <w:r>
        <w:rPr>
          <w:rFonts w:ascii="Arial" w:cs="Arial" w:eastAsia="Arial" w:hAnsi="Arial"/>
          <w:sz w:val="16"/>
          <w:szCs w:val="16"/>
          <w:color w:val="auto"/>
        </w:rPr>
        <w:t>in any earlier such reports and documents), do not contain any untrue statement of a material fact or any omission of a material fact required to be stated therein or necessary to make the statements therein, in the light of the circumstances in which they were made, not misleading .</w:t>
      </w:r>
    </w:p>
    <w:p>
      <w:pPr>
        <w:spacing w:after="0" w:line="124" w:lineRule="exact"/>
        <w:rPr>
          <w:sz w:val="20"/>
          <w:szCs w:val="20"/>
          <w:color w:val="auto"/>
        </w:rPr>
      </w:pPr>
    </w:p>
    <w:p>
      <w:pPr>
        <w:ind w:left="652" w:right="40" w:firstLine="320"/>
        <w:spacing w:after="0" w:line="259" w:lineRule="auto"/>
        <w:tabs>
          <w:tab w:leader="none" w:pos="1286" w:val="left"/>
        </w:tabs>
        <w:numPr>
          <w:ilvl w:val="2"/>
          <w:numId w:val="167"/>
        </w:numPr>
        <w:rPr>
          <w:rFonts w:ascii="Arial" w:cs="Arial" w:eastAsia="Arial" w:hAnsi="Arial"/>
          <w:sz w:val="18"/>
          <w:szCs w:val="18"/>
          <w:color w:val="auto"/>
        </w:rPr>
      </w:pPr>
      <w:r>
        <w:rPr>
          <w:rFonts w:ascii="Arial" w:cs="Arial" w:eastAsia="Arial" w:hAnsi="Arial"/>
          <w:sz w:val="18"/>
          <w:szCs w:val="18"/>
          <w:color w:val="auto"/>
        </w:rPr>
        <w:t>On the Trade Date, (A) the Shares or securities that are convertible into, or exchangeable or exercisable for Shares, are not, and shall not be, subject to a “restricted period,” as such term is defined in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 and (B) Counterparty is not engaged in any “distribution,” as such term is defined in Regulation M, other than a distribution meeting the requirements of the exceptions set forth in Rule 101(b)(10) and 102(b)(7) or Rule 102(c)(1)(i) of Regulation M.</w:t>
      </w:r>
    </w:p>
    <w:p>
      <w:pPr>
        <w:spacing w:after="0" w:line="186" w:lineRule="exact"/>
        <w:rPr>
          <w:rFonts w:ascii="Arial" w:cs="Arial" w:eastAsia="Arial" w:hAnsi="Arial"/>
          <w:sz w:val="18"/>
          <w:szCs w:val="18"/>
          <w:color w:val="auto"/>
        </w:rPr>
      </w:pPr>
    </w:p>
    <w:p>
      <w:pPr>
        <w:jc w:val="both"/>
        <w:ind w:left="652" w:right="60" w:firstLine="320"/>
        <w:spacing w:after="0" w:line="257" w:lineRule="auto"/>
        <w:tabs>
          <w:tab w:leader="none" w:pos="1291" w:val="left"/>
        </w:tabs>
        <w:numPr>
          <w:ilvl w:val="2"/>
          <w:numId w:val="167"/>
        </w:numPr>
        <w:rPr>
          <w:rFonts w:ascii="Arial" w:cs="Arial" w:eastAsia="Arial" w:hAnsi="Arial"/>
          <w:sz w:val="18"/>
          <w:szCs w:val="18"/>
          <w:color w:val="auto"/>
        </w:rPr>
      </w:pPr>
      <w:r>
        <w:rPr>
          <w:rFonts w:ascii="Arial" w:cs="Arial" w:eastAsia="Arial" w:hAnsi="Arial"/>
          <w:sz w:val="18"/>
          <w:szCs w:val="18"/>
          <w:color w:val="auto"/>
        </w:rPr>
        <w:t>On the Trade Date, neither Counterparty nor any “affiliate” or “affiliated purchaser” (each as defined in Rule 10b-18 of the Exchange Act (“</w:t>
      </w:r>
      <w:r>
        <w:rPr>
          <w:rFonts w:ascii="Arial" w:cs="Arial" w:eastAsia="Arial" w:hAnsi="Arial"/>
          <w:sz w:val="18"/>
          <w:szCs w:val="18"/>
          <w:b w:val="1"/>
          <w:bCs w:val="1"/>
          <w:color w:val="auto"/>
        </w:rPr>
        <w:t>Rule 10b-18</w:t>
      </w:r>
      <w:r>
        <w:rPr>
          <w:rFonts w:ascii="Arial" w:cs="Arial" w:eastAsia="Arial" w:hAnsi="Arial"/>
          <w:sz w:val="18"/>
          <w:szCs w:val="18"/>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except through Dealer.</w:t>
      </w:r>
    </w:p>
    <w:p>
      <w:pPr>
        <w:spacing w:after="0" w:line="188" w:lineRule="exact"/>
        <w:rPr>
          <w:rFonts w:ascii="Arial" w:cs="Arial" w:eastAsia="Arial" w:hAnsi="Arial"/>
          <w:sz w:val="18"/>
          <w:szCs w:val="18"/>
          <w:color w:val="auto"/>
        </w:rPr>
      </w:pPr>
    </w:p>
    <w:p>
      <w:pPr>
        <w:ind w:left="652" w:right="180" w:firstLine="320"/>
        <w:spacing w:after="0" w:line="257" w:lineRule="auto"/>
        <w:tabs>
          <w:tab w:leader="none" w:pos="1278" w:val="left"/>
        </w:tabs>
        <w:numPr>
          <w:ilvl w:val="2"/>
          <w:numId w:val="167"/>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or </w:t>
      </w:r>
      <w:r>
        <w:rPr>
          <w:rFonts w:ascii="Arial" w:cs="Arial" w:eastAsia="Arial" w:hAnsi="Arial"/>
          <w:sz w:val="18"/>
          <w:szCs w:val="18"/>
          <w:i w:val="1"/>
          <w:iCs w:val="1"/>
          <w:color w:val="auto"/>
        </w:rPr>
        <w:t>ASC Topic 480,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and ASC</w:t>
      </w:r>
      <w:r>
        <w:rPr>
          <w:rFonts w:ascii="Arial" w:cs="Arial" w:eastAsia="Arial" w:hAnsi="Arial"/>
          <w:sz w:val="18"/>
          <w:szCs w:val="18"/>
          <w:i w:val="1"/>
          <w:iCs w:val="1"/>
          <w:color w:val="auto"/>
        </w:rPr>
        <w:t xml:space="preserve"> 815-40, Derivatives and Hedging </w:t>
      </w:r>
      <w:r>
        <w:rPr>
          <w:rFonts w:ascii="Arial" w:cs="Arial" w:eastAsia="Arial" w:hAnsi="Arial"/>
          <w:sz w:val="18"/>
          <w:szCs w:val="18"/>
          <w:color w:val="auto"/>
        </w:rPr>
        <w:t>—</w:t>
      </w:r>
      <w:r>
        <w:rPr>
          <w:rFonts w:ascii="Arial" w:cs="Arial" w:eastAsia="Arial" w:hAnsi="Arial"/>
          <w:sz w:val="18"/>
          <w:szCs w:val="18"/>
          <w:i w:val="1"/>
          <w:iCs w:val="1"/>
          <w:color w:val="auto"/>
        </w:rPr>
        <w:t xml:space="preserve"> Contracts in Entity’s Own Equity </w:t>
      </w:r>
      <w:r>
        <w:rPr>
          <w:rFonts w:ascii="Arial" w:cs="Arial" w:eastAsia="Arial" w:hAnsi="Arial"/>
          <w:sz w:val="18"/>
          <w:szCs w:val="18"/>
          <w:color w:val="auto"/>
        </w:rPr>
        <w:t>(or any successor issue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w:t>
      </w:r>
    </w:p>
    <w:p>
      <w:pPr>
        <w:spacing w:after="0" w:line="188" w:lineRule="exact"/>
        <w:rPr>
          <w:rFonts w:ascii="Arial" w:cs="Arial" w:eastAsia="Arial" w:hAnsi="Arial"/>
          <w:sz w:val="18"/>
          <w:szCs w:val="18"/>
          <w:color w:val="auto"/>
        </w:rPr>
      </w:pPr>
    </w:p>
    <w:p>
      <w:pPr>
        <w:ind w:left="652" w:right="300" w:firstLine="320"/>
        <w:spacing w:after="0" w:line="277" w:lineRule="auto"/>
        <w:tabs>
          <w:tab w:leader="none" w:pos="1276" w:val="left"/>
        </w:tabs>
        <w:numPr>
          <w:ilvl w:val="2"/>
          <w:numId w:val="167"/>
        </w:numPr>
        <w:rPr>
          <w:rFonts w:ascii="Arial" w:cs="Arial" w:eastAsia="Arial" w:hAnsi="Arial"/>
          <w:sz w:val="18"/>
          <w:szCs w:val="18"/>
          <w:color w:val="auto"/>
        </w:rPr>
      </w:pPr>
      <w:r>
        <w:rPr>
          <w:rFonts w:ascii="Arial" w:cs="Arial" w:eastAsia="Arial" w:hAnsi="Arial"/>
          <w:sz w:val="18"/>
          <w:szCs w:val="18"/>
          <w:color w:val="auto"/>
        </w:rPr>
        <w:t>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left="1272" w:hanging="300"/>
        <w:spacing w:after="0"/>
        <w:tabs>
          <w:tab w:leader="none" w:pos="1272" w:val="left"/>
        </w:tabs>
        <w:numPr>
          <w:ilvl w:val="2"/>
          <w:numId w:val="167"/>
        </w:numPr>
        <w:rPr>
          <w:rFonts w:ascii="Arial" w:cs="Arial" w:eastAsia="Arial" w:hAnsi="Arial"/>
          <w:sz w:val="16"/>
          <w:szCs w:val="16"/>
          <w:color w:val="auto"/>
        </w:rPr>
      </w:pPr>
      <w:r>
        <w:rPr>
          <w:rFonts w:ascii="Arial" w:cs="Arial" w:eastAsia="Arial" w:hAnsi="Arial"/>
          <w:sz w:val="16"/>
          <w:szCs w:val="16"/>
          <w:color w:val="auto"/>
        </w:rPr>
        <w:t>Prior to the Trade Date, Counterparty shall deliver to Dealer a resolution of Counterparty’s board of directors authorizing the Transaction.</w:t>
      </w:r>
    </w:p>
    <w:p>
      <w:pPr>
        <w:spacing w:after="0" w:line="248" w:lineRule="exact"/>
        <w:rPr>
          <w:rFonts w:ascii="Arial" w:cs="Arial" w:eastAsia="Arial" w:hAnsi="Arial"/>
          <w:sz w:val="16"/>
          <w:szCs w:val="16"/>
          <w:color w:val="auto"/>
        </w:rPr>
      </w:pPr>
    </w:p>
    <w:p>
      <w:pPr>
        <w:ind w:left="652" w:firstLine="320"/>
        <w:spacing w:after="0" w:line="264" w:lineRule="auto"/>
        <w:tabs>
          <w:tab w:leader="none" w:pos="1331" w:val="left"/>
        </w:tabs>
        <w:numPr>
          <w:ilvl w:val="2"/>
          <w:numId w:val="167"/>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52" w:right="420" w:firstLine="320"/>
        <w:spacing w:after="0" w:line="277" w:lineRule="auto"/>
        <w:tabs>
          <w:tab w:leader="none" w:pos="1381" w:val="left"/>
        </w:tabs>
        <w:numPr>
          <w:ilvl w:val="2"/>
          <w:numId w:val="167"/>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required to register as, an “investment company” as such term is defined in the Investment Company Act of 1940, as amended.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652" w:right="140" w:firstLine="320"/>
        <w:spacing w:after="0" w:line="264" w:lineRule="auto"/>
        <w:tabs>
          <w:tab w:leader="none" w:pos="1281" w:val="left"/>
        </w:tabs>
        <w:numPr>
          <w:ilvl w:val="2"/>
          <w:numId w:val="167"/>
        </w:numPr>
        <w:rPr>
          <w:rFonts w:ascii="Arial" w:cs="Arial" w:eastAsia="Arial" w:hAnsi="Arial"/>
          <w:sz w:val="18"/>
          <w:szCs w:val="18"/>
          <w:color w:val="auto"/>
        </w:rPr>
      </w:pPr>
      <w:r>
        <w:rPr>
          <w:rFonts w:ascii="Arial" w:cs="Arial" w:eastAsia="Arial" w:hAnsi="Arial"/>
          <w:sz w:val="18"/>
          <w:szCs w:val="18"/>
          <w:color w:val="auto"/>
        </w:rPr>
        <w:t>On each of the Trade Date and the Premium Payment Date, Counterparty is not “insolvent” (as such term is defined under Section 101(32) of the U.S. Bankruptcy Code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and Counterparty would be able to purchase the Number of Shares in compliance with the laws of the jurisdiction of Counterparty’s incorporation.</w:t>
      </w:r>
    </w:p>
    <w:p>
      <w:pPr>
        <w:spacing w:after="0" w:line="181" w:lineRule="exact"/>
        <w:rPr>
          <w:rFonts w:ascii="Arial" w:cs="Arial" w:eastAsia="Arial" w:hAnsi="Arial"/>
          <w:sz w:val="18"/>
          <w:szCs w:val="18"/>
          <w:color w:val="auto"/>
        </w:rPr>
      </w:pPr>
    </w:p>
    <w:p>
      <w:pPr>
        <w:ind w:left="652" w:right="20" w:firstLine="320"/>
        <w:spacing w:after="0" w:line="257" w:lineRule="auto"/>
        <w:tabs>
          <w:tab w:leader="none" w:pos="1228" w:val="left"/>
        </w:tabs>
        <w:numPr>
          <w:ilvl w:val="2"/>
          <w:numId w:val="167"/>
        </w:numPr>
        <w:rPr>
          <w:rFonts w:ascii="Arial" w:cs="Arial" w:eastAsia="Arial" w:hAnsi="Arial"/>
          <w:sz w:val="18"/>
          <w:szCs w:val="18"/>
          <w:color w:val="auto"/>
        </w:rPr>
      </w:pPr>
      <w:r>
        <w:rPr>
          <w:rFonts w:ascii="Arial" w:cs="Arial" w:eastAsia="Arial" w:hAnsi="Arial"/>
          <w:sz w:val="18"/>
          <w:szCs w:val="18"/>
          <w:color w:val="auto"/>
        </w:rPr>
        <w:t xml:space="preserve">To Counterparty’s knowledge, no U.S. state or local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representation shall be made by Counterparty with respect to any rules and regulations applicable to Dealer (including FINRA) arising from Dealer’s status as a regulated entity under applicable law.</w:t>
      </w:r>
    </w:p>
    <w:p>
      <w:pPr>
        <w:spacing w:after="0" w:line="188" w:lineRule="exact"/>
        <w:rPr>
          <w:rFonts w:ascii="Arial" w:cs="Arial" w:eastAsia="Arial" w:hAnsi="Arial"/>
          <w:sz w:val="18"/>
          <w:szCs w:val="18"/>
          <w:color w:val="auto"/>
        </w:rPr>
      </w:pPr>
    </w:p>
    <w:p>
      <w:pPr>
        <w:ind w:left="652" w:right="60" w:firstLine="320"/>
        <w:spacing w:after="0" w:line="286" w:lineRule="auto"/>
        <w:tabs>
          <w:tab w:leader="none" w:pos="1281" w:val="left"/>
        </w:tabs>
        <w:numPr>
          <w:ilvl w:val="2"/>
          <w:numId w:val="167"/>
        </w:numPr>
        <w:rPr>
          <w:rFonts w:ascii="Arial" w:cs="Arial" w:eastAsia="Arial" w:hAnsi="Arial"/>
          <w:sz w:val="17"/>
          <w:szCs w:val="17"/>
          <w:color w:val="auto"/>
        </w:rPr>
      </w:pPr>
      <w:r>
        <w:rPr>
          <w:rFonts w:ascii="Arial" w:cs="Arial" w:eastAsia="Arial" w:hAnsi="Arial"/>
          <w:sz w:val="17"/>
          <w:szCs w:val="17"/>
          <w:color w:val="auto"/>
        </w:rPr>
        <w:t>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(C) has total assets of at least $50 million.</w:t>
      </w:r>
    </w:p>
    <w:p>
      <w:pPr>
        <w:spacing w:after="0" w:line="165" w:lineRule="exact"/>
        <w:rPr>
          <w:rFonts w:ascii="Arial" w:cs="Arial" w:eastAsia="Arial" w:hAnsi="Arial"/>
          <w:sz w:val="17"/>
          <w:szCs w:val="17"/>
          <w:color w:val="auto"/>
        </w:rPr>
      </w:pPr>
    </w:p>
    <w:p>
      <w:pPr>
        <w:ind w:left="-8" w:firstLine="656"/>
        <w:spacing w:after="0" w:line="264" w:lineRule="auto"/>
        <w:tabs>
          <w:tab w:leader="none" w:pos="895"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w:t>
      </w:r>
    </w:p>
    <w:p>
      <w:pPr>
        <w:spacing w:after="0" w:line="181" w:lineRule="exact"/>
        <w:rPr>
          <w:rFonts w:ascii="Arial" w:cs="Arial" w:eastAsia="Arial" w:hAnsi="Arial"/>
          <w:sz w:val="18"/>
          <w:szCs w:val="18"/>
          <w:color w:val="auto"/>
        </w:rPr>
      </w:pPr>
    </w:p>
    <w:p>
      <w:pPr>
        <w:ind w:left="-8" w:right="20" w:firstLine="656"/>
        <w:spacing w:after="0" w:line="284" w:lineRule="auto"/>
        <w:tabs>
          <w:tab w:leader="none" w:pos="885" w:val="left"/>
        </w:tabs>
        <w:numPr>
          <w:ilvl w:val="1"/>
          <w:numId w:val="168"/>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w:t>
      </w:r>
    </w:p>
    <w:p>
      <w:pPr>
        <w:spacing w:after="0" w:line="4" w:lineRule="exact"/>
        <w:rPr>
          <w:rFonts w:ascii="Arial" w:cs="Arial" w:eastAsia="Arial" w:hAnsi="Arial"/>
          <w:sz w:val="16"/>
          <w:szCs w:val="16"/>
          <w:color w:val="auto"/>
        </w:rPr>
      </w:pPr>
    </w:p>
    <w:p>
      <w:pPr>
        <w:ind w:left="-8" w:right="60" w:firstLine="8"/>
        <w:spacing w:after="0" w:line="253" w:lineRule="auto"/>
        <w:tabs>
          <w:tab w:leader="none" w:pos="29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91" w:lineRule="exact"/>
        <w:rPr>
          <w:rFonts w:ascii="Arial" w:cs="Arial" w:eastAsia="Arial" w:hAnsi="Arial"/>
          <w:sz w:val="18"/>
          <w:szCs w:val="18"/>
          <w:color w:val="auto"/>
        </w:rPr>
      </w:pPr>
    </w:p>
    <w:p>
      <w:pPr>
        <w:ind w:left="-8" w:right="20" w:firstLine="656"/>
        <w:spacing w:after="0" w:line="270" w:lineRule="auto"/>
        <w:tabs>
          <w:tab w:leader="none" w:pos="895" w:val="left"/>
        </w:tabs>
        <w:numPr>
          <w:ilvl w:val="1"/>
          <w:numId w:val="169"/>
        </w:numPr>
        <w:rPr>
          <w:rFonts w:ascii="Arial" w:cs="Arial" w:eastAsia="Arial" w:hAnsi="Arial"/>
          <w:sz w:val="17"/>
          <w:szCs w:val="17"/>
          <w:color w:val="auto"/>
        </w:rPr>
      </w:pPr>
      <w:r>
        <w:rPr>
          <w:rFonts w:ascii="Arial" w:cs="Arial" w:eastAsia="Arial" w:hAnsi="Arial"/>
          <w:sz w:val="17"/>
          <w:szCs w:val="17"/>
          <w:color w:val="auto"/>
        </w:rPr>
        <w:t>Each of Dealer and Counterparty agrees and acknowledges that Dealer is a “financial institution,” “swap participant” and “financial participant” within the meaning of Sections 101(22), 101(53C) and 101(22A) of the Bankruptcy Code. The parties hereto further agree and acknowledge (A) that this Confirmation is (i)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(ii) a “swap agreement,” as such term is defined in Section 101(53B) of the Bankruptcy Code, with respect to which each payment and delivery hereunder or in connection herewith is a “termination value,” “payment amount” or “other transfer obligation” within the meaning of Section 362 of the Bankruptcy Code and a “transfer” within the meaning of Section 546 of the Bankruptcy Code, and (B) that Dealer is entitled to the protections afforded by, among other sections, Sections 362(b)(6), 362(b)(17), 362(b)(27), 362(o), 546(e), 546(g), 546(j), 548(d)(2), 555, 560 and 561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-5751195</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25" w:right="239" w:bottom="56" w:gutter="0" w:footer="0" w:header="0"/>
        </w:sectPr>
      </w:pPr>
    </w:p>
    <w:bookmarkStart w:id="82" w:name="page83"/>
    <w:bookmarkEnd w:id="82"/>
    <w:p>
      <w:pPr>
        <w:ind w:right="140" w:firstLine="656"/>
        <w:spacing w:after="0" w:line="277" w:lineRule="auto"/>
        <w:tabs>
          <w:tab w:leader="none" w:pos="89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As a condition to the effectiveness of the Transaction, Counterparty shall deliver to Dealer an opinion of counsel, dated as of the Effective Date, in substantially the form attached hereto as Annex B.</w:t>
      </w:r>
    </w:p>
    <w:p>
      <w:pPr>
        <w:spacing w:after="0" w:line="170" w:lineRule="exact"/>
        <w:rPr>
          <w:rFonts w:ascii="Arial" w:cs="Arial" w:eastAsia="Arial" w:hAnsi="Arial"/>
          <w:sz w:val="18"/>
          <w:szCs w:val="18"/>
          <w:color w:val="auto"/>
        </w:rPr>
      </w:pPr>
    </w:p>
    <w:p>
      <w:pPr>
        <w:ind w:right="200" w:firstLine="656"/>
        <w:spacing w:after="0" w:line="312" w:lineRule="auto"/>
        <w:tabs>
          <w:tab w:leader="none" w:pos="87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Counterparty understands that notwithstanding any other relationship between Counterparty and Dealer and its affiliates, in connection with the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2" w:lineRule="exact"/>
        <w:rPr>
          <w:rFonts w:ascii="Arial" w:cs="Arial" w:eastAsia="Arial" w:hAnsi="Arial"/>
          <w:sz w:val="16"/>
          <w:szCs w:val="16"/>
          <w:color w:val="auto"/>
        </w:rPr>
      </w:pPr>
    </w:p>
    <w:p>
      <w:pPr>
        <w:ind w:right="580" w:firstLine="656"/>
        <w:spacing w:after="0" w:line="277" w:lineRule="auto"/>
        <w:tabs>
          <w:tab w:leader="none" w:pos="90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rFonts w:ascii="Arial" w:cs="Arial" w:eastAsia="Arial" w:hAnsi="Arial"/>
          <w:sz w:val="18"/>
          <w:szCs w:val="18"/>
          <w:color w:val="auto"/>
        </w:rPr>
      </w:pPr>
    </w:p>
    <w:p>
      <w:pPr>
        <w:ind w:right="280" w:firstLine="656"/>
        <w:spacing w:after="0" w:line="342" w:lineRule="auto"/>
        <w:tabs>
          <w:tab w:leader="none" w:pos="90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Counterparty represents and warrants that it has received, read and understands the OTC Options Risk Disclosure Statement and a copy of the most recent disclosure pamphlet prepared by The Options Clearing Corporation entitled “Characteristics and Risks of Standardized Options”.](6)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-1122680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04" w:lineRule="exact"/>
        <w:rPr>
          <w:sz w:val="20"/>
          <w:szCs w:val="20"/>
          <w:color w:val="auto"/>
        </w:rPr>
      </w:pPr>
    </w:p>
    <w:p>
      <w:pPr>
        <w:ind w:left="840" w:hanging="184"/>
        <w:spacing w:after="0"/>
        <w:tabs>
          <w:tab w:leader="none" w:pos="84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55" w:lineRule="auto"/>
        <w:tabs>
          <w:tab w:leader="none" w:pos="893" w:val="left"/>
        </w:tabs>
        <w:numPr>
          <w:ilvl w:val="1"/>
          <w:numId w:val="172"/>
        </w:numPr>
        <w:rPr>
          <w:rFonts w:ascii="Arial" w:cs="Arial" w:eastAsia="Arial" w:hAnsi="Arial"/>
          <w:sz w:val="18"/>
          <w:szCs w:val="18"/>
          <w:color w:val="auto"/>
        </w:rPr>
      </w:pPr>
      <w:r>
        <w:rPr>
          <w:rFonts w:ascii="Arial" w:cs="Arial" w:eastAsia="Arial" w:hAnsi="Arial"/>
          <w:sz w:val="18"/>
          <w:szCs w:val="18"/>
          <w:i w:val="1"/>
          <w:iCs w:val="1"/>
          <w:color w:val="auto"/>
        </w:rPr>
        <w:t>Right to Extend</w:t>
      </w:r>
      <w:r>
        <w:rPr>
          <w:rFonts w:ascii="Arial" w:cs="Arial" w:eastAsia="Arial" w:hAnsi="Arial"/>
          <w:sz w:val="18"/>
          <w:szCs w:val="18"/>
          <w:color w:val="auto"/>
        </w:rPr>
        <w:t>. Dealer may divide any Component into additional Components and designate the Expiration Date and the Number of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each such Component if Dealer determines, in good faith and a commercially reasonable manner, that such further division is necessary or advisable to preserve Dealer’s hedging or hedge unwind activity hereunder in light of existing liquidity conditions or to enable Dealer to effect purchases of Shares in connection with its hedging, hedge unwind or settlement activity hereunder in a manner that would, if Dealer were Counterparty or an affiliated purchaser of Counterparty, be compliant and consistent with applicable legal, regulatory or self-regulatory requirements, or with related policies and procedures, generally applicable to transactions of the type of the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any Expiration Date for any Component be postponed to a date later than the Final Termination Date.</w:t>
      </w:r>
    </w:p>
    <w:p>
      <w:pPr>
        <w:spacing w:after="0" w:line="189" w:lineRule="exact"/>
        <w:rPr>
          <w:rFonts w:ascii="Arial" w:cs="Arial" w:eastAsia="Arial" w:hAnsi="Arial"/>
          <w:sz w:val="18"/>
          <w:szCs w:val="18"/>
          <w:color w:val="auto"/>
        </w:rPr>
      </w:pPr>
    </w:p>
    <w:p>
      <w:pPr>
        <w:ind w:right="20" w:firstLine="656"/>
        <w:spacing w:after="0" w:line="283" w:lineRule="auto"/>
        <w:tabs>
          <w:tab w:leader="none" w:pos="903" w:val="left"/>
        </w:tabs>
        <w:numPr>
          <w:ilvl w:val="1"/>
          <w:numId w:val="172"/>
        </w:numPr>
        <w:rPr>
          <w:rFonts w:ascii="Arial" w:cs="Arial" w:eastAsia="Arial" w:hAnsi="Arial"/>
          <w:sz w:val="16"/>
          <w:szCs w:val="16"/>
          <w:color w:val="auto"/>
        </w:rPr>
      </w:pPr>
      <w:r>
        <w:rPr>
          <w:rFonts w:ascii="Arial" w:cs="Arial" w:eastAsia="Arial" w:hAnsi="Arial"/>
          <w:sz w:val="16"/>
          <w:szCs w:val="16"/>
          <w:i w:val="1"/>
          <w:iCs w:val="1"/>
          <w:color w:val="auto"/>
        </w:rPr>
        <w:t>Additional Termination Events</w:t>
      </w:r>
      <w:r>
        <w:rPr>
          <w:rFonts w:ascii="Arial" w:cs="Arial" w:eastAsia="Arial" w:hAnsi="Arial"/>
          <w:sz w:val="16"/>
          <w:szCs w:val="16"/>
          <w:color w:val="auto"/>
        </w:rPr>
        <w:t>. Promptly (but in any event within ten Scheduled Trading Days) following any repurchase or conversion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Counterparty’s [ ]% Convertible Senior Notes due 20[ ] (the “</w:t>
      </w:r>
      <w:r>
        <w:rPr>
          <w:rFonts w:ascii="Arial" w:cs="Arial" w:eastAsia="Arial" w:hAnsi="Arial"/>
          <w:sz w:val="16"/>
          <w:szCs w:val="16"/>
          <w:b w:val="1"/>
          <w:bCs w:val="1"/>
          <w:color w:val="auto"/>
        </w:rPr>
        <w:t>Convertible Notes</w:t>
      </w:r>
      <w:r>
        <w:rPr>
          <w:rFonts w:ascii="Arial" w:cs="Arial" w:eastAsia="Arial" w:hAnsi="Arial"/>
          <w:sz w:val="16"/>
          <w:szCs w:val="16"/>
          <w:color w:val="auto"/>
        </w:rPr>
        <w:t>”) issued pursuant to the Counterparty’s indenture (the “Indenture”) to be dated June [ ], 2018 between the Counterparty and U.S. Bank National Association, as trustee, Counterparty may notify Dealer in writing of such repurchase or conversion and the number of Convertible Notes so repurchased or converted (any such notice, a “</w:t>
      </w:r>
      <w:r>
        <w:rPr>
          <w:rFonts w:ascii="Arial" w:cs="Arial" w:eastAsia="Arial" w:hAnsi="Arial"/>
          <w:sz w:val="16"/>
          <w:szCs w:val="16"/>
          <w:b w:val="1"/>
          <w:bCs w:val="1"/>
          <w:color w:val="auto"/>
        </w:rPr>
        <w:t>Repurchase Notice</w:t>
      </w:r>
      <w:r>
        <w:rPr>
          <w:rFonts w:ascii="Arial" w:cs="Arial" w:eastAsia="Arial" w:hAnsi="Arial"/>
          <w:sz w:val="16"/>
          <w:szCs w:val="16"/>
          <w:color w:val="auto"/>
        </w:rPr>
        <w:t>” and any such event, a “</w:t>
      </w:r>
      <w:r>
        <w:rPr>
          <w:rFonts w:ascii="Arial" w:cs="Arial" w:eastAsia="Arial" w:hAnsi="Arial"/>
          <w:sz w:val="16"/>
          <w:szCs w:val="16"/>
          <w:b w:val="1"/>
          <w:bCs w:val="1"/>
          <w:color w:val="auto"/>
        </w:rPr>
        <w:t>Repurchase Event</w:t>
      </w:r>
      <w:r>
        <w:rPr>
          <w:rFonts w:ascii="Arial" w:cs="Arial" w:eastAsia="Arial" w:hAnsi="Arial"/>
          <w:sz w:val="16"/>
          <w:szCs w:val="16"/>
          <w:color w:val="auto"/>
        </w:rPr>
        <w:t>”). Notwithstanding anything to the contrary in this Confirmation, the receipt by Dealer from Counterparty of (x) any Repurchase Notice, within the applicable time period set forth in the preceding sentence, and (y) a written representation and warranty by Counterparty that, as of the date of such Repurchase Notice, Counterparty is not in possession of any material non-public information regarding Counterparty or the Shares, shall constitute an Additional Termination Event as provided in this paragraph. Upon receipt of any such Repurchase Notice and the related written representation and warranty, Dealer shall promptly designate an Exchange Business Day following receipt of such Repurchase Notice as an Early Termination Date with respect to the portion of this Transaction corresponding to a number of Options (the “</w:t>
      </w:r>
      <w:r>
        <w:rPr>
          <w:rFonts w:ascii="Arial" w:cs="Arial" w:eastAsia="Arial" w:hAnsi="Arial"/>
          <w:sz w:val="16"/>
          <w:szCs w:val="16"/>
          <w:b w:val="1"/>
          <w:bCs w:val="1"/>
          <w:color w:val="auto"/>
        </w:rPr>
        <w:t>Repurchase Options</w:t>
      </w:r>
      <w:r>
        <w:rPr>
          <w:rFonts w:ascii="Arial" w:cs="Arial" w:eastAsia="Arial" w:hAnsi="Arial"/>
          <w:sz w:val="16"/>
          <w:szCs w:val="16"/>
          <w:color w:val="auto"/>
        </w:rPr>
        <w:t>”) equal to the lesser of (A) the number of shares of Common stock underlying the Convertible Notes applicable to the Transaction that is specified in such Repurchase Notice and (B) the Number of Options as of the date Dealer designates such Early Termination Date and, as of such date, the Number of Options shall be reduced by the number of Repurchase Options. Any payment hereunder with respect to such termination shall be calculated pursuant to Section 6 of the Agreement as if (1) an Early Termination Date had been designated in respect of a Transaction having terms identical to this Transaction and a Number of Options equal to the number of Repurchase Options,</w:t>
      </w:r>
    </w:p>
    <w:p>
      <w:pPr>
        <w:spacing w:after="0" w:line="2" w:lineRule="exact"/>
        <w:rPr>
          <w:rFonts w:ascii="Arial" w:cs="Arial" w:eastAsia="Arial" w:hAnsi="Arial"/>
          <w:sz w:val="16"/>
          <w:szCs w:val="16"/>
          <w:color w:val="auto"/>
        </w:rPr>
      </w:pPr>
    </w:p>
    <w:p>
      <w:pPr>
        <w:ind w:right="220" w:firstLine="8"/>
        <w:spacing w:after="0" w:line="261" w:lineRule="auto"/>
        <w:tabs>
          <w:tab w:leader="none" w:pos="2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Counterparty were the sole Affected Party with respect to such Additional Termination Event and (3) the terminated portion of the Transaction were the sole Affected Transaction.</w:t>
      </w:r>
    </w:p>
    <w:p>
      <w:pPr>
        <w:spacing w:after="0" w:line="183" w:lineRule="exact"/>
        <w:rPr>
          <w:rFonts w:ascii="Arial" w:cs="Arial" w:eastAsia="Arial" w:hAnsi="Arial"/>
          <w:sz w:val="18"/>
          <w:szCs w:val="18"/>
          <w:color w:val="auto"/>
        </w:rPr>
      </w:pPr>
    </w:p>
    <w:p>
      <w:pPr>
        <w:ind w:firstLine="656"/>
        <w:spacing w:after="0" w:line="284" w:lineRule="auto"/>
        <w:tabs>
          <w:tab w:leader="none" w:pos="893" w:val="left"/>
        </w:tabs>
        <w:numPr>
          <w:ilvl w:val="1"/>
          <w:numId w:val="173"/>
        </w:numPr>
        <w:rPr>
          <w:rFonts w:ascii="Arial" w:cs="Arial" w:eastAsia="Arial" w:hAnsi="Arial"/>
          <w:sz w:val="16"/>
          <w:szCs w:val="16"/>
          <w:color w:val="auto"/>
        </w:rPr>
      </w:pPr>
      <w:r>
        <w:rPr>
          <w:rFonts w:ascii="Arial" w:cs="Arial" w:eastAsia="Arial" w:hAnsi="Arial"/>
          <w:sz w:val="16"/>
          <w:szCs w:val="16"/>
          <w:i w:val="1"/>
          <w:iCs w:val="1"/>
          <w:color w:val="auto"/>
        </w:rPr>
        <w:t>Alternative Calculations and Payment on Early Termination and on Certain Extraordinary Events</w:t>
      </w:r>
      <w:r>
        <w:rPr>
          <w:rFonts w:ascii="Arial" w:cs="Arial" w:eastAsia="Arial" w:hAnsi="Arial"/>
          <w:sz w:val="16"/>
          <w:szCs w:val="16"/>
          <w:color w:val="auto"/>
        </w:rPr>
        <w:t>. If (a) an Early Termination Date (whether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holders of Shares consists solely of cash, (ii) a Merger Event or Tender Offer that is within Counterparty’s control, or (iii) an Event of Default in which Counterparty is the Defaulting Party or a Termination Event in which Counterparty is the Affected Party, which Event of Default or Termination Event resulted from an event or events within the Counterparty’s control), and if Dealer would owe any amount to Counterparty pursuant to Section 6(d)(ii) and</w:t>
      </w:r>
    </w:p>
    <w:p>
      <w:pPr>
        <w:spacing w:after="0" w:line="4"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7"/>
          <w:szCs w:val="17"/>
          <w:color w:val="auto"/>
        </w:rPr>
        <w:t xml:space="preserve">6(e) of the Agreement or any Cancellation Amount pursuant to Article 12 of the Equity Definitions (any such amount, a </w:t>
      </w:r>
      <w:r>
        <w:rPr>
          <w:rFonts w:ascii="Arial" w:cs="Arial" w:eastAsia="Arial" w:hAnsi="Arial"/>
          <w:sz w:val="17"/>
          <w:szCs w:val="17"/>
          <w:b w:val="1"/>
          <w:bCs w:val="1"/>
          <w:color w:val="auto"/>
        </w:rPr>
        <w:t>“Payment Obligation”),</w:t>
      </w:r>
      <w:r>
        <w:rPr>
          <w:rFonts w:ascii="Arial" w:cs="Arial" w:eastAsia="Arial" w:hAnsi="Arial"/>
          <w:sz w:val="17"/>
          <w:szCs w:val="17"/>
          <w:color w:val="auto"/>
        </w:rPr>
        <w:t xml:space="preserve"> then Dealer shall satisfy the Payment Obligation by the Share Termination Alternative (as defined below) unless (a) Counterparty gives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8268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(6) If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irrevocable telephonic notice to Dealer, confirmed in writing within one Scheduled Trading Day, no later than 12:00 p.m. (New York City time) on the Merger Date, Tender Offer Date, Announcement Date (in the case of a Nationalization, Insolvency or Delisting), Early Termination Date or date of cancellation, as applicable, of its election that the Share Termination Alternative shall not apply, (b) as of the date of such election, Counterparty represents that is not in possession of any material non-public information regarding Counterparty or the Shares, and that such election is being made in good faith and not as part of a plan or scheme to evade compliance with the federal securities laws, and (c) Dealer agrees, in its sole discretion, to such election, in which case the provisions of Section 12.7 or Section 12.9 of the Equity Definitions, or the provisions of Section 6(d)(ii) and 6(e) of the Agreement, as the case may be, shall apply.</w:t>
      </w:r>
    </w:p>
    <w:p>
      <w:pPr>
        <w:sectPr>
          <w:pgSz w:w="11900" w:h="16838" w:orient="portrait"/>
          <w:cols w:equalWidth="0" w:num="1">
            <w:col w:w="11420"/>
          </w:cols>
          <w:pgMar w:left="240" w:top="125" w:right="239" w:bottom="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Alternative: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p>
      <w:pPr>
        <w:spacing w:after="0" w:line="188" w:lineRule="exact"/>
        <w:rPr>
          <w:sz w:val="20"/>
          <w:szCs w:val="20"/>
          <w:color w:val="auto"/>
        </w:rPr>
      </w:pPr>
    </w:p>
    <w:p>
      <w:pPr>
        <w:sectPr>
          <w:pgSz w:w="11900" w:h="16838" w:orient="portrait"/>
          <w:cols w:equalWidth="0" w:num="2">
            <w:col w:w="2800" w:space="720"/>
            <w:col w:w="7900"/>
          </w:cols>
          <w:pgMar w:left="240" w:top="125" w:right="239" w:bottom="0" w:gutter="0" w:footer="0" w:header="0"/>
          <w:type w:val="continuous"/>
        </w:sectPr>
      </w:pPr>
    </w:p>
    <w:p>
      <w:pPr>
        <w:spacing w:after="0"/>
        <w:rPr>
          <w:sz w:val="20"/>
          <w:szCs w:val="20"/>
          <w:color w:val="auto"/>
        </w:rPr>
      </w:pPr>
      <w:r>
        <w:rPr>
          <w:rFonts w:ascii="Arial" w:cs="Arial" w:eastAsia="Arial" w:hAnsi="Arial"/>
          <w:sz w:val="16"/>
          <w:szCs w:val="16"/>
          <w:color w:val="auto"/>
        </w:rPr>
        <w:t>Share Termination Delivery Property:</w:t>
      </w:r>
    </w:p>
    <w:p>
      <w:pPr>
        <w:spacing w:after="0" w:line="20" w:lineRule="exact"/>
        <w:rPr>
          <w:sz w:val="20"/>
          <w:szCs w:val="20"/>
          <w:color w:val="auto"/>
        </w:rPr>
      </w:pPr>
      <w:r>
        <w:rPr>
          <w:sz w:val="20"/>
          <w:szCs w:val="20"/>
          <w:color w:val="auto"/>
        </w:rPr>
        <w:br w:type="column"/>
      </w:r>
    </w:p>
    <w:p>
      <w:pPr>
        <w:ind w:right="20"/>
        <w:spacing w:after="0" w:line="312" w:lineRule="auto"/>
        <w:rPr>
          <w:sz w:val="20"/>
          <w:szCs w:val="20"/>
          <w:color w:val="auto"/>
        </w:rPr>
      </w:pPr>
      <w:r>
        <w:rPr>
          <w:rFonts w:ascii="Arial" w:cs="Arial" w:eastAsia="Arial" w:hAnsi="Arial"/>
          <w:sz w:val="16"/>
          <w:szCs w:val="16"/>
          <w:color w:val="auto"/>
        </w:rPr>
        <w:t>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w:t>
      </w:r>
    </w:p>
    <w:p>
      <w:pPr>
        <w:sectPr>
          <w:pgSz w:w="11900" w:h="16838" w:orient="portrait"/>
          <w:cols w:equalWidth="0" w:num="2">
            <w:col w:w="2800" w:space="720"/>
            <w:col w:w="7900"/>
          </w:cols>
          <w:pgMar w:left="240" w:top="125" w:right="239" w:bottom="0" w:gutter="0" w:footer="0" w:header="0"/>
          <w:type w:val="continuous"/>
        </w:sectPr>
      </w:pPr>
    </w:p>
    <w:bookmarkStart w:id="83" w:name="page84"/>
    <w:bookmarkEnd w:id="83"/>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w w:val="89"/>
              </w:rPr>
              <w:t>cash equal to the value of such fractional security based on the values used to calculate the Share Termination</w:t>
            </w:r>
          </w:p>
        </w:tc>
      </w:tr>
      <w:tr>
        <w:trPr>
          <w:trHeight w:val="230"/>
        </w:trPr>
        <w:tc>
          <w:tcPr>
            <w:tcW w:w="2980" w:type="dxa"/>
            <w:vAlign w:val="bottom"/>
          </w:tcPr>
          <w:p>
            <w:pPr>
              <w:spacing w:after="0"/>
              <w:rPr>
                <w:sz w:val="20"/>
                <w:szCs w:val="20"/>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rPr>
              <w:t>Unit Price.</w:t>
            </w: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Share Termination Unit Price:</w:t>
            </w:r>
          </w:p>
        </w:tc>
        <w:tc>
          <w:tcPr>
            <w:tcW w:w="8480" w:type="dxa"/>
            <w:vAlign w:val="bottom"/>
          </w:tcPr>
          <w:p>
            <w:pPr>
              <w:ind w:left="540"/>
              <w:spacing w:after="0"/>
              <w:rPr>
                <w:sz w:val="20"/>
                <w:szCs w:val="20"/>
                <w:color w:val="auto"/>
              </w:rPr>
            </w:pPr>
            <w:r>
              <w:rPr>
                <w:rFonts w:ascii="Arial" w:cs="Arial" w:eastAsia="Arial" w:hAnsi="Arial"/>
                <w:sz w:val="18"/>
                <w:szCs w:val="18"/>
                <w:color w:val="auto"/>
                <w:w w:val="94"/>
              </w:rPr>
              <w:t>The value of property contained in one Share Termination Delivery Unit, as determined by the Calculation</w:t>
            </w:r>
          </w:p>
        </w:tc>
      </w:tr>
      <w:tr>
        <w:trPr>
          <w:trHeight w:val="216"/>
        </w:trPr>
        <w:tc>
          <w:tcPr>
            <w:tcW w:w="2980" w:type="dxa"/>
            <w:vAlign w:val="bottom"/>
          </w:tcPr>
          <w:p>
            <w:pPr>
              <w:spacing w:after="0"/>
              <w:rPr>
                <w:sz w:val="18"/>
                <w:szCs w:val="18"/>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w w:val="92"/>
              </w:rPr>
              <w:t>Agent in its discretion by commercially reasonable means and notified by the Calculation Agent to Dealer at</w:t>
            </w:r>
          </w:p>
        </w:tc>
      </w:tr>
      <w:tr>
        <w:trPr>
          <w:trHeight w:val="216"/>
        </w:trPr>
        <w:tc>
          <w:tcPr>
            <w:tcW w:w="2980" w:type="dxa"/>
            <w:vAlign w:val="bottom"/>
          </w:tcPr>
          <w:p>
            <w:pPr>
              <w:spacing w:after="0"/>
              <w:rPr>
                <w:sz w:val="18"/>
                <w:szCs w:val="18"/>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w w:val="97"/>
              </w:rPr>
              <w:t>the time of notification of the Payment Obligation. For the avoidance of doubt, the parties agree that in</w:t>
            </w:r>
          </w:p>
        </w:tc>
      </w:tr>
      <w:tr>
        <w:trPr>
          <w:trHeight w:val="216"/>
        </w:trPr>
        <w:tc>
          <w:tcPr>
            <w:tcW w:w="2980" w:type="dxa"/>
            <w:vAlign w:val="bottom"/>
          </w:tcPr>
          <w:p>
            <w:pPr>
              <w:spacing w:after="0"/>
              <w:rPr>
                <w:sz w:val="18"/>
                <w:szCs w:val="18"/>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w w:val="97"/>
              </w:rPr>
              <w:t>determining the Share Termination Delivery Unit Price the Calculation Agent may consider a variety of</w:t>
            </w:r>
          </w:p>
        </w:tc>
      </w:tr>
      <w:tr>
        <w:trPr>
          <w:trHeight w:val="216"/>
        </w:trPr>
        <w:tc>
          <w:tcPr>
            <w:tcW w:w="2980" w:type="dxa"/>
            <w:vAlign w:val="bottom"/>
          </w:tcPr>
          <w:p>
            <w:pPr>
              <w:spacing w:after="0"/>
              <w:rPr>
                <w:sz w:val="18"/>
                <w:szCs w:val="18"/>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w w:val="92"/>
              </w:rPr>
              <w:t>factors, including the market price of the Share Termination Delivery Units and/or the purchase price paid in</w:t>
            </w:r>
          </w:p>
        </w:tc>
      </w:tr>
      <w:tr>
        <w:trPr>
          <w:trHeight w:val="230"/>
        </w:trPr>
        <w:tc>
          <w:tcPr>
            <w:tcW w:w="2980" w:type="dxa"/>
            <w:vAlign w:val="bottom"/>
          </w:tcPr>
          <w:p>
            <w:pPr>
              <w:spacing w:after="0"/>
              <w:rPr>
                <w:sz w:val="20"/>
                <w:szCs w:val="20"/>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rPr>
              <w:t>connection with the commercially reasonable purchase of Share Termination Delivery Property.</w:t>
            </w: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Share Termination Delivery Unit:</w:t>
            </w:r>
          </w:p>
        </w:tc>
        <w:tc>
          <w:tcPr>
            <w:tcW w:w="8480" w:type="dxa"/>
            <w:vAlign w:val="bottom"/>
          </w:tcPr>
          <w:p>
            <w:pPr>
              <w:ind w:left="540"/>
              <w:spacing w:after="0"/>
              <w:rPr>
                <w:sz w:val="20"/>
                <w:szCs w:val="20"/>
                <w:color w:val="auto"/>
              </w:rPr>
            </w:pPr>
            <w:r>
              <w:rPr>
                <w:rFonts w:ascii="Arial" w:cs="Arial" w:eastAsia="Arial" w:hAnsi="Arial"/>
                <w:sz w:val="18"/>
                <w:szCs w:val="18"/>
                <w:color w:val="auto"/>
                <w:w w:val="92"/>
              </w:rPr>
              <w:t>One Share or, if the Shares have changed into cash or any other property or the right to receive cash or any</w:t>
            </w:r>
          </w:p>
        </w:tc>
      </w:tr>
      <w:tr>
        <w:trPr>
          <w:trHeight w:val="216"/>
        </w:trPr>
        <w:tc>
          <w:tcPr>
            <w:tcW w:w="2980" w:type="dxa"/>
            <w:vAlign w:val="bottom"/>
          </w:tcPr>
          <w:p>
            <w:pPr>
              <w:spacing w:after="0"/>
              <w:rPr>
                <w:sz w:val="18"/>
                <w:szCs w:val="18"/>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w w:val="99"/>
              </w:rPr>
              <w:t>other property as the result of a Nationalization, Insolvency or Merger Event (any such cash or other</w:t>
            </w:r>
          </w:p>
        </w:tc>
      </w:tr>
      <w:tr>
        <w:trPr>
          <w:trHeight w:val="216"/>
        </w:trPr>
        <w:tc>
          <w:tcPr>
            <w:tcW w:w="2980" w:type="dxa"/>
            <w:vAlign w:val="bottom"/>
          </w:tcPr>
          <w:p>
            <w:pPr>
              <w:spacing w:after="0"/>
              <w:rPr>
                <w:sz w:val="18"/>
                <w:szCs w:val="18"/>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w w:val="95"/>
              </w:rPr>
              <w:t>property, the “Exchange Property”), a unit consisting of the type and amount of such Exchange Property</w:t>
            </w:r>
          </w:p>
        </w:tc>
      </w:tr>
      <w:tr>
        <w:trPr>
          <w:trHeight w:val="216"/>
        </w:trPr>
        <w:tc>
          <w:tcPr>
            <w:tcW w:w="2980" w:type="dxa"/>
            <w:vAlign w:val="bottom"/>
          </w:tcPr>
          <w:p>
            <w:pPr>
              <w:spacing w:after="0"/>
              <w:rPr>
                <w:sz w:val="18"/>
                <w:szCs w:val="18"/>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rPr>
              <w:t>received by a holder of one Share (without consideration of any requirement to pay cash or other</w:t>
            </w:r>
          </w:p>
        </w:tc>
      </w:tr>
      <w:tr>
        <w:trPr>
          <w:trHeight w:val="216"/>
        </w:trPr>
        <w:tc>
          <w:tcPr>
            <w:tcW w:w="2980" w:type="dxa"/>
            <w:vAlign w:val="bottom"/>
          </w:tcPr>
          <w:p>
            <w:pPr>
              <w:spacing w:after="0"/>
              <w:rPr>
                <w:sz w:val="18"/>
                <w:szCs w:val="18"/>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w w:val="94"/>
              </w:rPr>
              <w:t>consideration in lieu of fractional amounts of any securities) in such Nationalization, Insolvency or Merger</w:t>
            </w:r>
          </w:p>
        </w:tc>
      </w:tr>
      <w:tr>
        <w:trPr>
          <w:trHeight w:val="230"/>
        </w:trPr>
        <w:tc>
          <w:tcPr>
            <w:tcW w:w="2980" w:type="dxa"/>
            <w:vAlign w:val="bottom"/>
          </w:tcPr>
          <w:p>
            <w:pPr>
              <w:spacing w:after="0"/>
              <w:rPr>
                <w:sz w:val="20"/>
                <w:szCs w:val="20"/>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rPr>
              <w:t>Event, as determined by the Calculation Agent.</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Failure to Deliver:</w:t>
            </w:r>
          </w:p>
        </w:tc>
        <w:tc>
          <w:tcPr>
            <w:tcW w:w="8480" w:type="dxa"/>
            <w:vAlign w:val="bottom"/>
          </w:tcPr>
          <w:p>
            <w:pPr>
              <w:ind w:left="540"/>
              <w:spacing w:after="0"/>
              <w:rPr>
                <w:sz w:val="20"/>
                <w:szCs w:val="20"/>
                <w:color w:val="auto"/>
              </w:rPr>
            </w:pPr>
            <w:r>
              <w:rPr>
                <w:rFonts w:ascii="Arial" w:cs="Arial" w:eastAsia="Arial" w:hAnsi="Arial"/>
                <w:sz w:val="18"/>
                <w:szCs w:val="18"/>
                <w:color w:val="auto"/>
              </w:rPr>
              <w:t>Applicable</w:t>
            </w:r>
          </w:p>
        </w:tc>
      </w:tr>
      <w:tr>
        <w:trPr>
          <w:trHeight w:val="418"/>
        </w:trPr>
        <w:tc>
          <w:tcPr>
            <w:tcW w:w="2980" w:type="dxa"/>
            <w:vAlign w:val="bottom"/>
          </w:tcPr>
          <w:p>
            <w:pPr>
              <w:spacing w:after="0"/>
              <w:rPr>
                <w:sz w:val="20"/>
                <w:szCs w:val="20"/>
                <w:color w:val="auto"/>
              </w:rPr>
            </w:pPr>
            <w:r>
              <w:rPr>
                <w:rFonts w:ascii="Arial" w:cs="Arial" w:eastAsia="Arial" w:hAnsi="Arial"/>
                <w:sz w:val="18"/>
                <w:szCs w:val="18"/>
                <w:color w:val="auto"/>
              </w:rPr>
              <w:t>Other Applicable Provisions:</w:t>
            </w:r>
          </w:p>
        </w:tc>
        <w:tc>
          <w:tcPr>
            <w:tcW w:w="8480" w:type="dxa"/>
            <w:vAlign w:val="bottom"/>
          </w:tcPr>
          <w:p>
            <w:pPr>
              <w:ind w:left="540"/>
              <w:spacing w:after="0"/>
              <w:rPr>
                <w:sz w:val="20"/>
                <w:szCs w:val="20"/>
                <w:color w:val="auto"/>
              </w:rPr>
            </w:pPr>
            <w:r>
              <w:rPr>
                <w:rFonts w:ascii="Arial" w:cs="Arial" w:eastAsia="Arial" w:hAnsi="Arial"/>
                <w:sz w:val="18"/>
                <w:szCs w:val="18"/>
                <w:color w:val="auto"/>
                <w:w w:val="97"/>
              </w:rPr>
              <w:t>If Share Termination Alternative is applicable, the provisions of Sections 9.8, 9.9 and 9.11 (as modified</w:t>
            </w:r>
          </w:p>
        </w:tc>
      </w:tr>
      <w:tr>
        <w:trPr>
          <w:trHeight w:val="216"/>
        </w:trPr>
        <w:tc>
          <w:tcPr>
            <w:tcW w:w="2980" w:type="dxa"/>
            <w:vAlign w:val="bottom"/>
          </w:tcPr>
          <w:p>
            <w:pPr>
              <w:spacing w:after="0"/>
              <w:rPr>
                <w:sz w:val="18"/>
                <w:szCs w:val="18"/>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w w:val="98"/>
              </w:rPr>
              <w:t>above) of the Equity Definitions and the provisions set forth opposite the caption “Representation and</w:t>
            </w:r>
          </w:p>
        </w:tc>
      </w:tr>
      <w:tr>
        <w:trPr>
          <w:trHeight w:val="216"/>
        </w:trPr>
        <w:tc>
          <w:tcPr>
            <w:tcW w:w="2980" w:type="dxa"/>
            <w:vAlign w:val="bottom"/>
          </w:tcPr>
          <w:p>
            <w:pPr>
              <w:spacing w:after="0"/>
              <w:rPr>
                <w:sz w:val="18"/>
                <w:szCs w:val="18"/>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w w:val="97"/>
              </w:rPr>
              <w:t>Agreement” in Section 2 will be applicable, except that all references in such provisions to “Physically-</w:t>
            </w:r>
          </w:p>
        </w:tc>
      </w:tr>
      <w:tr>
        <w:trPr>
          <w:trHeight w:val="230"/>
        </w:trPr>
        <w:tc>
          <w:tcPr>
            <w:tcW w:w="2980" w:type="dxa"/>
            <w:vAlign w:val="bottom"/>
          </w:tcPr>
          <w:p>
            <w:pPr>
              <w:spacing w:after="0"/>
              <w:rPr>
                <w:sz w:val="20"/>
                <w:szCs w:val="20"/>
                <w:color w:val="auto"/>
              </w:rPr>
            </w:pPr>
          </w:p>
        </w:tc>
        <w:tc>
          <w:tcPr>
            <w:tcW w:w="8480" w:type="dxa"/>
            <w:vAlign w:val="bottom"/>
          </w:tcPr>
          <w:p>
            <w:pPr>
              <w:ind w:left="540"/>
              <w:spacing w:after="0"/>
              <w:rPr>
                <w:sz w:val="20"/>
                <w:szCs w:val="20"/>
                <w:color w:val="auto"/>
              </w:rPr>
            </w:pPr>
            <w:r>
              <w:rPr>
                <w:rFonts w:ascii="Arial" w:cs="Arial" w:eastAsia="Arial" w:hAnsi="Arial"/>
                <w:sz w:val="18"/>
                <w:szCs w:val="18"/>
                <w:color w:val="auto"/>
              </w:rPr>
              <w:t>settled” shall be read as references to “Share Termination Settled” and all</w:t>
            </w:r>
          </w:p>
        </w:tc>
      </w:tr>
      <w:tr>
        <w:trPr>
          <w:trHeight w:val="348"/>
        </w:trPr>
        <w:tc>
          <w:tcPr>
            <w:tcW w:w="2980" w:type="dxa"/>
            <w:vAlign w:val="bottom"/>
            <w:tcBorders>
              <w:bottom w:val="single" w:sz="8" w:color="808080"/>
            </w:tcBorders>
          </w:tcPr>
          <w:p>
            <w:pPr>
              <w:spacing w:after="0"/>
              <w:rPr>
                <w:sz w:val="24"/>
                <w:szCs w:val="24"/>
                <w:color w:val="auto"/>
              </w:rPr>
            </w:pPr>
          </w:p>
        </w:tc>
        <w:tc>
          <w:tcPr>
            <w:tcW w:w="8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520" w:right="60"/>
        <w:spacing w:after="0" w:line="264" w:lineRule="auto"/>
        <w:rPr>
          <w:sz w:val="20"/>
          <w:szCs w:val="20"/>
          <w:color w:val="auto"/>
        </w:rPr>
      </w:pPr>
      <w:r>
        <w:rPr>
          <w:rFonts w:ascii="Arial" w:cs="Arial" w:eastAsia="Arial" w:hAnsi="Arial"/>
          <w:sz w:val="18"/>
          <w:szCs w:val="18"/>
          <w:color w:val="auto"/>
        </w:rPr>
        <w:t>references to “Shares” shall be read as references to “Share Termination Delivery Units”. “Share Termination Settled” in relation to the Transaction means that the Share Termination Alternative is applicable to the Transaction.</w:t>
      </w:r>
    </w:p>
    <w:p>
      <w:pPr>
        <w:spacing w:after="0" w:line="181" w:lineRule="exact"/>
        <w:rPr>
          <w:sz w:val="20"/>
          <w:szCs w:val="20"/>
          <w:color w:val="auto"/>
        </w:rPr>
      </w:pPr>
    </w:p>
    <w:p>
      <w:pPr>
        <w:ind w:right="40" w:firstLine="656"/>
        <w:spacing w:after="0" w:line="284" w:lineRule="auto"/>
        <w:tabs>
          <w:tab w:leader="none" w:pos="903" w:val="left"/>
        </w:tabs>
        <w:numPr>
          <w:ilvl w:val="1"/>
          <w:numId w:val="174"/>
        </w:numPr>
        <w:rPr>
          <w:rFonts w:ascii="Arial" w:cs="Arial" w:eastAsia="Arial" w:hAnsi="Arial"/>
          <w:sz w:val="16"/>
          <w:szCs w:val="16"/>
          <w:color w:val="auto"/>
        </w:rPr>
      </w:pPr>
      <w:r>
        <w:rPr>
          <w:rFonts w:ascii="Arial" w:cs="Arial" w:eastAsia="Arial" w:hAnsi="Arial"/>
          <w:sz w:val="16"/>
          <w:szCs w:val="16"/>
          <w:i w:val="1"/>
          <w:iCs w:val="1"/>
          <w:color w:val="auto"/>
        </w:rPr>
        <w:t>Disposition of Hedge Shares</w:t>
      </w:r>
      <w:r>
        <w:rPr>
          <w:rFonts w:ascii="Arial" w:cs="Arial" w:eastAsia="Arial" w:hAnsi="Arial"/>
          <w:sz w:val="16"/>
          <w:szCs w:val="16"/>
          <w:color w:val="auto"/>
        </w:rPr>
        <w:t>. Counterparty hereby agrees that if, in the good faith reasonable judgment of Dealer, based on the advice of legal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the Shares acquired by Dealer for the purpose of hedging its obligations pursuant to the Transaction (the “</w:t>
      </w:r>
      <w:r>
        <w:rPr>
          <w:rFonts w:ascii="Arial" w:cs="Arial" w:eastAsia="Arial" w:hAnsi="Arial"/>
          <w:sz w:val="16"/>
          <w:szCs w:val="16"/>
          <w:b w:val="1"/>
          <w:bCs w:val="1"/>
          <w:color w:val="auto"/>
        </w:rPr>
        <w:t>Hedge Shares</w:t>
      </w:r>
      <w:r>
        <w:rPr>
          <w:rFonts w:ascii="Arial" w:cs="Arial" w:eastAsia="Arial" w:hAnsi="Arial"/>
          <w:sz w:val="16"/>
          <w:szCs w:val="16"/>
          <w:color w:val="auto"/>
        </w:rPr>
        <w:t>”) cannot be sold in the U.S. public market by Dealer without registration under the Securities Act, Counterparty shall, at its election: (i) in order to allow Dealer to sell the Hedge Shares in a registered offering, use its commercially reasonable efforts to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for companies of a similar size in a similar industry, (B) provide accountant’s “comfort” letters in customary form for registered offerings of equity securities for companies of a similar size in a similar industry, (C) provide disclosure opinions of nationally recognized outside counsel to Counterparty in customary form for registered offerings of equity securities for companies of a similar size in a similar industry,</w:t>
      </w:r>
    </w:p>
    <w:p>
      <w:pPr>
        <w:spacing w:after="0" w:line="1" w:lineRule="exact"/>
        <w:rPr>
          <w:rFonts w:ascii="Arial" w:cs="Arial" w:eastAsia="Arial" w:hAnsi="Arial"/>
          <w:sz w:val="16"/>
          <w:szCs w:val="16"/>
          <w:color w:val="auto"/>
        </w:rPr>
      </w:pPr>
    </w:p>
    <w:p>
      <w:pPr>
        <w:ind w:right="40" w:firstLine="8"/>
        <w:spacing w:after="0" w:line="284" w:lineRule="auto"/>
        <w:tabs>
          <w:tab w:leader="none" w:pos="29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provide other customary opinions, certificates and closing documents customary in form for registered offerings of equity securities for companies of a similar size in a similar industry and (E) afford Dealer a reasonable opportunity to conduct a “due diligence” investigation with respect to Counterparty customary in scope for underwritten offerings of equity securities for companies of a similar size in a similar industry;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Counterparty elects clause (i) above but Dealer, in its commercially reasonable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companies of a similar size in a similar industry, in form and substance commercially reasonably satisfactory to Dealer using best efforts to include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of equity securities of companies of a similar size in a similar industry, as is reasonably acceptable to Dealer (in which case, the Calculation Agent shall make any adjustments to the terms of the Transaction that are necessary, in its good faith and commercially reasonable judgment, to compensate Dealer for any customary liquidity discount from the public market price of the Shares incurred on the sale of Hedge Shares in a private placement);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“comfort letter” or accountants’ consent shall be required to be delivered in connection with any private placements; or (iii) purchase the Hedge Shares from Dealer at the Relevant Price on such Exchange Business Days, and in the amounts, requested by Dealer.</w:t>
      </w:r>
    </w:p>
    <w:p>
      <w:pPr>
        <w:spacing w:after="0" w:line="177" w:lineRule="exact"/>
        <w:rPr>
          <w:rFonts w:ascii="Arial" w:cs="Arial" w:eastAsia="Arial" w:hAnsi="Arial"/>
          <w:sz w:val="16"/>
          <w:szCs w:val="16"/>
          <w:color w:val="auto"/>
        </w:rPr>
      </w:pPr>
    </w:p>
    <w:p>
      <w:pPr>
        <w:ind w:right="40" w:firstLine="656"/>
        <w:spacing w:after="0" w:line="269" w:lineRule="auto"/>
        <w:tabs>
          <w:tab w:leader="none" w:pos="893" w:val="left"/>
        </w:tabs>
        <w:numPr>
          <w:ilvl w:val="1"/>
          <w:numId w:val="175"/>
        </w:numPr>
        <w:rPr>
          <w:rFonts w:ascii="Arial" w:cs="Arial" w:eastAsia="Arial" w:hAnsi="Arial"/>
          <w:sz w:val="17"/>
          <w:szCs w:val="17"/>
          <w:color w:val="auto"/>
        </w:rPr>
      </w:pPr>
      <w:r>
        <w:rPr>
          <w:rFonts w:ascii="Arial" w:cs="Arial" w:eastAsia="Arial" w:hAnsi="Arial"/>
          <w:sz w:val="17"/>
          <w:szCs w:val="17"/>
          <w:i w:val="1"/>
          <w:iCs w:val="1"/>
          <w:color w:val="auto"/>
        </w:rPr>
        <w:t>Repurchase Notices</w:t>
      </w:r>
      <w:r>
        <w:rPr>
          <w:rFonts w:ascii="Arial" w:cs="Arial" w:eastAsia="Arial" w:hAnsi="Arial"/>
          <w:sz w:val="17"/>
          <w:szCs w:val="17"/>
          <w:color w:val="auto"/>
        </w:rPr>
        <w:t>. Counterparty shall, at least one Scheduled Valid Day prior to any day on which Counterparty intends to effect any</w:t>
      </w:r>
      <w:r>
        <w:rPr>
          <w:rFonts w:ascii="Arial" w:cs="Arial" w:eastAsia="Arial" w:hAnsi="Arial"/>
          <w:sz w:val="17"/>
          <w:szCs w:val="17"/>
          <w:i w:val="1"/>
          <w:iCs w:val="1"/>
          <w:color w:val="auto"/>
        </w:rPr>
        <w:t xml:space="preserve"> </w:t>
      </w:r>
      <w:r>
        <w:rPr>
          <w:rFonts w:ascii="Arial" w:cs="Arial" w:eastAsia="Arial" w:hAnsi="Arial"/>
          <w:sz w:val="17"/>
          <w:szCs w:val="17"/>
          <w:color w:val="auto"/>
        </w:rPr>
        <w:t>repurchase of Shares, give Dealer written notice of such repurchase (a “</w:t>
      </w:r>
      <w:r>
        <w:rPr>
          <w:rFonts w:ascii="Arial" w:cs="Arial" w:eastAsia="Arial" w:hAnsi="Arial"/>
          <w:sz w:val="17"/>
          <w:szCs w:val="17"/>
          <w:b w:val="1"/>
          <w:bCs w:val="1"/>
          <w:color w:val="auto"/>
        </w:rPr>
        <w:t>Repurchase Notice</w:t>
      </w:r>
      <w:r>
        <w:rPr>
          <w:rFonts w:ascii="Arial" w:cs="Arial" w:eastAsia="Arial" w:hAnsi="Arial"/>
          <w:sz w:val="17"/>
          <w:szCs w:val="17"/>
          <w:color w:val="auto"/>
        </w:rPr>
        <w:t>”) on such day if, following such repurchase, the Notice Percentage would reasonably be expected to be (i) greater than [ ](7)% and (ii) greater by 0.5% than the Notice Percentage included in the immediately preceding Repurchase Notice (or, in the case of the first such Repurchase Notice, greater than the Notice Percentage as of the date hereof). The “</w:t>
      </w:r>
      <w:r>
        <w:rPr>
          <w:rFonts w:ascii="Arial" w:cs="Arial" w:eastAsia="Arial" w:hAnsi="Arial"/>
          <w:sz w:val="17"/>
          <w:szCs w:val="17"/>
          <w:b w:val="1"/>
          <w:bCs w:val="1"/>
          <w:color w:val="auto"/>
        </w:rPr>
        <w:t>Notice</w:t>
      </w:r>
      <w:r>
        <w:rPr>
          <w:rFonts w:ascii="Arial" w:cs="Arial" w:eastAsia="Arial" w:hAnsi="Arial"/>
          <w:sz w:val="17"/>
          <w:szCs w:val="17"/>
          <w:color w:val="auto"/>
        </w:rPr>
        <w:t xml:space="preserve"> </w:t>
      </w:r>
      <w:r>
        <w:rPr>
          <w:rFonts w:ascii="Arial" w:cs="Arial" w:eastAsia="Arial" w:hAnsi="Arial"/>
          <w:sz w:val="17"/>
          <w:szCs w:val="17"/>
          <w:b w:val="1"/>
          <w:bCs w:val="1"/>
          <w:color w:val="auto"/>
        </w:rPr>
        <w:t>Percentage</w:t>
      </w:r>
      <w:r>
        <w:rPr>
          <w:rFonts w:ascii="Arial" w:cs="Arial" w:eastAsia="Arial" w:hAnsi="Arial"/>
          <w:sz w:val="17"/>
          <w:szCs w:val="17"/>
          <w:color w:val="auto"/>
        </w:rPr>
        <w:t>” as of any day is the fraction, expressed as a percentage, the numerator of which is the Number of Shares and the denominator of which is the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w:t>
      </w:r>
      <w:r>
        <w:rPr>
          <w:rFonts w:ascii="Arial" w:cs="Arial" w:eastAsia="Arial" w:hAnsi="Arial"/>
          <w:sz w:val="17"/>
          <w:szCs w:val="17"/>
          <w:b w:val="1"/>
          <w:bCs w:val="1"/>
          <w:color w:val="auto"/>
        </w:rPr>
        <w:t>Indemnified Party</w:t>
      </w:r>
      <w:r>
        <w:rPr>
          <w:rFonts w:ascii="Arial" w:cs="Arial" w:eastAsia="Arial" w:hAnsi="Arial"/>
          <w:sz w:val="17"/>
          <w:szCs w:val="17"/>
          <w:color w:val="auto"/>
        </w:rPr>
        <w:t>”) from and against any and all losses (including losses relating to the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and liabilities (or actions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8268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520" w:right="160" w:hanging="512"/>
        <w:spacing w:after="0" w:line="277" w:lineRule="auto"/>
        <w:tabs>
          <w:tab w:leader="none" w:pos="30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To be 0.5% higher than the number of Shares underlying the capped call (including any additional capped call) of the Dealer with the highest Applicable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89" w:orient="portrait"/>
          <w:cols w:equalWidth="0" w:num="1">
            <w:col w:w="11460"/>
          </w:cols>
          <w:pgMar w:left="240" w:top="125"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joint or several, to which such Indemnified Party may become subject under applicable securities laws, including without limitation, Section 16 of the Exchange Act or under any U.S. state or federal law, regulation or regulatory order, in each case relating to or arising out of such failure. If for any reason the</w:t>
      </w:r>
    </w:p>
    <w:p>
      <w:pPr>
        <w:sectPr>
          <w:pgSz w:w="11900" w:h="16989" w:orient="portrait"/>
          <w:cols w:equalWidth="0" w:num="1">
            <w:col w:w="11460"/>
          </w:cols>
          <w:pgMar w:left="240" w:top="125" w:right="199" w:bottom="0" w:gutter="0" w:footer="0" w:header="0"/>
          <w:type w:val="continuous"/>
        </w:sectPr>
      </w:pPr>
    </w:p>
    <w:bookmarkStart w:id="84" w:name="page85"/>
    <w:bookmarkEnd w:id="84"/>
    <w:p>
      <w:pPr>
        <w:spacing w:after="0" w:line="289" w:lineRule="auto"/>
        <w:rPr>
          <w:sz w:val="20"/>
          <w:szCs w:val="20"/>
          <w:color w:val="auto"/>
        </w:rPr>
      </w:pPr>
      <w:r>
        <w:rPr>
          <w:rFonts w:ascii="Arial" w:cs="Arial" w:eastAsia="Arial" w:hAnsi="Arial"/>
          <w:sz w:val="16"/>
          <w:szCs w:val="16"/>
          <w:color w:val="auto"/>
        </w:rPr>
        <w:t>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in each case relating to or arising out of such failure. This indemnity shall survive the completion of the Transaction contemplated by this Confirmation and any assignment and delegation of the Transaction made pursuant to this Confirmation or the Agreement shall inure to the benefit of any permitted assignee of Dealer. Counterparty will not be liable under this indemnity provision to the extent any loss, claim, damage, liability or expense is found in a final judgment by a court to have resulted from Dealer’s gross negligence or willful misconduct.</w:t>
      </w:r>
    </w:p>
    <w:p>
      <w:pPr>
        <w:spacing w:after="0" w:line="167" w:lineRule="exact"/>
        <w:rPr>
          <w:sz w:val="20"/>
          <w:szCs w:val="20"/>
          <w:color w:val="auto"/>
        </w:rPr>
      </w:pPr>
    </w:p>
    <w:p>
      <w:pPr>
        <w:ind w:right="20" w:firstLine="656"/>
        <w:spacing w:after="0" w:line="284" w:lineRule="auto"/>
        <w:tabs>
          <w:tab w:leader="none" w:pos="873" w:val="left"/>
        </w:tabs>
        <w:numPr>
          <w:ilvl w:val="1"/>
          <w:numId w:val="177"/>
        </w:numPr>
        <w:rPr>
          <w:rFonts w:ascii="Arial" w:cs="Arial" w:eastAsia="Arial" w:hAnsi="Arial"/>
          <w:sz w:val="16"/>
          <w:szCs w:val="16"/>
          <w:color w:val="auto"/>
        </w:rPr>
      </w:pPr>
      <w:r>
        <w:rPr>
          <w:rFonts w:ascii="Arial" w:cs="Arial" w:eastAsia="Arial" w:hAnsi="Arial"/>
          <w:sz w:val="16"/>
          <w:szCs w:val="16"/>
          <w:i w:val="1"/>
          <w:iCs w:val="1"/>
          <w:color w:val="auto"/>
        </w:rPr>
        <w:t>Transfer and Assignment</w:t>
      </w:r>
      <w:r>
        <w:rPr>
          <w:rFonts w:ascii="Arial" w:cs="Arial" w:eastAsia="Arial" w:hAnsi="Arial"/>
          <w:sz w:val="16"/>
          <w:szCs w:val="16"/>
          <w:color w:val="auto"/>
        </w:rPr>
        <w:t>. Either party may transfer or assign any of its rights or obligations under the Transaction with the prior written consent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non-transferring party,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Dealer may transfer or assign without any consent of Counterparty its rights and obligations hereunder, in whole or in part, to (A) any affiliate of Dealer whose obligations would be guaranteed by Dealer [or Dealer Parent](8) or (B) any person (including any affiliate of Dealer whose obligations are not guaranteed in the manner described in clause (A)) or any person whose obligations would be guaranteed by a person (a “</w:t>
      </w:r>
      <w:r>
        <w:rPr>
          <w:rFonts w:ascii="Arial" w:cs="Arial" w:eastAsia="Arial" w:hAnsi="Arial"/>
          <w:sz w:val="16"/>
          <w:szCs w:val="16"/>
          <w:b w:val="1"/>
          <w:bCs w:val="1"/>
          <w:color w:val="auto"/>
        </w:rPr>
        <w:t>Designated Transferee</w:t>
      </w:r>
      <w:r>
        <w:rPr>
          <w:rFonts w:ascii="Arial" w:cs="Arial" w:eastAsia="Arial" w:hAnsi="Arial"/>
          <w:sz w:val="16"/>
          <w:szCs w:val="16"/>
          <w:color w:val="auto"/>
        </w:rPr>
        <w:t xml:space="preserve">”), in either case under this clause (B), with a rating for its long-term, unsecured and unsubordinated indebtedness at least equivalent to Dealer’s (or its guarantor’s),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case of this clause (B), in no event shall the credit rating of the Designated Transferee or of its guarantor (whichever is higher) be lower than A3 from Moody’s Investor Service, Inc. or its successor or A- from Standard and Poor’s Rating Group, Inc. or its successor;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Dealer will notify Counterparty in writing prior to any proposed transfer or assignment to a Designated Transferee, (ii) as a result of any such transfer or assignment, Counterparty will not be required to pay the transferee or assignee of such rights or obligations on any payment date an amount under Section 2(d)(i)(4) of the Agreement greater than the amount, if any, that Counterparty would have been required to pay Dealer in the absence of such transfer or assignment and (iii) the transferee or assignee shall provide Counterparty with a complete and accurate U.S. Internal Revenue Service Form W-9 or W-8 (as applicable) prior to becoming a party to the Transaction. If at any time at which (1) the Equity Percentage exceeds 8.0% or (2) Dealer, Dealer Group (as defined below) or any person whose ownership position would be aggregated with that of Dealer or Dealer Group (Dealer, Dealer Group or any such person, a “</w:t>
      </w:r>
      <w:r>
        <w:rPr>
          <w:rFonts w:ascii="Arial" w:cs="Arial" w:eastAsia="Arial" w:hAnsi="Arial"/>
          <w:sz w:val="16"/>
          <w:szCs w:val="16"/>
          <w:b w:val="1"/>
          <w:bCs w:val="1"/>
          <w:color w:val="auto"/>
        </w:rPr>
        <w:t>Dealer Person</w:t>
      </w:r>
      <w:r>
        <w:rPr>
          <w:rFonts w:ascii="Arial" w:cs="Arial" w:eastAsia="Arial" w:hAnsi="Arial"/>
          <w:sz w:val="16"/>
          <w:szCs w:val="16"/>
          <w:color w:val="auto"/>
        </w:rPr>
        <w:t>”) under the Business Combinations Statute or other federal, state or local law, rule, regulation or regulatory order or organizational documents or contracts of Counterparty applicable to ownership of Shares (“</w:t>
      </w:r>
      <w:r>
        <w:rPr>
          <w:rFonts w:ascii="Arial" w:cs="Arial" w:eastAsia="Arial" w:hAnsi="Arial"/>
          <w:sz w:val="16"/>
          <w:szCs w:val="16"/>
          <w:b w:val="1"/>
          <w:bCs w:val="1"/>
          <w:color w:val="auto"/>
        </w:rPr>
        <w:t>Applicable Restrictions</w:t>
      </w:r>
      <w:r>
        <w:rPr>
          <w:rFonts w:ascii="Arial" w:cs="Arial" w:eastAsia="Arial" w:hAnsi="Arial"/>
          <w:sz w:val="16"/>
          <w:szCs w:val="16"/>
          <w:color w:val="auto"/>
        </w:rPr>
        <w:t xml:space="preserve">”),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of a Dealer Person under Applicable Restrictions and with respect to which such requirements have not been met or the relevant approval has not been received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(y) 1% of the number of Shares outstanding on the date of determination (either such condition described in clause (1) or (2), an “</w:t>
      </w:r>
      <w:r>
        <w:rPr>
          <w:rFonts w:ascii="Arial" w:cs="Arial" w:eastAsia="Arial" w:hAnsi="Arial"/>
          <w:sz w:val="16"/>
          <w:szCs w:val="16"/>
          <w:b w:val="1"/>
          <w:bCs w:val="1"/>
          <w:color w:val="auto"/>
        </w:rPr>
        <w:t>Excess Ownership Position</w:t>
      </w:r>
      <w:r>
        <w:rPr>
          <w:rFonts w:ascii="Arial" w:cs="Arial" w:eastAsia="Arial" w:hAnsi="Arial"/>
          <w:sz w:val="16"/>
          <w:szCs w:val="16"/>
          <w:color w:val="auto"/>
        </w:rPr>
        <w:t>”), if Dealer, in its reasonable discretion, is unable to effect a transfer or assignment to a third party in accordance with the requirements set forth above after its commercially reasonable efforts on pricing and terms and within a time period reasonably acceptable to Dealer such that an Excess Ownership Position no longer exists, Dealer may designate any Scheduled Valid Day as an Early Termination Date with respect to a portion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of the Transaction, such that an Excess Ownership Position no longer exists following such partial termination. In the event that Dealer so designates an Early Termination Date with respect to a portion of the Transaction, a payment or delivery shall be made pursuant to Section 6 of the Agreement and Section 8(c) of this Confirmation as if (i) an Early Termination Date had been designated in respect of a Transaction having terms identical to the Terminated Portion of the Transaction, (ii) Counterparty were the sole Affected Party with respect to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9" w:lineRule="exact"/>
        <w:rPr>
          <w:rFonts w:ascii="Arial" w:cs="Arial" w:eastAsia="Arial" w:hAnsi="Arial"/>
          <w:sz w:val="16"/>
          <w:szCs w:val="16"/>
          <w:color w:val="auto"/>
        </w:rPr>
      </w:pPr>
    </w:p>
    <w:p>
      <w:pPr>
        <w:ind w:left="300" w:hanging="292"/>
        <w:spacing w:after="0"/>
        <w:tabs>
          <w:tab w:leader="none" w:pos="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8268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such partial termination, (iii) such portion of the Transaction were the only Terminated Transaction and (iv) Dealer were the party entitled to designate an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Early Termination Date pursuant to Section 6(b) of the Agreement and to determine the amount payable pursuant to Section 6(e) of the Agreement.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Percentage</w:t>
      </w:r>
      <w:r>
        <w:rPr>
          <w:rFonts w:ascii="Arial" w:cs="Arial" w:eastAsia="Arial" w:hAnsi="Arial"/>
          <w:sz w:val="16"/>
          <w:szCs w:val="16"/>
          <w:color w:val="auto"/>
        </w:rPr>
        <w:t>” as of any day is the fraction, expressed as a percentage, (A) the numerator of which is the number of Shares that Dealer and any of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affiliates subject to aggregation with Dealer for purposes of the “beneficial ownership” test under Section 13 of the Exchange Act and all persons who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form a “group” (within the meaning of Rule 13d-5(b)(1) under the Exchange Act) with Dealer (collectively, “</w:t>
      </w:r>
      <w:r>
        <w:rPr>
          <w:rFonts w:ascii="Arial" w:cs="Arial" w:eastAsia="Arial" w:hAnsi="Arial"/>
          <w:sz w:val="17"/>
          <w:szCs w:val="17"/>
          <w:b w:val="1"/>
          <w:bCs w:val="1"/>
          <w:color w:val="auto"/>
        </w:rPr>
        <w:t>Dealer Group</w:t>
      </w:r>
      <w:r>
        <w:rPr>
          <w:rFonts w:ascii="Arial" w:cs="Arial" w:eastAsia="Arial" w:hAnsi="Arial"/>
          <w:sz w:val="17"/>
          <w:szCs w:val="17"/>
          <w:color w:val="auto"/>
        </w:rPr>
        <w:t>”) “beneficially own” (within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meaning of Section 13 of the Exchange Act) without duplication on such day and (B) the denominator of which is the number of Shares outstanding on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the case of a transfer or assignment by Counterparty of its rights and obligations hereunder and under the Agreement, in whole or in part (any such Options so transferred or assigned, the “</w:t>
      </w:r>
      <w:r>
        <w:rPr>
          <w:rFonts w:ascii="Arial" w:cs="Arial" w:eastAsia="Arial" w:hAnsi="Arial"/>
          <w:sz w:val="16"/>
          <w:szCs w:val="16"/>
          <w:b w:val="1"/>
          <w:bCs w:val="1"/>
          <w:color w:val="auto"/>
        </w:rPr>
        <w:t>Transfer Options</w:t>
      </w:r>
      <w:r>
        <w:rPr>
          <w:rFonts w:ascii="Arial" w:cs="Arial" w:eastAsia="Arial" w:hAnsi="Arial"/>
          <w:sz w:val="16"/>
          <w:szCs w:val="16"/>
          <w:color w:val="auto"/>
        </w:rPr>
        <w:t>”), to any party, withholding of such consent by Dealer shall not be considered unreasonable if such transfer or assignment does not meet the reasonable conditions that Dealer may impose including, but not limited, to the following conditions:</w:t>
      </w:r>
    </w:p>
    <w:p>
      <w:pPr>
        <w:spacing w:after="0" w:line="147" w:lineRule="exact"/>
        <w:rPr>
          <w:sz w:val="20"/>
          <w:szCs w:val="20"/>
          <w:color w:val="auto"/>
        </w:rPr>
      </w:pPr>
    </w:p>
    <w:p>
      <w:pPr>
        <w:ind w:left="660" w:right="660" w:firstLine="320"/>
        <w:spacing w:after="0" w:line="277" w:lineRule="auto"/>
        <w:tabs>
          <w:tab w:leader="none" w:pos="127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 respect to any Transfer Options, Counterparty shall not be released from its notice and indemnification obligations pursuant to Section 8(e) or any obligations under Section 2 (regarding Extraordinary Events) or 8(d) of this Confirmation;</w:t>
      </w:r>
    </w:p>
    <w:p>
      <w:pPr>
        <w:spacing w:after="0" w:line="170" w:lineRule="exact"/>
        <w:rPr>
          <w:rFonts w:ascii="Arial" w:cs="Arial" w:eastAsia="Arial" w:hAnsi="Arial"/>
          <w:sz w:val="18"/>
          <w:szCs w:val="18"/>
          <w:color w:val="auto"/>
        </w:rPr>
      </w:pPr>
    </w:p>
    <w:p>
      <w:pPr>
        <w:ind w:left="660" w:right="140" w:firstLine="320"/>
        <w:spacing w:after="0" w:line="277" w:lineRule="auto"/>
        <w:tabs>
          <w:tab w:leader="none" w:pos="125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Any Transfer Options shall only be transferred or assigned to a third party that is a U.S. person (as defined in the Internal Revenue Code of 1986, as amended);</w:t>
      </w:r>
    </w:p>
    <w:p>
      <w:pPr>
        <w:spacing w:after="0" w:line="170" w:lineRule="exact"/>
        <w:rPr>
          <w:rFonts w:ascii="Arial" w:cs="Arial" w:eastAsia="Arial" w:hAnsi="Arial"/>
          <w:sz w:val="18"/>
          <w:szCs w:val="18"/>
          <w:color w:val="auto"/>
        </w:rPr>
      </w:pPr>
    </w:p>
    <w:p>
      <w:pPr>
        <w:ind w:left="660" w:right="60" w:firstLine="320"/>
        <w:spacing w:after="0" w:line="302" w:lineRule="auto"/>
        <w:tabs>
          <w:tab w:leader="none" w:pos="126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customary legal opinions with respect to securities laws and other matters by such third party and Counterparty as are reasonably requested and reasonably satisfactory to Dealer;</w:t>
      </w:r>
    </w:p>
    <w:p>
      <w:pPr>
        <w:spacing w:after="0" w:line="154" w:lineRule="exact"/>
        <w:rPr>
          <w:rFonts w:ascii="Arial" w:cs="Arial" w:eastAsia="Arial" w:hAnsi="Arial"/>
          <w:sz w:val="16"/>
          <w:szCs w:val="16"/>
          <w:color w:val="auto"/>
        </w:rPr>
      </w:pPr>
    </w:p>
    <w:p>
      <w:pPr>
        <w:ind w:left="1280" w:hanging="300"/>
        <w:spacing w:after="0"/>
        <w:tabs>
          <w:tab w:leader="none" w:pos="12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Dealer will not, as a result of such transfer and assignment, be required to pay the transferee on any payment date an amount under</w:t>
      </w:r>
    </w:p>
    <w:p>
      <w:pPr>
        <w:spacing w:after="0" w:line="35" w:lineRule="exact"/>
        <w:rPr>
          <w:sz w:val="20"/>
          <w:szCs w:val="20"/>
          <w:color w:val="auto"/>
        </w:rPr>
      </w:pPr>
    </w:p>
    <w:p>
      <w:pPr>
        <w:ind w:left="660" w:right="440"/>
        <w:spacing w:after="0" w:line="261" w:lineRule="auto"/>
        <w:rPr>
          <w:sz w:val="20"/>
          <w:szCs w:val="20"/>
          <w:color w:val="auto"/>
        </w:rPr>
      </w:pPr>
      <w:r>
        <w:rPr>
          <w:rFonts w:ascii="Arial" w:cs="Arial" w:eastAsia="Arial" w:hAnsi="Arial"/>
          <w:sz w:val="18"/>
          <w:szCs w:val="18"/>
          <w:color w:val="auto"/>
        </w:rPr>
        <w:t>Section 2(d)(i)(4) of the Agreement greater than an amount that Dealer would have been required to pay to Counterparty in the absence of such transfer and assignment;</w:t>
      </w:r>
    </w:p>
    <w:p>
      <w:pPr>
        <w:spacing w:after="0" w:line="184" w:lineRule="exact"/>
        <w:rPr>
          <w:sz w:val="20"/>
          <w:szCs w:val="20"/>
          <w:color w:val="auto"/>
        </w:rPr>
      </w:pPr>
    </w:p>
    <w:p>
      <w:pPr>
        <w:ind w:left="1240" w:hanging="260"/>
        <w:spacing w:after="0"/>
        <w:tabs>
          <w:tab w:leader="none" w:pos="12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 Event of Default, Potential Event of Default or Termination Event will not occur as a result of such transfer and assignment;</w:t>
      </w:r>
    </w:p>
    <w:p>
      <w:pPr>
        <w:spacing w:after="0" w:line="225" w:lineRule="exact"/>
        <w:rPr>
          <w:rFonts w:ascii="Arial" w:cs="Arial" w:eastAsia="Arial" w:hAnsi="Arial"/>
          <w:sz w:val="18"/>
          <w:szCs w:val="18"/>
          <w:color w:val="auto"/>
        </w:rPr>
      </w:pPr>
    </w:p>
    <w:p>
      <w:pPr>
        <w:ind w:left="660" w:right="140" w:firstLine="320"/>
        <w:spacing w:after="0" w:line="291" w:lineRule="auto"/>
        <w:tabs>
          <w:tab w:leader="none" w:pos="1246" w:val="left"/>
        </w:tabs>
        <w:numPr>
          <w:ilvl w:val="1"/>
          <w:numId w:val="180"/>
        </w:numPr>
        <w:rPr>
          <w:rFonts w:ascii="Arial" w:cs="Arial" w:eastAsia="Arial" w:hAnsi="Arial"/>
          <w:sz w:val="16"/>
          <w:szCs w:val="16"/>
          <w:color w:val="auto"/>
        </w:rPr>
      </w:pPr>
      <w:r>
        <w:rPr>
          <w:rFonts w:ascii="Arial" w:cs="Arial" w:eastAsia="Arial" w:hAnsi="Arial"/>
          <w:sz w:val="16"/>
          <w:szCs w:val="16"/>
          <w:color w:val="auto"/>
        </w:rPr>
        <w:t>Without limiting the generality of clause (B), Counterparty shall have caused the transferee to make such Payee Tax Representations and to provide such tax documentation as may be reasonably requested by Dealer to permit Dealer to determine that results described in clauses (D) and</w:t>
      </w:r>
    </w:p>
    <w:p>
      <w:pPr>
        <w:ind w:left="940" w:hanging="284"/>
        <w:spacing w:after="0"/>
        <w:tabs>
          <w:tab w:leader="none" w:pos="9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will not occur upon or after such transfer and assignment; and</w:t>
      </w:r>
    </w:p>
    <w:p>
      <w:pPr>
        <w:sectPr>
          <w:pgSz w:w="11900" w:h="16838" w:orient="portrait"/>
          <w:cols w:equalWidth="0" w:num="1">
            <w:col w:w="11420"/>
          </w:cols>
          <w:pgMar w:left="240" w:top="125" w:right="239" w:bottom="0" w:gutter="0" w:footer="0" w:header="0"/>
        </w:sectPr>
      </w:pPr>
    </w:p>
    <w:bookmarkStart w:id="85" w:name="page86"/>
    <w:bookmarkEnd w:id="85"/>
    <w:p>
      <w:pPr>
        <w:spacing w:after="0" w:line="105" w:lineRule="exact"/>
        <w:rPr>
          <w:sz w:val="20"/>
          <w:szCs w:val="20"/>
          <w:color w:val="auto"/>
        </w:rPr>
      </w:pPr>
    </w:p>
    <w:p>
      <w:pPr>
        <w:ind w:left="652" w:right="60" w:firstLine="320"/>
        <w:spacing w:after="0" w:line="277" w:lineRule="auto"/>
        <w:tabs>
          <w:tab w:leader="none" w:pos="1271" w:val="left"/>
        </w:tabs>
        <w:numPr>
          <w:ilvl w:val="1"/>
          <w:numId w:val="182"/>
        </w:numPr>
        <w:rPr>
          <w:rFonts w:ascii="Arial" w:cs="Arial" w:eastAsia="Arial" w:hAnsi="Arial"/>
          <w:sz w:val="18"/>
          <w:szCs w:val="18"/>
          <w:color w:val="auto"/>
        </w:rPr>
      </w:pPr>
      <w:r>
        <w:rPr>
          <w:rFonts w:ascii="Arial" w:cs="Arial" w:eastAsia="Arial" w:hAnsi="Arial"/>
          <w:sz w:val="18"/>
          <w:szCs w:val="18"/>
          <w:color w:val="auto"/>
        </w:rPr>
        <w:t>Counterparty shall be responsible for all reasonable costs and expenses, including reasonable counsel fees, incurred by Dealer in connection with such transfer or assignment.</w:t>
      </w:r>
    </w:p>
    <w:p>
      <w:pPr>
        <w:spacing w:after="0" w:line="170" w:lineRule="exact"/>
        <w:rPr>
          <w:rFonts w:ascii="Arial" w:cs="Arial" w:eastAsia="Arial" w:hAnsi="Arial"/>
          <w:sz w:val="18"/>
          <w:szCs w:val="18"/>
          <w:color w:val="auto"/>
        </w:rPr>
      </w:pPr>
    </w:p>
    <w:p>
      <w:pPr>
        <w:ind w:left="-8" w:right="60" w:firstLine="656"/>
        <w:spacing w:after="0" w:line="259" w:lineRule="auto"/>
        <w:tabs>
          <w:tab w:leader="none" w:pos="895"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Staggered Settlement</w:t>
      </w:r>
      <w:r>
        <w:rPr>
          <w:rFonts w:ascii="Arial" w:cs="Arial" w:eastAsia="Arial" w:hAnsi="Arial"/>
          <w:sz w:val="18"/>
          <w:szCs w:val="18"/>
          <w:color w:val="auto"/>
        </w:rPr>
        <w:t>. If Dealer determines reasonably and in good faith that the number of Shares required to be delivered to Counterparty</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on any Settlement Date would result in an Excess Ownership Position, then Dealer may, by notice to Counterparty prior to such Settlement Date (a “</w:t>
      </w:r>
      <w:r>
        <w:rPr>
          <w:rFonts w:ascii="Arial" w:cs="Arial" w:eastAsia="Arial" w:hAnsi="Arial"/>
          <w:sz w:val="18"/>
          <w:szCs w:val="18"/>
          <w:b w:val="1"/>
          <w:bCs w:val="1"/>
          <w:color w:val="auto"/>
        </w:rPr>
        <w:t>Nominal Settlement Date</w:t>
      </w:r>
      <w:r>
        <w:rPr>
          <w:rFonts w:ascii="Arial" w:cs="Arial" w:eastAsia="Arial" w:hAnsi="Arial"/>
          <w:sz w:val="18"/>
          <w:szCs w:val="18"/>
          <w:color w:val="auto"/>
        </w:rPr>
        <w:t>”), elect to deliver any Shares due to be delivered on two or more dates (each, a “</w:t>
      </w:r>
      <w:r>
        <w:rPr>
          <w:rFonts w:ascii="Arial" w:cs="Arial" w:eastAsia="Arial" w:hAnsi="Arial"/>
          <w:sz w:val="18"/>
          <w:szCs w:val="18"/>
          <w:b w:val="1"/>
          <w:bCs w:val="1"/>
          <w:color w:val="auto"/>
        </w:rPr>
        <w:t>Staggered Settlement Date</w:t>
      </w:r>
      <w:r>
        <w:rPr>
          <w:rFonts w:ascii="Arial" w:cs="Arial" w:eastAsia="Arial" w:hAnsi="Arial"/>
          <w:sz w:val="18"/>
          <w:szCs w:val="18"/>
          <w:color w:val="auto"/>
        </w:rPr>
        <w:t>”) or at two or more times on the Nominal Settlement Date as follows:</w:t>
      </w:r>
    </w:p>
    <w:p>
      <w:pPr>
        <w:spacing w:after="0" w:line="187" w:lineRule="exact"/>
        <w:rPr>
          <w:sz w:val="20"/>
          <w:szCs w:val="20"/>
          <w:color w:val="auto"/>
        </w:rPr>
      </w:pPr>
    </w:p>
    <w:p>
      <w:pPr>
        <w:ind w:left="972"/>
        <w:spacing w:after="0"/>
        <w:rPr>
          <w:sz w:val="20"/>
          <w:szCs w:val="20"/>
          <w:color w:val="auto"/>
        </w:rPr>
      </w:pPr>
      <w:r>
        <w:rPr>
          <w:rFonts w:ascii="Arial" w:cs="Arial" w:eastAsia="Arial" w:hAnsi="Arial"/>
          <w:sz w:val="17"/>
          <w:szCs w:val="17"/>
          <w:color w:val="auto"/>
        </w:rPr>
        <w:t>(i) in such notice, Dealer will specify to Counterparty the related Staggered Settlement Dates (each of which will be on or prior to the</w:t>
      </w:r>
    </w:p>
    <w:p>
      <w:pPr>
        <w:spacing w:after="0" w:line="35" w:lineRule="exact"/>
        <w:rPr>
          <w:sz w:val="20"/>
          <w:szCs w:val="20"/>
          <w:color w:val="auto"/>
        </w:rPr>
      </w:pPr>
    </w:p>
    <w:p>
      <w:pPr>
        <w:ind w:left="652" w:right="100"/>
        <w:spacing w:after="0" w:line="219" w:lineRule="auto"/>
        <w:rPr>
          <w:sz w:val="20"/>
          <w:szCs w:val="20"/>
          <w:color w:val="auto"/>
        </w:rPr>
      </w:pPr>
      <w:r>
        <w:rPr>
          <w:rFonts w:ascii="Arial" w:cs="Arial" w:eastAsia="Arial" w:hAnsi="Arial"/>
          <w:sz w:val="18"/>
          <w:szCs w:val="18"/>
          <w:color w:val="auto"/>
        </w:rPr>
        <w:t>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Exchange Business Day after such Nominal Settlement Date) or delivery times and how it will allocate the Shares it is required to deliver under “Delivery Obligation” (above) among the Staggered Settlement Dates or delivery times; and</w:t>
      </w:r>
    </w:p>
    <w:p>
      <w:pPr>
        <w:spacing w:after="0" w:line="204" w:lineRule="exact"/>
        <w:rPr>
          <w:sz w:val="20"/>
          <w:szCs w:val="20"/>
          <w:color w:val="auto"/>
        </w:rPr>
      </w:pPr>
    </w:p>
    <w:p>
      <w:pPr>
        <w:ind w:left="652" w:firstLine="320"/>
        <w:spacing w:after="0" w:line="277" w:lineRule="auto"/>
        <w:tabs>
          <w:tab w:leader="none" w:pos="124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aggregate number of Shares that Dealer will deliver to Counterparty hereunder on all such Staggered Settlement Dates and delivery times will equal the number of Shares that Dealer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52" w:right="60"/>
        <w:spacing w:after="0" w:line="277" w:lineRule="auto"/>
        <w:rPr>
          <w:sz w:val="20"/>
          <w:szCs w:val="20"/>
          <w:color w:val="auto"/>
        </w:rPr>
      </w:pPr>
      <w:r>
        <w:rPr>
          <w:rFonts w:ascii="Arial" w:cs="Arial" w:eastAsia="Arial" w:hAnsi="Arial"/>
          <w:sz w:val="18"/>
          <w:szCs w:val="18"/>
          <w:color w:val="auto"/>
        </w:rPr>
        <w:t xml:space="preserve">otherwise be required to deliver on such Nominal Settlement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any Staggered Settlement Date be a date later than the Final Termination Date.</w:t>
      </w:r>
    </w:p>
    <w:p>
      <w:pPr>
        <w:spacing w:after="0" w:line="170" w:lineRule="exact"/>
        <w:rPr>
          <w:sz w:val="20"/>
          <w:szCs w:val="20"/>
          <w:color w:val="auto"/>
        </w:rPr>
      </w:pPr>
    </w:p>
    <w:p>
      <w:pPr>
        <w:ind w:left="-8" w:right="140" w:firstLine="656"/>
        <w:spacing w:after="0" w:line="312" w:lineRule="auto"/>
        <w:tabs>
          <w:tab w:leader="none" w:pos="895"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Effective from the date of commencement of discussions concerning the Transaction, Counterparty and each of its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6" w:lineRule="exact"/>
        <w:rPr>
          <w:rFonts w:ascii="Arial" w:cs="Arial" w:eastAsia="Arial" w:hAnsi="Arial"/>
          <w:sz w:val="16"/>
          <w:szCs w:val="16"/>
          <w:color w:val="auto"/>
        </w:rPr>
      </w:pPr>
    </w:p>
    <w:p>
      <w:pPr>
        <w:jc w:val="both"/>
        <w:ind w:left="-8" w:right="120" w:firstLine="656"/>
        <w:spacing w:after="0" w:line="312" w:lineRule="auto"/>
        <w:tabs>
          <w:tab w:leader="none" w:pos="855"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t xml:space="preserve">No Netting and Set-off. </w:t>
      </w:r>
      <w:r>
        <w:rPr>
          <w:rFonts w:ascii="Arial" w:cs="Arial" w:eastAsia="Arial" w:hAnsi="Arial"/>
          <w:sz w:val="16"/>
          <w:szCs w:val="16"/>
          <w:color w:val="auto"/>
        </w:rPr>
        <w:t>The provisions of Section 2(c) of the Agreement shall not apply to the Transaction. Each party waives any and all rights</w:t>
      </w:r>
      <w:r>
        <w:rPr>
          <w:rFonts w:ascii="Arial" w:cs="Arial" w:eastAsia="Arial" w:hAnsi="Arial"/>
          <w:sz w:val="16"/>
          <w:szCs w:val="16"/>
          <w:i w:val="1"/>
          <w:iCs w:val="1"/>
          <w:color w:val="auto"/>
        </w:rPr>
        <w:t xml:space="preserve"> </w:t>
      </w:r>
      <w:r>
        <w:rPr>
          <w:rFonts w:ascii="Arial" w:cs="Arial" w:eastAsia="Arial" w:hAnsi="Arial"/>
          <w:sz w:val="16"/>
          <w:szCs w:val="16"/>
          <w:color w:val="auto"/>
        </w:rPr>
        <w:t>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w:t>
      </w:r>
    </w:p>
    <w:p>
      <w:pPr>
        <w:spacing w:after="0" w:line="146" w:lineRule="exact"/>
        <w:rPr>
          <w:rFonts w:ascii="Arial" w:cs="Arial" w:eastAsia="Arial" w:hAnsi="Arial"/>
          <w:sz w:val="16"/>
          <w:szCs w:val="16"/>
          <w:color w:val="auto"/>
        </w:rPr>
      </w:pPr>
    </w:p>
    <w:p>
      <w:pPr>
        <w:ind w:left="-8" w:right="160" w:firstLine="656"/>
        <w:spacing w:after="0" w:line="297" w:lineRule="auto"/>
        <w:tabs>
          <w:tab w:leader="none" w:pos="855"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t>Equity Rights</w:t>
      </w:r>
      <w:r>
        <w:rPr>
          <w:rFonts w:ascii="Arial" w:cs="Arial" w:eastAsia="Arial" w:hAnsi="Arial"/>
          <w:sz w:val="16"/>
          <w:szCs w:val="16"/>
          <w:color w:val="auto"/>
        </w:rPr>
        <w:t>. Dealer acknowledges and agrees that this Confirmation is not intended to convey to it rights with respect to the Transaction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w:t>
      </w:r>
    </w:p>
    <w:p>
      <w:pPr>
        <w:spacing w:after="0" w:line="158" w:lineRule="exact"/>
        <w:rPr>
          <w:rFonts w:ascii="Arial" w:cs="Arial" w:eastAsia="Arial" w:hAnsi="Arial"/>
          <w:sz w:val="16"/>
          <w:szCs w:val="16"/>
          <w:color w:val="auto"/>
        </w:rPr>
      </w:pPr>
    </w:p>
    <w:p>
      <w:pPr>
        <w:ind w:left="-8" w:right="20" w:firstLine="656"/>
        <w:spacing w:after="0" w:line="270" w:lineRule="auto"/>
        <w:tabs>
          <w:tab w:leader="none" w:pos="895" w:val="left"/>
        </w:tabs>
        <w:numPr>
          <w:ilvl w:val="1"/>
          <w:numId w:val="185"/>
        </w:numPr>
        <w:rPr>
          <w:rFonts w:ascii="Arial" w:cs="Arial" w:eastAsia="Arial" w:hAnsi="Arial"/>
          <w:sz w:val="17"/>
          <w:szCs w:val="17"/>
          <w:color w:val="auto"/>
        </w:rPr>
      </w:pPr>
      <w:r>
        <w:rPr>
          <w:rFonts w:ascii="Arial" w:cs="Arial" w:eastAsia="Arial" w:hAnsi="Arial"/>
          <w:sz w:val="17"/>
          <w:szCs w:val="17"/>
          <w:i w:val="1"/>
          <w:iCs w:val="1"/>
          <w:color w:val="auto"/>
        </w:rPr>
        <w:t>Early Unwind</w:t>
      </w:r>
      <w:r>
        <w:rPr>
          <w:rFonts w:ascii="Arial" w:cs="Arial" w:eastAsia="Arial" w:hAnsi="Arial"/>
          <w:sz w:val="17"/>
          <w:szCs w:val="17"/>
          <w:color w:val="auto"/>
        </w:rPr>
        <w:t>. In the event the sale of the [Firm Securities](9)[Additional Securities](10) (as defined in the Purchase Agreement, dated as of</w:t>
      </w:r>
      <w:r>
        <w:rPr>
          <w:rFonts w:ascii="Arial" w:cs="Arial" w:eastAsia="Arial" w:hAnsi="Arial"/>
          <w:sz w:val="17"/>
          <w:szCs w:val="17"/>
          <w:i w:val="1"/>
          <w:iCs w:val="1"/>
          <w:color w:val="auto"/>
        </w:rPr>
        <w:t xml:space="preserve"> </w:t>
      </w:r>
      <w:r>
        <w:rPr>
          <w:rFonts w:ascii="Arial" w:cs="Arial" w:eastAsia="Arial" w:hAnsi="Arial"/>
          <w:sz w:val="17"/>
          <w:szCs w:val="17"/>
          <w:color w:val="auto"/>
        </w:rPr>
        <w:t>June [25], 2018, among Morgan Stanley &amp; Co. LLC, Goldman Sachs &amp; Co. LLC and Barclays Capital Inc., as representatives of the several initial purchasers thereto, and Counterparty (the “</w:t>
      </w:r>
      <w:r>
        <w:rPr>
          <w:rFonts w:ascii="Arial" w:cs="Arial" w:eastAsia="Arial" w:hAnsi="Arial"/>
          <w:sz w:val="17"/>
          <w:szCs w:val="17"/>
          <w:b w:val="1"/>
          <w:bCs w:val="1"/>
          <w:color w:val="auto"/>
        </w:rPr>
        <w:t>Purchase Agreement</w:t>
      </w:r>
      <w:r>
        <w:rPr>
          <w:rFonts w:ascii="Arial" w:cs="Arial" w:eastAsia="Arial" w:hAnsi="Arial"/>
          <w:sz w:val="17"/>
          <w:szCs w:val="17"/>
          <w:color w:val="auto"/>
        </w:rPr>
        <w:t>”)) is not consummated pursuant to the Purchase Agreement for any reason by the close of business in New York on June [ ], 2018(11) (or such later date as agreed upon by the parties which in no event shall be later than the second Scheduled Valid Day following June [ ], 2018) (such date or such later date as agreed upon being the “</w:t>
      </w:r>
      <w:r>
        <w:rPr>
          <w:rFonts w:ascii="Arial" w:cs="Arial" w:eastAsia="Arial" w:hAnsi="Arial"/>
          <w:sz w:val="17"/>
          <w:szCs w:val="17"/>
          <w:b w:val="1"/>
          <w:bCs w:val="1"/>
          <w:color w:val="auto"/>
        </w:rPr>
        <w:t>Accelerated Unwind Date</w:t>
      </w:r>
      <w:r>
        <w:rPr>
          <w:rFonts w:ascii="Arial" w:cs="Arial" w:eastAsia="Arial" w:hAnsi="Arial"/>
          <w:sz w:val="17"/>
          <w:szCs w:val="17"/>
          <w:color w:val="auto"/>
        </w:rPr>
        <w:t>”), the Transaction shall automatically terminate on the Accelerated Unwind Date and (i) 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Accelerated Unwind Date.</w:t>
      </w:r>
    </w:p>
    <w:p>
      <w:pPr>
        <w:spacing w:after="0" w:line="181" w:lineRule="exact"/>
        <w:rPr>
          <w:rFonts w:ascii="Arial" w:cs="Arial" w:eastAsia="Arial" w:hAnsi="Arial"/>
          <w:sz w:val="17"/>
          <w:szCs w:val="17"/>
          <w:color w:val="auto"/>
        </w:rPr>
      </w:pPr>
    </w:p>
    <w:p>
      <w:pPr>
        <w:ind w:left="-8" w:firstLine="656"/>
        <w:spacing w:after="0" w:line="297" w:lineRule="auto"/>
        <w:tabs>
          <w:tab w:leader="none" w:pos="855" w:val="left"/>
        </w:tabs>
        <w:numPr>
          <w:ilvl w:val="1"/>
          <w:numId w:val="185"/>
        </w:numPr>
        <w:rPr>
          <w:rFonts w:ascii="Arial" w:cs="Arial" w:eastAsia="Arial" w:hAnsi="Arial"/>
          <w:sz w:val="16"/>
          <w:szCs w:val="16"/>
          <w:color w:val="auto"/>
        </w:rPr>
      </w:pPr>
      <w:r>
        <w:rPr>
          <w:rFonts w:ascii="Arial" w:cs="Arial" w:eastAsia="Arial" w:hAnsi="Arial"/>
          <w:sz w:val="16"/>
          <w:szCs w:val="16"/>
          <w:i w:val="1"/>
          <w:iCs w:val="1"/>
          <w:color w:val="auto"/>
        </w:rPr>
        <w:t>Illegality</w:t>
      </w:r>
      <w:r>
        <w:rPr>
          <w:rFonts w:ascii="Arial" w:cs="Arial" w:eastAsia="Arial" w:hAnsi="Arial"/>
          <w:sz w:val="16"/>
          <w:szCs w:val="16"/>
          <w:color w:val="auto"/>
        </w:rPr>
        <w:t>. The parties agree that, for the avoidance of doubt, for purposes of Section 5(b)(i) of the Agreement, “any applicable law” shall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the Dodd-Frank Wall Street Reform and Consumer Protection Act of 2010, any rules and regulations promulgated thereunder and any similar law or regulation, without regard to Section 739 of the Dodd-Frank Wall Street Reform and Consumer Protection Act of 2010 or any similar legal certainty provision in any legislation enacted, or rule or regulation promulgated, on or after the Trade Date, and the consequences specified in the Agreement, including without limitation, the consequences specified in Section 6 of the Agreement, shall apply to any Illegality arising from any such act, rule or regulation.</w:t>
      </w:r>
    </w:p>
    <w:p>
      <w:pPr>
        <w:spacing w:after="0" w:line="158" w:lineRule="exact"/>
        <w:rPr>
          <w:rFonts w:ascii="Arial" w:cs="Arial" w:eastAsia="Arial" w:hAnsi="Arial"/>
          <w:sz w:val="16"/>
          <w:szCs w:val="16"/>
          <w:color w:val="auto"/>
        </w:rPr>
      </w:pPr>
    </w:p>
    <w:p>
      <w:pPr>
        <w:ind w:left="952" w:hanging="304"/>
        <w:spacing w:after="0"/>
        <w:tabs>
          <w:tab w:leader="none" w:pos="952" w:val="left"/>
        </w:tabs>
        <w:numPr>
          <w:ilvl w:val="1"/>
          <w:numId w:val="185"/>
        </w:numPr>
        <w:rPr>
          <w:rFonts w:ascii="Arial" w:cs="Arial" w:eastAsia="Arial" w:hAnsi="Arial"/>
          <w:sz w:val="18"/>
          <w:szCs w:val="18"/>
          <w:color w:val="auto"/>
        </w:rPr>
      </w:pPr>
      <w:r>
        <w:rPr>
          <w:rFonts w:ascii="Arial" w:cs="Arial" w:eastAsia="Arial" w:hAnsi="Arial"/>
          <w:sz w:val="18"/>
          <w:szCs w:val="18"/>
          <w:i w:val="1"/>
          <w:iCs w:val="1"/>
          <w:color w:val="auto"/>
        </w:rPr>
        <w:t xml:space="preserve">Amendments to Equity Definitions and the Agreement. </w:t>
      </w:r>
      <w:r>
        <w:rPr>
          <w:rFonts w:ascii="Arial" w:cs="Arial" w:eastAsia="Arial" w:hAnsi="Arial"/>
          <w:sz w:val="18"/>
          <w:szCs w:val="18"/>
          <w:color w:val="auto"/>
        </w:rPr>
        <w:t>The following amendments shall be made to the Equity Definitions:</w:t>
      </w:r>
    </w:p>
    <w:p>
      <w:pPr>
        <w:spacing w:after="0" w:line="225" w:lineRule="exact"/>
        <w:rPr>
          <w:rFonts w:ascii="Arial" w:cs="Arial" w:eastAsia="Arial" w:hAnsi="Arial"/>
          <w:sz w:val="18"/>
          <w:szCs w:val="18"/>
          <w:color w:val="auto"/>
        </w:rPr>
      </w:pPr>
    </w:p>
    <w:p>
      <w:pPr>
        <w:ind w:left="652" w:right="380" w:firstLine="320"/>
        <w:spacing w:after="0" w:line="308" w:lineRule="auto"/>
        <w:tabs>
          <w:tab w:leader="none" w:pos="1191" w:val="left"/>
        </w:tabs>
        <w:numPr>
          <w:ilvl w:val="2"/>
          <w:numId w:val="185"/>
        </w:numPr>
        <w:rPr>
          <w:rFonts w:ascii="Arial" w:cs="Arial" w:eastAsia="Arial" w:hAnsi="Arial"/>
          <w:sz w:val="17"/>
          <w:szCs w:val="17"/>
          <w:color w:val="auto"/>
        </w:rPr>
      </w:pPr>
      <w:r>
        <w:rPr>
          <w:rFonts w:ascii="Arial" w:cs="Arial" w:eastAsia="Arial" w:hAnsi="Arial"/>
          <w:sz w:val="17"/>
          <w:szCs w:val="17"/>
          <w:color w:val="auto"/>
        </w:rPr>
        <w:t>solely for purposes of applying the Equity Definitions and for purposes of this Confirmation, any reference in the Equity Definitions to a Strike Price shall be deemed to be a reference to either of the Strike Price or the Cap Price, or both, as appropriate;</w:t>
      </w:r>
    </w:p>
    <w:p>
      <w:pPr>
        <w:spacing w:after="0" w:line="376" w:lineRule="exact"/>
        <w:rPr>
          <w:rFonts w:ascii="Arial" w:cs="Arial" w:eastAsia="Arial" w:hAnsi="Arial"/>
          <w:sz w:val="17"/>
          <w:szCs w:val="17"/>
          <w:color w:val="auto"/>
        </w:rPr>
      </w:pPr>
    </w:p>
    <w:p>
      <w:pPr>
        <w:ind w:left="392" w:hanging="392"/>
        <w:spacing w:after="0"/>
        <w:tabs>
          <w:tab w:leader="none" w:pos="39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Include for capped call transaction</w:t>
      </w:r>
    </w:p>
    <w:p>
      <w:pPr>
        <w:spacing w:after="0" w:line="23" w:lineRule="exact"/>
        <w:rPr>
          <w:rFonts w:ascii="Arial" w:cs="Arial" w:eastAsia="Arial" w:hAnsi="Arial"/>
          <w:sz w:val="18"/>
          <w:szCs w:val="18"/>
          <w:color w:val="auto"/>
        </w:rPr>
      </w:pPr>
    </w:p>
    <w:p>
      <w:pPr>
        <w:ind w:left="392" w:hanging="392"/>
        <w:spacing w:after="0"/>
        <w:tabs>
          <w:tab w:leader="none" w:pos="39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Include for additional capped call transaction</w:t>
      </w:r>
    </w:p>
    <w:p>
      <w:pPr>
        <w:spacing w:after="0" w:line="9" w:lineRule="exact"/>
        <w:rPr>
          <w:rFonts w:ascii="Arial" w:cs="Arial" w:eastAsia="Arial" w:hAnsi="Arial"/>
          <w:sz w:val="18"/>
          <w:szCs w:val="18"/>
          <w:color w:val="auto"/>
        </w:rPr>
      </w:pPr>
    </w:p>
    <w:p>
      <w:pPr>
        <w:ind w:left="512" w:right="140" w:hanging="512"/>
        <w:spacing w:after="0" w:line="261" w:lineRule="auto"/>
        <w:tabs>
          <w:tab w:leader="none" w:pos="37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For the base capped call, to be the schedule closing date for the Firm Securities. For the additional capped call, to be the scheduled closing date for the Additional Notes.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652" w:right="20" w:firstLine="320"/>
        <w:spacing w:after="0" w:line="288" w:lineRule="auto"/>
        <w:tabs>
          <w:tab w:leader="none" w:pos="1241" w:val="left"/>
        </w:tabs>
        <w:numPr>
          <w:ilvl w:val="2"/>
          <w:numId w:val="186"/>
        </w:numPr>
        <w:rPr>
          <w:rFonts w:ascii="Arial" w:cs="Arial" w:eastAsia="Arial" w:hAnsi="Arial"/>
          <w:sz w:val="16"/>
          <w:szCs w:val="16"/>
          <w:color w:val="auto"/>
        </w:rPr>
      </w:pPr>
      <w:r>
        <w:rPr>
          <w:rFonts w:ascii="Arial" w:cs="Arial" w:eastAsia="Arial" w:hAnsi="Arial"/>
          <w:sz w:val="16"/>
          <w:szCs w:val="16"/>
          <w:color w:val="auto"/>
        </w:rPr>
        <w:t>for the purpose of any adjustment under Section 11.2(c) of the Equity Definitions, the first sentence of Section 11.2(c) of the Equity Definitions, prior to clause (A) thereof, is hereby amended to read as follows: (c) If “Calculation Agent Adjustment” is specified as the Method of Adjustment in the related Confirmation of a Share Option Transaction, then following the announcement or occurrence of any Potential Adjustment Event, the Calculation Agent will determine whether such Potential Adjustment Event has, in the commercially reasonable judgment of the Calculation Agent, a material economic effect on the theoretical value of the relevant Shares or options on the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event is not based on (x) an observable market, other than the market for Counterparty’s own stock or (y) an observable index, other than an index calculated measured solely by reference to Counterparty’s own operations) and, if so, will (i) make appropriate adjustment(s), if any, determined in a commercially reasonable manner, to any one or more of: and, the portion of such sentence immediately preceding clause (ii) thereof is hereby amended by deleting the words “diluting or concentrative” and the words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adjustments will be made to account solely for changes in volatility, expected dividends, stock loan rate or liquidity relative to the relevant Shares)” and replacing such latter phrase with the words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-2609850</wp:posOffset>
            </wp:positionV>
            <wp:extent cx="18268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-1779905</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44" w:orient="portrait"/>
          <w:cols w:equalWidth="0" w:num="1">
            <w:col w:w="11412"/>
          </w:cols>
          <w:pgMar w:left="248" w:top="341" w:right="239" w:bottom="0" w:gutter="0" w:footer="0" w:header="0"/>
        </w:sectPr>
      </w:pPr>
    </w:p>
    <w:bookmarkStart w:id="86" w:name="page87"/>
    <w:bookmarkEnd w:id="86"/>
    <w:p>
      <w:pPr>
        <w:ind w:left="660"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solely in the case of Sections 11.2(e)(i), (ii)(A), (iv) and (v), no adjustments will be made to account solely for changes in volatility, expected dividends, stock loan rate or liquidity relative to the relevant Shares but, for the avoidance of doubt, solely in the case of Sections 11.2(e) (ii)(B) through (D), (iii) (vi) and (vii) adjustments may be made to account solely for changes in volatility, expected dividends, stock loan rate or liquidity relative to the relevant Shares)”;</w:t>
      </w:r>
    </w:p>
    <w:p>
      <w:pPr>
        <w:spacing w:after="0" w:line="187" w:lineRule="exact"/>
        <w:rPr>
          <w:sz w:val="20"/>
          <w:szCs w:val="20"/>
          <w:color w:val="auto"/>
        </w:rPr>
      </w:pPr>
    </w:p>
    <w:p>
      <w:pPr>
        <w:ind w:left="660" w:right="80" w:firstLine="320"/>
        <w:spacing w:after="0" w:line="302" w:lineRule="auto"/>
        <w:tabs>
          <w:tab w:leader="none" w:pos="1299"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Section 11.2(a) of the Equity Definitions is hereby amended by (1) deleting the words “in the determination of the Calculation Agent, a diluting or concentrative effect” and replacing these words with “in the commercially reasonable judgment of the Calculation Agent, a material economic effect”; and (2) adding at the end thereof “;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event is not based on (i) an observable market, other than the market for Counterpart’s own stock or (ii) an observable index, other than an index calculated measured solely by reference to Counterparty’s own operations”;</w:t>
      </w:r>
    </w:p>
    <w:p>
      <w:pPr>
        <w:spacing w:after="0" w:line="154" w:lineRule="exact"/>
        <w:rPr>
          <w:rFonts w:ascii="Arial" w:cs="Arial" w:eastAsia="Arial" w:hAnsi="Arial"/>
          <w:sz w:val="16"/>
          <w:szCs w:val="16"/>
          <w:color w:val="auto"/>
        </w:rPr>
      </w:pPr>
    </w:p>
    <w:p>
      <w:pPr>
        <w:jc w:val="both"/>
        <w:ind w:left="660" w:firstLine="320"/>
        <w:spacing w:after="0" w:line="302" w:lineRule="auto"/>
        <w:tabs>
          <w:tab w:leader="none" w:pos="1289" w:val="left"/>
        </w:tabs>
        <w:numPr>
          <w:ilvl w:val="1"/>
          <w:numId w:val="187"/>
        </w:numPr>
        <w:rPr>
          <w:rFonts w:ascii="Arial" w:cs="Arial" w:eastAsia="Arial" w:hAnsi="Arial"/>
          <w:sz w:val="16"/>
          <w:szCs w:val="16"/>
          <w:color w:val="auto"/>
        </w:rPr>
      </w:pPr>
      <w:r>
        <w:rPr>
          <w:rFonts w:ascii="Arial" w:cs="Arial" w:eastAsia="Arial" w:hAnsi="Arial"/>
          <w:sz w:val="16"/>
          <w:szCs w:val="16"/>
          <w:color w:val="auto"/>
        </w:rPr>
        <w:t xml:space="preserve">Section 11.2(e)(vii) of the Equity Definitions is hereby amended and restated as follows: “any other corporate event involving the Issuer that in the commercially reasonable judgment of the Calculation Agent has a material economic effect on the theoretical value of the Shares or options of the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corporate event involving the Issuer is not based on (a) an observable market, other than the market for Counterparty’s own stock or (b) an observable index, other than an index calculated measured solely by reference to Counterparty’s own operations.”;</w:t>
      </w:r>
    </w:p>
    <w:p>
      <w:pPr>
        <w:spacing w:after="0" w:line="154" w:lineRule="exact"/>
        <w:rPr>
          <w:rFonts w:ascii="Arial" w:cs="Arial" w:eastAsia="Arial" w:hAnsi="Arial"/>
          <w:sz w:val="16"/>
          <w:szCs w:val="16"/>
          <w:color w:val="auto"/>
        </w:rPr>
      </w:pPr>
    </w:p>
    <w:p>
      <w:pPr>
        <w:ind w:left="660" w:right="120" w:firstLine="320"/>
        <w:spacing w:after="0" w:line="308" w:lineRule="auto"/>
        <w:tabs>
          <w:tab w:leader="none" w:pos="1239" w:val="left"/>
        </w:tabs>
        <w:numPr>
          <w:ilvl w:val="1"/>
          <w:numId w:val="187"/>
        </w:numPr>
        <w:rPr>
          <w:rFonts w:ascii="Arial" w:cs="Arial" w:eastAsia="Arial" w:hAnsi="Arial"/>
          <w:sz w:val="17"/>
          <w:szCs w:val="17"/>
          <w:color w:val="auto"/>
        </w:rPr>
      </w:pPr>
      <w:r>
        <w:rPr>
          <w:rFonts w:ascii="Arial" w:cs="Arial" w:eastAsia="Arial" w:hAnsi="Arial"/>
          <w:sz w:val="17"/>
          <w:szCs w:val="17"/>
          <w:color w:val="auto"/>
        </w:rPr>
        <w:t>Section 12.7(b) of the Equity Definitions is hereby amended by deleting the words “(and in any event within five Exchange Business Days) by the parties after” appearing after the words “agreed promptly” and replacing with the words “by the parties on or prior to”; and</w:t>
      </w:r>
    </w:p>
    <w:p>
      <w:pPr>
        <w:spacing w:after="0" w:line="142" w:lineRule="exact"/>
        <w:rPr>
          <w:rFonts w:ascii="Arial" w:cs="Arial" w:eastAsia="Arial" w:hAnsi="Arial"/>
          <w:sz w:val="17"/>
          <w:szCs w:val="17"/>
          <w:color w:val="auto"/>
        </w:rPr>
      </w:pPr>
    </w:p>
    <w:p>
      <w:pPr>
        <w:ind w:left="920" w:hanging="264"/>
        <w:spacing w:after="0"/>
        <w:tabs>
          <w:tab w:leader="none" w:pos="920"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THE AGREEMENT, THIS CONFIRMATION AND ALL MATTERS ARISING IN CONNECTION WITH THE</w:t>
      </w:r>
    </w:p>
    <w:p>
      <w:pPr>
        <w:spacing w:after="0" w:line="27" w:lineRule="exact"/>
        <w:rPr>
          <w:rFonts w:ascii="Arial" w:cs="Arial" w:eastAsia="Arial" w:hAnsi="Arial"/>
          <w:sz w:val="18"/>
          <w:szCs w:val="18"/>
          <w:color w:val="auto"/>
        </w:rPr>
      </w:pPr>
    </w:p>
    <w:p>
      <w:pPr>
        <w:ind w:right="40"/>
        <w:spacing w:after="0" w:line="252" w:lineRule="auto"/>
        <w:rPr>
          <w:rFonts w:ascii="Arial" w:cs="Arial" w:eastAsia="Arial" w:hAnsi="Arial"/>
          <w:sz w:val="18"/>
          <w:szCs w:val="18"/>
          <w:color w:val="auto"/>
        </w:rPr>
      </w:pPr>
      <w:r>
        <w:rPr>
          <w:rFonts w:ascii="Arial" w:cs="Arial" w:eastAsia="Arial" w:hAnsi="Arial"/>
          <w:sz w:val="18"/>
          <w:szCs w:val="18"/>
          <w:b w:val="1"/>
          <w:bCs w:val="1"/>
          <w:color w:val="auto"/>
        </w:rPr>
        <w:t>AGREEMENT AND THIS CONFIRMATION SHALL BE GOVERNED BY, AND CONSTRUED AND ENFORCED IN ACCORDANCE WITH, THE LAWS OF THE STATE OF NEW YORK (WITHOUT REFERENCE TO ITS CHOICE OF LAW DOCTRINE, OTHER THAN TITLE 14 OF THE NEW YORK GENERAL OBLIGATIONS LAW). THE PARTIES HERETO IRREVOCABLY SUBMIT TO THE EXCLUSIVE JURISDICTION OF THE FEDERAL AND STATE COURTS LOCATED IN THE BOROUGH OF MANHATTAN, IN THE CITY OF NEW YORK IN ANY SUIT OR PROCEEDING ARISING OUT OF OR RELATING TO THE AGREEMENT, THIS CONFIRMATION OR ANY TRANSACTIONS CONTEMPLATED HEREBY.</w:t>
      </w:r>
    </w:p>
    <w:p>
      <w:pPr>
        <w:spacing w:after="0" w:line="194" w:lineRule="exact"/>
        <w:rPr>
          <w:rFonts w:ascii="Arial" w:cs="Arial" w:eastAsia="Arial" w:hAnsi="Arial"/>
          <w:sz w:val="18"/>
          <w:szCs w:val="18"/>
          <w:color w:val="auto"/>
        </w:rPr>
      </w:pPr>
    </w:p>
    <w:p>
      <w:pPr>
        <w:ind w:firstLine="656"/>
        <w:spacing w:after="0" w:line="259" w:lineRule="auto"/>
        <w:tabs>
          <w:tab w:leader="none" w:pos="903" w:val="left"/>
        </w:tabs>
        <w:numPr>
          <w:ilvl w:val="0"/>
          <w:numId w:val="188"/>
        </w:numPr>
        <w:rPr>
          <w:rFonts w:ascii="Arial" w:cs="Arial" w:eastAsia="Arial" w:hAnsi="Arial"/>
          <w:sz w:val="18"/>
          <w:szCs w:val="18"/>
          <w:color w:val="auto"/>
        </w:rPr>
      </w:pPr>
      <w:r>
        <w:rPr>
          <w:rFonts w:ascii="Arial" w:cs="Arial" w:eastAsia="Arial" w:hAnsi="Arial"/>
          <w:sz w:val="18"/>
          <w:szCs w:val="18"/>
          <w:i w:val="1"/>
          <w:iCs w:val="1"/>
          <w:u w:val="single" w:color="auto"/>
          <w:color w:val="auto"/>
        </w:rPr>
        <w:t>Adjustments</w:t>
      </w:r>
      <w:r>
        <w:rPr>
          <w:rFonts w:ascii="Arial" w:cs="Arial" w:eastAsia="Arial" w:hAnsi="Arial"/>
          <w:sz w:val="18"/>
          <w:szCs w:val="18"/>
          <w:color w:val="auto"/>
        </w:rPr>
        <w:t>. For the avoidance of doubt, whenever the Calculation Agent or Determining Party is called upon to make an adjustment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this Confirmation or the Equity Definitions to take into account the effect of an event, the Calculation Agent or Determining Party shall make such adjustment by reference to the effect of such event on the Hedging Party, assuming that the Hedging Party maintains a commercially reasonable hedge position.</w:t>
      </w:r>
    </w:p>
    <w:p>
      <w:pPr>
        <w:spacing w:after="0" w:line="186" w:lineRule="exact"/>
        <w:rPr>
          <w:rFonts w:ascii="Arial" w:cs="Arial" w:eastAsia="Arial" w:hAnsi="Arial"/>
          <w:sz w:val="18"/>
          <w:szCs w:val="18"/>
          <w:color w:val="auto"/>
        </w:rPr>
      </w:pPr>
    </w:p>
    <w:p>
      <w:pPr>
        <w:ind w:right="40" w:firstLine="656"/>
        <w:spacing w:after="0" w:line="264" w:lineRule="auto"/>
        <w:tabs>
          <w:tab w:leader="none" w:pos="903" w:val="left"/>
        </w:tabs>
        <w:numPr>
          <w:ilvl w:val="0"/>
          <w:numId w:val="188"/>
        </w:numPr>
        <w:rPr>
          <w:rFonts w:ascii="Arial" w:cs="Arial" w:eastAsia="Arial" w:hAnsi="Arial"/>
          <w:sz w:val="18"/>
          <w:szCs w:val="18"/>
          <w:color w:val="auto"/>
        </w:rPr>
      </w:pPr>
      <w:r>
        <w:rPr>
          <w:rFonts w:ascii="Arial" w:cs="Arial" w:eastAsia="Arial" w:hAnsi="Arial"/>
          <w:sz w:val="18"/>
          <w:szCs w:val="18"/>
          <w:i w:val="1"/>
          <w:iCs w:val="1"/>
          <w:u w:val="single" w:color="auto"/>
          <w:color w:val="auto"/>
        </w:rPr>
        <w:t>Delivery or Receipt of Cash</w:t>
      </w:r>
      <w:r>
        <w:rPr>
          <w:rFonts w:ascii="Arial" w:cs="Arial" w:eastAsia="Arial" w:hAnsi="Arial"/>
          <w:sz w:val="18"/>
          <w:szCs w:val="18"/>
          <w:color w:val="auto"/>
        </w:rPr>
        <w:t>. For the avoidance of doubt, other than payment of the Premium by Counterparty, nothing in this Confirmation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interpreted as requiring Counterparty to cash settle the Transaction, except in circumstances where cash settlement is within Counterparty’s control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limitation, where Counterparty elects to deliver or receive cash) or in those circumstances in which holders of Shares would also receive cash</w:t>
      </w:r>
      <w:r>
        <w:rPr>
          <w:rFonts w:ascii="Arial" w:cs="Arial" w:eastAsia="Arial" w:hAnsi="Arial"/>
          <w:sz w:val="17"/>
          <w:szCs w:val="17"/>
          <w:color w:val="auto"/>
        </w:rPr>
        <w:t>.</w:t>
      </w:r>
    </w:p>
    <w:p>
      <w:pPr>
        <w:spacing w:after="0" w:line="221" w:lineRule="exact"/>
        <w:rPr>
          <w:sz w:val="20"/>
          <w:szCs w:val="20"/>
          <w:color w:val="auto"/>
        </w:rPr>
      </w:pPr>
    </w:p>
    <w:p>
      <w:pPr>
        <w:ind w:left="920" w:hanging="264"/>
        <w:spacing w:after="0"/>
        <w:tabs>
          <w:tab w:leader="none" w:pos="920"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Waiver of Jury Trial</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EACH PARTY HEREBY IRREVOCABLY WAIVES ANY AND ALL RIGHTS TO TRIAL BY JURY WITH</w:t>
      </w:r>
    </w:p>
    <w:p>
      <w:pPr>
        <w:spacing w:after="0" w:line="27" w:lineRule="exact"/>
        <w:rPr>
          <w:rFonts w:ascii="Arial" w:cs="Arial" w:eastAsia="Arial" w:hAnsi="Arial"/>
          <w:sz w:val="18"/>
          <w:szCs w:val="18"/>
          <w:color w:val="auto"/>
        </w:rPr>
      </w:pPr>
    </w:p>
    <w:p>
      <w:pPr>
        <w:ind w:right="340"/>
        <w:spacing w:after="0" w:line="261" w:lineRule="auto"/>
        <w:rPr>
          <w:rFonts w:ascii="Arial" w:cs="Arial" w:eastAsia="Arial" w:hAnsi="Arial"/>
          <w:sz w:val="18"/>
          <w:szCs w:val="18"/>
          <w:color w:val="auto"/>
        </w:rPr>
      </w:pPr>
      <w:r>
        <w:rPr>
          <w:rFonts w:ascii="Arial" w:cs="Arial" w:eastAsia="Arial" w:hAnsi="Arial"/>
          <w:sz w:val="18"/>
          <w:szCs w:val="18"/>
          <w:b w:val="1"/>
          <w:bCs w:val="1"/>
          <w:color w:val="auto"/>
        </w:rPr>
        <w:t>RESPECT TO ANY LEGAL PROCEEDING ARISING OUT OF OR RELATING TO THE AGREEMENT, THIS CONFIRMATION OR ANY TRANSACTIONS CONTEMPLATED HEREBY.</w:t>
      </w:r>
    </w:p>
    <w:p>
      <w:pPr>
        <w:spacing w:after="0" w:line="183" w:lineRule="exact"/>
        <w:rPr>
          <w:rFonts w:ascii="Arial" w:cs="Arial" w:eastAsia="Arial" w:hAnsi="Arial"/>
          <w:sz w:val="18"/>
          <w:szCs w:val="18"/>
          <w:color w:val="auto"/>
        </w:rPr>
      </w:pPr>
    </w:p>
    <w:p>
      <w:pPr>
        <w:ind w:right="300" w:firstLine="656"/>
        <w:spacing w:after="0" w:line="277" w:lineRule="auto"/>
        <w:tabs>
          <w:tab w:leader="none" w:pos="873"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This Confirmation and the Agreement may not be modified, amended or supplemented, except in a written instrument signed by</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Counterparty and Dealer.</w:t>
      </w:r>
    </w:p>
    <w:p>
      <w:pPr>
        <w:spacing w:after="0" w:line="170" w:lineRule="exact"/>
        <w:rPr>
          <w:rFonts w:ascii="Arial" w:cs="Arial" w:eastAsia="Arial" w:hAnsi="Arial"/>
          <w:sz w:val="18"/>
          <w:szCs w:val="18"/>
          <w:color w:val="auto"/>
        </w:rPr>
      </w:pPr>
    </w:p>
    <w:p>
      <w:pPr>
        <w:ind w:right="240" w:firstLine="656"/>
        <w:spacing w:after="0" w:line="277" w:lineRule="auto"/>
        <w:tabs>
          <w:tab w:leader="none" w:pos="883" w:val="left"/>
        </w:tabs>
        <w:numPr>
          <w:ilvl w:val="1"/>
          <w:numId w:val="189"/>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Confirmation may be executed in several counterparts, each of which shall be deemed an original but all of which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constitute one and the same instrument.</w:t>
      </w:r>
    </w:p>
    <w:p>
      <w:pPr>
        <w:spacing w:after="0" w:line="170" w:lineRule="exact"/>
        <w:rPr>
          <w:rFonts w:ascii="Arial" w:cs="Arial" w:eastAsia="Arial" w:hAnsi="Arial"/>
          <w:sz w:val="18"/>
          <w:szCs w:val="18"/>
          <w:color w:val="auto"/>
        </w:rPr>
      </w:pPr>
    </w:p>
    <w:p>
      <w:pPr>
        <w:ind w:right="20" w:firstLine="656"/>
        <w:spacing w:after="0" w:line="288" w:lineRule="auto"/>
        <w:tabs>
          <w:tab w:leader="none" w:pos="863" w:val="left"/>
        </w:tabs>
        <w:numPr>
          <w:ilvl w:val="1"/>
          <w:numId w:val="189"/>
        </w:numPr>
        <w:rPr>
          <w:rFonts w:ascii="Arial" w:cs="Arial" w:eastAsia="Arial" w:hAnsi="Arial"/>
          <w:sz w:val="16"/>
          <w:szCs w:val="16"/>
          <w:color w:val="auto"/>
        </w:rPr>
      </w:pPr>
      <w:r>
        <w:rPr>
          <w:rFonts w:ascii="Arial" w:cs="Arial" w:eastAsia="Arial" w:hAnsi="Arial"/>
          <w:sz w:val="16"/>
          <w:szCs w:val="16"/>
          <w:i w:val="1"/>
          <w:iCs w:val="1"/>
          <w:color w:val="auto"/>
        </w:rPr>
        <w:t xml:space="preserve">Tax Matters. </w:t>
      </w:r>
      <w:r>
        <w:rPr>
          <w:rFonts w:ascii="Arial" w:cs="Arial" w:eastAsia="Arial" w:hAnsi="Arial"/>
          <w:sz w:val="16"/>
          <w:szCs w:val="16"/>
          <w:color w:val="auto"/>
        </w:rPr>
        <w:t>For the purpose of Sections 4(a)(i) and (ii) of the Agreement, Counterparty agrees to deliver to Dealer one duly executed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United States Internal Revenue Service Form W-9 (or successor thereto) and Dealer agrees to deliver to Counterparty, as applicable, a U.S. Internal Revenue Service Form W-8 or Form W-9 (or successor thereto). Such forms or documents shall be delivered upon (i) execution of this Confirmation, and</w:t>
      </w:r>
    </w:p>
    <w:p>
      <w:pPr>
        <w:ind w:left="280" w:hanging="272"/>
        <w:spacing w:after="0"/>
        <w:tabs>
          <w:tab w:leader="none" w:pos="2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reasonable request of the other party.</w:t>
      </w:r>
    </w:p>
    <w:p>
      <w:pPr>
        <w:spacing w:after="0" w:line="210" w:lineRule="exact"/>
        <w:rPr>
          <w:rFonts w:ascii="Arial" w:cs="Arial" w:eastAsia="Arial" w:hAnsi="Arial"/>
          <w:sz w:val="18"/>
          <w:szCs w:val="18"/>
          <w:color w:val="auto"/>
        </w:rPr>
      </w:pPr>
    </w:p>
    <w:p>
      <w:pPr>
        <w:ind w:right="20" w:firstLine="656"/>
        <w:spacing w:after="0" w:line="273" w:lineRule="auto"/>
        <w:tabs>
          <w:tab w:leader="none" w:pos="903" w:val="left"/>
        </w:tabs>
        <w:numPr>
          <w:ilvl w:val="1"/>
          <w:numId w:val="1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Withholding Tax imposed on payments to non-US counterparties under the United States Foreign Account Tax Compliance Act</w:t>
      </w:r>
      <w:r>
        <w:rPr>
          <w:rFonts w:ascii="Arial" w:cs="Arial" w:eastAsia="Arial" w:hAnsi="Arial"/>
          <w:sz w:val="17"/>
          <w:szCs w:val="17"/>
          <w:color w:val="auto"/>
        </w:rPr>
        <w:t>. “Indemnifiable Tax”,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For the avoidance of doubt, a FATCA Withholding Tax is a Tax the deduction or withholding of which is required by applicable law for the purposes of Section 2(d) of the Agreement.</w:t>
      </w:r>
    </w:p>
    <w:p>
      <w:pPr>
        <w:spacing w:after="0" w:line="178" w:lineRule="exact"/>
        <w:rPr>
          <w:rFonts w:ascii="Arial" w:cs="Arial" w:eastAsia="Arial" w:hAnsi="Arial"/>
          <w:sz w:val="17"/>
          <w:szCs w:val="17"/>
          <w:color w:val="auto"/>
        </w:rPr>
      </w:pPr>
    </w:p>
    <w:p>
      <w:pPr>
        <w:ind w:right="140" w:firstLine="656"/>
        <w:spacing w:after="0" w:line="259" w:lineRule="auto"/>
        <w:tabs>
          <w:tab w:leader="none" w:pos="903" w:val="left"/>
        </w:tabs>
        <w:numPr>
          <w:ilvl w:val="1"/>
          <w:numId w:val="190"/>
        </w:numPr>
        <w:rPr>
          <w:rFonts w:ascii="Arial" w:cs="Arial" w:eastAsia="Arial" w:hAnsi="Arial"/>
          <w:sz w:val="18"/>
          <w:szCs w:val="18"/>
          <w:color w:val="auto"/>
        </w:rPr>
      </w:pPr>
      <w:r>
        <w:rPr>
          <w:rFonts w:ascii="Arial" w:cs="Arial" w:eastAsia="Arial" w:hAnsi="Arial"/>
          <w:sz w:val="18"/>
          <w:szCs w:val="18"/>
          <w:i w:val="1"/>
          <w:iCs w:val="1"/>
          <w:color w:val="auto"/>
        </w:rPr>
        <w:t xml:space="preserve">HIRE Act. </w:t>
      </w:r>
      <w:r>
        <w:rPr>
          <w:rFonts w:ascii="Arial" w:cs="Arial" w:eastAsia="Arial" w:hAnsi="Arial"/>
          <w:sz w:val="18"/>
          <w:szCs w:val="18"/>
          <w:color w:val="auto"/>
        </w:rPr>
        <w:t>“Indemnifiable Tax”, as defined in Section 14 of the Agreement, shall not include any tax imposed on payments treated as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from sources within the United States under Section 871(m) of the Code or any regulations issued thereunder. For the avoidance of doubt, any such tax imposed under Section 871(m) of the Code is a Tax the deduction or withholding of which is required by applicable law for the purposes of Section 2(d) of the Agreement</w:t>
      </w:r>
      <w:r>
        <w:rPr>
          <w:rFonts w:ascii="Arial" w:cs="Arial" w:eastAsia="Arial" w:hAnsi="Arial"/>
          <w:sz w:val="18"/>
          <w:szCs w:val="18"/>
          <w:i w:val="1"/>
          <w:iCs w:val="1"/>
          <w:color w:val="auto"/>
        </w:rPr>
        <w:t>.</w:t>
      </w: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(12) Include for dealers that are not U.S.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confirm that the foregoing correctly sets forth the terms of our agreement by sending to us a letter or telex substantially similar to this</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facsimile, which letter or telex sets forth the material terms of the Transaction to which this Confirmation relates and indicates your agreement to those terms.</w:t>
      </w:r>
    </w:p>
    <w:p>
      <w:pPr>
        <w:sectPr>
          <w:pgSz w:w="11900" w:h="16838" w:orient="portrait"/>
          <w:cols w:equalWidth="0" w:num="1">
            <w:col w:w="11420"/>
          </w:cols>
          <w:pgMar w:left="240" w:top="125" w:right="239" w:bottom="0" w:gutter="0" w:footer="0" w:header="0"/>
        </w:sectPr>
      </w:pPr>
    </w:p>
    <w:bookmarkStart w:id="87" w:name="page88"/>
    <w:bookmarkEnd w:id="87"/>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37" w:lineRule="exact"/>
        <w:rPr>
          <w:sz w:val="20"/>
          <w:szCs w:val="20"/>
          <w:color w:val="auto"/>
        </w:rPr>
      </w:pPr>
    </w:p>
    <w:p>
      <w:pPr>
        <w:ind w:left="6000"/>
        <w:spacing w:after="0"/>
        <w:rPr>
          <w:sz w:val="20"/>
          <w:szCs w:val="20"/>
          <w:color w:val="auto"/>
        </w:rPr>
      </w:pPr>
      <w:r>
        <w:rPr>
          <w:rFonts w:ascii="Arial" w:cs="Arial" w:eastAsia="Arial" w:hAnsi="Arial"/>
          <w:sz w:val="18"/>
          <w:szCs w:val="18"/>
          <w:b w:val="1"/>
          <w:bCs w:val="1"/>
          <w:color w:val="auto"/>
        </w:rPr>
        <w:t>[DEALER]</w:t>
      </w:r>
    </w:p>
    <w:p>
      <w:pPr>
        <w:spacing w:after="0" w:line="200" w:lineRule="exact"/>
        <w:rPr>
          <w:sz w:val="20"/>
          <w:szCs w:val="20"/>
          <w:color w:val="auto"/>
        </w:rPr>
      </w:pPr>
    </w:p>
    <w:p>
      <w:pPr>
        <w:spacing w:after="0" w:line="24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-130810</wp:posOffset>
            </wp:positionV>
            <wp:extent cx="303593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Agreed and Accepted By:</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33877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each Component of the Transaction, the Number of Options and Expiration Date is set forth below.</w:t>
      </w:r>
    </w:p>
    <w:p>
      <w:pPr>
        <w:spacing w:after="0" w:line="217" w:lineRule="exact"/>
        <w:rPr>
          <w:sz w:val="20"/>
          <w:szCs w:val="20"/>
          <w:color w:val="auto"/>
        </w:rPr>
      </w:pPr>
    </w:p>
    <w:p>
      <w:pPr>
        <w:spacing w:after="0"/>
        <w:tabs>
          <w:tab w:leader="none" w:pos="5120" w:val="left"/>
          <w:tab w:leader="none" w:pos="9080" w:val="left"/>
        </w:tabs>
        <w:rPr>
          <w:sz w:val="20"/>
          <w:szCs w:val="20"/>
          <w:color w:val="auto"/>
        </w:rPr>
      </w:pPr>
      <w:r>
        <w:rPr>
          <w:rFonts w:ascii="Arial" w:cs="Arial" w:eastAsia="Arial" w:hAnsi="Arial"/>
          <w:sz w:val="14"/>
          <w:szCs w:val="14"/>
          <w:b w:val="1"/>
          <w:bCs w:val="1"/>
          <w:color w:val="auto"/>
        </w:rPr>
        <w:t>Component Number</w:t>
      </w:r>
      <w:r>
        <w:rPr>
          <w:sz w:val="20"/>
          <w:szCs w:val="20"/>
          <w:color w:val="auto"/>
        </w:rPr>
        <w:tab/>
      </w:r>
      <w:r>
        <w:rPr>
          <w:rFonts w:ascii="Arial" w:cs="Arial" w:eastAsia="Arial" w:hAnsi="Arial"/>
          <w:sz w:val="14"/>
          <w:szCs w:val="14"/>
          <w:b w:val="1"/>
          <w:bCs w:val="1"/>
          <w:color w:val="auto"/>
        </w:rPr>
        <w:t>Number of Options</w:t>
      </w:r>
      <w:r>
        <w:rPr>
          <w:sz w:val="20"/>
          <w:szCs w:val="20"/>
          <w:color w:val="auto"/>
        </w:rPr>
        <w:tab/>
      </w:r>
      <w:r>
        <w:rPr>
          <w:rFonts w:ascii="Arial" w:cs="Arial" w:eastAsia="Arial" w:hAnsi="Arial"/>
          <w:sz w:val="13"/>
          <w:szCs w:val="13"/>
          <w:b w:val="1"/>
          <w:bCs w:val="1"/>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1</w:t>
      </w:r>
    </w:p>
    <w:p>
      <w:pPr>
        <w:spacing w:after="0" w:line="8"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0"/>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10</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14</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16</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18</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20</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22</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24</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26</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28</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30</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32</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38</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740"/>
        <w:spacing w:after="0"/>
        <w:rPr>
          <w:sz w:val="20"/>
          <w:szCs w:val="20"/>
          <w:color w:val="auto"/>
        </w:rPr>
      </w:pPr>
      <w:r>
        <w:rPr>
          <w:rFonts w:ascii="Arial" w:cs="Arial" w:eastAsia="Arial" w:hAnsi="Arial"/>
          <w:sz w:val="18"/>
          <w:szCs w:val="18"/>
          <w:color w:val="auto"/>
        </w:rPr>
        <w:t>40</w:t>
      </w:r>
    </w:p>
    <w:p>
      <w:pPr>
        <w:sectPr>
          <w:pgSz w:w="11900" w:h="16861" w:orient="portrait"/>
          <w:cols w:equalWidth="0" w:num="1">
            <w:col w:w="11420"/>
          </w:cols>
          <w:pgMar w:left="240" w:top="125" w:right="239" w:bottom="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Opinion</w:t>
      </w:r>
    </w:p>
    <w:p>
      <w:pPr>
        <w:spacing w:after="0" w:line="225"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Counterparty is validly existing and in good standing under the laws of the State of Delaware.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Counterparty is qualified as a foreign corporation and is in good standing in the State of New York.</w:t>
      </w:r>
    </w:p>
    <w:p>
      <w:pPr>
        <w:spacing w:after="0" w:line="225" w:lineRule="exact"/>
        <w:rPr>
          <w:rFonts w:ascii="Arial" w:cs="Arial" w:eastAsia="Arial" w:hAnsi="Arial"/>
          <w:sz w:val="18"/>
          <w:szCs w:val="18"/>
          <w:color w:val="auto"/>
        </w:rPr>
      </w:pPr>
    </w:p>
    <w:p>
      <w:pPr>
        <w:ind w:left="660" w:right="160" w:hanging="652"/>
        <w:spacing w:after="0" w:line="264"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execution and delivery by the Counterparty of the Confirmation and the performance by the Counterparty of its obligations thereunder (i) have been duly authorized by all necessary corporate action on the part of the Counterparty and (ii) do not violate the certificate of incorporation of the Counterparty.</w:t>
      </w:r>
    </w:p>
    <w:p>
      <w:pPr>
        <w:spacing w:after="0" w:line="181" w:lineRule="exact"/>
        <w:rPr>
          <w:rFonts w:ascii="Arial" w:cs="Arial" w:eastAsia="Arial" w:hAnsi="Arial"/>
          <w:sz w:val="18"/>
          <w:szCs w:val="18"/>
          <w:color w:val="auto"/>
        </w:rPr>
      </w:pPr>
    </w:p>
    <w:p>
      <w:pPr>
        <w:ind w:left="660" w:right="60" w:hanging="652"/>
        <w:spacing w:after="0" w:line="264"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execution and delivery by the Counterparty of the Confirmation and the performance by the Counterparty of its obligations thereunder, as of the Premium Payment Date, do not result in a breach of or constitute a default under the express terms of any material agreements specified on the schedule to the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MongoDB Announces Proposed Private Offering of</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$200 Million of Convertible Senior Notes</w:t>
      </w:r>
    </w:p>
    <w:p>
      <w:pPr>
        <w:spacing w:after="0" w:line="211"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NEW YORK, N.Y., June 25, 2018 — MongoDB, Inc. (“MongoDB”) (Nasdaq: MDB), the leading modern, general purpose database platform, today announced that it intends to offer, subject to market conditions and other factors, $200 million aggregate principal amount of convertible senior notes due 2024 in a private placement to qualified institutional buyers pursuant to Rule 144A under the Securities Act of 1933, as amended (the “Securities Act”). MongoDB also intends to grant the initial purchasers of the notes an option to purchase up to an additional $30 million principal amount of notes.</w:t>
      </w:r>
    </w:p>
    <w:p>
      <w:pPr>
        <w:spacing w:after="0" w:line="15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notes will be general unsecured obligations of MongoDB and will accrue interest payable semiannually in arrears. The notes will be convertible into cash, shares of MongoDB’s Class A common stock or a combination of cash and shares of MongoDB’s Class A common stock, at MongoDB’s election. The interest rate, initial conversion rate, repurchase or redemption rights and other terms of the notes will be determined at the time of pricing of the offering.</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MongoDB intends to use a portion of the net proceeds from the offering to pay the cost of the capped call transactions described below. MongoDB intends to use the remainder of the net proceeds for working capital and other general corporate purposes.</w:t>
      </w:r>
    </w:p>
    <w:p>
      <w:pPr>
        <w:spacing w:after="0" w:line="170"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connection with the pricing of the notes, MongoDB expects to enter into capped call transactions with one or more of the initial purchasers and/or their respective affiliates and/or other financial institutions (the “option counterparties”). The capped call transactions are expected generally to reduce potential dilution to MongoDB’s Class A common stock upon any conversion of notes, with such reduction subject to a cap. If the initial purchasers exercise their option to purchase additional notes, MongoDB expects to enter into additional capped call transactions with the option counterparties.</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MongoDB expects that, in connection with establishing their initial hedges of the capped call transactions, the option counterparties or their respective affiliates may enter into various derivative transactions with respect to MongoDB’s Class A common stock and/or purchase shares of MongoDB’s Class A common stock concurrently with or shortly after the pricing of the notes. This activity could increase (or reduce the size of any decrease in) the market price of MongoDB’s Class A common stock or the notes at that time.</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MongoDB expects that the option counterparties or their respective affiliates may modify their hedge positions by entering into or unwinding various derivatives with respect to MongoDB’s Class A common stock and/or purchasing or selling MongoDB’s Class A common stock or other securities of MongoDB in secondary market transactions following the pricing of the notes and prior to the maturity of the notes (and are likely to do so on each exercise date for the capped call transactions). This activity could also cause or avoid an increase or a decrease in the market price of MongoDB’s Class A common stock or the notes, and to the extent the activity occurs during any observation period related to a conversion of notes, this could affect the number of shares and value of the consideration that a noteholder will receive upon conversion of its notes.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Neither the notes, nor any shares of MongoDB’s Class A common stock issuable upon conversion of the notes, have been registered under the Securities Act or any state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laws,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press release is neither an offer to sell nor a solicitation of an offer to buy any securities, nor shall it constitute an offer, solicitation or sale of the securities in any jurisdiction in which such offer, solicitation or sale would be unlawful prior to the registration or qualification under the securities laws of any such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MongoDB</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MongoDB is the leading modern, general purpose database platform, designed to unleash the power of software and data for developers and the applications they build. Headquartered in New York, MongoDB has more than 6,600 customers in over 100 countries. The MongoDB database platform has been downloaded over 35 million times and there have been more than 850,000 MongoDB University registrations.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Brian Denyeau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for MongoDB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646-277-1251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ir@mongodb.com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MongoDB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866-237-8815 x7186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communications@mongodb.com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This press release contains “forward-looking statements” within the meaning of federal securities laws, including statements concerning the proposed terms of the notes and the capped call transactions, the completion, timing and size of the proposed offering and capped call transactions and the anticipated use of proceeds from the offering. These forward-looking statements include all statements contained in this press release that are not historical facts and such statements are, in some cases, identified by words such as “anticipate,” “believe,” “continue,” “could,” “estimate,” “expect,” “intend,” “may,” “plan,” “project,” “will,” “would” or the negative or plural of these words or similar expressions or variations. Forward-looking statements are based on the information currently available to us and on assumptions we have made. Actual results may differ materially from those described in the forward-looking statements and are subject to a variety of assumptions, uncertainties, risks and factors that are beyond our control including, without limitation: market risks, trends and conditions; and those risks detailed from time-to-time under the caption “Risk Factors” and elsewhere in our Securities and Exchange Commission filings and reports, including our Quarterly Report on Form 10-Q filed on June 7, 2018, as well as future filings and reports by us. Except as required by law, we</w:t>
      </w:r>
    </w:p>
    <w:p>
      <w:pPr>
        <w:sectPr>
          <w:pgSz w:w="11900" w:h="16838" w:orient="portrait"/>
          <w:cols w:equalWidth="0" w:num="1">
            <w:col w:w="11420"/>
          </w:cols>
          <w:pgMar w:left="240" w:top="121" w:right="239" w:bottom="0" w:gutter="0" w:footer="0" w:header="0"/>
        </w:sectPr>
      </w:pPr>
    </w:p>
    <w:bookmarkStart w:id="90" w:name="page91"/>
    <w:bookmarkEnd w:id="90"/>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undertake no duty or obligation to update any forward-looking statements contained in this release as a result of new information, future events, changes in expectations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240" w:top="1057" w:right="47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Announces Pricing of Upsized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$250 Million Convertible Senior Notes Offering</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NEW YORK, N.Y., June 26, 2018 — MongoDB, Inc. (“MongoDB”) (Nasdaq: MDB), the leading modern, general purpose database platform, today announced the pricing of $250 million aggregate principal amount of 0.75% convertible senior notes due 2024 in a private placement to qualified institutional buyers pursuant to Rule 144A under the Securities Act of 1933, as amended (the “Securities Act”). The aggregate principal amount of the offering was increased from the previously announced offering size of $200 million. MongoDB also granted the initial purchasers of the notes an option to purchase up to an additional $50 million principal amount of notes. The sale of the notes is expected to close on June 28, 2018, subject to customary closing conditions.</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notes will be general unsecured obligations of MongoDB and will accrue interest payable semiannually in arrears on June 15 and December 15 of each year, beginning on December 15, 2018, at a rate of 0.75% per year. The notes will mature on June 15, 2024, unless earlier converted, repurchased or redeemed. The initial conversion rate will be 14.6738 shares of MongoDB’s Class A common stock per $1,000 principal amount of notes (equivalent to an initial conversion price of approximately $68.15 per share). The initial conversion price of the notes represents a premium of approximately 27.50% over the last reported sale price of MongoDB’s Class A common stock on June 25, 2018. The notes will be convertible into cash, shares of MongoDB’s Class A common stock or a combination of cash and shares of MongoDB’s Class A common stock, at MongoDB’s election.</w:t>
      </w:r>
    </w:p>
    <w:p>
      <w:pPr>
        <w:spacing w:after="0" w:line="16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MongoDB may redeem the notes, at its option, on or after June 20, 2021, if the last reported sale price of MongoDB’s Class A common stock has been at least 130% of the conversion price then in effect for at least 20 trading days (whether or not consecutive) during any 30 consecutive trading day period (including the last trading day of such period) ending on the date on which we provide notice of redemption at a redemption price equal to 100% of the principal amount of the notes to be redeemed, plus accrued and unpaid interest to, but excluding, the redemption date.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MongoDB estimates that the net proceeds from the offering will be approximately $241.8 million (or $290.4 million if the initial purchasers exercise their option to purchase additional notes in full), after deducting the initial purchasers’ discount and estimated offering expenses payable by MongoDB. MongoDB intends to use a portion of the net proceeds from the offering to pay the cost of the capped call transactions described below. MongoDB intends to use the remainder of the net proceeds for working capital and other general corporate purposes.</w:t>
      </w:r>
    </w:p>
    <w:p>
      <w:pPr>
        <w:spacing w:after="0" w:line="18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In connection with the pricing of the notes, MongoDB entered into capped call transactions with one or more of the initial purchasers and/or their respective affiliates or other financial institutions (the “option counterparties”). The capped call transactions are expected generally to reduce potential dilution to MongoDB’s Class A common stock upon any conversion of notes, with such reduction subject to a cap initially equal to $106.90 (which represents a premium of approximately 100% over the last reported sale price of MongoDB’s Class A common stock on June 25, 2018). If the initial purchasers exercise their option to purchase additional notes, MongoDB expects to enter into additional capped call transactions with the option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MongoDB expects that, in connection with establishing their initial hedges of the capped call transactions, the option counterparties or their respective affiliates may enter into various derivative transactions with respect to MongoDB’s Class A common stock and/or purchase shares of MongoDB’s Class A common stock concurrently with or shortly after the pricing of the notes. This activity could increase (or reduce the size of any decrease in) the market price of MongoDB’s Class A common stock or the notes at that time.</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addition, MongoDB expects that the option counterparties or their respective affiliates may modify their hedge positions by entering into or unwinding various derivatives with respect to MongoDB’s Class A common stock and/or purchasing or selling MongoDB’s Class A common stock or other securities of MongoDB in secondary market transactions following the pricing of the notes and prior to the maturity of the notes (and are likely to do so on each exercise date for the capped call transactions). This activity could also cause or avoid an increase or a decrease in the market price of MongoDB’s Class A common stock or the notes, and to the extent the activity occurs during any observation period related to a conversion of notes, this could affect the number of shares and value of the consideration that a noteholder will receive upon conversion of its notes.</w:t>
      </w:r>
    </w:p>
    <w:p>
      <w:pPr>
        <w:spacing w:after="0" w:line="17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Neither the notes, nor any shares of MongoDB’s Class A common stock issuable upon conversion of the notes, have been registered under the Securities Act or any state securities laws, and unless so registered, may not be offered or sold in the United States absent registration or an applicable exemption from, or in a transaction not subject to, the registration requirements of the Securities Act and other applicable securities laws.</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This press release is neither an offer to sell nor a solicitation of an offer to buy any securities, nor shall it constitute an offer, solicitation or sale of the securities in any jurisdiction in which such offer, solicitation or sale would be unlawful prior to the registration or qualification under the securities laws of any such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MongoDB</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MongoDB is the leading modern, general purpose database platform, designed to unleash the power of software and data for developers and the applications they build. Headquartered in New York, MongoDB has more than 6,600 customers in over 100 countries. The MongoDB database platform has been downloaded over 35 million times and there have been more than 850,000 MongoDB University registrations.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Brian Denyeau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for MongoDB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646-277-1251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ir@mongodb.com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MongoDB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866-237-8815 x7186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communications@mongodb.com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01"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federal securities laws, including statements concerning the expected closing of the offering and the anticipated use of proceeds from the offering. Forward-looking statements include all statements contained in this press release that are not historical facts and such statements are, in some cases, identified by words such as “anticipate,” “believe,” “continue,” “could,” “estimate,” “expect,” “intend,” “may,” “plan,” “project,” “will,” “would” or the negative or plural of these words or similar expressions or variations. These forward-looking statements are based on the information currently available to us and on assumptions we have made. Actual results may differ materially from those described in the forward-looking statements and are subject to a variety of assumptions, uncertainties, risks and factors that are beyond our control including, without limitation: market risks, trends and conditions; and those risks detailed from time-to-time under the caption “Risk Factors” and elsewhere in our Securities and Exchange Commission filings and reports, including our Quarterly Report on Form 10-Q filed on June 7, 2018, as well as future filings and reports by us. Except as required by law, we undertake no duty or obligation to update any forward-looking statements contained in this release as a result of new information, future events, changes in expectations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3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55A5F5"/>
    <w:multiLevelType w:val="hybridMultilevel"/>
    <w:lvl w:ilvl="0">
      <w:lvlJc w:val="left"/>
      <w:lvlText w:val="o"/>
      <w:numFmt w:val="bullet"/>
      <w:start w:val="1"/>
    </w:lvl>
  </w:abstractNum>
  <w:abstractNum w:abstractNumId="1">
    <w:nsid w:val="5FB8370B"/>
    <w:multiLevelType w:val="hybridMultilevel"/>
    <w:lvl w:ilvl="0">
      <w:lvlJc w:val="left"/>
      <w:lvlText w:val="(%1)"/>
      <w:numFmt w:val="lowerLetter"/>
      <w:start w:val="1"/>
    </w:lvl>
  </w:abstractNum>
  <w:abstractNum w:abstractNumId="2">
    <w:nsid w:val="50801EE1"/>
    <w:multiLevelType w:val="hybridMultilevel"/>
    <w:lvl w:ilvl="0">
      <w:lvlJc w:val="left"/>
      <w:lvlText w:val="(%1)"/>
      <w:numFmt w:val="lowerLetter"/>
      <w:start w:val="1"/>
    </w:lvl>
  </w:abstractNum>
  <w:abstractNum w:abstractNumId="3">
    <w:nsid w:val="488AC1A"/>
    <w:multiLevelType w:val="hybridMultilevel"/>
    <w:lvl w:ilvl="0">
      <w:lvlJc w:val="left"/>
      <w:lvlText w:val="(%1)"/>
      <w:numFmt w:val="lowerLetter"/>
      <w:start w:val="2"/>
    </w:lvl>
  </w:abstractNum>
  <w:abstractNum w:abstractNumId="4">
    <w:nsid w:val="5FB8011C"/>
    <w:multiLevelType w:val="hybridMultilevel"/>
    <w:lvl w:ilvl="0">
      <w:lvlJc w:val="left"/>
      <w:lvlText w:val="(%1)"/>
      <w:numFmt w:val="lowerLetter"/>
      <w:start w:val="1"/>
    </w:lvl>
  </w:abstractNum>
  <w:abstractNum w:abstractNumId="5">
    <w:nsid w:val="6AA78F7F"/>
    <w:multiLevelType w:val="hybridMultilevel"/>
    <w:lvl w:ilvl="0">
      <w:lvlJc w:val="left"/>
      <w:lvlText w:val="(%1)"/>
      <w:numFmt w:val="lowerLetter"/>
      <w:start w:val="2"/>
    </w:lvl>
  </w:abstractNum>
  <w:abstractNum w:abstractNumId="6">
    <w:nsid w:val="7672BD23"/>
    <w:multiLevelType w:val="hybridMultilevel"/>
    <w:lvl w:ilvl="0">
      <w:lvlJc w:val="left"/>
      <w:lvlText w:val="(%1)"/>
      <w:numFmt w:val="lowerLetter"/>
      <w:start w:val="2"/>
    </w:lvl>
  </w:abstractNum>
  <w:abstractNum w:abstractNumId="7">
    <w:nsid w:val="6FC75AF8"/>
    <w:multiLevelType w:val="hybridMultilevel"/>
    <w:lvl w:ilvl="0">
      <w:lvlJc w:val="left"/>
      <w:lvlText w:val="(%1)"/>
      <w:numFmt w:val="lowerLetter"/>
      <w:start w:val="2"/>
    </w:lvl>
  </w:abstractNum>
  <w:abstractNum w:abstractNumId="8">
    <w:nsid w:val="6A5F7029"/>
    <w:multiLevelType w:val="hybridMultilevel"/>
    <w:lvl w:ilvl="0">
      <w:lvlJc w:val="left"/>
      <w:lvlText w:val="(%1)"/>
      <w:numFmt w:val="lowerLetter"/>
      <w:start w:val="1"/>
    </w:lvl>
  </w:abstractNum>
  <w:abstractNum w:abstractNumId="9">
    <w:nsid w:val="7D5E18F8"/>
    <w:multiLevelType w:val="hybridMultilevel"/>
    <w:lvl w:ilvl="0">
      <w:lvlJc w:val="left"/>
      <w:lvlText w:val="(%1)"/>
      <w:numFmt w:val="lowerLetter"/>
      <w:start w:val="3"/>
    </w:lvl>
  </w:abstractNum>
  <w:abstractNum w:abstractNumId="10">
    <w:nsid w:val="5F3534A4"/>
    <w:multiLevelType w:val="hybridMultilevel"/>
    <w:lvl w:ilvl="0">
      <w:lvlJc w:val="left"/>
      <w:lvlText w:val="(%1)"/>
      <w:numFmt w:val="lowerRoman"/>
      <w:start w:val="3"/>
    </w:lvl>
  </w:abstractNum>
  <w:abstractNum w:abstractNumId="11">
    <w:nsid w:val="73A1821B"/>
    <w:multiLevelType w:val="hybridMultilevel"/>
    <w:lvl w:ilvl="0">
      <w:lvlJc w:val="left"/>
      <w:lvlText w:val="(%1)"/>
      <w:numFmt w:val="lowerRoman"/>
      <w:start w:val="2"/>
    </w:lvl>
  </w:abstractNum>
  <w:abstractNum w:abstractNumId="12">
    <w:nsid w:val="7DE67713"/>
    <w:multiLevelType w:val="hybridMultilevel"/>
    <w:lvl w:ilvl="0">
      <w:lvlJc w:val="left"/>
      <w:lvlText w:val="(%1)"/>
      <w:numFmt w:val="lowerLetter"/>
      <w:start w:val="2"/>
    </w:lvl>
  </w:abstractNum>
  <w:abstractNum w:abstractNumId="13">
    <w:nsid w:val="555C55B5"/>
    <w:multiLevelType w:val="hybridMultilevel"/>
    <w:lvl w:ilvl="0">
      <w:lvlJc w:val="left"/>
      <w:lvlText w:val="(%1)"/>
      <w:numFmt w:val="lowerLetter"/>
      <w:start w:val="3"/>
    </w:lvl>
    <w:lvl w:ilvl="1">
      <w:lvlJc w:val="left"/>
      <w:lvlText w:val="(%2)"/>
      <w:numFmt w:val="lowerLetter"/>
      <w:start w:val="9"/>
    </w:lvl>
  </w:abstractNum>
  <w:abstractNum w:abstractNumId="14">
    <w:nsid w:val="3FA62ACA"/>
    <w:multiLevelType w:val="hybridMultilevel"/>
    <w:lvl w:ilvl="0">
      <w:lvlJc w:val="left"/>
      <w:lvlText w:val="(%1)"/>
      <w:numFmt w:val="lowerRoman"/>
      <w:start w:val="2"/>
    </w:lvl>
  </w:abstractNum>
  <w:abstractNum w:abstractNumId="15">
    <w:nsid w:val="14FCE74E"/>
    <w:multiLevelType w:val="hybridMultilevel"/>
    <w:lvl w:ilvl="0">
      <w:lvlJc w:val="left"/>
      <w:lvlText w:val="(%1)"/>
      <w:numFmt w:val="lowerLetter"/>
      <w:start w:val="2"/>
    </w:lvl>
  </w:abstractNum>
  <w:abstractNum w:abstractNumId="16">
    <w:nsid w:val="6A3DD3E8"/>
    <w:multiLevelType w:val="hybridMultilevel"/>
    <w:lvl w:ilvl="0">
      <w:lvlJc w:val="left"/>
      <w:lvlText w:val="(%1)"/>
      <w:numFmt w:val="lowerLetter"/>
      <w:start w:val="3"/>
    </w:lvl>
  </w:abstractNum>
  <w:abstractNum w:abstractNumId="17">
    <w:nsid w:val="71C91298"/>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18">
    <w:nsid w:val="9DAF632"/>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19">
    <w:nsid w:val="53299938"/>
    <w:multiLevelType w:val="hybridMultilevel"/>
    <w:lvl w:ilvl="0">
      <w:lvlJc w:val="left"/>
      <w:lvlText w:val="(%1)"/>
      <w:numFmt w:val="upperLetter"/>
      <w:start w:val="4"/>
    </w:lvl>
  </w:abstractNum>
  <w:abstractNum w:abstractNumId="20">
    <w:nsid w:val="1FBFE8E0"/>
    <w:multiLevelType w:val="hybridMultilevel"/>
    <w:lvl w:ilvl="0">
      <w:lvlJc w:val="left"/>
      <w:lvlText w:val="(%1)"/>
      <w:numFmt w:val="lowerLetter"/>
      <w:start w:val="4"/>
    </w:lvl>
  </w:abstractNum>
  <w:abstractNum w:abstractNumId="21">
    <w:nsid w:val="5092CA79"/>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22">
    <w:nsid w:val="1D545C4D"/>
    <w:multiLevelType w:val="hybridMultilevel"/>
    <w:lvl w:ilvl="0">
      <w:lvlJc w:val="left"/>
      <w:lvlText w:val="(%1)"/>
      <w:numFmt w:val="upperLetter"/>
      <w:start w:val="24"/>
    </w:lvl>
    <w:lvl w:ilvl="1">
      <w:lvlJc w:val="left"/>
      <w:lvlText w:val="%2"/>
      <w:numFmt w:val="decimal"/>
      <w:start w:val="1"/>
    </w:lvl>
    <w:lvl w:ilvl="2">
      <w:lvlJc w:val="left"/>
      <w:lvlText w:val="(%3)"/>
      <w:numFmt w:val="upperLetter"/>
      <w:start w:val="1"/>
    </w:lvl>
  </w:abstractNum>
  <w:abstractNum w:abstractNumId="23">
    <w:nsid w:val="59ADEA3D"/>
    <w:multiLevelType w:val="hybridMultilevel"/>
    <w:lvl w:ilvl="0">
      <w:lvlJc w:val="left"/>
      <w:lvlText w:val="(%1)"/>
      <w:numFmt w:val="upperLetter"/>
      <w:start w:val="3"/>
    </w:lvl>
  </w:abstractNum>
  <w:abstractNum w:abstractNumId="24">
    <w:nsid w:val="288F1A34"/>
    <w:multiLevelType w:val="hybridMultilevel"/>
    <w:lvl w:ilvl="0">
      <w:lvlJc w:val="left"/>
      <w:lvlText w:val="(%1)"/>
      <w:numFmt w:val="lowerLetter"/>
      <w:start w:val="5"/>
    </w:lvl>
  </w:abstractNum>
  <w:abstractNum w:abstractNumId="25">
    <w:nsid w:val="2A155DBC"/>
    <w:multiLevelType w:val="hybridMultilevel"/>
    <w:lvl w:ilvl="0">
      <w:lvlJc w:val="left"/>
      <w:lvlText w:val="(%1)"/>
      <w:numFmt w:val="lowerLetter"/>
      <w:start w:val="25"/>
    </w:lvl>
  </w:abstractNum>
  <w:abstractNum w:abstractNumId="26">
    <w:nsid w:val="1D9F6E5F"/>
    <w:multiLevelType w:val="hybridMultilevel"/>
    <w:lvl w:ilvl="0">
      <w:lvlJc w:val="left"/>
      <w:lvlText w:val="(%1)"/>
      <w:numFmt w:val="lowerRoman"/>
      <w:start w:val="1"/>
    </w:lvl>
  </w:abstractNum>
  <w:abstractNum w:abstractNumId="27">
    <w:nsid w:val="97E1B4E"/>
    <w:multiLevelType w:val="hybridMultilevel"/>
    <w:lvl w:ilvl="0">
      <w:lvlJc w:val="left"/>
      <w:lvlText w:val="(%1)"/>
      <w:numFmt w:val="lowerRoman"/>
      <w:start w:val="3"/>
    </w:lvl>
  </w:abstractNum>
  <w:abstractNum w:abstractNumId="28">
    <w:nsid w:val="51088277"/>
    <w:multiLevelType w:val="hybridMultilevel"/>
    <w:lvl w:ilvl="0">
      <w:lvlJc w:val="left"/>
      <w:lvlText w:val="(%1)"/>
      <w:numFmt w:val="lowerLetter"/>
      <w:start w:val="2"/>
    </w:lvl>
  </w:abstractNum>
  <w:abstractNum w:abstractNumId="29">
    <w:nsid w:val="1CA0C5FA"/>
    <w:multiLevelType w:val="hybridMultilevel"/>
    <w:lvl w:ilvl="0">
      <w:lvlJc w:val="left"/>
      <w:lvlText w:val="(%1)"/>
      <w:numFmt w:val="lowerLetter"/>
      <w:start w:val="2"/>
    </w:lvl>
  </w:abstractNum>
  <w:abstractNum w:abstractNumId="30">
    <w:nsid w:val="53584BCB"/>
    <w:multiLevelType w:val="hybridMultilevel"/>
    <w:lvl w:ilvl="0">
      <w:lvlJc w:val="left"/>
      <w:lvlText w:val="(%1)"/>
      <w:numFmt w:val="lowerLetter"/>
      <w:start w:val="5"/>
    </w:lvl>
  </w:abstractNum>
  <w:abstractNum w:abstractNumId="31">
    <w:nsid w:val="415E286C"/>
    <w:multiLevelType w:val="hybridMultilevel"/>
    <w:lvl w:ilvl="0">
      <w:lvlJc w:val="left"/>
      <w:lvlText w:val="(%1)"/>
      <w:numFmt w:val="lowerLetter"/>
      <w:start w:val="1"/>
    </w:lvl>
  </w:abstractNum>
  <w:abstractNum w:abstractNumId="32">
    <w:nsid w:val="7C58FD05"/>
    <w:multiLevelType w:val="hybridMultilevel"/>
    <w:lvl w:ilvl="0">
      <w:lvlJc w:val="left"/>
      <w:lvlText w:val="(%1)"/>
      <w:numFmt w:val="lowerRoman"/>
      <w:start w:val="1"/>
    </w:lvl>
  </w:abstractNum>
  <w:abstractNum w:abstractNumId="33">
    <w:nsid w:val="23D86AAC"/>
    <w:multiLevelType w:val="hybridMultilevel"/>
    <w:lvl w:ilvl="0">
      <w:lvlJc w:val="left"/>
      <w:lvlText w:val="(%1)"/>
      <w:numFmt w:val="lowerLetter"/>
      <w:start w:val="2"/>
    </w:lvl>
  </w:abstractNum>
  <w:abstractNum w:abstractNumId="34">
    <w:nsid w:val="45E6D486"/>
    <w:multiLevelType w:val="hybridMultilevel"/>
    <w:lvl w:ilvl="0">
      <w:lvlJc w:val="left"/>
      <w:lvlText w:val="(%1)"/>
      <w:numFmt w:val="lowerLetter"/>
      <w:start w:val="1"/>
    </w:lvl>
    <w:lvl w:ilvl="1">
      <w:lvlJc w:val="left"/>
      <w:lvlText w:val="(%2)"/>
      <w:numFmt w:val="lowerRoman"/>
      <w:start w:val="1"/>
    </w:lvl>
  </w:abstractNum>
  <w:abstractNum w:abstractNumId="35">
    <w:nsid w:val="5C10FE21"/>
    <w:multiLevelType w:val="hybridMultilevel"/>
    <w:lvl w:ilvl="0">
      <w:lvlJc w:val="left"/>
      <w:lvlText w:val="(%1)"/>
      <w:numFmt w:val="lowerLetter"/>
      <w:start w:val="4"/>
    </w:lvl>
  </w:abstractNum>
  <w:abstractNum w:abstractNumId="36">
    <w:nsid w:val="E7FFA2B"/>
    <w:multiLevelType w:val="hybridMultilevel"/>
    <w:lvl w:ilvl="0">
      <w:lvlJc w:val="left"/>
      <w:lvlText w:val="(%1)"/>
      <w:numFmt w:val="lowerLetter"/>
      <w:start w:val="1"/>
    </w:lvl>
  </w:abstractNum>
  <w:abstractNum w:abstractNumId="37">
    <w:nsid w:val="3C5991AA"/>
    <w:multiLevelType w:val="hybridMultilevel"/>
    <w:lvl w:ilvl="0">
      <w:lvlJc w:val="left"/>
      <w:lvlText w:val="(%1)"/>
      <w:numFmt w:val="lowerLetter"/>
      <w:start w:val="2"/>
    </w:lvl>
  </w:abstractNum>
  <w:abstractNum w:abstractNumId="38">
    <w:nsid w:val="4BD8591A"/>
    <w:multiLevelType w:val="hybridMultilevel"/>
    <w:lvl w:ilvl="0">
      <w:lvlJc w:val="left"/>
      <w:lvlText w:val="(%1)"/>
      <w:numFmt w:val="lowerLetter"/>
      <w:start w:val="2"/>
    </w:lvl>
    <w:lvl w:ilvl="1">
      <w:lvlJc w:val="left"/>
      <w:lvlText w:val="(%2)"/>
      <w:numFmt w:val="lowerRoman"/>
      <w:start w:val="1"/>
    </w:lvl>
  </w:abstractNum>
  <w:abstractNum w:abstractNumId="39">
    <w:nsid w:val="78DF6A55"/>
    <w:multiLevelType w:val="hybridMultilevel"/>
    <w:lvl w:ilvl="0">
      <w:lvlJc w:val="left"/>
      <w:lvlText w:val="(%1)"/>
      <w:numFmt w:val="lowerLetter"/>
      <w:start w:val="3"/>
    </w:lvl>
  </w:abstractNum>
  <w:abstractNum w:abstractNumId="40">
    <w:nsid w:val="39B7AAA2"/>
    <w:multiLevelType w:val="hybridMultilevel"/>
    <w:lvl w:ilvl="0">
      <w:lvlJc w:val="left"/>
      <w:lvlText w:val="(%1)"/>
      <w:numFmt w:val="lowerLetter"/>
      <w:start w:val="1"/>
    </w:lvl>
  </w:abstractNum>
  <w:abstractNum w:abstractNumId="41">
    <w:nsid w:val="2B0D8DBE"/>
    <w:multiLevelType w:val="hybridMultilevel"/>
    <w:lvl w:ilvl="0">
      <w:lvlJc w:val="left"/>
      <w:lvlText w:val="(%1)"/>
      <w:numFmt w:val="lowerLetter"/>
      <w:start w:val="1"/>
    </w:lvl>
  </w:abstractNum>
  <w:abstractNum w:abstractNumId="42">
    <w:nsid w:val="6C80EC70"/>
    <w:multiLevelType w:val="hybridMultilevel"/>
    <w:lvl w:ilvl="0">
      <w:lvlJc w:val="left"/>
      <w:lvlText w:val="(%1)"/>
      <w:numFmt w:val="lowerLetter"/>
      <w:start w:val="10"/>
    </w:lvl>
  </w:abstractNum>
  <w:abstractNum w:abstractNumId="43">
    <w:nsid w:val="379E21B5"/>
    <w:multiLevelType w:val="hybridMultilevel"/>
    <w:lvl w:ilvl="0">
      <w:lvlJc w:val="left"/>
      <w:lvlText w:val="(%1)"/>
      <w:numFmt w:val="lowerLetter"/>
      <w:start w:val="1"/>
    </w:lvl>
  </w:abstractNum>
  <w:abstractNum w:abstractNumId="44">
    <w:nsid w:val="69E373"/>
    <w:multiLevelType w:val="hybridMultilevel"/>
    <w:lvl w:ilvl="0">
      <w:lvlJc w:val="left"/>
      <w:lvlText w:val="(%1)"/>
      <w:numFmt w:val="lowerRoman"/>
      <w:start w:val="1"/>
    </w:lvl>
  </w:abstractNum>
  <w:abstractNum w:abstractNumId="45">
    <w:nsid w:val="2C27173B"/>
    <w:multiLevelType w:val="hybridMultilevel"/>
    <w:lvl w:ilvl="0">
      <w:lvlJc w:val="left"/>
      <w:lvlText w:val="(%1)"/>
      <w:numFmt w:val="lowerLetter"/>
      <w:start w:val="1"/>
    </w:lvl>
  </w:abstractNum>
  <w:abstractNum w:abstractNumId="46">
    <w:nsid w:val="4C9B0904"/>
    <w:multiLevelType w:val="hybridMultilevel"/>
    <w:lvl w:ilvl="0">
      <w:lvlJc w:val="left"/>
      <w:lvlText w:val="(%1)"/>
      <w:numFmt w:val="lowerLetter"/>
      <w:start w:val="2"/>
    </w:lvl>
  </w:abstractNum>
  <w:abstractNum w:abstractNumId="47">
    <w:nsid w:val="6AA7B75C"/>
    <w:multiLevelType w:val="hybridMultilevel"/>
    <w:lvl w:ilvl="0">
      <w:lvlJc w:val="left"/>
      <w:lvlText w:val="(%1)"/>
      <w:numFmt w:val="lowerRoman"/>
      <w:start w:val="2"/>
    </w:lvl>
    <w:lvl w:ilvl="1">
      <w:lvlJc w:val="left"/>
      <w:lvlText w:val="(%2)"/>
      <w:numFmt w:val="upperLetter"/>
      <w:start w:val="1"/>
    </w:lvl>
  </w:abstractNum>
  <w:abstractNum w:abstractNumId="48">
    <w:nsid w:val="1DF029D3"/>
    <w:multiLevelType w:val="hybridMultilevel"/>
    <w:lvl w:ilvl="0">
      <w:lvlJc w:val="left"/>
      <w:lvlText w:val="(%1)"/>
      <w:numFmt w:val="lowerRoman"/>
      <w:start w:val="3"/>
    </w:lvl>
  </w:abstractNum>
  <w:abstractNum w:abstractNumId="49">
    <w:nsid w:val="5675FF36"/>
    <w:multiLevelType w:val="hybridMultilevel"/>
    <w:lvl w:ilvl="0">
      <w:lvlJc w:val="left"/>
      <w:lvlText w:val="(%1)"/>
      <w:numFmt w:val="lowerLetter"/>
      <w:start w:val="25"/>
    </w:lvl>
    <w:lvl w:ilvl="1">
      <w:lvlJc w:val="left"/>
      <w:lvlText w:val="(%2)"/>
      <w:numFmt w:val="lowerRoman"/>
      <w:start w:val="4"/>
    </w:lvl>
  </w:abstractNum>
  <w:abstractNum w:abstractNumId="50">
    <w:nsid w:val="3DD15094"/>
    <w:multiLevelType w:val="hybridMultilevel"/>
    <w:lvl w:ilvl="0">
      <w:lvlJc w:val="left"/>
      <w:lvlText w:val="(%1)"/>
      <w:numFmt w:val="lowerRoman"/>
      <w:start w:val="5"/>
    </w:lvl>
  </w:abstractNum>
  <w:abstractNum w:abstractNumId="51">
    <w:nsid w:val="3DB012B3"/>
    <w:multiLevelType w:val="hybridMultilevel"/>
    <w:lvl w:ilvl="0">
      <w:lvlJc w:val="left"/>
      <w:lvlText w:val="(%1)"/>
      <w:numFmt w:val="lowerLetter"/>
      <w:start w:val="1"/>
    </w:lvl>
    <w:lvl w:ilvl="1">
      <w:lvlJc w:val="left"/>
      <w:lvlText w:val="(%2)"/>
      <w:numFmt w:val="lowerLetter"/>
      <w:start w:val="9"/>
    </w:lvl>
  </w:abstractNum>
  <w:abstractNum w:abstractNumId="52">
    <w:nsid w:val="2708C9AF"/>
    <w:multiLevelType w:val="hybridMultilevel"/>
    <w:lvl w:ilvl="0">
      <w:lvlJc w:val="left"/>
      <w:lvlText w:val="(%1)"/>
      <w:numFmt w:val="lowerRoman"/>
      <w:start w:val="2"/>
    </w:lvl>
  </w:abstractNum>
  <w:abstractNum w:abstractNumId="53">
    <w:nsid w:val="5B25ACE2"/>
    <w:multiLevelType w:val="hybridMultilevel"/>
    <w:lvl w:ilvl="0">
      <w:lvlJc w:val="left"/>
      <w:lvlText w:val="(%1)"/>
      <w:numFmt w:val="lowerRoman"/>
      <w:start w:val="4"/>
    </w:lvl>
    <w:lvl w:ilvl="1">
      <w:lvlJc w:val="left"/>
      <w:lvlText w:val="(%2)"/>
      <w:numFmt w:val="upperLetter"/>
      <w:start w:val="1"/>
    </w:lvl>
  </w:abstractNum>
  <w:abstractNum w:abstractNumId="54">
    <w:nsid w:val="175DFCF0"/>
    <w:multiLevelType w:val="hybridMultilevel"/>
    <w:lvl w:ilvl="0">
      <w:lvlJc w:val="left"/>
      <w:lvlText w:val="%1"/>
      <w:numFmt w:val="lowerRoman"/>
      <w:start w:val="1"/>
    </w:lvl>
    <w:lvl w:ilvl="1">
      <w:lvlJc w:val="left"/>
      <w:lvlText w:val="(%2)"/>
      <w:numFmt w:val="upperLetter"/>
      <w:start w:val="3"/>
    </w:lvl>
  </w:abstractNum>
  <w:abstractNum w:abstractNumId="55">
    <w:nsid w:val="4F97E3E4"/>
    <w:multiLevelType w:val="hybridMultilevel"/>
    <w:lvl w:ilvl="0">
      <w:lvlJc w:val="left"/>
      <w:lvlText w:val="(%1)"/>
      <w:numFmt w:val="lowerRoman"/>
      <w:start w:val="5"/>
    </w:lvl>
    <w:lvl w:ilvl="1">
      <w:lvlJc w:val="left"/>
      <w:lvlText w:val="%2"/>
      <w:numFmt w:val="upperLetter"/>
      <w:start w:val="1"/>
    </w:lvl>
  </w:abstractNum>
  <w:abstractNum w:abstractNumId="56">
    <w:nsid w:val="53B0A9E"/>
    <w:multiLevelType w:val="hybridMultilevel"/>
    <w:lvl w:ilvl="0">
      <w:lvlJc w:val="left"/>
      <w:lvlText w:val="(%1)"/>
      <w:numFmt w:val="lowerLetter"/>
      <w:start w:val="2"/>
    </w:lvl>
  </w:abstractNum>
  <w:abstractNum w:abstractNumId="57">
    <w:nsid w:val="34FD6B4F"/>
    <w:multiLevelType w:val="hybridMultilevel"/>
    <w:lvl w:ilvl="0">
      <w:lvlJc w:val="left"/>
      <w:lvlText w:val="(%1)"/>
      <w:numFmt w:val="lowerLetter"/>
      <w:start w:val="3"/>
    </w:lvl>
  </w:abstractNum>
  <w:abstractNum w:abstractNumId="58">
    <w:nsid w:val="5915FF32"/>
    <w:multiLevelType w:val="hybridMultilevel"/>
    <w:lvl w:ilvl="0">
      <w:lvlJc w:val="left"/>
      <w:lvlText w:val="(%1)"/>
      <w:numFmt w:val="lowerLetter"/>
      <w:start w:val="8"/>
    </w:lvl>
  </w:abstractNum>
  <w:abstractNum w:abstractNumId="59">
    <w:nsid w:val="56438D15"/>
    <w:multiLevelType w:val="hybridMultilevel"/>
    <w:lvl w:ilvl="0">
      <w:lvlJc w:val="left"/>
      <w:lvlText w:val="(%1)"/>
      <w:numFmt w:val="lowerLetter"/>
      <w:start w:val="9"/>
    </w:lvl>
  </w:abstractNum>
  <w:abstractNum w:abstractNumId="60">
    <w:nsid w:val="519E3149"/>
    <w:multiLevelType w:val="hybridMultilevel"/>
    <w:lvl w:ilvl="0">
      <w:lvlJc w:val="left"/>
      <w:lvlText w:val="(%1)"/>
      <w:numFmt w:val="lowerLetter"/>
      <w:start w:val="2"/>
    </w:lvl>
  </w:abstractNum>
  <w:abstractNum w:abstractNumId="61">
    <w:nsid w:val="2C6E4AFD"/>
    <w:multiLevelType w:val="hybridMultilevel"/>
    <w:lvl w:ilvl="0">
      <w:lvlJc w:val="left"/>
      <w:lvlText w:val="(%1)"/>
      <w:numFmt w:val="lowerLetter"/>
      <w:start w:val="4"/>
    </w:lvl>
  </w:abstractNum>
  <w:abstractNum w:abstractNumId="62">
    <w:nsid w:val="17A1B582"/>
    <w:multiLevelType w:val="hybridMultilevel"/>
    <w:lvl w:ilvl="0">
      <w:lvlJc w:val="left"/>
      <w:lvlText w:val="(%1)"/>
      <w:numFmt w:val="lowerRoman"/>
      <w:start w:val="1"/>
    </w:lvl>
  </w:abstractNum>
  <w:abstractNum w:abstractNumId="63">
    <w:nsid w:val="4DF72E4E"/>
    <w:multiLevelType w:val="hybridMultilevel"/>
    <w:lvl w:ilvl="0">
      <w:lvlJc w:val="left"/>
      <w:lvlText w:val="(%1)"/>
      <w:numFmt w:val="lowerRoman"/>
      <w:start w:val="2"/>
    </w:lvl>
  </w:abstractNum>
  <w:abstractNum w:abstractNumId="64">
    <w:nsid w:val="5046B5A9"/>
    <w:multiLevelType w:val="hybridMultilevel"/>
    <w:lvl w:ilvl="0">
      <w:lvlJc w:val="left"/>
      <w:lvlText w:val="(%1)"/>
      <w:numFmt w:val="lowerLetter"/>
      <w:start w:val="6"/>
    </w:lvl>
  </w:abstractNum>
  <w:abstractNum w:abstractNumId="65">
    <w:nsid w:val="5D888A08"/>
    <w:multiLevelType w:val="hybridMultilevel"/>
    <w:lvl w:ilvl="0">
      <w:lvlJc w:val="left"/>
      <w:lvlText w:val="(%1)"/>
      <w:numFmt w:val="lowerLetter"/>
      <w:start w:val="24"/>
    </w:lvl>
    <w:lvl w:ilvl="1">
      <w:lvlJc w:val="left"/>
      <w:lvlText w:val="(%2)"/>
      <w:numFmt w:val="lowerLetter"/>
      <w:start w:val="1"/>
    </w:lvl>
  </w:abstractNum>
  <w:abstractNum w:abstractNumId="66">
    <w:nsid w:val="2A082C70"/>
    <w:multiLevelType w:val="hybridMultilevel"/>
    <w:lvl w:ilvl="0">
      <w:lvlJc w:val="left"/>
      <w:lvlText w:val="(%1)"/>
      <w:numFmt w:val="lowerLetter"/>
      <w:start w:val="2"/>
    </w:lvl>
  </w:abstractNum>
  <w:abstractNum w:abstractNumId="67">
    <w:nsid w:val="5EC6AFD4"/>
    <w:multiLevelType w:val="hybridMultilevel"/>
    <w:lvl w:ilvl="0">
      <w:lvlJc w:val="left"/>
      <w:lvlText w:val="X"/>
      <w:numFmt w:val="bullet"/>
      <w:start w:val="1"/>
    </w:lvl>
  </w:abstractNum>
  <w:abstractNum w:abstractNumId="68">
    <w:nsid w:val="19E21BB2"/>
    <w:multiLevelType w:val="hybridMultilevel"/>
    <w:lvl w:ilvl="0">
      <w:lvlJc w:val="left"/>
      <w:lvlText w:val="Y"/>
      <w:numFmt w:val="bullet"/>
      <w:start w:val="1"/>
    </w:lvl>
  </w:abstractNum>
  <w:abstractNum w:abstractNumId="69">
    <w:nsid w:val="75E0858A"/>
    <w:multiLevelType w:val="hybridMultilevel"/>
    <w:lvl w:ilvl="0">
      <w:lvlJc w:val="left"/>
      <w:lvlText w:val="(%1)"/>
      <w:numFmt w:val="lowerLetter"/>
      <w:start w:val="3"/>
    </w:lvl>
  </w:abstractNum>
  <w:abstractNum w:abstractNumId="70">
    <w:nsid w:val="57A61A29"/>
    <w:multiLevelType w:val="hybridMultilevel"/>
    <w:lvl w:ilvl="0">
      <w:lvlJc w:val="left"/>
      <w:lvlText w:val="(%1)"/>
      <w:numFmt w:val="upperLetter"/>
      <w:start w:val="1"/>
    </w:lvl>
  </w:abstractNum>
  <w:abstractNum w:abstractNumId="71">
    <w:nsid w:val="5399C654"/>
    <w:multiLevelType w:val="hybridMultilevel"/>
    <w:lvl w:ilvl="0">
      <w:lvlJc w:val="left"/>
      <w:lvlText w:val="(%1)"/>
      <w:numFmt w:val="lowerLetter"/>
      <w:start w:val="4"/>
    </w:lvl>
  </w:abstractNum>
  <w:abstractNum w:abstractNumId="72">
    <w:nsid w:val="20EE1348"/>
    <w:multiLevelType w:val="hybridMultilevel"/>
    <w:lvl w:ilvl="0">
      <w:lvlJc w:val="left"/>
      <w:lvlText w:val="C"/>
      <w:numFmt w:val="bullet"/>
      <w:start w:val="1"/>
    </w:lvl>
  </w:abstractNum>
  <w:abstractNum w:abstractNumId="73">
    <w:nsid w:val="4427069A"/>
    <w:multiLevelType w:val="hybridMultilevel"/>
    <w:lvl w:ilvl="0">
      <w:lvlJc w:val="left"/>
      <w:lvlText w:val="(%1)"/>
      <w:numFmt w:val="lowerLetter"/>
      <w:start w:val="5"/>
    </w:lvl>
  </w:abstractNum>
  <w:abstractNum w:abstractNumId="74">
    <w:nsid w:val="B37E80A"/>
    <w:multiLevelType w:val="hybridMultilevel"/>
    <w:lvl w:ilvl="0">
      <w:lvlJc w:val="left"/>
      <w:lvlText w:val="(%1)"/>
      <w:numFmt w:val="lowerLetter"/>
      <w:start w:val="6"/>
    </w:lvl>
  </w:abstractNum>
  <w:abstractNum w:abstractNumId="75">
    <w:nsid w:val="2157F6BC"/>
    <w:multiLevelType w:val="hybridMultilevel"/>
    <w:lvl w:ilvl="0">
      <w:lvlJc w:val="left"/>
      <w:lvlText w:val="(%1)"/>
      <w:numFmt w:val="lowerLetter"/>
      <w:start w:val="7"/>
    </w:lvl>
    <w:lvl w:ilvl="1">
      <w:lvlJc w:val="left"/>
      <w:lvlText w:val="(%2)"/>
      <w:numFmt w:val="lowerRoman"/>
      <w:start w:val="1"/>
    </w:lvl>
  </w:abstractNum>
  <w:abstractNum w:abstractNumId="76">
    <w:nsid w:val="704E1DD5"/>
    <w:multiLevelType w:val="hybridMultilevel"/>
    <w:lvl w:ilvl="0">
      <w:lvlJc w:val="left"/>
      <w:lvlText w:val="%1"/>
      <w:numFmt w:val="lowerLetter"/>
      <w:start w:val="1"/>
    </w:lvl>
    <w:lvl w:ilvl="1">
      <w:lvlJc w:val="left"/>
      <w:lvlText w:val="(%2)"/>
      <w:numFmt w:val="lowerRoman"/>
      <w:start w:val="7"/>
    </w:lvl>
  </w:abstractNum>
  <w:abstractNum w:abstractNumId="77">
    <w:nsid w:val="57D2F10E"/>
    <w:multiLevelType w:val="hybridMultilevel"/>
    <w:lvl w:ilvl="0">
      <w:lvlJc w:val="left"/>
      <w:lvlText w:val="(%1)"/>
      <w:numFmt w:val="lowerLetter"/>
      <w:start w:val="10"/>
    </w:lvl>
    <w:lvl w:ilvl="1">
      <w:lvlJc w:val="left"/>
      <w:lvlText w:val="%2"/>
      <w:numFmt w:val="lowerRoman"/>
      <w:start w:val="1"/>
    </w:lvl>
  </w:abstractNum>
  <w:abstractNum w:abstractNumId="78">
    <w:nsid w:val="BFFAE18"/>
    <w:multiLevelType w:val="hybridMultilevel"/>
    <w:lvl w:ilvl="0">
      <w:lvlJc w:val="left"/>
      <w:lvlText w:val="(%1)"/>
      <w:numFmt w:val="lowerLetter"/>
      <w:start w:val="12"/>
    </w:lvl>
  </w:abstractNum>
  <w:abstractNum w:abstractNumId="79">
    <w:nsid w:val="E3E47A8"/>
    <w:multiLevelType w:val="hybridMultilevel"/>
    <w:lvl w:ilvl="0">
      <w:lvlJc w:val="left"/>
      <w:lvlText w:val="(%1)"/>
      <w:numFmt w:val="lowerLetter"/>
      <w:start w:val="1"/>
    </w:lvl>
    <w:lvl w:ilvl="1">
      <w:lvlJc w:val="left"/>
      <w:lvlText w:val="(%2)"/>
      <w:numFmt w:val="lowerRoman"/>
      <w:start w:val="1"/>
    </w:lvl>
  </w:abstractNum>
  <w:abstractNum w:abstractNumId="80">
    <w:nsid w:val="2E48F044"/>
    <w:multiLevelType w:val="hybridMultilevel"/>
    <w:lvl w:ilvl="0">
      <w:lvlJc w:val="left"/>
      <w:lvlText w:val="(%1)"/>
      <w:numFmt w:val="lowerLetter"/>
      <w:start w:val="25"/>
    </w:lvl>
  </w:abstractNum>
  <w:abstractNum w:abstractNumId="81">
    <w:nsid w:val="49D0FEAC"/>
    <w:multiLevelType w:val="hybridMultilevel"/>
    <w:lvl w:ilvl="0">
      <w:lvlJc w:val="left"/>
      <w:lvlText w:val="(%1)"/>
      <w:numFmt w:val="lowerLetter"/>
      <w:start w:val="9"/>
    </w:lvl>
  </w:abstractNum>
  <w:abstractNum w:abstractNumId="82">
    <w:nsid w:val="4BEE5A5B"/>
    <w:multiLevelType w:val="hybridMultilevel"/>
    <w:lvl w:ilvl="0">
      <w:lvlJc w:val="left"/>
      <w:lvlText w:val="(%1)"/>
      <w:numFmt w:val="lowerLetter"/>
      <w:start w:val="2"/>
    </w:lvl>
  </w:abstractNum>
  <w:abstractNum w:abstractNumId="83">
    <w:nsid w:val="5551B9F3"/>
    <w:multiLevelType w:val="hybridMultilevel"/>
    <w:lvl w:ilvl="0">
      <w:lvlJc w:val="left"/>
      <w:lvlText w:val="(%1)"/>
      <w:numFmt w:val="lowerLetter"/>
      <w:start w:val="3"/>
    </w:lvl>
  </w:abstractNum>
  <w:abstractNum w:abstractNumId="84">
    <w:nsid w:val="24F6AB8E"/>
    <w:multiLevelType w:val="hybridMultilevel"/>
    <w:lvl w:ilvl="0">
      <w:lvlJc w:val="left"/>
      <w:lvlText w:val="(%1)"/>
      <w:numFmt w:val="lowerLetter"/>
      <w:start w:val="2"/>
    </w:lvl>
  </w:abstractNum>
  <w:abstractNum w:abstractNumId="85">
    <w:nsid w:val="634C574C"/>
    <w:multiLevelType w:val="hybridMultilevel"/>
    <w:lvl w:ilvl="0">
      <w:lvlJc w:val="left"/>
      <w:lvlText w:val="(%1)"/>
      <w:numFmt w:val="lowerLetter"/>
      <w:start w:val="1"/>
    </w:lvl>
  </w:abstractNum>
  <w:abstractNum w:abstractNumId="86">
    <w:nsid w:val="24E99DD7"/>
    <w:multiLevelType w:val="hybridMultilevel"/>
    <w:lvl w:ilvl="0">
      <w:lvlJc w:val="left"/>
      <w:lvlText w:val="(%1)"/>
      <w:numFmt w:val="lowerLetter"/>
      <w:start w:val="2"/>
    </w:lvl>
  </w:abstractNum>
  <w:abstractNum w:abstractNumId="87">
    <w:nsid w:val="2A31B62D"/>
    <w:multiLevelType w:val="hybridMultilevel"/>
    <w:lvl w:ilvl="0">
      <w:lvlJc w:val="left"/>
      <w:lvlText w:val="(%1)"/>
      <w:numFmt w:val="lowerLetter"/>
      <w:start w:val="2"/>
    </w:lvl>
  </w:abstractNum>
  <w:abstractNum w:abstractNumId="88">
    <w:nsid w:val="1849C29B"/>
    <w:multiLevelType w:val="hybridMultilevel"/>
    <w:lvl w:ilvl="0">
      <w:lvlJc w:val="left"/>
      <w:lvlText w:val="(%1)"/>
      <w:numFmt w:val="lowerLetter"/>
      <w:start w:val="2"/>
    </w:lvl>
    <w:lvl w:ilvl="1">
      <w:lvlJc w:val="left"/>
      <w:lvlText w:val="(%2)"/>
      <w:numFmt w:val="lowerRoman"/>
      <w:start w:val="1"/>
    </w:lvl>
  </w:abstractNum>
  <w:abstractNum w:abstractNumId="89">
    <w:nsid w:val="7DFF9D09"/>
    <w:multiLevelType w:val="hybridMultilevel"/>
    <w:lvl w:ilvl="0">
      <w:lvlJc w:val="left"/>
      <w:lvlText w:val="(%1)"/>
      <w:numFmt w:val="lowerRoman"/>
      <w:start w:val="1"/>
    </w:lvl>
  </w:abstractNum>
  <w:abstractNum w:abstractNumId="90">
    <w:nsid w:val="754342"/>
    <w:multiLevelType w:val="hybridMultilevel"/>
    <w:lvl w:ilvl="0">
      <w:lvlJc w:val="left"/>
      <w:lvlText w:val="(%1)"/>
      <w:numFmt w:val="lowerLetter"/>
      <w:start w:val="3"/>
    </w:lvl>
    <w:lvl w:ilvl="1">
      <w:lvlJc w:val="left"/>
      <w:lvlText w:val="(%2)"/>
      <w:numFmt w:val="lowerRoman"/>
      <w:start w:val="1"/>
    </w:lvl>
  </w:abstractNum>
  <w:abstractNum w:abstractNumId="91">
    <w:nsid w:val="69E7F3E5"/>
    <w:multiLevelType w:val="hybridMultilevel"/>
    <w:lvl w:ilvl="0">
      <w:lvlJc w:val="left"/>
      <w:lvlText w:val="(%1)"/>
      <w:numFmt w:val="lowerLetter"/>
      <w:start w:val="4"/>
    </w:lvl>
  </w:abstractNum>
  <w:abstractNum w:abstractNumId="92">
    <w:nsid w:val="2A6DE806"/>
    <w:multiLevelType w:val="hybridMultilevel"/>
    <w:lvl w:ilvl="0">
      <w:lvlJc w:val="left"/>
      <w:lvlText w:val="(%1)"/>
      <w:numFmt w:val="lowerRoman"/>
      <w:start w:val="1"/>
    </w:lvl>
  </w:abstractNum>
  <w:abstractNum w:abstractNumId="93">
    <w:nsid w:val="1816F8C4"/>
    <w:multiLevelType w:val="hybridMultilevel"/>
    <w:lvl w:ilvl="0">
      <w:lvlJc w:val="left"/>
      <w:lvlText w:val="(%1)"/>
      <w:numFmt w:val="lowerLetter"/>
      <w:start w:val="2"/>
    </w:lvl>
  </w:abstractNum>
  <w:abstractNum w:abstractNumId="94">
    <w:nsid w:val="37DF2233"/>
    <w:multiLevelType w:val="hybridMultilevel"/>
    <w:lvl w:ilvl="0">
      <w:lvlJc w:val="left"/>
      <w:lvlText w:val="(%1)"/>
      <w:numFmt w:val="lowerLetter"/>
      <w:start w:val="1"/>
    </w:lvl>
  </w:abstractNum>
  <w:abstractNum w:abstractNumId="95">
    <w:nsid w:val="7AB49DAF"/>
    <w:multiLevelType w:val="hybridMultilevel"/>
    <w:lvl w:ilvl="0">
      <w:lvlJc w:val="left"/>
      <w:lvlText w:val="(%1)"/>
      <w:numFmt w:val="lowerLetter"/>
      <w:start w:val="2"/>
    </w:lvl>
  </w:abstractNum>
  <w:abstractNum w:abstractNumId="96">
    <w:nsid w:val="759F82CD"/>
    <w:multiLevelType w:val="hybridMultilevel"/>
    <w:lvl w:ilvl="0">
      <w:lvlJc w:val="left"/>
      <w:lvlText w:val="(%1)"/>
      <w:numFmt w:val="lowerLetter"/>
      <w:start w:val="3"/>
    </w:lvl>
    <w:lvl w:ilvl="1">
      <w:lvlJc w:val="left"/>
      <w:lvlText w:val="(%2)"/>
      <w:numFmt w:val="lowerRoman"/>
      <w:start w:val="1"/>
    </w:lvl>
  </w:abstractNum>
  <w:abstractNum w:abstractNumId="97">
    <w:nsid w:val="61E74EA3"/>
    <w:multiLevelType w:val="hybridMultilevel"/>
    <w:lvl w:ilvl="0">
      <w:lvlJc w:val="left"/>
      <w:lvlText w:val="(%1)"/>
      <w:numFmt w:val="lowerRoman"/>
      <w:start w:val="8"/>
    </w:lvl>
  </w:abstractNum>
  <w:abstractNum w:abstractNumId="98">
    <w:nsid w:val="597B4D84"/>
    <w:multiLevelType w:val="hybridMultilevel"/>
    <w:lvl w:ilvl="0">
      <w:lvlJc w:val="left"/>
      <w:lvlText w:val="(%1)"/>
      <w:numFmt w:val="lowerLetter"/>
      <w:start w:val="4"/>
    </w:lvl>
  </w:abstractNum>
  <w:abstractNum w:abstractNumId="99">
    <w:nsid w:val="F819E7F"/>
    <w:multiLevelType w:val="hybridMultilevel"/>
    <w:lvl w:ilvl="0">
      <w:lvlJc w:val="left"/>
      <w:lvlText w:val="(%1)"/>
      <w:numFmt w:val="lowerLetter"/>
      <w:start w:val="2"/>
    </w:lvl>
  </w:abstractNum>
  <w:abstractNum w:abstractNumId="100">
    <w:nsid w:val="57C7D42D"/>
    <w:multiLevelType w:val="hybridMultilevel"/>
    <w:lvl w:ilvl="0">
      <w:lvlJc w:val="left"/>
      <w:lvlText w:val="(%1)"/>
      <w:numFmt w:val="decimal"/>
      <w:start w:val="1"/>
    </w:lvl>
  </w:abstractNum>
  <w:abstractNum w:abstractNumId="101">
    <w:nsid w:val="312167AD"/>
    <w:multiLevelType w:val="hybridMultilevel"/>
    <w:lvl w:ilvl="0">
      <w:lvlJc w:val="left"/>
      <w:lvlText w:val="(%1)"/>
      <w:numFmt w:val="upperLetter"/>
      <w:start w:val="24"/>
    </w:lvl>
    <w:lvl w:ilvl="1">
      <w:lvlJc w:val="left"/>
      <w:lvlText w:val="(%2)"/>
      <w:numFmt w:val="upperLetter"/>
      <w:start w:val="1"/>
    </w:lvl>
  </w:abstractNum>
  <w:abstractNum w:abstractNumId="102">
    <w:nsid w:val="631B64D4"/>
    <w:multiLevelType w:val="hybridMultilevel"/>
    <w:lvl w:ilvl="0">
      <w:lvlJc w:val="left"/>
      <w:lvlText w:val="(%1)"/>
      <w:numFmt w:val="upperLetter"/>
      <w:start w:val="4"/>
    </w:lvl>
  </w:abstractNum>
  <w:abstractNum w:abstractNumId="103">
    <w:nsid w:val="78B5E776"/>
    <w:multiLevelType w:val="hybridMultilevel"/>
    <w:lvl w:ilvl="0">
      <w:lvlJc w:val="left"/>
      <w:lvlText w:val="(%1)"/>
      <w:numFmt w:val="decimal"/>
      <w:start w:val="1"/>
    </w:lvl>
  </w:abstractNum>
  <w:abstractNum w:abstractNumId="104">
    <w:nsid w:val="75486E47"/>
    <w:multiLevelType w:val="hybridMultilevel"/>
    <w:lvl w:ilvl="0">
      <w:lvlJc w:val="left"/>
      <w:lvlText w:val="o"/>
      <w:numFmt w:val="bullet"/>
      <w:start w:val="1"/>
    </w:lvl>
  </w:abstractNum>
  <w:abstractNum w:abstractNumId="105">
    <w:nsid w:val="6E534CDE"/>
    <w:multiLevelType w:val="hybridMultilevel"/>
    <w:lvl w:ilvl="0">
      <w:lvlJc w:val="left"/>
      <w:lvlText w:val="%1."/>
      <w:numFmt w:val="decimal"/>
      <w:start w:val="1"/>
    </w:lvl>
    <w:lvl w:ilvl="1">
      <w:lvlJc w:val="left"/>
      <w:lvlText w:val="(%2)"/>
      <w:numFmt w:val="lowerLetter"/>
      <w:start w:val="1"/>
    </w:lvl>
  </w:abstractNum>
  <w:abstractNum w:abstractNumId="106">
    <w:nsid w:val="1A0DDE32"/>
    <w:multiLevelType w:val="hybridMultilevel"/>
    <w:lvl w:ilvl="0">
      <w:lvlJc w:val="left"/>
      <w:lvlText w:val="(%1)"/>
      <w:numFmt w:val="lowerLetter"/>
      <w:start w:val="2"/>
    </w:lvl>
  </w:abstractNum>
  <w:abstractNum w:abstractNumId="107">
    <w:nsid w:val="65968C1C"/>
    <w:multiLevelType w:val="hybridMultilevel"/>
    <w:lvl w:ilvl="0">
      <w:lvlJc w:val="left"/>
      <w:lvlText w:val="(%1)"/>
      <w:numFmt w:val="lowerLetter"/>
      <w:start w:val="5"/>
    </w:lvl>
  </w:abstractNum>
  <w:abstractNum w:abstractNumId="108">
    <w:nsid w:val="46263DEC"/>
    <w:multiLevelType w:val="hybridMultilevel"/>
    <w:lvl w:ilvl="0">
      <w:lvlJc w:val="left"/>
      <w:lvlText w:val="(%1)"/>
      <w:numFmt w:val="lowerLetter"/>
      <w:start w:val="10"/>
    </w:lvl>
  </w:abstractNum>
  <w:abstractNum w:abstractNumId="109">
    <w:nsid w:val="260D8C4A"/>
    <w:multiLevelType w:val="hybridMultilevel"/>
    <w:lvl w:ilvl="0">
      <w:lvlJc w:val="left"/>
      <w:lvlText w:val="(%1)"/>
      <w:numFmt w:val="lowerLetter"/>
      <w:start w:val="11"/>
    </w:lvl>
  </w:abstractNum>
  <w:abstractNum w:abstractNumId="110">
    <w:nsid w:val="73D4D3C4"/>
    <w:multiLevelType w:val="hybridMultilevel"/>
    <w:lvl w:ilvl="0">
      <w:lvlJc w:val="left"/>
      <w:lvlText w:val="(%1)"/>
      <w:numFmt w:val="lowerLetter"/>
      <w:start w:val="15"/>
    </w:lvl>
  </w:abstractNum>
  <w:abstractNum w:abstractNumId="111">
    <w:nsid w:val="746F2E30"/>
    <w:multiLevelType w:val="hybridMultilevel"/>
    <w:lvl w:ilvl="0">
      <w:lvlJc w:val="left"/>
      <w:lvlText w:val="(%1)"/>
      <w:numFmt w:val="lowerLetter"/>
      <w:start w:val="19"/>
    </w:lvl>
  </w:abstractNum>
  <w:abstractNum w:abstractNumId="112">
    <w:nsid w:val="6FDE8AF6"/>
    <w:multiLevelType w:val="hybridMultilevel"/>
    <w:lvl w:ilvl="0">
      <w:lvlJc w:val="left"/>
      <w:lvlText w:val="(%1)"/>
      <w:numFmt w:val="lowerLetter"/>
      <w:start w:val="23"/>
    </w:lvl>
    <w:lvl w:ilvl="1">
      <w:lvlJc w:val="left"/>
      <w:lvlText w:val="(%2)"/>
      <w:numFmt w:val="upperLetter"/>
      <w:start w:val="1"/>
    </w:lvl>
  </w:abstractNum>
  <w:abstractNum w:abstractNumId="113">
    <w:nsid w:val="3FC32E20"/>
    <w:multiLevelType w:val="hybridMultilevel"/>
    <w:lvl w:ilvl="0">
      <w:lvlJc w:val="left"/>
      <w:lvlText w:val="(%1)"/>
      <w:numFmt w:val="lowerRoman"/>
      <w:start w:val="2"/>
    </w:lvl>
    <w:lvl w:ilvl="1">
      <w:lvlJc w:val="left"/>
      <w:lvlText w:val="(%2)"/>
      <w:numFmt w:val="upperLetter"/>
      <w:start w:val="1"/>
    </w:lvl>
  </w:abstractNum>
  <w:abstractNum w:abstractNumId="114">
    <w:nsid w:val="49C0E823"/>
    <w:multiLevelType w:val="hybridMultilevel"/>
    <w:lvl w:ilvl="0">
      <w:lvlJc w:val="left"/>
      <w:lvlText w:val="(%1)"/>
      <w:numFmt w:val="lowerRoman"/>
      <w:start w:val="10"/>
    </w:lvl>
  </w:abstractNum>
  <w:abstractNum w:abstractNumId="115">
    <w:nsid w:val="14D53685"/>
    <w:multiLevelType w:val="hybridMultilevel"/>
    <w:lvl w:ilvl="0">
      <w:lvlJc w:val="left"/>
      <w:lvlText w:val="(%1)"/>
      <w:numFmt w:val="lowerLetter"/>
      <w:start w:val="25"/>
    </w:lvl>
  </w:abstractNum>
  <w:abstractNum w:abstractNumId="116">
    <w:nsid w:val="230F856C"/>
    <w:multiLevelType w:val="hybridMultilevel"/>
    <w:lvl w:ilvl="0">
      <w:lvlJc w:val="left"/>
      <w:lvlText w:val="(%1)"/>
      <w:numFmt w:val="lowerLetter"/>
      <w:start w:val="26"/>
    </w:lvl>
  </w:abstractNum>
  <w:abstractNum w:abstractNumId="117">
    <w:nsid w:val="6EAA85FB"/>
    <w:multiLevelType w:val="hybridMultilevel"/>
    <w:lvl w:ilvl="0">
      <w:lvlJc w:val="left"/>
      <w:lvlText w:val="(%1)"/>
      <w:numFmt w:val="lowerLetter"/>
      <w:start w:val="27"/>
    </w:lvl>
  </w:abstractNum>
  <w:abstractNum w:abstractNumId="118">
    <w:nsid w:val="3F06ECB2"/>
    <w:multiLevelType w:val="hybridMultilevel"/>
    <w:lvl w:ilvl="0">
      <w:lvlJc w:val="left"/>
      <w:lvlText w:val="(%1)"/>
      <w:numFmt w:val="lowerLetter"/>
      <w:start w:val="29"/>
    </w:lvl>
  </w:abstractNum>
  <w:abstractNum w:abstractNumId="119">
    <w:nsid w:val="3B594807"/>
    <w:multiLevelType w:val="hybridMultilevel"/>
    <w:lvl w:ilvl="0">
      <w:lvlJc w:val="left"/>
      <w:lvlText w:val="(%1)"/>
      <w:numFmt w:val="lowerLetter"/>
      <w:start w:val="33"/>
    </w:lvl>
  </w:abstractNum>
  <w:abstractNum w:abstractNumId="120">
    <w:nsid w:val="6CAA2304"/>
    <w:multiLevelType w:val="hybridMultilevel"/>
    <w:lvl w:ilvl="0">
      <w:lvlJc w:val="left"/>
      <w:lvlText w:val="(%1)"/>
      <w:numFmt w:val="lowerLetter"/>
      <w:start w:val="35"/>
    </w:lvl>
  </w:abstractNum>
  <w:abstractNum w:abstractNumId="121">
    <w:nsid w:val="3F7C2FF4"/>
    <w:multiLevelType w:val="hybridMultilevel"/>
    <w:lvl w:ilvl="0">
      <w:lvlJc w:val="left"/>
      <w:lvlText w:val="(%1)"/>
      <w:numFmt w:val="lowerLetter"/>
      <w:start w:val="37"/>
    </w:lvl>
  </w:abstractNum>
  <w:abstractNum w:abstractNumId="122">
    <w:nsid w:val="25413BEC"/>
    <w:multiLevelType w:val="hybridMultilevel"/>
    <w:lvl w:ilvl="0">
      <w:lvlJc w:val="left"/>
      <w:lvlText w:val="%1"/>
      <w:numFmt w:val="decimal"/>
      <w:start w:val="1"/>
    </w:lvl>
    <w:lvl w:ilvl="1">
      <w:lvlJc w:val="left"/>
      <w:lvlText w:val="(%2)"/>
      <w:numFmt w:val="lowerLetter"/>
      <w:start w:val="41"/>
    </w:lvl>
  </w:abstractNum>
  <w:abstractNum w:abstractNumId="123">
    <w:nsid w:val="17180B0B"/>
    <w:multiLevelType w:val="hybridMultilevel"/>
    <w:lvl w:ilvl="0">
      <w:lvlJc w:val="left"/>
      <w:lvlText w:val="%1."/>
      <w:numFmt w:val="decimal"/>
      <w:start w:val="2"/>
    </w:lvl>
    <w:lvl w:ilvl="1">
      <w:lvlJc w:val="left"/>
      <w:lvlText w:val="%2"/>
      <w:numFmt w:val="lowerLetter"/>
      <w:start w:val="1"/>
    </w:lvl>
  </w:abstractNum>
  <w:abstractNum w:abstractNumId="124">
    <w:nsid w:val="579328B9"/>
    <w:multiLevelType w:val="hybridMultilevel"/>
    <w:lvl w:ilvl="0">
      <w:lvlJc w:val="left"/>
      <w:lvlText w:val="%1."/>
      <w:numFmt w:val="decimal"/>
      <w:start w:val="3"/>
    </w:lvl>
  </w:abstractNum>
  <w:abstractNum w:abstractNumId="125">
    <w:nsid w:val="5D205E20"/>
    <w:multiLevelType w:val="hybridMultilevel"/>
    <w:lvl w:ilvl="0">
      <w:lvlJc w:val="left"/>
      <w:lvlText w:val="%1."/>
      <w:numFmt w:val="decimal"/>
      <w:start w:val="4"/>
    </w:lvl>
  </w:abstractNum>
  <w:abstractNum w:abstractNumId="126">
    <w:nsid w:val="11CCA8BA"/>
    <w:multiLevelType w:val="hybridMultilevel"/>
    <w:lvl w:ilvl="0">
      <w:lvlJc w:val="left"/>
      <w:lvlText w:val="%1."/>
      <w:numFmt w:val="decimal"/>
      <w:start w:val="5"/>
    </w:lvl>
    <w:lvl w:ilvl="1">
      <w:lvlJc w:val="left"/>
      <w:lvlText w:val="(%2)"/>
      <w:numFmt w:val="lowerLetter"/>
      <w:start w:val="1"/>
    </w:lvl>
  </w:abstractNum>
  <w:abstractNum w:abstractNumId="127">
    <w:nsid w:val="4D32AB86"/>
    <w:multiLevelType w:val="hybridMultilevel"/>
    <w:lvl w:ilvl="0">
      <w:lvlJc w:val="left"/>
      <w:lvlText w:val="(%1)"/>
      <w:numFmt w:val="lowerLetter"/>
      <w:start w:val="3"/>
    </w:lvl>
  </w:abstractNum>
  <w:abstractNum w:abstractNumId="128">
    <w:nsid w:val="3F07ACC3"/>
    <w:multiLevelType w:val="hybridMultilevel"/>
    <w:lvl w:ilvl="0">
      <w:lvlJc w:val="left"/>
      <w:lvlText w:val="(%1)"/>
      <w:numFmt w:val="lowerLetter"/>
      <w:start w:val="5"/>
    </w:lvl>
  </w:abstractNum>
  <w:abstractNum w:abstractNumId="129">
    <w:nsid w:val="6B47F63E"/>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30">
    <w:nsid w:val="5CB44A0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1">
    <w:nsid w:val="16CF80F1"/>
    <w:multiLevelType w:val="hybridMultilevel"/>
    <w:lvl w:ilvl="0">
      <w:lvlJc w:val="left"/>
      <w:lvlText w:val="(%1)"/>
      <w:numFmt w:val="lowerLetter"/>
      <w:start w:val="1"/>
    </w:lvl>
  </w:abstractNum>
  <w:abstractNum w:abstractNumId="132">
    <w:nsid w:val="1C695DEC"/>
    <w:multiLevelType w:val="hybridMultilevel"/>
    <w:lvl w:ilvl="0">
      <w:lvlJc w:val="left"/>
      <w:lvlText w:val="(%1)"/>
      <w:numFmt w:val="lowerLetter"/>
      <w:start w:val="6"/>
    </w:lvl>
  </w:abstractNum>
  <w:abstractNum w:abstractNumId="133">
    <w:nsid w:val="3FCFAED9"/>
    <w:multiLevelType w:val="hybridMultilevel"/>
    <w:lvl w:ilvl="0">
      <w:lvlJc w:val="left"/>
      <w:lvlText w:val="(%1)"/>
      <w:numFmt w:val="lowerLetter"/>
      <w:start w:val="8"/>
    </w:lvl>
  </w:abstractNum>
  <w:abstractNum w:abstractNumId="134">
    <w:nsid w:val="F856867"/>
    <w:multiLevelType w:val="hybridMultilevel"/>
    <w:lvl w:ilvl="0">
      <w:lvlJc w:val="left"/>
      <w:lvlText w:val="%1."/>
      <w:numFmt w:val="decimal"/>
      <w:start w:val="7"/>
    </w:lvl>
    <w:lvl w:ilvl="1">
      <w:lvlJc w:val="left"/>
      <w:lvlText w:val="(%2)"/>
      <w:numFmt w:val="lowerLetter"/>
      <w:start w:val="2"/>
    </w:lvl>
  </w:abstractNum>
  <w:abstractNum w:abstractNumId="135">
    <w:nsid w:val="11B1CC33"/>
    <w:multiLevelType w:val="hybridMultilevel"/>
    <w:lvl w:ilvl="0">
      <w:lvlJc w:val="left"/>
      <w:lvlText w:val="(%1)"/>
      <w:numFmt w:val="lowerLetter"/>
      <w:start w:val="2"/>
    </w:lvl>
  </w:abstractNum>
  <w:abstractNum w:abstractNumId="136">
    <w:nsid w:val="2E22FBB7"/>
    <w:multiLevelType w:val="hybridMultilevel"/>
    <w:lvl w:ilvl="0">
      <w:lvlJc w:val="left"/>
      <w:lvlText w:val="%1"/>
      <w:numFmt w:val="lowerLetter"/>
      <w:start w:val="1"/>
    </w:lvl>
    <w:lvl w:ilvl="1">
      <w:lvlJc w:val="left"/>
      <w:lvlText w:val="(%2)"/>
      <w:numFmt w:val="lowerLetter"/>
      <w:start w:val="4"/>
    </w:lvl>
  </w:abstractNum>
  <w:abstractNum w:abstractNumId="137">
    <w:nsid w:val="29934699"/>
    <w:multiLevelType w:val="hybridMultilevel"/>
    <w:lvl w:ilvl="0">
      <w:lvlJc w:val="left"/>
      <w:lvlText w:val="(%1)"/>
      <w:numFmt w:val="lowerLetter"/>
      <w:start w:val="9"/>
    </w:lvl>
    <w:lvl w:ilvl="1">
      <w:lvlJc w:val="left"/>
      <w:lvlText w:val="%2"/>
      <w:numFmt w:val="lowerLetter"/>
      <w:start w:val="1"/>
    </w:lvl>
  </w:abstractNum>
  <w:abstractNum w:abstractNumId="138">
    <w:nsid w:val="77485850"/>
    <w:multiLevelType w:val="hybridMultilevel"/>
    <w:lvl w:ilvl="0">
      <w:lvlJc w:val="left"/>
      <w:lvlText w:val="(%1)"/>
      <w:numFmt w:val="lowerLetter"/>
      <w:start w:val="9"/>
    </w:lvl>
    <w:lvl w:ilvl="1">
      <w:lvlJc w:val="left"/>
      <w:lvlText w:val="%2"/>
      <w:numFmt w:val="lowerLetter"/>
      <w:start w:val="1"/>
    </w:lvl>
  </w:abstractNum>
  <w:abstractNum w:abstractNumId="139">
    <w:nsid w:val="744939A3"/>
    <w:multiLevelType w:val="hybridMultilevel"/>
    <w:lvl w:ilvl="0">
      <w:lvlJc w:val="left"/>
      <w:lvlText w:val="%1"/>
      <w:numFmt w:val="lowerLetter"/>
      <w:start w:val="1"/>
    </w:lvl>
    <w:lvl w:ilvl="1">
      <w:lvlJc w:val="left"/>
      <w:lvlText w:val="(%2)"/>
      <w:numFmt w:val="lowerLetter"/>
      <w:start w:val="5"/>
    </w:lvl>
  </w:abstractNum>
  <w:abstractNum w:abstractNumId="140">
    <w:nsid w:val="4FA0D2E3"/>
    <w:multiLevelType w:val="hybridMultilevel"/>
    <w:lvl w:ilvl="0">
      <w:lvlJc w:val="left"/>
      <w:lvlText w:val="(%1)"/>
      <w:numFmt w:val="lowerLetter"/>
      <w:start w:val="35"/>
    </w:lvl>
    <w:lvl w:ilvl="1">
      <w:lvlJc w:val="left"/>
      <w:lvlText w:val="%2"/>
      <w:numFmt w:val="lowerLetter"/>
      <w:start w:val="1"/>
    </w:lvl>
  </w:abstractNum>
  <w:abstractNum w:abstractNumId="141">
    <w:nsid w:val="6B1D2C14"/>
    <w:multiLevelType w:val="hybridMultilevel"/>
    <w:lvl w:ilvl="0">
      <w:lvlJc w:val="left"/>
      <w:lvlText w:val="%1."/>
      <w:numFmt w:val="decimal"/>
      <w:start w:val="9"/>
    </w:lvl>
  </w:abstractNum>
  <w:abstractNum w:abstractNumId="142">
    <w:nsid w:val="68B867D3"/>
    <w:multiLevelType w:val="hybridMultilevel"/>
    <w:lvl w:ilvl="0">
      <w:lvlJc w:val="left"/>
      <w:lvlText w:val="%1."/>
      <w:numFmt w:val="decimal"/>
      <w:start w:val="10"/>
    </w:lvl>
  </w:abstractNum>
  <w:abstractNum w:abstractNumId="143">
    <w:nsid w:val="3F7F5DD9"/>
    <w:multiLevelType w:val="hybridMultilevel"/>
    <w:lvl w:ilvl="0">
      <w:lvlJc w:val="left"/>
      <w:lvlText w:val="%1."/>
      <w:numFmt w:val="decimal"/>
      <w:start w:val="11"/>
    </w:lvl>
    <w:lvl w:ilvl="1">
      <w:lvlJc w:val="left"/>
      <w:lvlText w:val="(%2)"/>
      <w:numFmt w:val="lowerLetter"/>
      <w:start w:val="2"/>
    </w:lvl>
  </w:abstractNum>
  <w:abstractNum w:abstractNumId="144">
    <w:nsid w:val="2AE05A34"/>
    <w:multiLevelType w:val="hybridMultilevel"/>
    <w:lvl w:ilvl="0">
      <w:lvlJc w:val="left"/>
      <w:lvlText w:val="%1."/>
      <w:numFmt w:val="decimal"/>
      <w:start w:val="12"/>
    </w:lvl>
  </w:abstractNum>
  <w:abstractNum w:abstractNumId="145">
    <w:nsid w:val="32794FF7"/>
    <w:multiLevelType w:val="hybridMultilevel"/>
    <w:lvl w:ilvl="0">
      <w:lvlJc w:val="left"/>
      <w:lvlText w:val="%1."/>
      <w:numFmt w:val="decimal"/>
      <w:start w:val="14"/>
    </w:lvl>
  </w:abstractNum>
  <w:abstractNum w:abstractNumId="146">
    <w:nsid w:val="5454945E"/>
    <w:multiLevelType w:val="hybridMultilevel"/>
    <w:lvl w:ilvl="0">
      <w:lvlJc w:val="left"/>
      <w:lvlText w:val="%1."/>
      <w:numFmt w:val="decimal"/>
      <w:start w:val="1"/>
    </w:lvl>
  </w:abstractNum>
  <w:abstractNum w:abstractNumId="147">
    <w:nsid w:val="4DEFDFA0"/>
    <w:multiLevelType w:val="hybridMultilevel"/>
    <w:lvl w:ilvl="0">
      <w:lvlJc w:val="left"/>
      <w:lvlText w:val="%1"/>
      <w:numFmt w:val="lowerLetter"/>
      <w:start w:val="1"/>
    </w:lvl>
    <w:lvl w:ilvl="1">
      <w:lvlJc w:val="left"/>
      <w:lvlText w:val="(%2)"/>
      <w:numFmt w:val="lowerLetter"/>
      <w:start w:val="1"/>
    </w:lvl>
  </w:abstractNum>
  <w:abstractNum w:abstractNumId="148">
    <w:nsid w:val="2123D5F2"/>
    <w:multiLevelType w:val="hybridMultilevel"/>
    <w:lvl w:ilvl="0">
      <w:lvlJc w:val="left"/>
      <w:lvlText w:val="(%1)"/>
      <w:numFmt w:val="lowerLetter"/>
      <w:start w:val="35"/>
    </w:lvl>
    <w:lvl w:ilvl="1">
      <w:lvlJc w:val="left"/>
      <w:lvlText w:val="%2"/>
      <w:numFmt w:val="lowerLetter"/>
      <w:start w:val="1"/>
    </w:lvl>
  </w:abstractNum>
  <w:abstractNum w:abstractNumId="149">
    <w:nsid w:val="135B8110"/>
    <w:multiLevelType w:val="hybridMultilevel"/>
    <w:lvl w:ilvl="0">
      <w:lvlJc w:val="left"/>
      <w:lvlText w:val="(%1)"/>
      <w:numFmt w:val="lowerLetter"/>
      <w:start w:val="3"/>
    </w:lvl>
  </w:abstractNum>
  <w:abstractNum w:abstractNumId="150">
    <w:nsid w:val="94927A8"/>
    <w:multiLevelType w:val="hybridMultilevel"/>
    <w:lvl w:ilvl="0">
      <w:lvlJc w:val="left"/>
      <w:lvlText w:val="%1"/>
      <w:numFmt w:val="lowerLetter"/>
      <w:start w:val="1"/>
    </w:lvl>
    <w:lvl w:ilvl="1">
      <w:lvlJc w:val="left"/>
      <w:lvlText w:val="(%2)"/>
      <w:numFmt w:val="lowerLetter"/>
      <w:start w:val="4"/>
    </w:lvl>
  </w:abstractNum>
  <w:abstractNum w:abstractNumId="151">
    <w:nsid w:val="DCDF8F6"/>
    <w:multiLevelType w:val="hybridMultilevel"/>
    <w:lvl w:ilvl="0">
      <w:lvlJc w:val="left"/>
      <w:lvlText w:val="(%1)"/>
      <w:numFmt w:val="lowerLetter"/>
      <w:start w:val="35"/>
    </w:lvl>
    <w:lvl w:ilvl="1">
      <w:lvlJc w:val="left"/>
      <w:lvlText w:val="%2"/>
      <w:numFmt w:val="lowerLetter"/>
      <w:start w:val="1"/>
    </w:lvl>
  </w:abstractNum>
  <w:abstractNum w:abstractNumId="152">
    <w:nsid w:val="52D7B105"/>
    <w:multiLevelType w:val="hybridMultilevel"/>
    <w:lvl w:ilvl="0">
      <w:lvlJc w:val="left"/>
      <w:lvlText w:val="(%1)"/>
      <w:numFmt w:val="lowerLetter"/>
      <w:start w:val="6"/>
    </w:lvl>
  </w:abstractNum>
  <w:abstractNum w:abstractNumId="153">
    <w:nsid w:val="2E8A6394"/>
    <w:multiLevelType w:val="hybridMultilevel"/>
    <w:lvl w:ilvl="0">
      <w:lvlJc w:val="left"/>
      <w:lvlText w:val="(%1)"/>
      <w:numFmt w:val="lowerLetter"/>
      <w:start w:val="1"/>
    </w:lvl>
  </w:abstractNum>
  <w:abstractNum w:abstractNumId="154">
    <w:nsid w:val="24E60401"/>
    <w:multiLevelType w:val="hybridMultilevel"/>
    <w:lvl w:ilvl="0">
      <w:lvlJc w:val="left"/>
      <w:lvlText w:val="(%1)"/>
      <w:numFmt w:val="lowerLetter"/>
      <w:start w:val="3"/>
    </w:lvl>
  </w:abstractNum>
  <w:abstractNum w:abstractNumId="155">
    <w:nsid w:val="2A6AD9BE"/>
    <w:multiLevelType w:val="hybridMultilevel"/>
    <w:lvl w:ilvl="0">
      <w:lvlJc w:val="left"/>
      <w:lvlText w:val="%1."/>
      <w:numFmt w:val="decimal"/>
      <w:start w:val="1"/>
    </w:lvl>
  </w:abstractNum>
  <w:abstractNum w:abstractNumId="156">
    <w:nsid w:val="BAAC1B4"/>
    <w:multiLevelType w:val="hybridMultilevel"/>
    <w:lvl w:ilvl="0">
      <w:lvlJc w:val="left"/>
      <w:lvlText w:val="(%1)"/>
      <w:numFmt w:val="lowerLetter"/>
      <w:start w:val="1"/>
    </w:lvl>
  </w:abstractNum>
  <w:abstractNum w:abstractNumId="157">
    <w:nsid w:val="36B2ACBC"/>
    <w:multiLevelType w:val="hybridMultilevel"/>
    <w:lvl w:ilvl="0">
      <w:lvlJc w:val="left"/>
      <w:lvlText w:val="(%1)"/>
      <w:numFmt w:val="decimal"/>
      <w:start w:val="1"/>
    </w:lvl>
  </w:abstractNum>
  <w:abstractNum w:abstractNumId="158">
    <w:nsid w:val="779D8544"/>
    <w:multiLevelType w:val="hybridMultilevel"/>
    <w:lvl w:ilvl="0">
      <w:lvlJc w:val="left"/>
      <w:lvlText w:val="%1."/>
      <w:numFmt w:val="decimal"/>
      <w:start w:val="2"/>
    </w:lvl>
  </w:abstractNum>
  <w:abstractNum w:abstractNumId="159">
    <w:nsid w:val="4AB26E78"/>
    <w:multiLevelType w:val="hybridMultilevel"/>
    <w:lvl w:ilvl="0">
      <w:lvlJc w:val="left"/>
      <w:lvlText w:val="%1"/>
      <w:numFmt w:val="decimal"/>
      <w:start w:val="1"/>
    </w:lvl>
    <w:lvl w:ilvl="1">
      <w:lvlJc w:val="left"/>
      <w:lvlText w:val="(%2)"/>
      <w:numFmt w:val="lowerRoman"/>
      <w:start w:val="2"/>
    </w:lvl>
  </w:abstractNum>
  <w:abstractNum w:abstractNumId="160">
    <w:nsid w:val="21FAA2FA"/>
    <w:multiLevelType w:val="hybridMultilevel"/>
    <w:lvl w:ilvl="0">
      <w:lvlJc w:val="left"/>
      <w:lvlText w:val="(%1)"/>
      <w:numFmt w:val="decimal"/>
      <w:start w:val="4"/>
    </w:lvl>
    <w:lvl w:ilvl="1">
      <w:lvlJc w:val="left"/>
      <w:lvlText w:val="%2"/>
      <w:numFmt w:val="lowerRoman"/>
      <w:start w:val="1"/>
    </w:lvl>
  </w:abstractNum>
  <w:abstractNum w:abstractNumId="161">
    <w:nsid w:val="5451CF49"/>
    <w:multiLevelType w:val="hybridMultilevel"/>
    <w:lvl w:ilvl="0">
      <w:lvlJc w:val="left"/>
      <w:lvlText w:val="%1."/>
      <w:numFmt w:val="decimal"/>
      <w:start w:val="3"/>
    </w:lvl>
  </w:abstractNum>
  <w:abstractNum w:abstractNumId="162">
    <w:nsid w:val="6181EF69"/>
    <w:multiLevelType w:val="hybridMultilevel"/>
    <w:lvl w:ilvl="0">
      <w:lvlJc w:val="left"/>
      <w:lvlText w:val="%1."/>
      <w:numFmt w:val="decimal"/>
      <w:start w:val="4"/>
    </w:lvl>
  </w:abstractNum>
  <w:abstractNum w:abstractNumId="163">
    <w:nsid w:val="3E6400E6"/>
    <w:multiLevelType w:val="hybridMultilevel"/>
    <w:lvl w:ilvl="0">
      <w:lvlJc w:val="left"/>
      <w:lvlText w:val="%1."/>
      <w:numFmt w:val="decimal"/>
      <w:start w:val="5"/>
    </w:lvl>
  </w:abstractNum>
  <w:abstractNum w:abstractNumId="164">
    <w:nsid w:val="14217E23"/>
    <w:multiLevelType w:val="hybridMultilevel"/>
    <w:lvl w:ilvl="0">
      <w:lvlJc w:val="left"/>
      <w:lvlText w:val="%1."/>
      <w:numFmt w:val="decimal"/>
      <w:start w:val="7"/>
    </w:lvl>
  </w:abstractNum>
  <w:abstractNum w:abstractNumId="165">
    <w:nsid w:val="710757D0"/>
    <w:multiLevelType w:val="hybridMultilevel"/>
    <w:lvl w:ilvl="0">
      <w:lvlJc w:val="left"/>
      <w:lvlText w:val="(%1)"/>
      <w:numFmt w:val="lowerLetter"/>
      <w:start w:val="1"/>
    </w:lvl>
    <w:lvl w:ilvl="1">
      <w:lvlJc w:val="left"/>
      <w:lvlText w:val="(%2)"/>
      <w:numFmt w:val="lowerLetter"/>
      <w:start w:val="9"/>
    </w:lvl>
  </w:abstractNum>
  <w:abstractNum w:abstractNumId="166">
    <w:nsid w:val="5015CD1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167">
    <w:nsid w:val="424479D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68">
    <w:nsid w:val="1A9A9E69"/>
    <w:multiLevelType w:val="hybridMultilevel"/>
    <w:lvl w:ilvl="0">
      <w:lvlJc w:val="left"/>
      <w:lvlText w:val="(%1)"/>
      <w:numFmt w:val="lowerRoman"/>
      <w:start w:val="4"/>
    </w:lvl>
    <w:lvl w:ilvl="1">
      <w:lvlJc w:val="left"/>
      <w:lvlText w:val="(%2)"/>
      <w:numFmt w:val="lowerLetter"/>
      <w:start w:val="4"/>
    </w:lvl>
    <w:lvl w:ilvl="2">
      <w:lvlJc w:val="left"/>
      <w:lvlText w:val="%3"/>
      <w:numFmt w:val="lowerRoman"/>
      <w:start w:val="1"/>
    </w:lvl>
  </w:abstractNum>
  <w:abstractNum w:abstractNumId="169">
    <w:nsid w:val="475E256A"/>
    <w:multiLevelType w:val="hybridMultilevel"/>
    <w:lvl w:ilvl="0">
      <w:lvlJc w:val="left"/>
      <w:lvlText w:val="(%1)"/>
      <w:numFmt w:val="lowerLetter"/>
      <w:start w:val="5"/>
    </w:lvl>
  </w:abstractNum>
  <w:abstractNum w:abstractNumId="170">
    <w:nsid w:val="368DB37E"/>
    <w:multiLevelType w:val="hybridMultilevel"/>
    <w:lvl w:ilvl="0">
      <w:lvlJc w:val="left"/>
      <w:lvlText w:val="%1."/>
      <w:numFmt w:val="decimal"/>
      <w:start w:val="8"/>
    </w:lvl>
  </w:abstractNum>
  <w:abstractNum w:abstractNumId="171">
    <w:nsid w:val="6A3B714C"/>
    <w:multiLevelType w:val="hybridMultilevel"/>
    <w:lvl w:ilvl="0">
      <w:lvlJc w:val="left"/>
      <w:lvlText w:val="%1"/>
      <w:numFmt w:val="decimal"/>
      <w:start w:val="1"/>
    </w:lvl>
    <w:lvl w:ilvl="1">
      <w:lvlJc w:val="left"/>
      <w:lvlText w:val="(%2)"/>
      <w:numFmt w:val="lowerLetter"/>
      <w:start w:val="1"/>
    </w:lvl>
  </w:abstractNum>
  <w:abstractNum w:abstractNumId="172">
    <w:nsid w:val="327B517E"/>
    <w:multiLevelType w:val="hybridMultilevel"/>
    <w:lvl w:ilvl="0">
      <w:lvlJc w:val="left"/>
      <w:lvlText w:val="(%1)"/>
      <w:numFmt w:val="decimal"/>
      <w:start w:val="2"/>
    </w:lvl>
    <w:lvl w:ilvl="1">
      <w:lvlJc w:val="left"/>
      <w:lvlText w:val="(%2)"/>
      <w:numFmt w:val="lowerLetter"/>
      <w:start w:val="3"/>
    </w:lvl>
  </w:abstractNum>
  <w:abstractNum w:abstractNumId="173">
    <w:nsid w:val="1F461B51"/>
    <w:multiLevelType w:val="hybridMultilevel"/>
    <w:lvl w:ilvl="0">
      <w:lvlJc w:val="left"/>
      <w:lvlText w:val="%1"/>
      <w:numFmt w:val="upperLetter"/>
      <w:start w:val="1"/>
    </w:lvl>
    <w:lvl w:ilvl="1">
      <w:lvlJc w:val="left"/>
      <w:lvlText w:val="(%2)"/>
      <w:numFmt w:val="lowerLetter"/>
      <w:start w:val="4"/>
    </w:lvl>
  </w:abstractNum>
  <w:abstractNum w:abstractNumId="174">
    <w:nsid w:val="29BACF25"/>
    <w:multiLevelType w:val="hybridMultilevel"/>
    <w:lvl w:ilvl="0">
      <w:lvlJc w:val="left"/>
      <w:lvlText w:val="(%1)"/>
      <w:numFmt w:val="upperLetter"/>
      <w:start w:val="4"/>
    </w:lvl>
    <w:lvl w:ilvl="1">
      <w:lvlJc w:val="left"/>
      <w:lvlText w:val="(%2)"/>
      <w:numFmt w:val="lowerLetter"/>
      <w:start w:val="5"/>
    </w:lvl>
  </w:abstractNum>
  <w:abstractNum w:abstractNumId="175">
    <w:nsid w:val="5D5BABB3"/>
    <w:multiLevelType w:val="hybridMultilevel"/>
    <w:lvl w:ilvl="0">
      <w:lvlJc w:val="left"/>
      <w:lvlText w:val="(%1)"/>
      <w:numFmt w:val="decimal"/>
      <w:start w:val="7"/>
    </w:lvl>
  </w:abstractNum>
  <w:abstractNum w:abstractNumId="176">
    <w:nsid w:val="51BF6B48"/>
    <w:multiLevelType w:val="hybridMultilevel"/>
    <w:lvl w:ilvl="0">
      <w:lvlJc w:val="left"/>
      <w:lvlText w:val="%1"/>
      <w:numFmt w:val="decimal"/>
      <w:start w:val="1"/>
    </w:lvl>
    <w:lvl w:ilvl="1">
      <w:lvlJc w:val="left"/>
      <w:lvlText w:val="(%2)"/>
      <w:numFmt w:val="lowerLetter"/>
      <w:start w:val="6"/>
    </w:lvl>
  </w:abstractNum>
  <w:abstractNum w:abstractNumId="177">
    <w:nsid w:val="7E0F6384"/>
    <w:multiLevelType w:val="hybridMultilevel"/>
    <w:lvl w:ilvl="0">
      <w:lvlJc w:val="left"/>
      <w:lvlText w:val="(%1)"/>
      <w:numFmt w:val="decimal"/>
      <w:start w:val="8"/>
    </w:lvl>
    <w:lvl w:ilvl="1">
      <w:lvlJc w:val="left"/>
      <w:lvlText w:val="%2"/>
      <w:numFmt w:val="lowerLetter"/>
      <w:start w:val="1"/>
    </w:lvl>
  </w:abstractNum>
  <w:abstractNum w:abstractNumId="178">
    <w:nsid w:val="2B4B8B53"/>
    <w:multiLevelType w:val="hybridMultilevel"/>
    <w:lvl w:ilvl="0">
      <w:lvlJc w:val="left"/>
      <w:lvlText w:val="(%1)"/>
      <w:numFmt w:val="upperLetter"/>
      <w:start w:val="1"/>
    </w:lvl>
  </w:abstractNum>
  <w:abstractNum w:abstractNumId="179">
    <w:nsid w:val="72E3413A"/>
    <w:multiLevelType w:val="hybridMultilevel"/>
    <w:lvl w:ilvl="0">
      <w:lvlJc w:val="left"/>
      <w:lvlText w:val="%1"/>
      <w:numFmt w:val="upperLetter"/>
      <w:start w:val="1"/>
    </w:lvl>
    <w:lvl w:ilvl="1">
      <w:lvlJc w:val="left"/>
      <w:lvlText w:val="(%2)"/>
      <w:numFmt w:val="upperLetter"/>
      <w:start w:val="5"/>
    </w:lvl>
  </w:abstractNum>
  <w:abstractNum w:abstractNumId="180">
    <w:nsid w:val="116AE494"/>
    <w:multiLevelType w:val="hybridMultilevel"/>
    <w:lvl w:ilvl="0">
      <w:lvlJc w:val="left"/>
      <w:lvlText w:val="(%1)"/>
      <w:numFmt w:val="upperLetter"/>
      <w:start w:val="5"/>
    </w:lvl>
    <w:lvl w:ilvl="1">
      <w:lvlJc w:val="left"/>
      <w:lvlText w:val="%2"/>
      <w:numFmt w:val="upperLetter"/>
      <w:start w:val="1"/>
    </w:lvl>
  </w:abstractNum>
  <w:abstractNum w:abstractNumId="181">
    <w:nsid w:val="3494B2FB"/>
    <w:multiLevelType w:val="hybridMultilevel"/>
    <w:lvl w:ilvl="0">
      <w:lvlJc w:val="left"/>
      <w:lvlText w:val="%1"/>
      <w:numFmt w:val="lowerLetter"/>
      <w:start w:val="1"/>
    </w:lvl>
    <w:lvl w:ilvl="1">
      <w:lvlJc w:val="left"/>
      <w:lvlText w:val="(%2)"/>
      <w:numFmt w:val="upperLetter"/>
      <w:start w:val="7"/>
    </w:lvl>
  </w:abstractNum>
  <w:abstractNum w:abstractNumId="182">
    <w:nsid w:val="B13A31"/>
    <w:multiLevelType w:val="hybridMultilevel"/>
    <w:lvl w:ilvl="0">
      <w:lvlJc w:val="left"/>
      <w:lvlText w:val="(%1)"/>
      <w:numFmt w:val="lowerLetter"/>
      <w:start w:val="7"/>
    </w:lvl>
    <w:lvl w:ilvl="1">
      <w:lvlJc w:val="left"/>
      <w:lvlText w:val="%2"/>
      <w:numFmt w:val="upperLetter"/>
      <w:start w:val="1"/>
    </w:lvl>
  </w:abstractNum>
  <w:abstractNum w:abstractNumId="183">
    <w:nsid w:val="64429599"/>
    <w:multiLevelType w:val="hybridMultilevel"/>
    <w:lvl w:ilvl="0">
      <w:lvlJc w:val="left"/>
      <w:lvlText w:val="(%1)"/>
      <w:numFmt w:val="lowerRoman"/>
      <w:start w:val="2"/>
    </w:lvl>
  </w:abstractNum>
  <w:abstractNum w:abstractNumId="184">
    <w:nsid w:val="631F1690"/>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9"/>
    </w:lvl>
  </w:abstractNum>
  <w:abstractNum w:abstractNumId="185">
    <w:nsid w:val="25973E32"/>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35"/>
    </w:lvl>
  </w:abstractNum>
  <w:abstractNum w:abstractNumId="186">
    <w:nsid w:val="EAD6F57"/>
    <w:multiLevelType w:val="hybridMultilevel"/>
    <w:lvl w:ilvl="0">
      <w:lvlJc w:val="left"/>
      <w:lvlText w:val="%1"/>
      <w:numFmt w:val="lowerLetter"/>
      <w:start w:val="1"/>
    </w:lvl>
    <w:lvl w:ilvl="1">
      <w:lvlJc w:val="left"/>
      <w:lvlText w:val="(%2)"/>
      <w:numFmt w:val="lowerRoman"/>
      <w:start w:val="3"/>
    </w:lvl>
  </w:abstractNum>
  <w:abstractNum w:abstractNumId="187">
    <w:nsid w:val="6EC9D844"/>
    <w:multiLevelType w:val="hybridMultilevel"/>
    <w:lvl w:ilvl="0">
      <w:lvlJc w:val="left"/>
      <w:lvlText w:val="(%1)"/>
      <w:numFmt w:val="lowerLetter"/>
      <w:start w:val="14"/>
    </w:lvl>
    <w:lvl w:ilvl="1">
      <w:lvlJc w:val="left"/>
      <w:lvlText w:val="%2"/>
      <w:numFmt w:val="lowerRoman"/>
      <w:start w:val="1"/>
    </w:lvl>
  </w:abstractNum>
  <w:abstractNum w:abstractNumId="188">
    <w:nsid w:val="5C49EAEE"/>
    <w:multiLevelType w:val="hybridMultilevel"/>
    <w:lvl w:ilvl="0">
      <w:lvlJc w:val="left"/>
      <w:lvlText w:val="%1"/>
      <w:numFmt w:val="lowerLetter"/>
      <w:start w:val="1"/>
    </w:lvl>
    <w:lvl w:ilvl="1">
      <w:lvlJc w:val="left"/>
      <w:lvlText w:val="(%2)"/>
      <w:numFmt w:val="lowerLetter"/>
      <w:start w:val="17"/>
    </w:lvl>
  </w:abstractNum>
  <w:abstractNum w:abstractNumId="189">
    <w:nsid w:val="64AF49B"/>
    <w:multiLevelType w:val="hybridMultilevel"/>
    <w:lvl w:ilvl="0">
      <w:lvlJc w:val="left"/>
      <w:lvlText w:val="(%1)"/>
      <w:numFmt w:val="lowerLetter"/>
      <w:start w:val="35"/>
    </w:lvl>
    <w:lvl w:ilvl="1">
      <w:lvlJc w:val="left"/>
      <w:lvlText w:val="(%2)"/>
      <w:numFmt w:val="lowerLetter"/>
      <w:start w:val="21"/>
    </w:lvl>
  </w:abstractNum>
  <w:abstractNum w:abstractNumId="190">
    <w:nsid w:val="397C46B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2019-12-28T21:24:06Z</dcterms:created>
  <dcterms:modified xsi:type="dcterms:W3CDTF">2019-12-28T21:24:06Z</dcterms:modified>
</cp:coreProperties>
</file>