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597535</wp:posOffset>
            </wp:positionH>
            <wp:positionV relativeFrom="page">
              <wp:posOffset>574040</wp:posOffset>
            </wp:positionV>
            <wp:extent cx="66833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83375" cy="6985"/>
                    </a:xfrm>
                    <a:prstGeom prst="rect">
                      <a:avLst/>
                    </a:prstGeom>
                    <a:noFill/>
                  </pic:spPr>
                </pic:pic>
              </a:graphicData>
            </a:graphic>
          </wp:anchor>
        </w:drawing>
        <w:drawing>
          <wp:anchor simplePos="0" relativeHeight="251657728" behindDoc="1" locked="0" layoutInCell="0" allowOverlap="1">
            <wp:simplePos x="0" y="0"/>
            <wp:positionH relativeFrom="page">
              <wp:posOffset>597535</wp:posOffset>
            </wp:positionH>
            <wp:positionV relativeFrom="page">
              <wp:posOffset>594360</wp:posOffset>
            </wp:positionV>
            <wp:extent cx="66833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83375" cy="6985"/>
                    </a:xfrm>
                    <a:prstGeom prst="rect">
                      <a:avLst/>
                    </a:prstGeom>
                    <a:noFill/>
                  </pic:spPr>
                </pic:pic>
              </a:graphicData>
            </a:graphic>
          </wp:anchor>
        </w:drawing>
        <w:t>UNITED STATES</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3"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4"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6" w:lineRule="exact"/>
        <w:rPr>
          <w:sz w:val="24"/>
          <w:szCs w:val="24"/>
          <w:color w:val="auto"/>
        </w:rPr>
      </w:pPr>
    </w:p>
    <w:p>
      <w:pPr>
        <w:ind w:left="320" w:hanging="315"/>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53" w:lineRule="exact"/>
        <w:rPr>
          <w:rFonts w:ascii="MS PGothic" w:cs="MS PGothic" w:eastAsia="MS PGothic" w:hAnsi="MS PGothic"/>
          <w:sz w:val="17"/>
          <w:szCs w:val="17"/>
          <w:color w:val="auto"/>
        </w:rPr>
      </w:pPr>
    </w:p>
    <w:p>
      <w:pPr>
        <w:ind w:left="4260"/>
        <w:spacing w:after="0"/>
        <w:rPr>
          <w:rFonts w:ascii="MS PGothic" w:cs="MS PGothic" w:eastAsia="MS PGothic" w:hAnsi="MS PGothic"/>
          <w:sz w:val="17"/>
          <w:szCs w:val="17"/>
          <w:color w:val="auto"/>
        </w:rPr>
      </w:pPr>
      <w:r>
        <w:rPr>
          <w:rFonts w:ascii="Times New Roman" w:cs="Times New Roman" w:eastAsia="Times New Roman" w:hAnsi="Times New Roman"/>
          <w:sz w:val="14"/>
          <w:szCs w:val="14"/>
          <w:b w:val="1"/>
          <w:bCs w:val="1"/>
          <w:color w:val="auto"/>
        </w:rPr>
        <w:t>For the quarterly period ended April 30, 2026</w:t>
      </w:r>
    </w:p>
    <w:p>
      <w:pPr>
        <w:spacing w:after="0" w:line="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8" w:lineRule="exact"/>
        <w:rPr>
          <w:sz w:val="24"/>
          <w:szCs w:val="24"/>
          <w:color w:val="auto"/>
        </w:rPr>
      </w:pPr>
    </w:p>
    <w:p>
      <w:pPr>
        <w:ind w:left="300" w:hanging="295"/>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6" w:lineRule="exact"/>
        <w:rPr>
          <w:sz w:val="24"/>
          <w:szCs w:val="24"/>
          <w:color w:val="auto"/>
        </w:rPr>
      </w:pPr>
    </w:p>
    <w:tbl>
      <w:tblPr>
        <w:tblLayout w:type="fixed"/>
        <w:tblInd w:w="434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80" w:type="dxa"/>
            <w:vAlign w:val="bottom"/>
            <w:tcBorders>
              <w:bottom w:val="single" w:sz="8" w:color="auto"/>
            </w:tcBorders>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300" w:type="dxa"/>
            <w:vAlign w:val="bottom"/>
            <w:tcBorders>
              <w:bottom w:val="single" w:sz="8" w:color="auto"/>
            </w:tcBorders>
          </w:tcPr>
          <w:p>
            <w:pPr>
              <w:spacing w:after="0"/>
              <w:rPr>
                <w:sz w:val="13"/>
                <w:szCs w:val="13"/>
                <w:color w:val="auto"/>
              </w:rPr>
            </w:pPr>
          </w:p>
        </w:tc>
      </w:tr>
      <w:tr>
        <w:trPr>
          <w:trHeight w:val="266"/>
        </w:trPr>
        <w:tc>
          <w:tcPr>
            <w:tcW w:w="26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001-38240</w:t>
            </w:r>
          </w:p>
        </w:tc>
      </w:tr>
      <w:tr>
        <w:trPr>
          <w:trHeight w:val="172"/>
        </w:trPr>
        <w:tc>
          <w:tcPr>
            <w:tcW w:w="1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___________________</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MONGODB, INC.</w:t>
      </w:r>
    </w:p>
    <w:p>
      <w:pPr>
        <w:spacing w:after="0" w:line="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117" w:lineRule="exact"/>
        <w:rPr>
          <w:sz w:val="24"/>
          <w:szCs w:val="24"/>
          <w:color w:val="auto"/>
        </w:rPr>
      </w:pPr>
    </w:p>
    <w:tbl>
      <w:tblPr>
        <w:tblLayout w:type="fixed"/>
        <w:tblInd w:w="2860" w:type="dxa"/>
        <w:tblCellMar>
          <w:top w:w="0" w:type="dxa"/>
          <w:left w:w="0" w:type="dxa"/>
          <w:bottom w:w="0" w:type="dxa"/>
          <w:right w:w="0" w:type="dxa"/>
        </w:tblCellMar>
      </w:tblPr>
      <w:tr>
        <w:trPr>
          <w:trHeight w:val="178"/>
        </w:trPr>
        <w:tc>
          <w:tcPr>
            <w:tcW w:w="3040" w:type="dxa"/>
            <w:vAlign w:val="bottom"/>
          </w:tcPr>
          <w:p>
            <w:pPr>
              <w:jc w:val="center"/>
              <w:ind w:right="103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2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26-1463205</w:t>
            </w:r>
          </w:p>
        </w:tc>
      </w:tr>
      <w:tr>
        <w:trPr>
          <w:trHeight w:val="115"/>
        </w:trPr>
        <w:tc>
          <w:tcPr>
            <w:tcW w:w="3040" w:type="dxa"/>
            <w:vAlign w:val="bottom"/>
          </w:tcPr>
          <w:p>
            <w:pPr>
              <w:jc w:val="center"/>
              <w:ind w:right="1076"/>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020" w:type="dxa"/>
            <w:vAlign w:val="bottom"/>
          </w:tcPr>
          <w:p>
            <w:pPr>
              <w:jc w:val="center"/>
              <w:ind w:left="1058"/>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3040" w:type="dxa"/>
            <w:vAlign w:val="bottom"/>
          </w:tcPr>
          <w:p>
            <w:pPr>
              <w:jc w:val="center"/>
              <w:ind w:right="1036"/>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020" w:type="dxa"/>
            <w:vAlign w:val="bottom"/>
          </w:tcPr>
          <w:p>
            <w:pPr>
              <w:jc w:val="center"/>
              <w:ind w:left="107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23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1633 Broadway, 38th Floor</w:t>
            </w:r>
          </w:p>
        </w:tc>
        <w:tc>
          <w:tcPr>
            <w:tcW w:w="2020" w:type="dxa"/>
            <w:vAlign w:val="bottom"/>
          </w:tcPr>
          <w:p>
            <w:pPr>
              <w:spacing w:after="0"/>
              <w:rPr>
                <w:sz w:val="20"/>
                <w:szCs w:val="20"/>
                <w:color w:val="auto"/>
              </w:rPr>
            </w:pPr>
          </w:p>
        </w:tc>
      </w:tr>
      <w:tr>
        <w:trPr>
          <w:trHeight w:val="225"/>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New York, NY</w:t>
            </w:r>
          </w:p>
        </w:tc>
        <w:tc>
          <w:tcPr>
            <w:tcW w:w="202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10019</w:t>
            </w:r>
          </w:p>
        </w:tc>
      </w:tr>
      <w:tr>
        <w:trPr>
          <w:trHeight w:val="149"/>
        </w:trPr>
        <w:tc>
          <w:tcPr>
            <w:tcW w:w="3040" w:type="dxa"/>
            <w:vAlign w:val="bottom"/>
          </w:tcPr>
          <w:p>
            <w:pPr>
              <w:jc w:val="center"/>
              <w:ind w:right="1036"/>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020" w:type="dxa"/>
            <w:vAlign w:val="bottom"/>
          </w:tcPr>
          <w:p>
            <w:pPr>
              <w:jc w:val="center"/>
              <w:ind w:left="1078"/>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16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646-727-4092</w:t>
      </w:r>
    </w:p>
    <w:p>
      <w:pPr>
        <w:spacing w:after="0" w:line="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34" w:lineRule="exact"/>
        <w:rPr>
          <w:sz w:val="24"/>
          <w:szCs w:val="24"/>
          <w:color w:val="auto"/>
        </w:rPr>
      </w:pPr>
    </w:p>
    <w:tbl>
      <w:tblPr>
        <w:tblLayout w:type="fixed"/>
        <w:tblInd w:w="2020" w:type="dxa"/>
        <w:tblCellMar>
          <w:top w:w="0" w:type="dxa"/>
          <w:left w:w="0" w:type="dxa"/>
          <w:bottom w:w="0" w:type="dxa"/>
          <w:right w:w="0" w:type="dxa"/>
        </w:tblCellMar>
      </w:tblPr>
      <w:tr>
        <w:trPr>
          <w:trHeight w:val="186"/>
        </w:trPr>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29"/>
        </w:trPr>
        <w:tc>
          <w:tcPr>
            <w:tcW w:w="23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Common Stock, par value $0.001 per</w:t>
            </w:r>
          </w:p>
        </w:tc>
        <w:tc>
          <w:tcPr>
            <w:tcW w:w="120" w:type="dxa"/>
            <w:vAlign w:val="bottom"/>
          </w:tcPr>
          <w:p>
            <w:pPr>
              <w:spacing w:after="0"/>
              <w:rPr>
                <w:sz w:val="11"/>
                <w:szCs w:val="11"/>
                <w:color w:val="auto"/>
              </w:rPr>
            </w:pPr>
          </w:p>
        </w:tc>
        <w:tc>
          <w:tcPr>
            <w:tcW w:w="23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MDB</w:t>
            </w:r>
          </w:p>
        </w:tc>
        <w:tc>
          <w:tcPr>
            <w:tcW w:w="120" w:type="dxa"/>
            <w:vAlign w:val="bottom"/>
          </w:tcPr>
          <w:p>
            <w:pPr>
              <w:spacing w:after="0"/>
              <w:rPr>
                <w:sz w:val="11"/>
                <w:szCs w:val="11"/>
                <w:color w:val="auto"/>
              </w:rPr>
            </w:pPr>
          </w:p>
        </w:tc>
        <w:tc>
          <w:tcPr>
            <w:tcW w:w="26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The Nasdaq Stock Market LLC</w:t>
            </w:r>
          </w:p>
        </w:tc>
      </w:tr>
      <w:tr>
        <w:trPr>
          <w:trHeight w:val="222"/>
        </w:trPr>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share</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bl>
    <w:p>
      <w:pPr>
        <w:spacing w:after="0" w:line="100" w:lineRule="exact"/>
        <w:rPr>
          <w:sz w:val="24"/>
          <w:szCs w:val="24"/>
          <w:color w:val="auto"/>
        </w:rPr>
      </w:pPr>
    </w:p>
    <w:p>
      <w:pPr>
        <w:ind w:right="260" w:firstLine="350"/>
        <w:spacing w:after="0" w:line="20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firstLine="350"/>
        <w:spacing w:after="0" w:line="20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6"/>
          <w:szCs w:val="16"/>
          <w:color w:val="auto"/>
        </w:rPr>
        <w:t>☐</w:t>
      </w:r>
    </w:p>
    <w:p>
      <w:pPr>
        <w:ind w:right="20" w:firstLine="35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00" w:top="1001" w:right="419" w:bottom="1440" w:gutter="0" w:footer="0" w:header="0"/>
        </w:sectPr>
      </w:pPr>
    </w:p>
    <w:p>
      <w:pPr>
        <w:spacing w:after="0" w:line="68"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3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7" w:lineRule="exact"/>
        <w:rPr>
          <w:sz w:val="24"/>
          <w:szCs w:val="24"/>
          <w:color w:val="auto"/>
        </w:rPr>
      </w:pPr>
    </w:p>
    <w:p>
      <w:pPr>
        <w:sectPr>
          <w:pgSz w:w="11900" w:h="16838" w:orient="portrait"/>
          <w:cols w:equalWidth="0" w:num="4">
            <w:col w:w="2280" w:space="720"/>
            <w:col w:w="4020" w:space="720"/>
            <w:col w:w="1920" w:space="720"/>
            <w:col w:w="800"/>
          </w:cols>
          <w:pgMar w:left="300" w:top="1001" w:right="419" w:bottom="1440" w:gutter="0" w:footer="0" w:header="0"/>
          <w:type w:val="continuous"/>
        </w:sectPr>
      </w:pPr>
    </w:p>
    <w:p>
      <w:pPr>
        <w:ind w:right="340" w:firstLine="350"/>
        <w:spacing w:after="0" w:line="20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60" w:right="3780"/>
        <w:spacing w:after="0" w:line="20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As of May 27, 2026, there were 80,431,927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535305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69850</wp:posOffset>
            </wp:positionV>
            <wp:extent cx="66833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3375" cy="698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90170</wp:posOffset>
            </wp:positionV>
            <wp:extent cx="66833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3375" cy="6985"/>
                    </a:xfrm>
                    <a:prstGeom prst="rect">
                      <a:avLst/>
                    </a:prstGeom>
                    <a:noFill/>
                  </pic:spPr>
                </pic:pic>
              </a:graphicData>
            </a:graphic>
          </wp:anchor>
        </w:drawing>
      </w:r>
    </w:p>
    <w:p>
      <w:pPr>
        <w:sectPr>
          <w:pgSz w:w="11900" w:h="16838" w:orient="portrait"/>
          <w:cols w:equalWidth="0" w:num="1">
            <w:col w:w="11180"/>
          </w:cols>
          <w:pgMar w:left="300" w:top="1001" w:right="41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0000FF"/>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0000FF"/>
        </w:rPr>
        <w:t>Item 2.</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0000FF"/>
        </w:rPr>
        <w:t>Item 3.</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0000FF"/>
        </w:rPr>
        <w:t>Item 4.</w:t>
      </w:r>
    </w:p>
    <w:p>
      <w:pPr>
        <w:spacing w:after="0" w:line="200" w:lineRule="exact"/>
        <w:rPr>
          <w:sz w:val="20"/>
          <w:szCs w:val="20"/>
          <w:color w:val="auto"/>
        </w:rPr>
      </w:pPr>
    </w:p>
    <w:p>
      <w:pPr>
        <w:spacing w:after="0" w:line="276" w:lineRule="exact"/>
        <w:rPr>
          <w:sz w:val="20"/>
          <w:szCs w:val="20"/>
          <w:color w:val="auto"/>
        </w:rPr>
      </w:pPr>
    </w:p>
    <w:p>
      <w:pPr>
        <w:ind w:firstLine="32"/>
        <w:spacing w:after="0" w:line="384" w:lineRule="auto"/>
        <w:rPr>
          <w:sz w:val="20"/>
          <w:szCs w:val="20"/>
          <w:color w:val="auto"/>
        </w:rPr>
      </w:pPr>
      <w:r>
        <w:rPr>
          <w:rFonts w:ascii="Times New Roman" w:cs="Times New Roman" w:eastAsia="Times New Roman" w:hAnsi="Times New Roman"/>
          <w:sz w:val="14"/>
          <w:szCs w:val="14"/>
          <w:u w:val="single" w:color="auto"/>
          <w:color w:val="0000FF"/>
        </w:rPr>
        <w:t>Item 1. Item 1A. Item 2. Item 3. Item 4. Item 5. Item 6. Signatures</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5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38"/>
        </w:trPr>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520" w:type="dxa"/>
            <w:vAlign w:val="bottom"/>
            <w:gridSpan w:val="13"/>
          </w:tcPr>
          <w:p>
            <w:pPr>
              <w:jc w:val="center"/>
              <w:ind w:right="2360"/>
              <w:spacing w:after="0" w:line="138" w:lineRule="exact"/>
              <w:rPr>
                <w:sz w:val="20"/>
                <w:szCs w:val="20"/>
                <w:color w:val="auto"/>
              </w:rPr>
            </w:pPr>
            <w:r>
              <w:rPr>
                <w:rFonts w:ascii="Times New Roman" w:cs="Times New Roman" w:eastAsia="Times New Roman" w:hAnsi="Times New Roman"/>
                <w:sz w:val="14"/>
                <w:szCs w:val="14"/>
                <w:b w:val="1"/>
                <w:bCs w:val="1"/>
                <w:color w:val="0000FF"/>
                <w:w w:val="99"/>
              </w:rPr>
              <w:t>PART I. FINANCIAL INFORMATION</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5"/>
        </w:trPr>
        <w:tc>
          <w:tcPr>
            <w:tcW w:w="32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2400" w:type="dxa"/>
            <w:vAlign w:val="bottom"/>
            <w:tcBorders>
              <w:top w:val="single" w:sz="8" w:color="0000FF"/>
            </w:tcBorders>
            <w:gridSpan w:val="8"/>
          </w:tcPr>
          <w:p>
            <w:pPr>
              <w:spacing w:after="0"/>
              <w:rPr>
                <w:sz w:val="20"/>
                <w:szCs w:val="20"/>
                <w:color w:val="auto"/>
              </w:rPr>
            </w:pPr>
          </w:p>
        </w:tc>
        <w:tc>
          <w:tcPr>
            <w:tcW w:w="3740" w:type="dxa"/>
            <w:vAlign w:val="bottom"/>
            <w:gridSpan w:val="4"/>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w:t>
            </w:r>
          </w:p>
        </w:tc>
        <w:tc>
          <w:tcPr>
            <w:tcW w:w="20" w:type="dxa"/>
            <w:vAlign w:val="bottom"/>
          </w:tcPr>
          <w:p>
            <w:pPr>
              <w:spacing w:after="0"/>
              <w:rPr>
                <w:sz w:val="20"/>
                <w:szCs w:val="20"/>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20" w:type="dxa"/>
            <w:vAlign w:val="bottom"/>
          </w:tcPr>
          <w:p>
            <w:pPr>
              <w:spacing w:after="0"/>
              <w:rPr>
                <w:sz w:val="14"/>
                <w:szCs w:val="14"/>
                <w:color w:val="auto"/>
              </w:rPr>
            </w:pPr>
          </w:p>
        </w:tc>
        <w:tc>
          <w:tcPr>
            <w:tcW w:w="47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Condensed Consolidated Balance Sheets as of April 30, 2026 and January 31, 2026</w:t>
            </w:r>
          </w:p>
        </w:tc>
        <w:tc>
          <w:tcPr>
            <w:tcW w:w="4540" w:type="dxa"/>
            <w:vAlign w:val="bottom"/>
            <w:gridSpan w:val="7"/>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w:t>
            </w:r>
          </w:p>
        </w:tc>
        <w:tc>
          <w:tcPr>
            <w:tcW w:w="20" w:type="dxa"/>
            <w:vAlign w:val="bottom"/>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20" w:type="dxa"/>
            <w:vAlign w:val="bottom"/>
          </w:tcPr>
          <w:p>
            <w:pPr>
              <w:spacing w:after="0"/>
              <w:rPr>
                <w:sz w:val="15"/>
                <w:szCs w:val="15"/>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 for the three months ended April 30, 2026 and 2025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w:t>
            </w:r>
          </w:p>
        </w:tc>
        <w:tc>
          <w:tcPr>
            <w:tcW w:w="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0" w:type="dxa"/>
            <w:vAlign w:val="bottom"/>
          </w:tcPr>
          <w:p>
            <w:pPr>
              <w:spacing w:after="0"/>
              <w:rPr>
                <w:sz w:val="13"/>
                <w:szCs w:val="13"/>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Loss for the three months ended April 30, 2026 and 2025</w:t>
            </w:r>
          </w:p>
        </w:tc>
        <w:tc>
          <w:tcPr>
            <w:tcW w:w="28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w:t>
            </w:r>
          </w:p>
        </w:tc>
        <w:tc>
          <w:tcPr>
            <w:tcW w:w="20" w:type="dxa"/>
            <w:vAlign w:val="bottom"/>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0" w:type="dxa"/>
            <w:vAlign w:val="bottom"/>
          </w:tcPr>
          <w:p>
            <w:pPr>
              <w:spacing w:after="0"/>
              <w:rPr>
                <w:sz w:val="13"/>
                <w:szCs w:val="13"/>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Condensed Consolidated Statements of Stockholders’ Equity for the three months ended April 30, 2026 and 2025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w:t>
            </w:r>
          </w:p>
        </w:tc>
        <w:tc>
          <w:tcPr>
            <w:tcW w:w="20" w:type="dxa"/>
            <w:vAlign w:val="bottom"/>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0" w:type="dxa"/>
            <w:vAlign w:val="bottom"/>
          </w:tcPr>
          <w:p>
            <w:pPr>
              <w:spacing w:after="0"/>
              <w:rPr>
                <w:sz w:val="13"/>
                <w:szCs w:val="13"/>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for the three months ended April 30, 2026 and 2025</w:t>
            </w:r>
          </w:p>
        </w:tc>
        <w:tc>
          <w:tcPr>
            <w:tcW w:w="28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w:t>
            </w:r>
          </w:p>
        </w:tc>
        <w:tc>
          <w:tcPr>
            <w:tcW w:w="20" w:type="dxa"/>
            <w:vAlign w:val="bottom"/>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0" w:type="dxa"/>
            <w:vAlign w:val="bottom"/>
          </w:tcPr>
          <w:p>
            <w:pPr>
              <w:spacing w:after="0"/>
              <w:rPr>
                <w:sz w:val="13"/>
                <w:szCs w:val="13"/>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2740" w:type="dxa"/>
            <w:vAlign w:val="bottom"/>
            <w:gridSpan w:val="9"/>
          </w:tcPr>
          <w:p>
            <w:pPr>
              <w:spacing w:after="0"/>
              <w:rPr>
                <w:sz w:val="13"/>
                <w:szCs w:val="13"/>
                <w:color w:val="auto"/>
              </w:rPr>
            </w:pPr>
          </w:p>
        </w:tc>
        <w:tc>
          <w:tcPr>
            <w:tcW w:w="3380" w:type="dxa"/>
            <w:vAlign w:val="bottom"/>
            <w:gridSpan w:val="2"/>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w:t>
            </w:r>
          </w:p>
        </w:tc>
        <w:tc>
          <w:tcPr>
            <w:tcW w:w="20" w:type="dxa"/>
            <w:vAlign w:val="bottom"/>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93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18</w:t>
            </w:r>
          </w:p>
        </w:tc>
        <w:tc>
          <w:tcPr>
            <w:tcW w:w="20" w:type="dxa"/>
            <w:vAlign w:val="bottom"/>
          </w:tcPr>
          <w:p>
            <w:pPr>
              <w:spacing w:after="0"/>
              <w:rPr>
                <w:sz w:val="20"/>
                <w:szCs w:val="20"/>
                <w:color w:val="auto"/>
              </w:rPr>
            </w:pPr>
          </w:p>
        </w:tc>
      </w:tr>
      <w:tr>
        <w:trPr>
          <w:trHeight w:val="235"/>
        </w:trPr>
        <w:tc>
          <w:tcPr>
            <w:tcW w:w="34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2"/>
          </w:tcPr>
          <w:p>
            <w:pPr>
              <w:spacing w:after="0"/>
              <w:rPr>
                <w:sz w:val="20"/>
                <w:szCs w:val="20"/>
                <w:color w:val="auto"/>
              </w:rPr>
            </w:pPr>
          </w:p>
        </w:tc>
        <w:tc>
          <w:tcPr>
            <w:tcW w:w="4320" w:type="dxa"/>
            <w:vAlign w:val="bottom"/>
            <w:gridSpan w:val="6"/>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24</w:t>
            </w:r>
          </w:p>
        </w:tc>
        <w:tc>
          <w:tcPr>
            <w:tcW w:w="20" w:type="dxa"/>
            <w:vAlign w:val="bottom"/>
          </w:tcPr>
          <w:p>
            <w:pPr>
              <w:spacing w:after="0"/>
              <w:rPr>
                <w:sz w:val="20"/>
                <w:szCs w:val="20"/>
                <w:color w:val="auto"/>
              </w:rPr>
            </w:pPr>
          </w:p>
        </w:tc>
      </w:tr>
      <w:tr>
        <w:trPr>
          <w:trHeight w:val="235"/>
        </w:trPr>
        <w:tc>
          <w:tcPr>
            <w:tcW w:w="93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25</w:t>
            </w:r>
          </w:p>
        </w:tc>
        <w:tc>
          <w:tcPr>
            <w:tcW w:w="20" w:type="dxa"/>
            <w:vAlign w:val="bottom"/>
          </w:tcPr>
          <w:p>
            <w:pPr>
              <w:spacing w:after="0"/>
              <w:rPr>
                <w:sz w:val="20"/>
                <w:szCs w:val="20"/>
                <w:color w:val="auto"/>
              </w:rPr>
            </w:pPr>
          </w:p>
        </w:tc>
      </w:tr>
      <w:tr>
        <w:trPr>
          <w:trHeight w:val="362"/>
        </w:trPr>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0000FF"/>
              </w:rPr>
              <w:t>PART II. OTHER INFORMATION</w:t>
            </w:r>
          </w:p>
        </w:tc>
        <w:tc>
          <w:tcPr>
            <w:tcW w:w="384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1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8"/>
              </w:rPr>
              <w:t>Legal Proceedings</w:t>
            </w:r>
          </w:p>
        </w:tc>
        <w:tc>
          <w:tcPr>
            <w:tcW w:w="8340" w:type="dxa"/>
            <w:vAlign w:val="bottom"/>
            <w:gridSpan w:val="15"/>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26</w:t>
            </w:r>
          </w:p>
        </w:tc>
        <w:tc>
          <w:tcPr>
            <w:tcW w:w="20" w:type="dxa"/>
            <w:vAlign w:val="bottom"/>
          </w:tcPr>
          <w:p>
            <w:pPr>
              <w:spacing w:after="0"/>
              <w:rPr>
                <w:sz w:val="20"/>
                <w:szCs w:val="20"/>
                <w:color w:val="auto"/>
              </w:rPr>
            </w:pPr>
          </w:p>
        </w:tc>
      </w:tr>
      <w:tr>
        <w:trPr>
          <w:trHeight w:val="235"/>
        </w:trPr>
        <w:tc>
          <w:tcPr>
            <w:tcW w:w="93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26</w:t>
            </w:r>
          </w:p>
        </w:tc>
        <w:tc>
          <w:tcPr>
            <w:tcW w:w="20" w:type="dxa"/>
            <w:vAlign w:val="bottom"/>
          </w:tcPr>
          <w:p>
            <w:pPr>
              <w:spacing w:after="0"/>
              <w:rPr>
                <w:sz w:val="20"/>
                <w:szCs w:val="20"/>
                <w:color w:val="auto"/>
              </w:rPr>
            </w:pP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598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93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63</w:t>
            </w:r>
          </w:p>
        </w:tc>
        <w:tc>
          <w:tcPr>
            <w:tcW w:w="20" w:type="dxa"/>
            <w:vAlign w:val="bottom"/>
          </w:tcPr>
          <w:p>
            <w:pPr>
              <w:spacing w:after="0"/>
              <w:rPr>
                <w:sz w:val="20"/>
                <w:szCs w:val="20"/>
                <w:color w:val="auto"/>
              </w:rPr>
            </w:pPr>
          </w:p>
        </w:tc>
      </w:tr>
      <w:tr>
        <w:trPr>
          <w:trHeight w:val="235"/>
        </w:trPr>
        <w:tc>
          <w:tcPr>
            <w:tcW w:w="18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540" w:type="dxa"/>
            <w:vAlign w:val="bottom"/>
            <w:tcBorders>
              <w:top w:val="single" w:sz="8" w:color="0000FF"/>
            </w:tcBorders>
            <w:gridSpan w:val="4"/>
          </w:tcPr>
          <w:p>
            <w:pPr>
              <w:spacing w:after="0"/>
              <w:rPr>
                <w:sz w:val="20"/>
                <w:szCs w:val="20"/>
                <w:color w:val="auto"/>
              </w:rPr>
            </w:pPr>
          </w:p>
        </w:tc>
        <w:tc>
          <w:tcPr>
            <w:tcW w:w="5980" w:type="dxa"/>
            <w:vAlign w:val="bottom"/>
            <w:gridSpan w:val="9"/>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63</w:t>
            </w:r>
          </w:p>
        </w:tc>
        <w:tc>
          <w:tcPr>
            <w:tcW w:w="20" w:type="dxa"/>
            <w:vAlign w:val="bottom"/>
          </w:tcPr>
          <w:p>
            <w:pPr>
              <w:spacing w:after="0"/>
              <w:rPr>
                <w:sz w:val="20"/>
                <w:szCs w:val="20"/>
                <w:color w:val="auto"/>
              </w:rPr>
            </w:pPr>
          </w:p>
        </w:tc>
      </w:tr>
      <w:tr>
        <w:trPr>
          <w:trHeight w:val="235"/>
        </w:trPr>
        <w:tc>
          <w:tcPr>
            <w:tcW w:w="93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63</w:t>
            </w:r>
          </w:p>
        </w:tc>
        <w:tc>
          <w:tcPr>
            <w:tcW w:w="20" w:type="dxa"/>
            <w:vAlign w:val="bottom"/>
          </w:tcPr>
          <w:p>
            <w:pPr>
              <w:spacing w:after="0"/>
              <w:rPr>
                <w:sz w:val="20"/>
                <w:szCs w:val="20"/>
                <w:color w:val="auto"/>
              </w:rPr>
            </w:pPr>
          </w:p>
        </w:tc>
      </w:tr>
      <w:tr>
        <w:trPr>
          <w:trHeight w:val="235"/>
        </w:trPr>
        <w:tc>
          <w:tcPr>
            <w:tcW w:w="13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8000" w:type="dxa"/>
            <w:vAlign w:val="bottom"/>
            <w:gridSpan w:val="14"/>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63</w:t>
            </w:r>
          </w:p>
        </w:tc>
        <w:tc>
          <w:tcPr>
            <w:tcW w:w="20" w:type="dxa"/>
            <w:vAlign w:val="bottom"/>
          </w:tcPr>
          <w:p>
            <w:pPr>
              <w:spacing w:after="0"/>
              <w:rPr>
                <w:sz w:val="20"/>
                <w:szCs w:val="20"/>
                <w:color w:val="auto"/>
              </w:rPr>
            </w:pPr>
          </w:p>
        </w:tc>
      </w:tr>
      <w:tr>
        <w:trPr>
          <w:trHeight w:val="235"/>
        </w:trPr>
        <w:tc>
          <w:tcPr>
            <w:tcW w:w="10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Exhibits</w:t>
            </w:r>
          </w:p>
        </w:tc>
        <w:tc>
          <w:tcPr>
            <w:tcW w:w="8360" w:type="dxa"/>
            <w:vAlign w:val="bottom"/>
            <w:gridSpan w:val="16"/>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65</w:t>
            </w:r>
          </w:p>
        </w:tc>
        <w:tc>
          <w:tcPr>
            <w:tcW w:w="20" w:type="dxa"/>
            <w:vAlign w:val="bottom"/>
          </w:tcPr>
          <w:p>
            <w:pPr>
              <w:spacing w:after="0"/>
              <w:rPr>
                <w:sz w:val="20"/>
                <w:szCs w:val="20"/>
                <w:color w:val="auto"/>
              </w:rPr>
            </w:pPr>
          </w:p>
        </w:tc>
      </w:tr>
      <w:tr>
        <w:trPr>
          <w:trHeight w:val="160"/>
        </w:trPr>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66</w:t>
            </w: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991235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-2828925</wp:posOffset>
            </wp:positionV>
            <wp:extent cx="6925945" cy="161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5945" cy="16192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-2532380</wp:posOffset>
            </wp:positionV>
            <wp:extent cx="6925945"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5945" cy="11430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-2303780</wp:posOffset>
            </wp:positionV>
            <wp:extent cx="6925945" cy="114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5945" cy="11430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-2074545</wp:posOffset>
            </wp:positionV>
            <wp:extent cx="6925945"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5945" cy="11430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-1798320</wp:posOffset>
            </wp:positionV>
            <wp:extent cx="6925945" cy="161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5945" cy="16192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-1475105</wp:posOffset>
            </wp:positionV>
            <wp:extent cx="6925945" cy="128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5945" cy="12827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-1232535</wp:posOffset>
            </wp:positionV>
            <wp:extent cx="6925945" cy="161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5945" cy="16192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-908685</wp:posOffset>
            </wp:positionV>
            <wp:extent cx="6925945" cy="161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5945" cy="16192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-585470</wp:posOffset>
            </wp:positionV>
            <wp:extent cx="6925945" cy="161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5945" cy="16192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-262255</wp:posOffset>
            </wp:positionV>
            <wp:extent cx="6925945" cy="161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5945" cy="161925"/>
                    </a:xfrm>
                    <a:prstGeom prst="rect">
                      <a:avLst/>
                    </a:prstGeom>
                    <a:noFill/>
                  </pic:spPr>
                </pic:pic>
              </a:graphicData>
            </a:graphic>
          </wp:anchor>
        </w:drawing>
      </w:r>
    </w:p>
    <w:p>
      <w:pPr>
        <w:sectPr>
          <w:pgSz w:w="11900" w:h="16838" w:orient="portrait"/>
          <w:cols w:equalWidth="0" w:num="2">
            <w:col w:w="600" w:space="400"/>
            <w:col w:w="9900"/>
          </w:cols>
          <w:pgMar w:left="500" w:top="1017"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91" w:lineRule="exact"/>
        <w:rPr>
          <w:sz w:val="20"/>
          <w:szCs w:val="20"/>
          <w:color w:val="auto"/>
        </w:rPr>
      </w:pPr>
    </w:p>
    <w:p>
      <w:pPr>
        <w:ind w:left="40"/>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 of U.S. dollars,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96" w:lineRule="exact"/>
        <w:rPr>
          <w:sz w:val="20"/>
          <w:szCs w:val="20"/>
          <w:color w:val="auto"/>
        </w:rPr>
      </w:pPr>
    </w:p>
    <w:p>
      <w:pPr>
        <w:jc w:val="right"/>
        <w:ind w:right="420"/>
        <w:spacing w:after="0"/>
        <w:tabs>
          <w:tab w:leader="none" w:pos="800" w:val="left"/>
        </w:tabs>
        <w:rPr>
          <w:sz w:val="20"/>
          <w:szCs w:val="20"/>
          <w:color w:val="auto"/>
        </w:rPr>
      </w:pPr>
      <w:r>
        <w:rPr>
          <w:rFonts w:ascii="Times New Roman" w:cs="Times New Roman" w:eastAsia="Times New Roman" w:hAnsi="Times New Roman"/>
          <w:sz w:val="11"/>
          <w:szCs w:val="11"/>
          <w:b w:val="1"/>
          <w:bCs w:val="1"/>
          <w:color w:val="auto"/>
        </w:rPr>
        <w:t>April 30, 2026</w:t>
      </w:r>
      <w:r>
        <w:rPr>
          <w:sz w:val="20"/>
          <w:szCs w:val="20"/>
          <w:color w:val="auto"/>
        </w:rPr>
        <w:tab/>
      </w:r>
      <w:r>
        <w:rPr>
          <w:rFonts w:ascii="Times New Roman" w:cs="Times New Roman" w:eastAsia="Times New Roman" w:hAnsi="Times New Roman"/>
          <w:sz w:val="11"/>
          <w:szCs w:val="11"/>
          <w:b w:val="1"/>
          <w:bCs w:val="1"/>
          <w:color w:val="auto"/>
        </w:rPr>
        <w:t>January 31, 2026</w:t>
      </w:r>
    </w:p>
    <w:p>
      <w:pPr>
        <w:sectPr>
          <w:pgSz w:w="11900" w:h="16838" w:orient="portrait"/>
          <w:cols w:equalWidth="0" w:num="1">
            <w:col w:w="11260"/>
          </w:cols>
          <w:pgMar w:left="300" w:top="133" w:right="339" w:bottom="1440" w:gutter="0" w:footer="0" w:header="0"/>
        </w:sectPr>
      </w:pPr>
    </w:p>
    <w:p>
      <w:pPr>
        <w:spacing w:after="0" w:line="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-97790</wp:posOffset>
            </wp:positionV>
            <wp:extent cx="713486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12700</wp:posOffset>
            </wp:positionV>
            <wp:extent cx="7134860"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7134860" cy="242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242570"/>
                    </a:xfrm>
                    <a:prstGeom prst="rect">
                      <a:avLst/>
                    </a:prstGeom>
                    <a:noFill/>
                  </pic:spPr>
                </pic:pic>
              </a:graphicData>
            </a:graphic>
          </wp:anchor>
        </w:drawing>
      </w:r>
    </w:p>
    <w:p>
      <w:pPr>
        <w:spacing w:after="0" w:line="31" w:lineRule="exact"/>
        <w:rPr>
          <w:sz w:val="20"/>
          <w:szCs w:val="20"/>
          <w:color w:val="auto"/>
        </w:rPr>
      </w:pPr>
    </w:p>
    <w:p>
      <w:pPr>
        <w:ind w:left="320" w:right="140"/>
        <w:spacing w:after="0" w:line="284" w:lineRule="auto"/>
        <w:rPr>
          <w:sz w:val="20"/>
          <w:szCs w:val="20"/>
          <w:color w:val="auto"/>
        </w:rPr>
      </w:pPr>
      <w:r>
        <w:rPr>
          <w:rFonts w:ascii="Times New Roman" w:cs="Times New Roman" w:eastAsia="Times New Roman" w:hAnsi="Times New Roman"/>
          <w:sz w:val="14"/>
          <w:szCs w:val="14"/>
          <w:color w:val="auto"/>
        </w:rPr>
        <w:t>Accounts receivable, net of allowance for doubtful accounts of $12,252 and $12,979 as of April 30, 2026 and January 31, 2026, respectively</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Deferred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7134860" cy="141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41605"/>
                    </a:xfrm>
                    <a:prstGeom prst="rect">
                      <a:avLst/>
                    </a:prstGeom>
                    <a:noFill/>
                  </pic:spPr>
                </pic:pic>
              </a:graphicData>
            </a:graphic>
          </wp:anchor>
        </w:drawing>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7134860"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7134860" cy="13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Goodwill</w:t>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7134860"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Deferred tax assets</w:t>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34925</wp:posOffset>
            </wp:positionV>
            <wp:extent cx="7134860" cy="154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54940"/>
                    </a:xfrm>
                    <a:prstGeom prst="rect">
                      <a:avLst/>
                    </a:prstGeom>
                    <a:noFill/>
                  </pic:spPr>
                </pic:pic>
              </a:graphicData>
            </a:graphic>
          </wp:anchor>
        </w:drawing>
      </w:r>
    </w:p>
    <w:p>
      <w:pPr>
        <w:spacing w:after="0" w:line="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Total assets</w:t>
      </w:r>
    </w:p>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-101600</wp:posOffset>
            </wp:positionV>
            <wp:extent cx="713486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7134860"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Accrued compensation and benefits</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7134860"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 accrued liabilities</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34925</wp:posOffset>
            </wp:positionV>
            <wp:extent cx="7134860"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7134860" cy="141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41605"/>
                    </a:xfrm>
                    <a:prstGeom prst="rect">
                      <a:avLst/>
                    </a:prstGeom>
                    <a:noFill/>
                  </pic:spPr>
                </pic:pic>
              </a:graphicData>
            </a:graphic>
          </wp:anchor>
        </w:drawing>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Operating lease liabilities</w:t>
      </w:r>
    </w:p>
    <w:p>
      <w:pPr>
        <w:spacing w:after="0" w:line="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34925</wp:posOffset>
            </wp:positionV>
            <wp:extent cx="7134860" cy="141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41605"/>
                    </a:xfrm>
                    <a:prstGeom prst="rect">
                      <a:avLst/>
                    </a:prstGeom>
                    <a:noFill/>
                  </pic:spPr>
                </pic:pic>
              </a:graphicData>
            </a:graphic>
          </wp:anchor>
        </w:drawing>
      </w:r>
    </w:p>
    <w:p>
      <w:pPr>
        <w:spacing w:after="0" w:line="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Other liabilities</w:t>
      </w:r>
    </w:p>
    <w:p>
      <w:pPr>
        <w:spacing w:after="0" w:line="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Commitments and contingencies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-99060</wp:posOffset>
            </wp:positionV>
            <wp:extent cx="7134860" cy="114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12700</wp:posOffset>
            </wp:positionV>
            <wp:extent cx="7134860" cy="3505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350520"/>
                    </a:xfrm>
                    <a:prstGeom prst="rect">
                      <a:avLst/>
                    </a:prstGeom>
                    <a:noFill/>
                  </pic:spPr>
                </pic:pic>
              </a:graphicData>
            </a:graphic>
          </wp:anchor>
        </w:drawing>
      </w:r>
    </w:p>
    <w:p>
      <w:pPr>
        <w:spacing w:after="0" w:line="6" w:lineRule="exact"/>
        <w:rPr>
          <w:sz w:val="20"/>
          <w:szCs w:val="20"/>
          <w:color w:val="auto"/>
        </w:rPr>
      </w:pPr>
    </w:p>
    <w:p>
      <w:pPr>
        <w:ind w:left="320" w:hanging="63"/>
        <w:spacing w:after="0" w:line="270" w:lineRule="auto"/>
        <w:rPr>
          <w:sz w:val="20"/>
          <w:szCs w:val="20"/>
          <w:color w:val="auto"/>
        </w:rPr>
      </w:pPr>
      <w:r>
        <w:rPr>
          <w:rFonts w:ascii="Times New Roman" w:cs="Times New Roman" w:eastAsia="Times New Roman" w:hAnsi="Times New Roman"/>
          <w:sz w:val="14"/>
          <w:szCs w:val="14"/>
          <w:color w:val="auto"/>
        </w:rPr>
        <w:t>Common stock, par value of $0.001 per share; 1,000,000,000 shares authorized as of April 30, 2026 and January 31, 2026; 80,703,488 shares issued and 80,503,576 shares outstanding as of April 30, 2026; 83,370,769 shares issued and 80,492,774 shares outstanding as of January 31, 2026</w:t>
      </w:r>
    </w:p>
    <w:p>
      <w:pPr>
        <w:spacing w:after="0" w:line="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7134860" cy="2425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242570"/>
                    </a:xfrm>
                    <a:prstGeom prst="rect">
                      <a:avLst/>
                    </a:prstGeom>
                    <a:noFill/>
                  </pic:spPr>
                </pic:pic>
              </a:graphicData>
            </a:graphic>
          </wp:anchor>
        </w:drawing>
      </w:r>
    </w:p>
    <w:p>
      <w:pPr>
        <w:spacing w:after="0" w:line="31" w:lineRule="exact"/>
        <w:rPr>
          <w:sz w:val="20"/>
          <w:szCs w:val="20"/>
          <w:color w:val="auto"/>
        </w:rPr>
      </w:pPr>
    </w:p>
    <w:p>
      <w:pPr>
        <w:ind w:left="320" w:right="600" w:hanging="94"/>
        <w:spacing w:after="0" w:line="284" w:lineRule="auto"/>
        <w:rPr>
          <w:sz w:val="20"/>
          <w:szCs w:val="20"/>
          <w:color w:val="auto"/>
        </w:rPr>
      </w:pPr>
      <w:r>
        <w:rPr>
          <w:rFonts w:ascii="Times New Roman" w:cs="Times New Roman" w:eastAsia="Times New Roman" w:hAnsi="Times New Roman"/>
          <w:sz w:val="14"/>
          <w:szCs w:val="14"/>
          <w:color w:val="auto"/>
        </w:rPr>
        <w:t>Treasury stock, 199,912 shares (repurchased at an average of $41.43 per share) as of April 30, 2026 and 2,877,995 shares (repurchased at an average of $171.84 per share) as of January 31, 2026</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7134860" cy="141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41605"/>
                    </a:xfrm>
                    <a:prstGeom prst="rect">
                      <a:avLst/>
                    </a:prstGeom>
                    <a:noFill/>
                  </pic:spPr>
                </pic:pic>
              </a:graphicData>
            </a:graphic>
          </wp:anchor>
        </w:drawing>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Accumulated deficit</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34860" cy="154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54940"/>
                    </a:xfrm>
                    <a:prstGeom prst="rect">
                      <a:avLst/>
                    </a:prstGeom>
                    <a:noFill/>
                  </pic:spPr>
                </pic:pic>
              </a:graphicData>
            </a:graphic>
          </wp:anchor>
        </w:drawing>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1,036,354</w:t>
            </w: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1,083,540</w:t>
            </w:r>
          </w:p>
        </w:tc>
      </w:tr>
      <w:tr>
        <w:trPr>
          <w:trHeight w:val="21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1,390,799</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1,303,701</w:t>
            </w:r>
          </w:p>
        </w:tc>
      </w:tr>
      <w:tr>
        <w:trPr>
          <w:trHeight w:val="38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387,294</w:t>
            </w: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499,002</w:t>
            </w:r>
          </w:p>
        </w:tc>
      </w:tr>
      <w:tr>
        <w:trPr>
          <w:trHeight w:val="21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129,894</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131,442</w:t>
            </w:r>
          </w:p>
        </w:tc>
      </w:tr>
      <w:tr>
        <w:trPr>
          <w:trHeight w:val="223"/>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115,277</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97,170</w:t>
            </w:r>
          </w:p>
        </w:tc>
      </w:tr>
      <w:tr>
        <w:trPr>
          <w:trHeight w:val="19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3,059,618</w:t>
            </w: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3,114,855</w:t>
            </w:r>
          </w:p>
        </w:tc>
      </w:tr>
      <w:tr>
        <w:trPr>
          <w:trHeight w:val="21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40,900</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39,773</w:t>
            </w:r>
          </w:p>
        </w:tc>
      </w:tr>
      <w:tr>
        <w:trPr>
          <w:trHeight w:val="21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26,606</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28,978</w:t>
            </w:r>
          </w:p>
        </w:tc>
      </w:tr>
      <w:tr>
        <w:trPr>
          <w:trHeight w:val="21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191,397</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191,397</w:t>
            </w:r>
          </w:p>
        </w:tc>
      </w:tr>
      <w:tr>
        <w:trPr>
          <w:trHeight w:val="21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30,851</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34,502</w:t>
            </w:r>
          </w:p>
        </w:tc>
      </w:tr>
      <w:tr>
        <w:trPr>
          <w:trHeight w:val="21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26,061</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26,021</w:t>
            </w:r>
          </w:p>
        </w:tc>
      </w:tr>
      <w:tr>
        <w:trPr>
          <w:trHeight w:val="223"/>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317,258</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323,322</w:t>
            </w:r>
          </w:p>
        </w:tc>
      </w:tr>
      <w:tr>
        <w:trPr>
          <w:trHeight w:val="203"/>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3,692,691</w:t>
            </w:r>
          </w:p>
        </w:tc>
        <w:tc>
          <w:tcPr>
            <w:tcW w:w="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3,758,848</w:t>
            </w:r>
          </w:p>
        </w:tc>
      </w:tr>
      <w:tr>
        <w:trPr>
          <w:trHeight w:val="20"/>
        </w:trPr>
        <w:tc>
          <w:tcPr>
            <w:tcW w:w="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34"/>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41,664</w:t>
            </w: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20,269</w:t>
            </w:r>
          </w:p>
        </w:tc>
      </w:tr>
      <w:tr>
        <w:trPr>
          <w:trHeight w:val="21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115,563</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143,046</w:t>
            </w:r>
          </w:p>
        </w:tc>
      </w:tr>
      <w:tr>
        <w:trPr>
          <w:trHeight w:val="21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9,360</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9,259</w:t>
            </w:r>
          </w:p>
        </w:tc>
      </w:tr>
      <w:tr>
        <w:trPr>
          <w:trHeight w:val="21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110,516</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109,803</w:t>
            </w:r>
          </w:p>
        </w:tc>
      </w:tr>
      <w:tr>
        <w:trPr>
          <w:trHeight w:val="223"/>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341,076</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387,119</w:t>
            </w:r>
          </w:p>
        </w:tc>
      </w:tr>
      <w:tr>
        <w:trPr>
          <w:trHeight w:val="19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618,179</w:t>
            </w: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669,496</w:t>
            </w:r>
          </w:p>
        </w:tc>
      </w:tr>
      <w:tr>
        <w:trPr>
          <w:trHeight w:val="21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358</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223"/>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21,067</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23,600</w:t>
            </w:r>
          </w:p>
        </w:tc>
      </w:tr>
      <w:tr>
        <w:trPr>
          <w:trHeight w:val="223"/>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91,236</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83,588</w:t>
            </w:r>
          </w:p>
        </w:tc>
      </w:tr>
      <w:tr>
        <w:trPr>
          <w:trHeight w:val="223"/>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26,891</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29,454</w:t>
            </w:r>
          </w:p>
        </w:tc>
      </w:tr>
      <w:tr>
        <w:trPr>
          <w:trHeight w:val="203"/>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757,731</w:t>
            </w: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806,490</w:t>
            </w:r>
          </w:p>
        </w:tc>
      </w:tr>
      <w:tr>
        <w:trPr>
          <w:trHeight w:val="89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81</w:t>
            </w: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1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4,843,315</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5,345,494</w:t>
            </w:r>
          </w:p>
        </w:tc>
      </w:tr>
      <w:tr>
        <w:trPr>
          <w:trHeight w:val="382"/>
        </w:trPr>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(8,283)</w:t>
            </w: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(494,569)</w:t>
            </w:r>
          </w:p>
        </w:tc>
      </w:tr>
      <w:tr>
        <w:trPr>
          <w:trHeight w:val="212"/>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7,268</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13,207</w:t>
            </w:r>
          </w:p>
        </w:tc>
      </w:tr>
      <w:tr>
        <w:trPr>
          <w:trHeight w:val="223"/>
        </w:trPr>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7"/>
              </w:rPr>
              <w:t>(1,907,421)</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(1,911,855)</w:t>
            </w:r>
          </w:p>
        </w:tc>
      </w:tr>
      <w:tr>
        <w:trPr>
          <w:trHeight w:val="224"/>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2,934,960</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2,952,358</w:t>
            </w:r>
          </w:p>
        </w:tc>
      </w:tr>
      <w:tr>
        <w:trPr>
          <w:trHeight w:val="203"/>
        </w:trPr>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3,692,691</w:t>
            </w:r>
          </w:p>
        </w:tc>
        <w:tc>
          <w:tcPr>
            <w:tcW w:w="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3,758,848</w:t>
            </w:r>
          </w:p>
        </w:tc>
      </w:tr>
      <w:tr>
        <w:trPr>
          <w:trHeight w:val="20"/>
        </w:trPr>
        <w:tc>
          <w:tcPr>
            <w:tcW w:w="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-6350</wp:posOffset>
            </wp:positionV>
            <wp:extent cx="10509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50925" cy="6985"/>
                    </a:xfrm>
                    <a:prstGeom prst="rect">
                      <a:avLst/>
                    </a:prstGeom>
                    <a:noFill/>
                  </pic:spPr>
                </pic:pic>
              </a:graphicData>
            </a:graphic>
          </wp:anchor>
        </w:drawing>
        <w:drawing>
          <wp:anchor simplePos="0" relativeHeight="251657728" behindDoc="1" locked="0" layoutInCell="0" allowOverlap="1">
            <wp:simplePos x="0" y="0"/>
            <wp:positionH relativeFrom="column">
              <wp:posOffset>-624205</wp:posOffset>
            </wp:positionH>
            <wp:positionV relativeFrom="paragraph">
              <wp:posOffset>-322580</wp:posOffset>
            </wp:positionV>
            <wp:extent cx="10509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50925" cy="6985"/>
                    </a:xfrm>
                    <a:prstGeom prst="rect">
                      <a:avLst/>
                    </a:prstGeom>
                    <a:noFill/>
                  </pic:spPr>
                </pic:pic>
              </a:graphicData>
            </a:graphic>
          </wp:anchor>
        </w:drawing>
        <w:drawing>
          <wp:anchor simplePos="0" relativeHeight="251657728" behindDoc="1" locked="0" layoutInCell="0" allowOverlap="1">
            <wp:simplePos x="0" y="0"/>
            <wp:positionH relativeFrom="column">
              <wp:posOffset>-624205</wp:posOffset>
            </wp:positionH>
            <wp:positionV relativeFrom="paragraph">
              <wp:posOffset>-1697355</wp:posOffset>
            </wp:positionV>
            <wp:extent cx="10509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50925" cy="6985"/>
                    </a:xfrm>
                    <a:prstGeom prst="rect">
                      <a:avLst/>
                    </a:prstGeom>
                    <a:noFill/>
                  </pic:spPr>
                </pic:pic>
              </a:graphicData>
            </a:graphic>
          </wp:anchor>
        </w:drawing>
        <w:drawing>
          <wp:anchor simplePos="0" relativeHeight="251657728" behindDoc="1" locked="0" layoutInCell="0" allowOverlap="1">
            <wp:simplePos x="0" y="0"/>
            <wp:positionH relativeFrom="column">
              <wp:posOffset>-624205</wp:posOffset>
            </wp:positionH>
            <wp:positionV relativeFrom="paragraph">
              <wp:posOffset>-3293745</wp:posOffset>
            </wp:positionV>
            <wp:extent cx="10509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50925" cy="6985"/>
                    </a:xfrm>
                    <a:prstGeom prst="rect">
                      <a:avLst/>
                    </a:prstGeom>
                    <a:noFill/>
                  </pic:spPr>
                </pic:pic>
              </a:graphicData>
            </a:graphic>
          </wp:anchor>
        </w:drawing>
        <w:drawing>
          <wp:anchor simplePos="0" relativeHeight="251657728" behindDoc="1" locked="0" layoutInCell="0" allowOverlap="1">
            <wp:simplePos x="0" y="0"/>
            <wp:positionH relativeFrom="column">
              <wp:posOffset>-624205</wp:posOffset>
            </wp:positionH>
            <wp:positionV relativeFrom="paragraph">
              <wp:posOffset>-4405630</wp:posOffset>
            </wp:positionV>
            <wp:extent cx="10509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5092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700" w:space="180"/>
            <w:col w:w="240" w:space="720"/>
            <w:col w:w="2420"/>
          </w:cols>
          <w:pgMar w:left="300" w:top="133" w:right="339" w:bottom="1440" w:gutter="0" w:footer="0" w:header="0"/>
          <w:type w:val="continuous"/>
        </w:sect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 of U.S. dollars,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78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0"/>
        </w:trPr>
        <w:tc>
          <w:tcPr>
            <w:tcW w:w="7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Revenue:</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7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Subscription</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666,138</w:t>
            </w:r>
          </w:p>
        </w:tc>
        <w:tc>
          <w:tcPr>
            <w:tcW w:w="80" w:type="dxa"/>
            <w:vAlign w:val="bottom"/>
          </w:tcPr>
          <w:p>
            <w:pPr>
              <w:spacing w:after="0"/>
              <w:rPr>
                <w:sz w:val="18"/>
                <w:szCs w:val="18"/>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531,455</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17,559</w:t>
            </w:r>
          </w:p>
        </w:tc>
        <w:tc>
          <w:tcPr>
            <w:tcW w:w="0" w:type="dxa"/>
            <w:vAlign w:val="bottom"/>
          </w:tcPr>
          <w:p>
            <w:pPr>
              <w:spacing w:after="0"/>
              <w:rPr>
                <w:sz w:val="1"/>
                <w:szCs w:val="1"/>
                <w:color w:val="auto"/>
              </w:rPr>
            </w:pPr>
          </w:p>
        </w:tc>
      </w:tr>
      <w:tr>
        <w:trPr>
          <w:trHeight w:val="203"/>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revenue</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687,616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549,014</w:t>
            </w:r>
          </w:p>
        </w:tc>
        <w:tc>
          <w:tcPr>
            <w:tcW w:w="0" w:type="dxa"/>
            <w:vAlign w:val="bottom"/>
          </w:tcPr>
          <w:p>
            <w:pPr>
              <w:spacing w:after="0"/>
              <w:rPr>
                <w:sz w:val="1"/>
                <w:szCs w:val="1"/>
                <w:color w:val="auto"/>
              </w:rPr>
            </w:pPr>
          </w:p>
        </w:tc>
      </w:tr>
      <w:tr>
        <w:trPr>
          <w:trHeight w:val="161"/>
        </w:trPr>
        <w:tc>
          <w:tcPr>
            <w:tcW w:w="7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Cost of revenue:</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7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Subscription</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164,907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129,585</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28,456</w:t>
            </w:r>
          </w:p>
        </w:tc>
        <w:tc>
          <w:tcPr>
            <w:tcW w:w="0" w:type="dxa"/>
            <w:vAlign w:val="bottom"/>
          </w:tcPr>
          <w:p>
            <w:pPr>
              <w:spacing w:after="0"/>
              <w:rPr>
                <w:sz w:val="1"/>
                <w:szCs w:val="1"/>
                <w:color w:val="auto"/>
              </w:rPr>
            </w:pPr>
          </w:p>
        </w:tc>
      </w:tr>
      <w:tr>
        <w:trPr>
          <w:trHeight w:val="203"/>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cost of revenue</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191,441</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158,041</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496,175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390,973</w:t>
            </w:r>
          </w:p>
        </w:tc>
        <w:tc>
          <w:tcPr>
            <w:tcW w:w="0" w:type="dxa"/>
            <w:vAlign w:val="bottom"/>
          </w:tcPr>
          <w:p>
            <w:pPr>
              <w:spacing w:after="0"/>
              <w:rPr>
                <w:sz w:val="1"/>
                <w:szCs w:val="1"/>
                <w:color w:val="auto"/>
              </w:rPr>
            </w:pPr>
          </w:p>
        </w:tc>
      </w:tr>
      <w:tr>
        <w:trPr>
          <w:trHeight w:val="180"/>
        </w:trPr>
        <w:tc>
          <w:tcPr>
            <w:tcW w:w="7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Sales and marketing</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249,334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220,923</w:t>
            </w:r>
          </w:p>
        </w:tc>
        <w:tc>
          <w:tcPr>
            <w:tcW w:w="0" w:type="dxa"/>
            <w:vAlign w:val="bottom"/>
          </w:tcPr>
          <w:p>
            <w:pPr>
              <w:spacing w:after="0"/>
              <w:rPr>
                <w:sz w:val="1"/>
                <w:szCs w:val="1"/>
                <w:color w:val="auto"/>
              </w:rPr>
            </w:pPr>
          </w:p>
        </w:tc>
      </w:tr>
      <w:tr>
        <w:trPr>
          <w:trHeight w:val="212"/>
        </w:trPr>
        <w:tc>
          <w:tcPr>
            <w:tcW w:w="7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200,409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168,829</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71,236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54,775</w:t>
            </w:r>
          </w:p>
        </w:tc>
        <w:tc>
          <w:tcPr>
            <w:tcW w:w="0" w:type="dxa"/>
            <w:vAlign w:val="bottom"/>
          </w:tcPr>
          <w:p>
            <w:pPr>
              <w:spacing w:after="0"/>
              <w:rPr>
                <w:sz w:val="1"/>
                <w:szCs w:val="1"/>
                <w:color w:val="auto"/>
              </w:rPr>
            </w:pPr>
          </w:p>
        </w:tc>
      </w:tr>
      <w:tr>
        <w:trPr>
          <w:trHeight w:val="203"/>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520,979</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444,527</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Loss from operations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(53,554)</w:t>
            </w:r>
          </w:p>
        </w:tc>
        <w:tc>
          <w:tcPr>
            <w:tcW w:w="0" w:type="dxa"/>
            <w:vAlign w:val="bottom"/>
          </w:tcPr>
          <w:p>
            <w:pPr>
              <w:spacing w:after="0"/>
              <w:rPr>
                <w:sz w:val="1"/>
                <w:szCs w:val="1"/>
                <w:color w:val="auto"/>
              </w:rPr>
            </w:pPr>
          </w:p>
        </w:tc>
      </w:tr>
      <w:tr>
        <w:trPr>
          <w:trHeight w:val="180"/>
        </w:trPr>
        <w:tc>
          <w:tcPr>
            <w:tcW w:w="7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income (expense):</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23,458</w:t>
            </w:r>
          </w:p>
        </w:tc>
        <w:tc>
          <w:tcPr>
            <w:tcW w:w="0" w:type="dxa"/>
            <w:vAlign w:val="bottom"/>
          </w:tcPr>
          <w:p>
            <w:pPr>
              <w:spacing w:after="0"/>
              <w:rPr>
                <w:sz w:val="1"/>
                <w:szCs w:val="1"/>
                <w:color w:val="auto"/>
              </w:rPr>
            </w:pP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0" w:type="dxa"/>
            <w:vAlign w:val="bottom"/>
          </w:tcPr>
          <w:p>
            <w:pPr>
              <w:spacing w:after="0"/>
              <w:rPr>
                <w:sz w:val="1"/>
                <w:szCs w:val="1"/>
                <w:color w:val="auto"/>
              </w:rPr>
            </w:pPr>
          </w:p>
        </w:tc>
      </w:tr>
      <w:tr>
        <w:trPr>
          <w:trHeight w:val="192"/>
        </w:trPr>
        <w:tc>
          <w:tcPr>
            <w:tcW w:w="7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(33,324)</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w:t>
            </w:r>
          </w:p>
        </w:tc>
        <w:tc>
          <w:tcPr>
            <w:tcW w:w="0" w:type="dxa"/>
            <w:vAlign w:val="bottom"/>
          </w:tcPr>
          <w:p>
            <w:pPr>
              <w:spacing w:after="0"/>
              <w:rPr>
                <w:sz w:val="1"/>
                <w:szCs w:val="1"/>
                <w:color w:val="auto"/>
              </w:rPr>
            </w:pPr>
          </w:p>
        </w:tc>
      </w:tr>
      <w:tr>
        <w:trPr>
          <w:trHeight w:val="171"/>
        </w:trPr>
        <w:tc>
          <w:tcPr>
            <w:tcW w:w="7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4,434</w:t>
            </w:r>
          </w:p>
        </w:tc>
        <w:tc>
          <w:tcPr>
            <w:tcW w:w="80" w:type="dxa"/>
            <w:vAlign w:val="bottom"/>
          </w:tcPr>
          <w:p>
            <w:pPr>
              <w:spacing w:after="0"/>
              <w:rPr>
                <w:sz w:val="14"/>
                <w:szCs w:val="14"/>
                <w:color w:val="auto"/>
              </w:rPr>
            </w:pPr>
          </w:p>
        </w:tc>
        <w:tc>
          <w:tcPr>
            <w:tcW w:w="4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(37,626)</w:t>
            </w:r>
          </w:p>
        </w:tc>
        <w:tc>
          <w:tcPr>
            <w:tcW w:w="0" w:type="dxa"/>
            <w:vAlign w:val="bottom"/>
          </w:tcPr>
          <w:p>
            <w:pPr>
              <w:spacing w:after="0"/>
              <w:rPr>
                <w:sz w:val="1"/>
                <w:szCs w:val="1"/>
                <w:color w:val="auto"/>
              </w:rPr>
            </w:pPr>
          </w:p>
        </w:tc>
      </w:tr>
      <w:tr>
        <w:trPr>
          <w:trHeight w:val="53"/>
        </w:trPr>
        <w:tc>
          <w:tcPr>
            <w:tcW w:w="784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78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8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tcPr>
          <w:p>
            <w:pPr>
              <w:spacing w:after="0"/>
              <w:rPr>
                <w:sz w:val="18"/>
                <w:szCs w:val="18"/>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r>
        <w:trPr>
          <w:trHeight w:val="191"/>
        </w:trPr>
        <w:tc>
          <w:tcPr>
            <w:tcW w:w="7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Weighted-average shares used to compute net income (loss) per share</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7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80,357,498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81,060,822</w:t>
            </w:r>
          </w:p>
        </w:tc>
        <w:tc>
          <w:tcPr>
            <w:tcW w:w="0" w:type="dxa"/>
            <w:vAlign w:val="bottom"/>
          </w:tcPr>
          <w:p>
            <w:pPr>
              <w:spacing w:after="0"/>
              <w:rPr>
                <w:sz w:val="1"/>
                <w:szCs w:val="1"/>
                <w:color w:val="auto"/>
              </w:rPr>
            </w:pPr>
          </w:p>
        </w:tc>
      </w:tr>
      <w:tr>
        <w:trPr>
          <w:trHeight w:val="212"/>
        </w:trPr>
        <w:tc>
          <w:tcPr>
            <w:tcW w:w="78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81,581,387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81,060,822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0" w:type="dxa"/>
            <w:vAlign w:val="bottom"/>
            <w:tcBorders>
              <w:bottom w:val="single" w:sz="8" w:color="auto"/>
            </w:tcBorders>
          </w:tcPr>
          <w:p>
            <w:pPr>
              <w:spacing w:after="0"/>
              <w:rPr>
                <w:sz w:val="16"/>
                <w:szCs w:val="16"/>
                <w:color w:val="auto"/>
              </w:rPr>
            </w:pPr>
          </w:p>
        </w:tc>
      </w:tr>
      <w:tr>
        <w:trPr>
          <w:trHeight w:val="171"/>
        </w:trPr>
        <w:tc>
          <w:tcPr>
            <w:tcW w:w="78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r>
      <w:tr>
        <w:trPr>
          <w:trHeight w:val="192"/>
        </w:trPr>
        <w:tc>
          <w:tcPr>
            <w:tcW w:w="7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income (loss)</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4,434</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(37,626)</w:t>
            </w:r>
          </w:p>
        </w:tc>
      </w:tr>
      <w:tr>
        <w:trPr>
          <w:trHeight w:val="180"/>
        </w:trPr>
        <w:tc>
          <w:tcPr>
            <w:tcW w:w="7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12"/>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income (loss) on available-for-sale securities</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(4,688)</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w:t>
            </w:r>
          </w:p>
        </w:tc>
      </w:tr>
      <w:tr>
        <w:trPr>
          <w:trHeight w:val="223"/>
        </w:trPr>
        <w:tc>
          <w:tcPr>
            <w:tcW w:w="7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rPr>
              <w:t>(1,251)</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7,081</w:t>
            </w:r>
          </w:p>
        </w:tc>
      </w:tr>
      <w:tr>
        <w:trPr>
          <w:trHeight w:val="203"/>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(5,939)</w:t>
            </w: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13,939</w:t>
            </w:r>
          </w:p>
        </w:tc>
      </w:tr>
      <w:tr>
        <w:trPr>
          <w:trHeight w:val="203"/>
        </w:trPr>
        <w:tc>
          <w:tcPr>
            <w:tcW w:w="7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comprehensive loss</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rPr>
              <w:t>(1,505)</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(23,687)</w:t>
            </w:r>
          </w:p>
        </w:tc>
      </w:tr>
      <w:tr>
        <w:trPr>
          <w:trHeight w:val="20"/>
        </w:trPr>
        <w:tc>
          <w:tcPr>
            <w:tcW w:w="7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of U.S. dollars,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80" w:type="dxa"/>
            <w:vAlign w:val="bottom"/>
            <w:gridSpan w:val="5"/>
          </w:tcPr>
          <w:p>
            <w:pPr>
              <w:jc w:val="right"/>
              <w:ind w:right="40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Additional Paid-In</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vMerge w:val="restart"/>
          </w:tcPr>
          <w:p>
            <w:pPr>
              <w:jc w:val="right"/>
              <w:ind w:right="104"/>
              <w:spacing w:after="0"/>
              <w:rPr>
                <w:sz w:val="20"/>
                <w:szCs w:val="20"/>
                <w:color w:val="auto"/>
              </w:rPr>
            </w:pPr>
            <w:r>
              <w:rPr>
                <w:rFonts w:ascii="Times New Roman" w:cs="Times New Roman" w:eastAsia="Times New Roman" w:hAnsi="Times New Roman"/>
                <w:sz w:val="10"/>
                <w:szCs w:val="10"/>
                <w:b w:val="1"/>
                <w:bCs w:val="1"/>
                <w:color w:val="auto"/>
                <w:w w:val="97"/>
              </w:rPr>
              <w:t>Total Stockholders’</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tcPr>
          <w:p>
            <w:pPr>
              <w:spacing w:after="0"/>
              <w:rPr>
                <w:sz w:val="6"/>
                <w:szCs w:val="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Accumulated Deficit</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9"/>
              </w:rPr>
              <w:t>Comprehensive Income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Balances as of January 31, 2026</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80,492,774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5,345,494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(494,569)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13,207</w:t>
            </w:r>
          </w:p>
        </w:tc>
        <w:tc>
          <w:tcPr>
            <w:tcW w:w="10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(1,911,855)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2,952,358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Stock option exercises</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55,128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461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489,162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Vesting of performance stock units</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99,626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Shares withheld related to net share settlement of equity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(220,314)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(53,930)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137,830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137,830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Retirement of treasury stock</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(586,540)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586,541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(412,800)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(100,255)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(100,255)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income</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4,434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4,434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Balances as of April 30, 2026</w:t>
            </w:r>
          </w:p>
        </w:tc>
        <w:tc>
          <w:tcPr>
            <w:tcW w:w="9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80,503,576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628"/>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4,843,315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(8,283)</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7,268</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(1,907,421)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2,934,960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5"/>
          </w:tcPr>
          <w:p>
            <w:pPr>
              <w:jc w:val="right"/>
              <w:ind w:right="38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9"/>
              </w:rPr>
              <w:t>Additional Paid-In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restart"/>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w w:val="99"/>
              </w:rPr>
              <w:t>Total Stockholders’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tcPr>
          <w:p>
            <w:pPr>
              <w:spacing w:after="0"/>
              <w:rPr>
                <w:sz w:val="3"/>
                <w:szCs w:val="3"/>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Accumulated Deficit</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Comprehensive Income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5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Balances as of January 31, 2025</w:t>
            </w: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80,467,811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4,625,093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(924)</w:t>
            </w:r>
          </w:p>
        </w:tc>
        <w:tc>
          <w:tcPr>
            <w:tcW w:w="10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(1,840,704)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2,782,224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Stock option exercises</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77,519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579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381,937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Vesting of performance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91,319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Issuance of common stock in connection with a business combination</w:t>
            </w: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subject to future vesting</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213,023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Issuance of common stock in connection with a business combination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484,169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141,401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141,402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132,431</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132,431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7,081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7,081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Net loss</w:t>
            </w: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(37,626)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(37,626)</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Balances as of April 30,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81,715,778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80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4,899,504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13,015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(1,878,330)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3,032,950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4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center"/>
              <w:ind w:left="3"/>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1100" w:type="dxa"/>
            <w:vAlign w:val="bottom"/>
            <w:tcBorders>
              <w:bottom w:val="single" w:sz="8" w:color="auto"/>
            </w:tcBorders>
          </w:tcPr>
          <w:p>
            <w:pPr>
              <w:spacing w:after="0"/>
              <w:rPr>
                <w:sz w:val="13"/>
                <w:szCs w:val="13"/>
                <w:color w:val="auto"/>
              </w:rPr>
            </w:pPr>
          </w:p>
        </w:tc>
      </w:tr>
      <w:tr>
        <w:trPr>
          <w:trHeight w:val="154"/>
        </w:trPr>
        <w:tc>
          <w:tcPr>
            <w:tcW w:w="74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2026</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44"/>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1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71"/>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1040" w:type="dxa"/>
            <w:vAlign w:val="bottom"/>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4,434</w:t>
            </w:r>
          </w:p>
        </w:tc>
        <w:tc>
          <w:tcPr>
            <w:tcW w:w="100" w:type="dxa"/>
            <w:vAlign w:val="bottom"/>
          </w:tcPr>
          <w:p>
            <w:pPr>
              <w:spacing w:after="0"/>
              <w:rPr>
                <w:sz w:val="14"/>
                <w:szCs w:val="14"/>
                <w:color w:val="auto"/>
              </w:rPr>
            </w:pPr>
          </w:p>
        </w:tc>
        <w:tc>
          <w:tcPr>
            <w:tcW w:w="800" w:type="dxa"/>
            <w:vAlign w:val="bottom"/>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(37,626)</w:t>
            </w:r>
          </w:p>
        </w:tc>
      </w:tr>
      <w:tr>
        <w:trPr>
          <w:trHeight w:val="16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Adjustments to reconcile net income (loss) to net cash provided by operating activities:</w:t>
            </w:r>
          </w:p>
        </w:tc>
        <w:tc>
          <w:tcPr>
            <w:tcW w:w="10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5,309</w:t>
            </w:r>
          </w:p>
        </w:tc>
      </w:tr>
      <w:tr>
        <w:trPr>
          <w:trHeight w:val="190"/>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137,830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132,431</w:t>
            </w:r>
          </w:p>
        </w:tc>
      </w:tr>
      <w:tr>
        <w:trPr>
          <w:trHeight w:val="17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Amortization of finance right-of-use assets</w:t>
            </w:r>
          </w:p>
        </w:tc>
        <w:tc>
          <w:tcPr>
            <w:tcW w:w="1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993</w:t>
            </w:r>
          </w:p>
        </w:tc>
      </w:tr>
      <w:tr>
        <w:trPr>
          <w:trHeight w:val="190"/>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Amortization of operating right-of-use assets</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2,758</w:t>
            </w:r>
          </w:p>
        </w:tc>
      </w:tr>
      <w:tr>
        <w:trPr>
          <w:trHeight w:val="17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Deferred income taxes</w:t>
            </w:r>
          </w:p>
        </w:tc>
        <w:tc>
          <w:tcPr>
            <w:tcW w:w="1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90"/>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Amortization of premium and accretion of discount on short-term investments, net</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(3,800)</w:t>
            </w:r>
          </w:p>
        </w:tc>
      </w:tr>
      <w:tr>
        <w:trPr>
          <w:trHeight w:val="17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Realized and unrealized loss (gain) on financial instruments, net</w:t>
            </w:r>
          </w:p>
        </w:tc>
        <w:tc>
          <w:tcPr>
            <w:tcW w:w="1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(16,420)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w:t>
            </w:r>
          </w:p>
        </w:tc>
      </w:tr>
      <w:tr>
        <w:trPr>
          <w:trHeight w:val="190"/>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Unrealized foreign exchange loss</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1,970</w:t>
            </w:r>
          </w:p>
        </w:tc>
      </w:tr>
      <w:tr>
        <w:trPr>
          <w:trHeight w:val="153"/>
        </w:trPr>
        <w:tc>
          <w:tcPr>
            <w:tcW w:w="74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Change in operating assets and liabilities:</w:t>
            </w: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7"/>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Accounts receivable, net</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112,951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79,895</w:t>
            </w:r>
          </w:p>
        </w:tc>
      </w:tr>
      <w:tr>
        <w:trPr>
          <w:trHeight w:val="17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(4,973)</w:t>
            </w:r>
          </w:p>
        </w:tc>
      </w:tr>
      <w:tr>
        <w:trPr>
          <w:trHeight w:val="190"/>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Deferred commissions</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12,239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7,772</w:t>
            </w:r>
          </w:p>
        </w:tc>
      </w:tr>
      <w:tr>
        <w:trPr>
          <w:trHeight w:val="17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Other long-term assets</w:t>
            </w:r>
          </w:p>
        </w:tc>
        <w:tc>
          <w:tcPr>
            <w:tcW w:w="1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(12,593)</w:t>
            </w:r>
          </w:p>
        </w:tc>
      </w:tr>
      <w:tr>
        <w:trPr>
          <w:trHeight w:val="190"/>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Accounts payable</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20,496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(2,478)</w:t>
            </w:r>
          </w:p>
        </w:tc>
      </w:tr>
      <w:tr>
        <w:trPr>
          <w:trHeight w:val="17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Accrued liabilities</w:t>
            </w:r>
          </w:p>
        </w:tc>
        <w:tc>
          <w:tcPr>
            <w:tcW w:w="1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(22,802)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(19,353)</w:t>
            </w:r>
          </w:p>
        </w:tc>
      </w:tr>
      <w:tr>
        <w:trPr>
          <w:trHeight w:val="201"/>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(2,688)</w:t>
            </w:r>
          </w:p>
        </w:tc>
      </w:tr>
      <w:tr>
        <w:trPr>
          <w:trHeight w:val="18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Deferred revenue</w:t>
            </w:r>
          </w:p>
        </w:tc>
        <w:tc>
          <w:tcPr>
            <w:tcW w:w="10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(39,864)</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(39,624)</w:t>
            </w:r>
          </w:p>
        </w:tc>
      </w:tr>
      <w:tr>
        <w:trPr>
          <w:trHeight w:val="201"/>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Other liabilities, non-current</w:t>
            </w:r>
          </w:p>
        </w:tc>
        <w:tc>
          <w:tcPr>
            <w:tcW w:w="10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(704)</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1,639</w:t>
            </w:r>
          </w:p>
        </w:tc>
      </w:tr>
      <w:tr>
        <w:trPr>
          <w:trHeight w:val="151"/>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10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201,631</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109,929</w:t>
            </w:r>
          </w:p>
        </w:tc>
      </w:tr>
      <w:tr>
        <w:trPr>
          <w:trHeight w:val="14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1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71"/>
        </w:trPr>
        <w:tc>
          <w:tcPr>
            <w:tcW w:w="7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Purchases of property, equipment and other assets</w:t>
            </w:r>
          </w:p>
        </w:tc>
        <w:tc>
          <w:tcPr>
            <w:tcW w:w="1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(2,319)</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(1,611)</w:t>
            </w:r>
          </w:p>
        </w:tc>
      </w:tr>
      <w:tr>
        <w:trPr>
          <w:trHeight w:val="19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Investments in non-marketable securities</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(4,822)</w:t>
            </w:r>
          </w:p>
        </w:tc>
      </w:tr>
      <w:tr>
        <w:trPr>
          <w:trHeight w:val="171"/>
        </w:trPr>
        <w:tc>
          <w:tcPr>
            <w:tcW w:w="7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Business combination, net of cash acquired</w:t>
            </w:r>
          </w:p>
        </w:tc>
        <w:tc>
          <w:tcPr>
            <w:tcW w:w="10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w:t>
            </w:r>
          </w:p>
        </w:tc>
      </w:tr>
      <w:tr>
        <w:trPr>
          <w:trHeight w:val="19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Proceeds from maturities of marketable securities</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259,800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198,660</w:t>
            </w:r>
          </w:p>
        </w:tc>
      </w:tr>
      <w:tr>
        <w:trPr>
          <w:trHeight w:val="171"/>
        </w:trPr>
        <w:tc>
          <w:tcPr>
            <w:tcW w:w="7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Proceeds from non-marketable securities</w:t>
            </w:r>
          </w:p>
        </w:tc>
        <w:tc>
          <w:tcPr>
            <w:tcW w:w="1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10,718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01"/>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Purchases of marketable securities</w:t>
            </w:r>
          </w:p>
        </w:tc>
        <w:tc>
          <w:tcPr>
            <w:tcW w:w="10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(352,122)</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(138,624)</w:t>
            </w:r>
          </w:p>
        </w:tc>
      </w:tr>
      <w:tr>
        <w:trPr>
          <w:trHeight w:val="151"/>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10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(86,923)</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51,571</w:t>
            </w:r>
          </w:p>
        </w:tc>
      </w:tr>
      <w:tr>
        <w:trPr>
          <w:trHeight w:val="14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1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bl>
    <w:p>
      <w:pPr>
        <w:spacing w:after="0" w:line="4" w:lineRule="exact"/>
        <w:rPr>
          <w:sz w:val="20"/>
          <w:szCs w:val="20"/>
          <w:color w:val="auto"/>
        </w:rPr>
      </w:pPr>
    </w:p>
    <w:p>
      <w:pPr>
        <w:sectPr>
          <w:pgSz w:w="11900" w:h="16838" w:orient="portrait"/>
          <w:cols w:equalWidth="0" w:num="1">
            <w:col w:w="11240"/>
          </w:cols>
          <w:pgMar w:left="300" w:top="133" w:right="359" w:bottom="1440" w:gutter="0" w:footer="0" w:header="0"/>
        </w:sectPr>
      </w:pPr>
    </w:p>
    <w:tbl>
      <w:tblPr>
        <w:tblLayout w:type="fixed"/>
        <w:tblInd w:w="180" w:type="dxa"/>
        <w:tblCellMar>
          <w:top w:w="0" w:type="dxa"/>
          <w:left w:w="0" w:type="dxa"/>
          <w:bottom w:w="0" w:type="dxa"/>
          <w:right w:w="0" w:type="dxa"/>
        </w:tblCellMar>
      </w:tblPr>
      <w:tr>
        <w:trPr>
          <w:trHeight w:val="147"/>
        </w:trPr>
        <w:tc>
          <w:tcPr>
            <w:tcW w:w="6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1320" w:type="dxa"/>
            <w:vAlign w:val="bottom"/>
          </w:tcPr>
          <w:p>
            <w:pPr>
              <w:spacing w:after="0"/>
              <w:rPr>
                <w:sz w:val="12"/>
                <w:szCs w:val="12"/>
                <w:color w:val="auto"/>
              </w:rPr>
            </w:pPr>
          </w:p>
        </w:tc>
      </w:tr>
      <w:tr>
        <w:trPr>
          <w:trHeight w:val="180"/>
        </w:trPr>
        <w:tc>
          <w:tcPr>
            <w:tcW w:w="6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1320" w:type="dxa"/>
            <w:vAlign w:val="bottom"/>
          </w:tcPr>
          <w:p>
            <w:pPr>
              <w:spacing w:after="0"/>
              <w:rPr>
                <w:sz w:val="15"/>
                <w:szCs w:val="15"/>
                <w:color w:val="auto"/>
              </w:rPr>
            </w:pPr>
          </w:p>
        </w:tc>
      </w:tr>
      <w:tr>
        <w:trPr>
          <w:trHeight w:val="180"/>
        </w:trPr>
        <w:tc>
          <w:tcPr>
            <w:tcW w:w="6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Taxes paid related to net share settlement of equity awards</w:t>
            </w:r>
          </w:p>
        </w:tc>
        <w:tc>
          <w:tcPr>
            <w:tcW w:w="1320" w:type="dxa"/>
            <w:vAlign w:val="bottom"/>
          </w:tcPr>
          <w:p>
            <w:pPr>
              <w:spacing w:after="0"/>
              <w:rPr>
                <w:sz w:val="15"/>
                <w:szCs w:val="15"/>
                <w:color w:val="auto"/>
              </w:rPr>
            </w:pPr>
          </w:p>
        </w:tc>
      </w:tr>
      <w:tr>
        <w:trPr>
          <w:trHeight w:val="180"/>
        </w:trPr>
        <w:tc>
          <w:tcPr>
            <w:tcW w:w="6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Principal payments of finance leases</w:t>
            </w:r>
          </w:p>
        </w:tc>
        <w:tc>
          <w:tcPr>
            <w:tcW w:w="1320" w:type="dxa"/>
            <w:vAlign w:val="bottom"/>
          </w:tcPr>
          <w:p>
            <w:pPr>
              <w:spacing w:after="0"/>
              <w:rPr>
                <w:sz w:val="15"/>
                <w:szCs w:val="15"/>
                <w:color w:val="auto"/>
              </w:rPr>
            </w:pPr>
          </w:p>
        </w:tc>
      </w:tr>
      <w:tr>
        <w:trPr>
          <w:trHeight w:val="191"/>
        </w:trPr>
        <w:tc>
          <w:tcPr>
            <w:tcW w:w="60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1320" w:type="dxa"/>
            <w:vAlign w:val="bottom"/>
          </w:tcPr>
          <w:p>
            <w:pPr>
              <w:spacing w:after="0"/>
              <w:rPr>
                <w:sz w:val="16"/>
                <w:szCs w:val="16"/>
                <w:color w:val="auto"/>
              </w:rPr>
            </w:pPr>
          </w:p>
        </w:tc>
      </w:tr>
      <w:tr>
        <w:trPr>
          <w:trHeight w:val="180"/>
        </w:trPr>
        <w:tc>
          <w:tcPr>
            <w:tcW w:w="6080" w:type="dxa"/>
            <w:vAlign w:val="bottom"/>
          </w:tcPr>
          <w:p>
            <w:pPr>
              <w:spacing w:after="0"/>
              <w:rPr>
                <w:sz w:val="20"/>
                <w:szCs w:val="20"/>
                <w:color w:val="auto"/>
              </w:rPr>
            </w:pPr>
            <w:r>
              <w:rPr>
                <w:rFonts w:ascii="Times New Roman" w:cs="Times New Roman" w:eastAsia="Times New Roman" w:hAnsi="Times New Roman"/>
                <w:sz w:val="11"/>
                <w:szCs w:val="11"/>
                <w:color w:val="auto"/>
              </w:rPr>
              <w:t>Effect of exchange rate changes on cash, cash equivalents and restricted cash</w:t>
            </w:r>
          </w:p>
        </w:tc>
        <w:tc>
          <w:tcPr>
            <w:tcW w:w="1320" w:type="dxa"/>
            <w:vAlign w:val="bottom"/>
          </w:tcPr>
          <w:p>
            <w:pPr>
              <w:spacing w:after="0"/>
              <w:rPr>
                <w:sz w:val="15"/>
                <w:szCs w:val="15"/>
                <w:color w:val="auto"/>
              </w:rPr>
            </w:pPr>
          </w:p>
        </w:tc>
      </w:tr>
      <w:tr>
        <w:trPr>
          <w:trHeight w:val="191"/>
        </w:trPr>
        <w:tc>
          <w:tcPr>
            <w:tcW w:w="6080" w:type="dxa"/>
            <w:vAlign w:val="bottom"/>
          </w:tcPr>
          <w:p>
            <w:pPr>
              <w:spacing w:after="0"/>
              <w:rPr>
                <w:sz w:val="20"/>
                <w:szCs w:val="20"/>
                <w:color w:val="auto"/>
              </w:rPr>
            </w:pPr>
            <w:r>
              <w:rPr>
                <w:rFonts w:ascii="Times New Roman" w:cs="Times New Roman" w:eastAsia="Times New Roman" w:hAnsi="Times New Roman"/>
                <w:sz w:val="11"/>
                <w:szCs w:val="11"/>
                <w:color w:val="auto"/>
              </w:rPr>
              <w:t>Net increase (decrease) in cash, cash equivalents and restricted cash</w:t>
            </w:r>
          </w:p>
        </w:tc>
        <w:tc>
          <w:tcPr>
            <w:tcW w:w="1320" w:type="dxa"/>
            <w:vAlign w:val="bottom"/>
          </w:tcPr>
          <w:p>
            <w:pPr>
              <w:spacing w:after="0"/>
              <w:rPr>
                <w:sz w:val="16"/>
                <w:szCs w:val="16"/>
                <w:color w:val="auto"/>
              </w:rPr>
            </w:pPr>
          </w:p>
        </w:tc>
      </w:tr>
      <w:tr>
        <w:trPr>
          <w:trHeight w:val="180"/>
        </w:trPr>
        <w:tc>
          <w:tcPr>
            <w:tcW w:w="6080" w:type="dxa"/>
            <w:vAlign w:val="bottom"/>
          </w:tcPr>
          <w:p>
            <w:pPr>
              <w:spacing w:after="0"/>
              <w:rPr>
                <w:sz w:val="20"/>
                <w:szCs w:val="20"/>
                <w:color w:val="auto"/>
              </w:rPr>
            </w:pPr>
            <w:r>
              <w:rPr>
                <w:rFonts w:ascii="Times New Roman" w:cs="Times New Roman" w:eastAsia="Times New Roman" w:hAnsi="Times New Roman"/>
                <w:sz w:val="11"/>
                <w:szCs w:val="11"/>
                <w:color w:val="auto"/>
              </w:rPr>
              <w:t>Cash, cash equivalents and restricted cash, beginning of period</w:t>
            </w:r>
          </w:p>
        </w:tc>
        <w:tc>
          <w:tcPr>
            <w:tcW w:w="1320" w:type="dxa"/>
            <w:vAlign w:val="bottom"/>
          </w:tcPr>
          <w:p>
            <w:pPr>
              <w:spacing w:after="0"/>
              <w:rPr>
                <w:sz w:val="15"/>
                <w:szCs w:val="15"/>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1"/>
                <w:szCs w:val="11"/>
                <w:color w:val="auto"/>
              </w:rPr>
              <w:t>Cash, cash equivalents and restricted cash, end of period</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60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Supplemental cash flow disclosure</w:t>
            </w:r>
          </w:p>
        </w:tc>
        <w:tc>
          <w:tcPr>
            <w:tcW w:w="1320" w:type="dxa"/>
            <w:vAlign w:val="bottom"/>
          </w:tcPr>
          <w:p>
            <w:pPr>
              <w:spacing w:after="0"/>
              <w:rPr>
                <w:sz w:val="15"/>
                <w:szCs w:val="15"/>
                <w:color w:val="auto"/>
              </w:rPr>
            </w:pPr>
          </w:p>
        </w:tc>
      </w:tr>
      <w:tr>
        <w:trPr>
          <w:trHeight w:val="170"/>
        </w:trPr>
        <w:tc>
          <w:tcPr>
            <w:tcW w:w="6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paid during the period for:</w:t>
            </w:r>
          </w:p>
        </w:tc>
        <w:tc>
          <w:tcPr>
            <w:tcW w:w="1320" w:type="dxa"/>
            <w:vAlign w:val="bottom"/>
          </w:tcPr>
          <w:p>
            <w:pPr>
              <w:spacing w:after="0"/>
              <w:rPr>
                <w:sz w:val="14"/>
                <w:szCs w:val="14"/>
                <w:color w:val="auto"/>
              </w:rPr>
            </w:pPr>
          </w:p>
        </w:tc>
      </w:tr>
      <w:tr>
        <w:trPr>
          <w:trHeight w:val="212"/>
        </w:trPr>
        <w:tc>
          <w:tcPr>
            <w:tcW w:w="60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Income taxes, net of refunds</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1"/>
        </w:trPr>
        <w:tc>
          <w:tcPr>
            <w:tcW w:w="60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Interest expense</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0"/>
        </w:trPr>
        <w:tc>
          <w:tcPr>
            <w:tcW w:w="6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Noncash investing and financing activities:</w:t>
            </w:r>
          </w:p>
        </w:tc>
        <w:tc>
          <w:tcPr>
            <w:tcW w:w="1320" w:type="dxa"/>
            <w:vAlign w:val="bottom"/>
          </w:tcPr>
          <w:p>
            <w:pPr>
              <w:spacing w:after="0"/>
              <w:rPr>
                <w:sz w:val="14"/>
                <w:szCs w:val="14"/>
                <w:color w:val="auto"/>
              </w:rPr>
            </w:pPr>
          </w:p>
        </w:tc>
      </w:tr>
      <w:tr>
        <w:trPr>
          <w:trHeight w:val="202"/>
        </w:trPr>
        <w:tc>
          <w:tcPr>
            <w:tcW w:w="60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Issuance of common stock in connection with a business combination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1"/>
        </w:trPr>
        <w:tc>
          <w:tcPr>
            <w:tcW w:w="60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Purchases of property and equipment included in accounts payable and accrued liabilities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1"/>
        </w:trPr>
        <w:tc>
          <w:tcPr>
            <w:tcW w:w="60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Unpaid taxes for net share settlement of equity awards included in accrued compensation and benefits</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-1880235</wp:posOffset>
            </wp:positionV>
            <wp:extent cx="7107555" cy="114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7555" cy="114300"/>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-1651635</wp:posOffset>
            </wp:positionV>
            <wp:extent cx="7107555" cy="121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7555" cy="12128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-1179830</wp:posOffset>
            </wp:positionV>
            <wp:extent cx="7107555" cy="1212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7555" cy="12128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-708025</wp:posOffset>
            </wp:positionV>
            <wp:extent cx="7107555" cy="121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7555" cy="12128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-465455</wp:posOffset>
            </wp:positionV>
            <wp:extent cx="7107555" cy="1212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7555" cy="12128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-229870</wp:posOffset>
            </wp:positionV>
            <wp:extent cx="7107555" cy="1212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7555" cy="12128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-930275</wp:posOffset>
            </wp:positionV>
            <wp:extent cx="7107555" cy="1009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7555" cy="10096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-1415415</wp:posOffset>
            </wp:positionV>
            <wp:extent cx="7107555" cy="1212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7555" cy="121285"/>
                    </a:xfrm>
                    <a:prstGeom prst="rect">
                      <a:avLst/>
                    </a:prstGeom>
                    <a:noFill/>
                  </pic:spPr>
                </pic:pic>
              </a:graphicData>
            </a:graphic>
          </wp:anchor>
        </w:drawing>
      </w:r>
    </w:p>
    <w:p>
      <w:pPr>
        <w:ind w:left="180" w:right="580" w:hanging="95"/>
        <w:spacing w:after="0" w:line="243" w:lineRule="auto"/>
        <w:rPr>
          <w:sz w:val="20"/>
          <w:szCs w:val="20"/>
          <w:color w:val="auto"/>
        </w:rPr>
      </w:pPr>
      <w:r>
        <w:rPr>
          <w:rFonts w:ascii="Times New Roman" w:cs="Times New Roman" w:eastAsia="Times New Roman" w:hAnsi="Times New Roman"/>
          <w:sz w:val="11"/>
          <w:szCs w:val="11"/>
          <w:b w:val="1"/>
          <w:bCs w:val="1"/>
          <w:color w:val="auto"/>
        </w:rPr>
        <w:t>Reconciliation of cash, cash equivalents and restricted cash within the condensed consolidated balance sheets, end of period, to the amounts shown in the statements of cash flows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-156210</wp:posOffset>
            </wp:positionV>
            <wp:extent cx="7107555" cy="168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7555" cy="168275"/>
                    </a:xfrm>
                    <a:prstGeom prst="rect">
                      <a:avLst/>
                    </a:prstGeom>
                    <a:noFill/>
                  </pic:spPr>
                </pic:pic>
              </a:graphicData>
            </a:graphic>
          </wp:anchor>
        </w:drawing>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179"/>
        </w:trPr>
        <w:tc>
          <w:tcPr>
            <w:tcW w:w="476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0"/>
        </w:trPr>
        <w:tc>
          <w:tcPr>
            <w:tcW w:w="4760" w:type="dxa"/>
            <w:vAlign w:val="bottom"/>
          </w:tcPr>
          <w:p>
            <w:pPr>
              <w:spacing w:after="0"/>
              <w:rPr>
                <w:sz w:val="20"/>
                <w:szCs w:val="20"/>
                <w:color w:val="auto"/>
              </w:rPr>
            </w:pPr>
            <w:r>
              <w:rPr>
                <w:rFonts w:ascii="Times New Roman" w:cs="Times New Roman" w:eastAsia="Times New Roman" w:hAnsi="Times New Roman"/>
                <w:sz w:val="11"/>
                <w:szCs w:val="11"/>
                <w:color w:val="auto"/>
              </w:rPr>
              <w:t>Restricted cash, non-current</w:t>
            </w:r>
          </w:p>
        </w:tc>
        <w:tc>
          <w:tcPr>
            <w:tcW w:w="2560" w:type="dxa"/>
            <w:vAlign w:val="bottom"/>
          </w:tcPr>
          <w:p>
            <w:pPr>
              <w:spacing w:after="0"/>
              <w:rPr>
                <w:sz w:val="14"/>
                <w:szCs w:val="14"/>
                <w:color w:val="auto"/>
              </w:rPr>
            </w:pPr>
          </w:p>
        </w:tc>
      </w:tr>
      <w:tr>
        <w:trPr>
          <w:trHeight w:val="212"/>
        </w:trPr>
        <w:tc>
          <w:tcPr>
            <w:tcW w:w="4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2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-229870</wp:posOffset>
            </wp:positionV>
            <wp:extent cx="7107555" cy="128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7555"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6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(100,255)</w:t>
            </w:r>
          </w:p>
        </w:tc>
        <w:tc>
          <w:tcPr>
            <w:tcW w:w="7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6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461</w:t>
            </w:r>
          </w:p>
        </w:tc>
        <w:tc>
          <w:tcPr>
            <w:tcW w:w="7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w:t>
            </w:r>
          </w:p>
        </w:tc>
      </w:tr>
      <w:tr>
        <w:trPr>
          <w:trHeight w:val="180"/>
        </w:trPr>
        <w:tc>
          <w:tcPr>
            <w:tcW w:w="6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(58,317)</w:t>
            </w:r>
          </w:p>
        </w:tc>
        <w:tc>
          <w:tcPr>
            <w:tcW w:w="7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01"/>
        </w:trPr>
        <w:tc>
          <w:tcPr>
            <w:tcW w:w="6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(1,764)</w:t>
            </w:r>
          </w:p>
        </w:tc>
        <w:tc>
          <w:tcPr>
            <w:tcW w:w="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(2,394)</w:t>
            </w:r>
          </w:p>
        </w:tc>
      </w:tr>
      <w:tr>
        <w:trPr>
          <w:trHeight w:val="160"/>
        </w:trPr>
        <w:tc>
          <w:tcPr>
            <w:tcW w:w="6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(159,875)</w:t>
            </w: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(1,815)</w:t>
            </w:r>
          </w:p>
        </w:tc>
      </w:tr>
      <w:tr>
        <w:trPr>
          <w:trHeight w:val="171"/>
        </w:trPr>
        <w:tc>
          <w:tcPr>
            <w:tcW w:w="6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(1,698)</w:t>
            </w:r>
          </w:p>
        </w:tc>
        <w:tc>
          <w:tcPr>
            <w:tcW w:w="7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8,000</w:t>
            </w:r>
          </w:p>
        </w:tc>
      </w:tr>
      <w:tr>
        <w:trPr>
          <w:trHeight w:val="151"/>
        </w:trPr>
        <w:tc>
          <w:tcPr>
            <w:tcW w:w="6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(46,865)</w:t>
            </w:r>
          </w:p>
        </w:tc>
        <w:tc>
          <w:tcPr>
            <w:tcW w:w="7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167,685</w:t>
            </w:r>
          </w:p>
        </w:tc>
      </w:tr>
      <w:tr>
        <w:trPr>
          <w:trHeight w:val="201"/>
        </w:trPr>
        <w:tc>
          <w:tcPr>
            <w:tcW w:w="6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99"/>
              </w:rPr>
              <w:t>1,086,625</w:t>
            </w:r>
          </w:p>
        </w:tc>
        <w:tc>
          <w:tcPr>
            <w:tcW w:w="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492,753</w:t>
            </w:r>
          </w:p>
        </w:tc>
      </w:tr>
      <w:tr>
        <w:trPr>
          <w:trHeight w:val="160"/>
        </w:trPr>
        <w:tc>
          <w:tcPr>
            <w:tcW w:w="6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99"/>
              </w:rPr>
              <w:t>1,039,760</w:t>
            </w:r>
          </w:p>
        </w:tc>
        <w:tc>
          <w:tcPr>
            <w:tcW w:w="78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660,438</w:t>
            </w:r>
          </w:p>
        </w:tc>
      </w:tr>
      <w:tr>
        <w:trPr>
          <w:trHeight w:val="21"/>
        </w:trPr>
        <w:tc>
          <w:tcPr>
            <w:tcW w:w="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91"/>
        </w:trPr>
        <w:tc>
          <w:tcPr>
            <w:tcW w:w="6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3,837</w:t>
            </w:r>
          </w:p>
        </w:tc>
        <w:tc>
          <w:tcPr>
            <w:tcW w:w="780" w:type="dxa"/>
            <w:vAlign w:val="bottom"/>
          </w:tcPr>
          <w:p>
            <w:pPr>
              <w:jc w:val="right"/>
              <w:ind w:right="6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3,899</w:t>
            </w:r>
          </w:p>
        </w:tc>
      </w:tr>
      <w:tr>
        <w:trPr>
          <w:trHeight w:val="191"/>
        </w:trPr>
        <w:tc>
          <w:tcPr>
            <w:tcW w:w="6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414</w:t>
            </w:r>
          </w:p>
        </w:tc>
        <w:tc>
          <w:tcPr>
            <w:tcW w:w="780" w:type="dxa"/>
            <w:vAlign w:val="bottom"/>
          </w:tcPr>
          <w:p>
            <w:pPr>
              <w:jc w:val="right"/>
              <w:ind w:right="6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w:t>
            </w:r>
          </w:p>
        </w:tc>
      </w:tr>
      <w:tr>
        <w:trPr>
          <w:trHeight w:val="371"/>
        </w:trPr>
        <w:tc>
          <w:tcPr>
            <w:tcW w:w="6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141,402</w:t>
            </w:r>
          </w:p>
        </w:tc>
      </w:tr>
      <w:tr>
        <w:trPr>
          <w:trHeight w:val="191"/>
        </w:trPr>
        <w:tc>
          <w:tcPr>
            <w:tcW w:w="6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2,641</w:t>
            </w:r>
          </w:p>
        </w:tc>
        <w:tc>
          <w:tcPr>
            <w:tcW w:w="780" w:type="dxa"/>
            <w:vAlign w:val="bottom"/>
          </w:tcPr>
          <w:p>
            <w:pPr>
              <w:jc w:val="right"/>
              <w:ind w:right="6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w:t>
            </w:r>
          </w:p>
        </w:tc>
      </w:tr>
      <w:tr>
        <w:trPr>
          <w:trHeight w:val="191"/>
        </w:trPr>
        <w:tc>
          <w:tcPr>
            <w:tcW w:w="6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5,417</w:t>
            </w:r>
          </w:p>
        </w:tc>
        <w:tc>
          <w:tcPr>
            <w:tcW w:w="780" w:type="dxa"/>
            <w:vAlign w:val="bottom"/>
          </w:tcPr>
          <w:p>
            <w:pPr>
              <w:jc w:val="right"/>
              <w:ind w:right="6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467"/>
        </w:trPr>
        <w:tc>
          <w:tcPr>
            <w:tcW w:w="6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99"/>
              </w:rPr>
              <w:t>1,036,354</w:t>
            </w:r>
          </w:p>
        </w:tc>
        <w:tc>
          <w:tcPr>
            <w:tcW w:w="780" w:type="dxa"/>
            <w:vAlign w:val="bottom"/>
          </w:tcPr>
          <w:p>
            <w:pPr>
              <w:jc w:val="right"/>
              <w:ind w:right="6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657,809</w:t>
            </w:r>
          </w:p>
        </w:tc>
      </w:tr>
      <w:tr>
        <w:trPr>
          <w:trHeight w:val="211"/>
        </w:trPr>
        <w:tc>
          <w:tcPr>
            <w:tcW w:w="6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3,406</w:t>
            </w: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2,629</w:t>
            </w:r>
          </w:p>
        </w:tc>
      </w:tr>
      <w:tr>
        <w:trPr>
          <w:trHeight w:val="160"/>
        </w:trPr>
        <w:tc>
          <w:tcPr>
            <w:tcW w:w="6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99"/>
              </w:rPr>
              <w:t>1,039,760</w:t>
            </w:r>
          </w:p>
        </w:tc>
        <w:tc>
          <w:tcPr>
            <w:tcW w:w="78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660,438</w:t>
            </w:r>
          </w:p>
        </w:tc>
      </w:tr>
      <w:tr>
        <w:trPr>
          <w:trHeight w:val="21"/>
        </w:trPr>
        <w:tc>
          <w:tcPr>
            <w:tcW w:w="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-26035</wp:posOffset>
            </wp:positionV>
            <wp:extent cx="109791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97915" cy="698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-6350</wp:posOffset>
            </wp:positionV>
            <wp:extent cx="109791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97915" cy="698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-140970</wp:posOffset>
            </wp:positionV>
            <wp:extent cx="109791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97915" cy="698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-1522095</wp:posOffset>
            </wp:positionV>
            <wp:extent cx="109791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97915" cy="698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-1636395</wp:posOffset>
            </wp:positionV>
            <wp:extent cx="109791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97915" cy="698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-1872615</wp:posOffset>
            </wp:positionV>
            <wp:extent cx="109791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97915" cy="698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-2108200</wp:posOffset>
            </wp:positionV>
            <wp:extent cx="109791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97915" cy="698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8020" w:space="720"/>
            <w:col w:w="2500"/>
          </w:cols>
          <w:pgMar w:left="300" w:top="133" w:right="35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 and Description of Business</w:t>
      </w:r>
    </w:p>
    <w:p>
      <w:pPr>
        <w:spacing w:after="0" w:line="138"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4"/>
          <w:szCs w:val="14"/>
          <w:color w:val="auto"/>
        </w:rPr>
        <w:t>MongoDB, Inc. (“MongoDB” or the “Company”) was originally incorporated in the state of Delaware in November 2007 under the name 10Gen, Inc. In August 2013, the Company changed its name to MongoDB, Inc. MongoDB is the developer data platform company. The foundation of the Company’s offering is the leading, modern general purpose database, which is built on a unique document-based architecture. Organizations can deploy the Company’s database at scale in the cloud, on-premises, or in a hybrid environment. The Company’s robust platform enables developers to build and modernize applications rapidly and cost-effectively across a broad range of use cases. In addition to selling subscriptions to its software, the Company provides post-contract support, training and consulting services for its offerings. The Company’s fiscal year ends on January 31.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Basis of Presentation</w:t>
      </w:r>
    </w:p>
    <w:p>
      <w:pPr>
        <w:spacing w:after="0" w:line="138" w:lineRule="exact"/>
        <w:rPr>
          <w:sz w:val="20"/>
          <w:szCs w:val="20"/>
          <w:color w:val="auto"/>
        </w:rPr>
      </w:pPr>
    </w:p>
    <w:p>
      <w:pPr>
        <w:ind w:right="180" w:firstLine="382"/>
        <w:spacing w:after="0" w:line="259"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are unaudited and have been prepared in accordance with generally accepted accounting principles in the United States of America ("U.S. GAAP") for interim financial information and the instructions to Form 10-Q and Rule 10-01 of Regulation S-X. These condensed consolidated financial statements include the accounts of the Company and all of its wholly-owned subsidiaries. The condensed consolidated financial statements have been prepared on a basis consistent with the annual consolidated financial statements and in the opinion of management, reflect all adjustments, including normal recurring adjustments, which are considered necessary for the fair statement of the Company’s financial position, results of operations and cash flows for the interim periods presented. All intercompany transactions and accounts have been eliminated. The results of operations for the interim periods should not be considered indicative of results for the full year or for any other future year or interim period.</w:t>
      </w:r>
    </w:p>
    <w:p>
      <w:pPr>
        <w:spacing w:after="0" w:line="103" w:lineRule="exact"/>
        <w:rPr>
          <w:sz w:val="20"/>
          <w:szCs w:val="20"/>
          <w:color w:val="auto"/>
        </w:rPr>
      </w:pPr>
    </w:p>
    <w:p>
      <w:pPr>
        <w:ind w:right="480" w:firstLine="382"/>
        <w:spacing w:after="0" w:line="287" w:lineRule="auto"/>
        <w:rPr>
          <w:sz w:val="20"/>
          <w:szCs w:val="20"/>
          <w:color w:val="auto"/>
        </w:rPr>
      </w:pPr>
      <w:r>
        <w:rPr>
          <w:rFonts w:ascii="Times New Roman" w:cs="Times New Roman" w:eastAsia="Times New Roman" w:hAnsi="Times New Roman"/>
          <w:sz w:val="14"/>
          <w:szCs w:val="14"/>
          <w:color w:val="auto"/>
        </w:rPr>
        <w:t>These condensed consolidated financial statements and accompanying footnotes should be read in conjunction with the Company’s annual consolidated financial statements and related footnotes included in its Annual Report on Form 10-K for the fiscal year ended January 31, 2026 (the “2026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Use of Estimates</w:t>
      </w:r>
    </w:p>
    <w:p>
      <w:pPr>
        <w:spacing w:after="0" w:line="138"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The preparation of the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spacing w:after="0" w:line="103"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financial statements.</w:t>
      </w:r>
    </w:p>
    <w:p>
      <w:pPr>
        <w:spacing w:after="0" w:line="200" w:lineRule="exact"/>
        <w:rPr>
          <w:sz w:val="20"/>
          <w:szCs w:val="20"/>
          <w:color w:val="auto"/>
        </w:rPr>
      </w:pPr>
    </w:p>
    <w:p>
      <w:pPr>
        <w:spacing w:after="0" w:line="36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Segment Information</w:t>
      </w:r>
    </w:p>
    <w:p>
      <w:pPr>
        <w:spacing w:after="0" w:line="138" w:lineRule="exact"/>
        <w:rPr>
          <w:sz w:val="20"/>
          <w:szCs w:val="20"/>
          <w:color w:val="auto"/>
        </w:rPr>
      </w:pPr>
    </w:p>
    <w:p>
      <w:pPr>
        <w:ind w:right="240" w:firstLine="382"/>
        <w:spacing w:after="0" w:line="259" w:lineRule="auto"/>
        <w:rPr>
          <w:sz w:val="20"/>
          <w:szCs w:val="20"/>
          <w:color w:val="auto"/>
        </w:rPr>
      </w:pPr>
      <w:r>
        <w:rPr>
          <w:rFonts w:ascii="Times New Roman" w:cs="Times New Roman" w:eastAsia="Times New Roman" w:hAnsi="Times New Roman"/>
          <w:sz w:val="14"/>
          <w:szCs w:val="14"/>
          <w:color w:val="auto"/>
        </w:rPr>
        <w:t>The Company’s chief operating decision maker (“CODM”), the Chief Executive Officer, manages the Company’s business activities as a single operating and reportable segment at the consolidated level. Accordingly, the CODM uses consolidated net income (loss) to make operating decisions, allocate resources and assess performance. The CODM uses consolidated net income (loss) to evaluate cost optimization and allocate resources, including personnel-related and financial or capital resources, in the annual budget and forecasting process, as well as budget-to-actual variances on a monthly basis. Further, the CODM reviews and utilizes functional expenses (cost of revenue, sales and marketing, research and development, and general and administrative) at the consolidated level to manage the Company’s operations. Other segment items included in consolidated net income (loss) are interest income, interest expense, other income (expense), net and the provision for income taxes, which are reflected in the condensed consolidated statements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Significant Accounting Policies</w:t>
      </w:r>
    </w:p>
    <w:p>
      <w:pPr>
        <w:spacing w:after="0" w:line="138" w:lineRule="exact"/>
        <w:rPr>
          <w:sz w:val="20"/>
          <w:szCs w:val="20"/>
          <w:color w:val="auto"/>
        </w:rPr>
      </w:pPr>
    </w:p>
    <w:p>
      <w:pPr>
        <w:ind w:right="800" w:firstLine="509"/>
        <w:spacing w:after="0" w:line="442" w:lineRule="auto"/>
        <w:rPr>
          <w:sz w:val="20"/>
          <w:szCs w:val="20"/>
          <w:color w:val="auto"/>
        </w:rPr>
      </w:pPr>
      <w:r>
        <w:rPr>
          <w:rFonts w:ascii="Times New Roman" w:cs="Times New Roman" w:eastAsia="Times New Roman" w:hAnsi="Times New Roman"/>
          <w:sz w:val="14"/>
          <w:szCs w:val="14"/>
          <w:color w:val="auto"/>
        </w:rPr>
        <w:t xml:space="preserve">With the exception of the policy discussed below, there have been no changes to the Company’s significant accounting policies as described in the Company’s 2026 Form 10-K. </w:t>
      </w:r>
      <w:r>
        <w:rPr>
          <w:rFonts w:ascii="Times New Roman" w:cs="Times New Roman" w:eastAsia="Times New Roman" w:hAnsi="Times New Roman"/>
          <w:sz w:val="14"/>
          <w:szCs w:val="14"/>
          <w:i w:val="1"/>
          <w:iCs w:val="1"/>
          <w:color w:val="auto"/>
        </w:rPr>
        <w:t>Treasury Stock</w:t>
      </w:r>
    </w:p>
    <w:p>
      <w:pPr>
        <w:spacing w:after="0" w:line="1" w:lineRule="exact"/>
        <w:rPr>
          <w:sz w:val="20"/>
          <w:szCs w:val="20"/>
          <w:color w:val="auto"/>
        </w:rPr>
      </w:pPr>
    </w:p>
    <w:p>
      <w:pPr>
        <w:jc w:val="both"/>
        <w:ind w:right="80" w:firstLine="509"/>
        <w:spacing w:after="0" w:line="270" w:lineRule="auto"/>
        <w:rPr>
          <w:sz w:val="20"/>
          <w:szCs w:val="20"/>
          <w:color w:val="auto"/>
        </w:rPr>
      </w:pPr>
      <w:r>
        <w:rPr>
          <w:rFonts w:ascii="Times New Roman" w:cs="Times New Roman" w:eastAsia="Times New Roman" w:hAnsi="Times New Roman"/>
          <w:sz w:val="14"/>
          <w:szCs w:val="14"/>
          <w:color w:val="auto"/>
        </w:rPr>
        <w:t>Treasury stock is accounted for using the cost method and recorded as a reduction to stockholders’ equity on the condensed consolidated balance sheets. Incremental direct costs to purchase treasury stock are included in the cost of the shares acquired. Upon the retirement of treasury stock, the excess of repurchase price over par value is recorded to additional paid-in capital to the extent available, with any remaining excess charged to retained earnings on the Company’s condensed consolidated balance sheets.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Fair Value Measurements</w:t>
      </w:r>
    </w:p>
    <w:p>
      <w:pPr>
        <w:spacing w:after="0" w:line="138"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financial assets that have been measured at fair value on a recurring basis as of April 30, 2026 and January 31, 2026 and indicate the fair value hierarchy of the valuation inputs utilized to determine such fair value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Fair Value Measurement as of April 30, 2026</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7"/>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4"/>
                <w:szCs w:val="14"/>
                <w:color w:val="auto"/>
              </w:rPr>
            </w:pP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6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7"/>
        </w:trPr>
        <w:tc>
          <w:tcPr>
            <w:tcW w:w="51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180"/>
        </w:trPr>
        <w:tc>
          <w:tcPr>
            <w:tcW w:w="5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2"/>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338,920</w:t>
            </w:r>
          </w:p>
        </w:tc>
      </w:tr>
      <w:tr>
        <w:trPr>
          <w:trHeight w:val="180"/>
        </w:trPr>
        <w:tc>
          <w:tcPr>
            <w:tcW w:w="5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Short-term investments: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3"/>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government treasury securities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1,390,799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1,390,799</w:t>
            </w:r>
          </w:p>
        </w:tc>
      </w:tr>
      <w:tr>
        <w:trPr>
          <w:trHeight w:val="203"/>
        </w:trPr>
        <w:tc>
          <w:tcPr>
            <w:tcW w:w="5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financial assets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1,729,719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1,729,719</w:t>
            </w: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28"/>
        </w:trPr>
        <w:tc>
          <w:tcPr>
            <w:tcW w:w="5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Fair Value Measurement as of January 31, 2026</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67"/>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4"/>
                <w:szCs w:val="14"/>
                <w:color w:val="auto"/>
              </w:rPr>
            </w:pP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6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7"/>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2"/>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381,687</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3"/>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government treasury securities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1,303,701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1,303,701</w:t>
            </w:r>
          </w:p>
        </w:tc>
      </w:tr>
      <w:tr>
        <w:trPr>
          <w:trHeight w:val="203"/>
        </w:trPr>
        <w:tc>
          <w:tcPr>
            <w:tcW w:w="5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financial assets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1,685,388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1,685,388</w:t>
            </w:r>
          </w:p>
        </w:tc>
      </w:tr>
      <w:tr>
        <w:trPr>
          <w:trHeight w:val="20"/>
        </w:trPr>
        <w:tc>
          <w:tcPr>
            <w:tcW w:w="5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340" w:firstLine="382"/>
        <w:spacing w:after="0" w:line="287" w:lineRule="auto"/>
        <w:rPr>
          <w:sz w:val="20"/>
          <w:szCs w:val="20"/>
          <w:color w:val="auto"/>
        </w:rPr>
      </w:pPr>
      <w:r>
        <w:rPr>
          <w:rFonts w:ascii="Times New Roman" w:cs="Times New Roman" w:eastAsia="Times New Roman" w:hAnsi="Times New Roman"/>
          <w:sz w:val="14"/>
          <w:szCs w:val="14"/>
          <w:color w:val="auto"/>
        </w:rPr>
        <w:t>The Company utilized the market approach and Level 1 valuation inputs to value its money market funds and U.S. government treasury securities because published net asset values were readily available.</w:t>
      </w:r>
    </w:p>
    <w:p>
      <w:pPr>
        <w:spacing w:after="0" w:line="82"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amortized cost and fair value of the Company’s short-term investments by remaining contractual maturity as of April 30, 2026 and January 31, 2026 (in thousands):</w:t>
      </w:r>
    </w:p>
    <w:p>
      <w:pPr>
        <w:spacing w:after="0" w:line="200" w:lineRule="exact"/>
        <w:rPr>
          <w:sz w:val="20"/>
          <w:szCs w:val="20"/>
          <w:color w:val="auto"/>
        </w:rPr>
      </w:pPr>
    </w:p>
    <w:p>
      <w:pPr>
        <w:spacing w:after="0" w:line="34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w w:val="99"/>
              </w:rPr>
              <w:t>April 30, 2026</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January 31, 2026</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320" w:type="dxa"/>
            <w:vAlign w:val="bottom"/>
            <w:shd w:val="clear" w:color="auto" w:fill="CCEEFF"/>
          </w:tcPr>
          <w:p>
            <w:pPr>
              <w:jc w:val="center"/>
              <w:ind w:left="229"/>
              <w:spacing w:after="0" w:line="129"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1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2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320" w:type="dxa"/>
            <w:vAlign w:val="bottom"/>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within one year</w:t>
            </w: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688,576</w:t>
            </w:r>
          </w:p>
        </w:tc>
        <w:tc>
          <w:tcPr>
            <w:tcW w:w="80" w:type="dxa"/>
            <w:vAlign w:val="bottom"/>
          </w:tcPr>
          <w:p>
            <w:pPr>
              <w:spacing w:after="0"/>
              <w:rPr>
                <w:sz w:val="14"/>
                <w:szCs w:val="14"/>
                <w:color w:val="auto"/>
              </w:rPr>
            </w:pPr>
          </w:p>
        </w:tc>
        <w:tc>
          <w:tcPr>
            <w:tcW w:w="1320" w:type="dxa"/>
            <w:vAlign w:val="bottom"/>
            <w:tcBorders>
              <w:top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689,163</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770,766</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772,305</w:t>
            </w: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one year and within three years</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701,244</w:t>
            </w:r>
          </w:p>
        </w:tc>
        <w:tc>
          <w:tcPr>
            <w:tcW w:w="8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701,636</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527,268</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531,396</w:t>
            </w:r>
          </w:p>
        </w:tc>
        <w:tc>
          <w:tcPr>
            <w:tcW w:w="0" w:type="dxa"/>
            <w:vAlign w:val="bottom"/>
          </w:tcPr>
          <w:p>
            <w:pPr>
              <w:spacing w:after="0"/>
              <w:rPr>
                <w:sz w:val="1"/>
                <w:szCs w:val="1"/>
                <w:color w:val="auto"/>
              </w:rPr>
            </w:pPr>
          </w:p>
        </w:tc>
      </w:tr>
      <w:tr>
        <w:trPr>
          <w:trHeight w:val="171"/>
        </w:trPr>
        <w:tc>
          <w:tcPr>
            <w:tcW w:w="2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short-term investments</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1,389,820</w:t>
            </w:r>
          </w:p>
        </w:tc>
        <w:tc>
          <w:tcPr>
            <w:tcW w:w="80" w:type="dxa"/>
            <w:vAlign w:val="bottom"/>
          </w:tcPr>
          <w:p>
            <w:pPr>
              <w:spacing w:after="0"/>
              <w:rPr>
                <w:sz w:val="14"/>
                <w:szCs w:val="14"/>
                <w:color w:val="auto"/>
              </w:rPr>
            </w:pPr>
          </w:p>
        </w:tc>
        <w:tc>
          <w:tcPr>
            <w:tcW w:w="132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1,390,799</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1,298,034</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1,303,701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4"/>
          <w:szCs w:val="14"/>
          <w:color w:val="auto"/>
        </w:rPr>
        <w:t>As of April 30, 2026 and January 31, 2026, net unrealized gains on the Company’s U.S. government treasury securities were approximately $1.0 million and $5.7 million, respectively. These unrealized gains and losses were caused by fluctuations in interest rates, which results in changes to the market value of these securities. Since the fluctuation in fair value is due to changes in interest rates and not credit quality, and because the Company does not intend to sell the investments and it is not more likely than not that the Company will be required to sell the investments before recovery of their amortized cost bases, which may be at maturity, the Company concluded that an allowance for credit losses was unnecessary for short-term investments as of April 30, 2026. Gross realized gains and losses were not material during both the three months ended April 30, 2026 and 2025. There were no material short-term investments in a continuous loss position for greater than twelve months.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Non-marketable Securities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April 30, 2026 and January 31, 2026, the total amount of non-marketable equity securities included in other assets on the Company’s condensed consolidated balance sheets were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$37.7 million and $32.3 million, respectively. The Company invested an additional $3.0 million and $5.0 million of its cash in non-marketable equity securities during the three months ended April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 2026 and 2025, respectively. The Company recognized $6.5 million in unrealized gains and $9.9 million in realized gains on certain of these non-marketable securities during the three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ended April 30, 2026. There were immaterial unrealized losses and no realized gains or losses recognized during the three months ended April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Goodwill and Intangible Assets, Net</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changes in the carrying amount of goodwill during the periods presented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Borders>
              <w:bottom w:val="single" w:sz="8" w:color="CCEEFF"/>
            </w:tcBorders>
          </w:tcPr>
          <w:p>
            <w:pPr>
              <w:spacing w:after="0"/>
              <w:rPr>
                <w:sz w:val="14"/>
                <w:szCs w:val="14"/>
                <w:color w:val="auto"/>
              </w:rPr>
            </w:pPr>
          </w:p>
        </w:tc>
        <w:tc>
          <w:tcPr>
            <w:tcW w:w="20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April 30, 2026</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3"/>
                <w:szCs w:val="13"/>
                <w:b w:val="1"/>
                <w:bCs w:val="1"/>
                <w:color w:val="auto"/>
              </w:rPr>
              <w:t>January 31, 2026</w:t>
            </w:r>
          </w:p>
        </w:tc>
      </w:tr>
      <w:tr>
        <w:trPr>
          <w:trHeight w:val="17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2040" w:type="dxa"/>
            <w:vAlign w:val="bottom"/>
            <w:shd w:val="clear" w:color="auto" w:fill="CCEEFF"/>
          </w:tcPr>
          <w:p>
            <w:pPr>
              <w:jc w:val="right"/>
              <w:ind w:right="187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191,397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69,679</w:t>
            </w:r>
          </w:p>
        </w:tc>
      </w:tr>
      <w:tr>
        <w:trPr>
          <w:trHeight w:val="18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goodwill related to business combinations</w:t>
            </w:r>
          </w:p>
        </w:tc>
        <w:tc>
          <w:tcPr>
            <w:tcW w:w="20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121,718</w:t>
            </w:r>
          </w:p>
        </w:tc>
      </w:tr>
      <w:tr>
        <w:trPr>
          <w:trHeight w:val="196"/>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2040" w:type="dxa"/>
            <w:vAlign w:val="bottom"/>
            <w:tcBorders>
              <w:top w:val="single" w:sz="8" w:color="auto"/>
              <w:bottom w:val="single" w:sz="8" w:color="auto"/>
            </w:tcBorders>
            <w:shd w:val="clear" w:color="auto" w:fill="CCEEFF"/>
          </w:tcPr>
          <w:p>
            <w:pPr>
              <w:jc w:val="right"/>
              <w:ind w:right="187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191,397</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gross carrying amount and accumulated amortization of the Company’s intangible assets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April 30, 2026</w:t>
            </w: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Gross Carrying Value</w:t>
            </w:r>
          </w:p>
        </w:tc>
        <w:tc>
          <w:tcPr>
            <w:tcW w:w="160" w:type="dxa"/>
            <w:vAlign w:val="bottom"/>
          </w:tcPr>
          <w:p>
            <w:pPr>
              <w:spacing w:after="0"/>
              <w:rPr>
                <w:sz w:val="13"/>
                <w:szCs w:val="13"/>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240" w:type="dxa"/>
            <w:vAlign w:val="bottom"/>
          </w:tcPr>
          <w:p>
            <w:pPr>
              <w:spacing w:after="0"/>
              <w:rPr>
                <w:sz w:val="13"/>
                <w:szCs w:val="13"/>
                <w:color w:val="auto"/>
              </w:rPr>
            </w:pPr>
          </w:p>
        </w:tc>
        <w:tc>
          <w:tcPr>
            <w:tcW w:w="1340" w:type="dxa"/>
            <w:vAlign w:val="bottom"/>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Net Book Value</w:t>
            </w:r>
          </w:p>
        </w:tc>
        <w:tc>
          <w:tcPr>
            <w:tcW w:w="0" w:type="dxa"/>
            <w:vAlign w:val="bottom"/>
          </w:tcPr>
          <w:p>
            <w:pPr>
              <w:spacing w:after="0"/>
              <w:rPr>
                <w:sz w:val="1"/>
                <w:szCs w:val="1"/>
                <w:color w:val="auto"/>
              </w:rPr>
            </w:pPr>
          </w:p>
        </w:tc>
      </w:tr>
      <w:tr>
        <w:trPr>
          <w:trHeight w:val="176"/>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26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9,633</w:t>
            </w:r>
          </w:p>
        </w:tc>
        <w:tc>
          <w:tcPr>
            <w:tcW w:w="0" w:type="dxa"/>
            <w:vAlign w:val="bottom"/>
          </w:tcPr>
          <w:p>
            <w:pPr>
              <w:spacing w:after="0"/>
              <w:rPr>
                <w:sz w:val="1"/>
                <w:szCs w:val="1"/>
                <w:color w:val="auto"/>
              </w:rPr>
            </w:pPr>
          </w:p>
        </w:tc>
      </w:tr>
      <w:tr>
        <w:trPr>
          <w:trHeight w:val="180"/>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IP addresses</w:t>
            </w:r>
          </w:p>
        </w:tc>
        <w:tc>
          <w:tcPr>
            <w:tcW w:w="2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21,218</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6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51,845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35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40" w:type="dxa"/>
            <w:vAlign w:val="bottom"/>
            <w:tcBorders>
              <w:bottom w:val="single" w:sz="8" w:color="9A9A9A"/>
            </w:tcBorders>
          </w:tcPr>
          <w:p>
            <w:pPr>
              <w:spacing w:after="0"/>
              <w:rPr>
                <w:sz w:val="18"/>
                <w:szCs w:val="18"/>
                <w:color w:val="auto"/>
              </w:rPr>
            </w:pPr>
          </w:p>
        </w:tc>
        <w:tc>
          <w:tcPr>
            <w:tcW w:w="26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January 31, 2026</w:t>
            </w: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4"/>
        </w:trPr>
        <w:tc>
          <w:tcPr>
            <w:tcW w:w="6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Gross Carrying Value</w:t>
            </w:r>
          </w:p>
        </w:tc>
        <w:tc>
          <w:tcPr>
            <w:tcW w:w="160" w:type="dxa"/>
            <w:vAlign w:val="bottom"/>
          </w:tcPr>
          <w:p>
            <w:pPr>
              <w:spacing w:after="0"/>
              <w:rPr>
                <w:sz w:val="13"/>
                <w:szCs w:val="13"/>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240" w:type="dxa"/>
            <w:vAlign w:val="bottom"/>
          </w:tcPr>
          <w:p>
            <w:pPr>
              <w:spacing w:after="0"/>
              <w:rPr>
                <w:sz w:val="13"/>
                <w:szCs w:val="13"/>
                <w:color w:val="auto"/>
              </w:rPr>
            </w:pPr>
          </w:p>
        </w:tc>
        <w:tc>
          <w:tcPr>
            <w:tcW w:w="1340" w:type="dxa"/>
            <w:vAlign w:val="bottom"/>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Net Book Value</w:t>
            </w:r>
          </w:p>
        </w:tc>
      </w:tr>
      <w:tr>
        <w:trPr>
          <w:trHeight w:val="176"/>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12,672</w:t>
            </w:r>
          </w:p>
        </w:tc>
      </w:tr>
      <w:tr>
        <w:trPr>
          <w:trHeight w:val="18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IP addresses</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21,830</w:t>
            </w:r>
          </w:p>
        </w:tc>
      </w:tr>
      <w:tr>
        <w:trPr>
          <w:trHeight w:val="196"/>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51,845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34,502</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Intangible assets are primarily acquired through business combinations and are amortized on a straight-line basis. Amortization expense of intangible assets was $3.7 million and $3.1 million for the three months ended April 30, 2026 and 2025, respectively. Amortization expense for developed technology is included as cost of subscription revenue and research and development expense in the Company’s condensed consolidated statements of operations. Amortization expense for IP addresses is included as cost of subscription revenue in the Company’s condensed consolidated statements of operations.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As of April 30, 2026, future amortization expense related to the intangible assets is as follows (in thousands):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50"/>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Period:</w:t>
            </w:r>
          </w:p>
        </w:tc>
        <w:tc>
          <w:tcPr>
            <w:tcW w:w="280" w:type="dxa"/>
            <w:vAlign w:val="bottom"/>
          </w:tcPr>
          <w:p>
            <w:pPr>
              <w:spacing w:after="0"/>
              <w:rPr>
                <w:sz w:val="24"/>
                <w:szCs w:val="24"/>
                <w:color w:val="auto"/>
              </w:rPr>
            </w:pPr>
          </w:p>
        </w:tc>
        <w:tc>
          <w:tcPr>
            <w:tcW w:w="11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1"/>
        </w:trPr>
        <w:tc>
          <w:tcPr>
            <w:tcW w:w="97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Remainder of 2027</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10,907</w:t>
            </w:r>
          </w:p>
        </w:tc>
      </w:tr>
      <w:tr>
        <w:trPr>
          <w:trHeight w:val="180"/>
        </w:trPr>
        <w:tc>
          <w:tcPr>
            <w:tcW w:w="9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3,003</w:t>
            </w:r>
          </w:p>
        </w:tc>
      </w:tr>
      <w:tr>
        <w:trPr>
          <w:trHeight w:val="180"/>
        </w:trPr>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w:t>
            </w:r>
          </w:p>
        </w:tc>
      </w:tr>
      <w:tr>
        <w:trPr>
          <w:trHeight w:val="180"/>
        </w:trPr>
        <w:tc>
          <w:tcPr>
            <w:tcW w:w="9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w:t>
            </w:r>
          </w:p>
        </w:tc>
      </w:tr>
      <w:tr>
        <w:trPr>
          <w:trHeight w:val="180"/>
        </w:trPr>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2031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w:t>
            </w:r>
          </w:p>
        </w:tc>
      </w:tr>
      <w:tr>
        <w:trPr>
          <w:trHeight w:val="180"/>
        </w:trPr>
        <w:tc>
          <w:tcPr>
            <w:tcW w:w="98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color w:val="auto"/>
              </w:rPr>
              <w:t>Thereafter</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9,609</w:t>
            </w:r>
          </w:p>
        </w:tc>
      </w:tr>
      <w:tr>
        <w:trPr>
          <w:trHeight w:val="196"/>
        </w:trPr>
        <w:tc>
          <w:tcPr>
            <w:tcW w:w="9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30,851</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Leases</w:t>
      </w:r>
    </w:p>
    <w:p>
      <w:pPr>
        <w:spacing w:after="0" w:line="138" w:lineRule="exact"/>
        <w:rPr>
          <w:sz w:val="20"/>
          <w:szCs w:val="20"/>
          <w:color w:val="auto"/>
        </w:rPr>
      </w:pPr>
    </w:p>
    <w:p>
      <w:pPr>
        <w:ind w:right="300" w:firstLine="382"/>
        <w:spacing w:after="0" w:line="270" w:lineRule="auto"/>
        <w:rPr>
          <w:sz w:val="20"/>
          <w:szCs w:val="20"/>
          <w:color w:val="auto"/>
        </w:rPr>
      </w:pPr>
      <w:r>
        <w:rPr>
          <w:rFonts w:ascii="Times New Roman" w:cs="Times New Roman" w:eastAsia="Times New Roman" w:hAnsi="Times New Roman"/>
          <w:sz w:val="14"/>
          <w:szCs w:val="14"/>
          <w:color w:val="auto"/>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Lease Costs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components of the Company’s lease costs included in its condensed consolidated statements of operations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20" w:type="dxa"/>
            <w:vAlign w:val="bottom"/>
            <w:tcBorders>
              <w:bottom w:val="single" w:sz="8" w:color="CCEEFF"/>
            </w:tcBorders>
          </w:tcPr>
          <w:p>
            <w:pPr>
              <w:spacing w:after="0"/>
              <w:rPr>
                <w:sz w:val="13"/>
                <w:szCs w:val="13"/>
                <w:color w:val="auto"/>
              </w:rPr>
            </w:pPr>
          </w:p>
        </w:tc>
        <w:tc>
          <w:tcPr>
            <w:tcW w:w="35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0" w:type="dxa"/>
            <w:vAlign w:val="bottom"/>
          </w:tcPr>
          <w:p>
            <w:pPr>
              <w:spacing w:after="0"/>
              <w:rPr>
                <w:sz w:val="1"/>
                <w:szCs w:val="1"/>
                <w:color w:val="auto"/>
              </w:rPr>
            </w:pPr>
          </w:p>
        </w:tc>
      </w:tr>
      <w:tr>
        <w:trPr>
          <w:trHeight w:val="16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3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finance lease right-of-use assets</w:t>
            </w:r>
          </w:p>
        </w:tc>
        <w:tc>
          <w:tcPr>
            <w:tcW w:w="4520" w:type="dxa"/>
            <w:vAlign w:val="bottom"/>
            <w:gridSpan w:val="2"/>
          </w:tcPr>
          <w:p>
            <w:pPr>
              <w:jc w:val="right"/>
              <w:ind w:right="776"/>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80" w:type="dxa"/>
            <w:vAlign w:val="bottom"/>
          </w:tcPr>
          <w:p>
            <w:pPr>
              <w:spacing w:after="0"/>
              <w:rPr>
                <w:sz w:val="15"/>
                <w:szCs w:val="15"/>
                <w:color w:val="auto"/>
              </w:rPr>
            </w:pPr>
          </w:p>
        </w:tc>
        <w:tc>
          <w:tcPr>
            <w:tcW w:w="70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on finance lease liabilities</w:t>
            </w:r>
          </w:p>
        </w:tc>
        <w:tc>
          <w:tcPr>
            <w:tcW w:w="3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3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3,246</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3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0" w:type="dxa"/>
            <w:vAlign w:val="bottom"/>
          </w:tcPr>
          <w:p>
            <w:pPr>
              <w:spacing w:after="0"/>
              <w:rPr>
                <w:sz w:val="1"/>
                <w:szCs w:val="1"/>
                <w:color w:val="auto"/>
              </w:rPr>
            </w:pPr>
          </w:p>
        </w:tc>
      </w:tr>
      <w:tr>
        <w:trPr>
          <w:trHeight w:val="18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35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35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6,652</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1949"/>
              <w:spacing w:after="0"/>
              <w:rPr>
                <w:sz w:val="20"/>
                <w:szCs w:val="20"/>
                <w:color w:val="auto"/>
              </w:rPr>
            </w:pPr>
            <w:r>
              <w:rPr>
                <w:rFonts w:ascii="Times New Roman" w:cs="Times New Roman" w:eastAsia="Times New Roman" w:hAnsi="Times New Roman"/>
                <w:sz w:val="14"/>
                <w:szCs w:val="14"/>
                <w:color w:val="auto"/>
              </w:rPr>
              <w:t>9</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43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320" w:type="dxa"/>
            <w:vAlign w:val="bottom"/>
            <w:tcBorders>
              <w:bottom w:val="single" w:sz="8" w:color="9A9A9A"/>
            </w:tcBorders>
          </w:tcPr>
          <w:p>
            <w:pPr>
              <w:spacing w:after="0"/>
              <w:rPr>
                <w:sz w:val="18"/>
                <w:szCs w:val="18"/>
                <w:color w:val="auto"/>
              </w:rPr>
            </w:pPr>
          </w:p>
        </w:tc>
        <w:tc>
          <w:tcPr>
            <w:tcW w:w="35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Balance Sheet Components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balances of the Company’s finance and operating leases were recorded on the condensed consolidated balance sheets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April 30, 2026</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1"/>
                <w:szCs w:val="11"/>
                <w:b w:val="1"/>
                <w:bCs w:val="1"/>
                <w:color w:val="auto"/>
              </w:rPr>
              <w:t>January 31, 2026</w:t>
            </w:r>
          </w:p>
        </w:tc>
      </w:tr>
      <w:tr>
        <w:trPr>
          <w:trHeight w:val="17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8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r>
      <w:tr>
        <w:trPr>
          <w:trHeight w:val="180"/>
        </w:trPr>
        <w:tc>
          <w:tcPr>
            <w:tcW w:w="6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20" w:type="dxa"/>
            <w:vAlign w:val="bottom"/>
          </w:tcPr>
          <w:p>
            <w:pPr>
              <w:jc w:val="right"/>
              <w:ind w:right="167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14,572</w:t>
            </w:r>
          </w:p>
        </w:tc>
        <w:tc>
          <w:tcPr>
            <w:tcW w:w="10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15,566</w:t>
            </w:r>
          </w:p>
        </w:tc>
      </w:tr>
      <w:tr>
        <w:trPr>
          <w:trHeight w:val="180"/>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accrued liabilities, current</w:t>
            </w:r>
          </w:p>
        </w:tc>
        <w:tc>
          <w:tcPr>
            <w:tcW w:w="18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6,482</w:t>
            </w:r>
          </w:p>
        </w:tc>
      </w:tr>
      <w:tr>
        <w:trPr>
          <w:trHeight w:val="180"/>
        </w:trPr>
        <w:tc>
          <w:tcPr>
            <w:tcW w:w="6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18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23,490</w:t>
            </w:r>
          </w:p>
        </w:tc>
      </w:tr>
      <w:tr>
        <w:trPr>
          <w:trHeight w:val="18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80"/>
        </w:trPr>
        <w:tc>
          <w:tcPr>
            <w:tcW w:w="6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20" w:type="dxa"/>
            <w:vAlign w:val="bottom"/>
          </w:tcPr>
          <w:p>
            <w:pPr>
              <w:jc w:val="right"/>
              <w:ind w:right="167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26,606</w:t>
            </w:r>
          </w:p>
        </w:tc>
        <w:tc>
          <w:tcPr>
            <w:tcW w:w="10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28,978</w:t>
            </w:r>
          </w:p>
        </w:tc>
      </w:tr>
      <w:tr>
        <w:trPr>
          <w:trHeight w:val="180"/>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8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9,259</w:t>
            </w:r>
          </w:p>
        </w:tc>
      </w:tr>
      <w:tr>
        <w:trPr>
          <w:trHeight w:val="184"/>
        </w:trPr>
        <w:tc>
          <w:tcPr>
            <w:tcW w:w="6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18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23,600</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Maturities of Lease Liabilities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Future minimum lease payments under non-cancelable finance and operating leases on an annual undiscounted cash flow basis as of April 30, 2026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Period:</w:t>
            </w:r>
          </w:p>
        </w:tc>
        <w:tc>
          <w:tcPr>
            <w:tcW w:w="28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220" w:type="dxa"/>
            <w:vAlign w:val="bottom"/>
          </w:tcPr>
          <w:p>
            <w:pPr>
              <w:spacing w:after="0"/>
              <w:rPr>
                <w:sz w:val="16"/>
                <w:szCs w:val="16"/>
                <w:color w:val="auto"/>
              </w:rPr>
            </w:pPr>
          </w:p>
        </w:tc>
        <w:tc>
          <w:tcPr>
            <w:tcW w:w="15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2"/>
        </w:trPr>
        <w:tc>
          <w:tcPr>
            <w:tcW w:w="7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Remainder of 2027</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8,328</w:t>
            </w:r>
          </w:p>
        </w:tc>
        <w:tc>
          <w:tcPr>
            <w:tcW w:w="0" w:type="dxa"/>
            <w:vAlign w:val="bottom"/>
          </w:tcPr>
          <w:p>
            <w:pPr>
              <w:spacing w:after="0"/>
              <w:rPr>
                <w:sz w:val="1"/>
                <w:szCs w:val="1"/>
                <w:color w:val="auto"/>
              </w:rPr>
            </w:pPr>
          </w:p>
        </w:tc>
      </w:tr>
      <w:tr>
        <w:trPr>
          <w:trHeight w:val="180"/>
        </w:trPr>
        <w:tc>
          <w:tcPr>
            <w:tcW w:w="7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9,040</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6,984</w:t>
            </w:r>
          </w:p>
        </w:tc>
        <w:tc>
          <w:tcPr>
            <w:tcW w:w="0" w:type="dxa"/>
            <w:vAlign w:val="bottom"/>
          </w:tcPr>
          <w:p>
            <w:pPr>
              <w:spacing w:after="0"/>
              <w:rPr>
                <w:sz w:val="1"/>
                <w:szCs w:val="1"/>
                <w:color w:val="auto"/>
              </w:rPr>
            </w:pPr>
          </w:p>
        </w:tc>
      </w:tr>
      <w:tr>
        <w:trPr>
          <w:trHeight w:val="180"/>
        </w:trPr>
        <w:tc>
          <w:tcPr>
            <w:tcW w:w="7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4,226</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2031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0" w:type="dxa"/>
            <w:vAlign w:val="bottom"/>
          </w:tcPr>
          <w:p>
            <w:pPr>
              <w:spacing w:after="0"/>
              <w:rPr>
                <w:sz w:val="1"/>
                <w:szCs w:val="1"/>
                <w:color w:val="auto"/>
              </w:rPr>
            </w:pPr>
          </w:p>
        </w:tc>
      </w:tr>
      <w:tr>
        <w:trPr>
          <w:trHeight w:val="223"/>
        </w:trPr>
        <w:tc>
          <w:tcPr>
            <w:tcW w:w="76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Thereafter</w:t>
            </w:r>
          </w:p>
        </w:tc>
        <w:tc>
          <w:tcPr>
            <w:tcW w:w="2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0" w:type="dxa"/>
            <w:vAlign w:val="bottom"/>
          </w:tcPr>
          <w:p>
            <w:pPr>
              <w:spacing w:after="0"/>
              <w:rPr>
                <w:sz w:val="1"/>
                <w:szCs w:val="1"/>
                <w:color w:val="auto"/>
              </w:rPr>
            </w:pPr>
          </w:p>
        </w:tc>
      </w:tr>
      <w:tr>
        <w:trPr>
          <w:trHeight w:val="204"/>
        </w:trPr>
        <w:tc>
          <w:tcPr>
            <w:tcW w:w="760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minimum payments</w:t>
            </w: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33,941</w:t>
            </w:r>
          </w:p>
        </w:tc>
        <w:tc>
          <w:tcPr>
            <w:tcW w:w="0" w:type="dxa"/>
            <w:vAlign w:val="bottom"/>
          </w:tcPr>
          <w:p>
            <w:pPr>
              <w:spacing w:after="0"/>
              <w:rPr>
                <w:sz w:val="1"/>
                <w:szCs w:val="1"/>
                <w:color w:val="auto"/>
              </w:rPr>
            </w:pPr>
          </w:p>
        </w:tc>
      </w:tr>
      <w:tr>
        <w:trPr>
          <w:trHeight w:val="191"/>
        </w:trPr>
        <w:tc>
          <w:tcPr>
            <w:tcW w:w="76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Less imputed interest</w:t>
            </w:r>
          </w:p>
        </w:tc>
        <w:tc>
          <w:tcPr>
            <w:tcW w:w="28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(3,514)</w:t>
            </w:r>
          </w:p>
        </w:tc>
        <w:tc>
          <w:tcPr>
            <w:tcW w:w="0" w:type="dxa"/>
            <w:vAlign w:val="bottom"/>
          </w:tcPr>
          <w:p>
            <w:pPr>
              <w:spacing w:after="0"/>
              <w:rPr>
                <w:sz w:val="1"/>
                <w:szCs w:val="1"/>
                <w:color w:val="auto"/>
              </w:rPr>
            </w:pPr>
          </w:p>
        </w:tc>
      </w:tr>
      <w:tr>
        <w:trPr>
          <w:trHeight w:val="53"/>
        </w:trPr>
        <w:tc>
          <w:tcPr>
            <w:tcW w:w="7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Present value of future minimum lease payments</w:t>
            </w:r>
          </w:p>
        </w:tc>
        <w:tc>
          <w:tcPr>
            <w:tcW w:w="2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30,427</w:t>
            </w:r>
          </w:p>
        </w:tc>
        <w:tc>
          <w:tcPr>
            <w:tcW w:w="0" w:type="dxa"/>
            <w:vAlign w:val="bottom"/>
          </w:tcPr>
          <w:p>
            <w:pPr>
              <w:spacing w:after="0"/>
              <w:rPr>
                <w:sz w:val="1"/>
                <w:szCs w:val="1"/>
                <w:color w:val="auto"/>
              </w:rPr>
            </w:pPr>
          </w:p>
        </w:tc>
      </w:tr>
      <w:tr>
        <w:trPr>
          <w:trHeight w:val="191"/>
        </w:trPr>
        <w:tc>
          <w:tcPr>
            <w:tcW w:w="76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Less current obligations under leases</w:t>
            </w:r>
          </w:p>
        </w:tc>
        <w:tc>
          <w:tcPr>
            <w:tcW w:w="28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(9,360)</w:t>
            </w:r>
          </w:p>
        </w:tc>
        <w:tc>
          <w:tcPr>
            <w:tcW w:w="0" w:type="dxa"/>
            <w:vAlign w:val="bottom"/>
          </w:tcPr>
          <w:p>
            <w:pPr>
              <w:spacing w:after="0"/>
              <w:rPr>
                <w:sz w:val="1"/>
                <w:szCs w:val="1"/>
                <w:color w:val="auto"/>
              </w:rPr>
            </w:pPr>
          </w:p>
        </w:tc>
      </w:tr>
      <w:tr>
        <w:trPr>
          <w:trHeight w:val="53"/>
        </w:trPr>
        <w:tc>
          <w:tcPr>
            <w:tcW w:w="7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Non-current lease obligations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21,067</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520" w:firstLine="382"/>
        <w:spacing w:after="0" w:line="287" w:lineRule="auto"/>
        <w:rPr>
          <w:sz w:val="20"/>
          <w:szCs w:val="20"/>
          <w:color w:val="auto"/>
        </w:rPr>
      </w:pPr>
      <w:r>
        <w:rPr>
          <w:rFonts w:ascii="Times New Roman" w:cs="Times New Roman" w:eastAsia="Times New Roman" w:hAnsi="Times New Roman"/>
          <w:sz w:val="14"/>
          <w:szCs w:val="14"/>
          <w:color w:val="auto"/>
        </w:rPr>
        <w:t>In March 2026, the Company executed an operating lease agreement for an office space with an expected commencement date in the third quarter of fiscal year 2027. The lease term is approximately 10 years with undiscounted future minimum lease payments of approximately $29.5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Commitments and Contingencies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Non-cancelable Material Commitments</w:t>
      </w:r>
    </w:p>
    <w:p>
      <w:pPr>
        <w:spacing w:after="0" w:line="136" w:lineRule="exact"/>
        <w:rPr>
          <w:sz w:val="20"/>
          <w:szCs w:val="20"/>
          <w:color w:val="auto"/>
        </w:rPr>
      </w:pPr>
    </w:p>
    <w:p>
      <w:pPr>
        <w:ind w:right="100" w:firstLine="382"/>
        <w:spacing w:after="0" w:line="290" w:lineRule="auto"/>
        <w:rPr>
          <w:sz w:val="20"/>
          <w:szCs w:val="20"/>
          <w:color w:val="auto"/>
        </w:rPr>
      </w:pPr>
      <w:r>
        <w:rPr>
          <w:rFonts w:ascii="Times New Roman" w:cs="Times New Roman" w:eastAsia="Times New Roman" w:hAnsi="Times New Roman"/>
          <w:sz w:val="14"/>
          <w:szCs w:val="14"/>
          <w:color w:val="auto"/>
        </w:rPr>
        <w:t xml:space="preserve">During the three months ended April 30, 2026, other than certain non-cancelable operating leases described in Note 5,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there have been no material changes outside the ordinary course of business to the Company’s contractual obligations and commitments from those disclosed in the 2026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Legal Matters</w:t>
      </w:r>
    </w:p>
    <w:p>
      <w:pPr>
        <w:spacing w:after="0" w:line="138"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 xml:space="preserve">The Company investigates all claims, litigation and other legal matters as they arise. From time to time, the Company has become involved in claims, litigation and other legal matters arising in the ordinary course of business, including intellectual property, labor and employment and breach of contract claims. For example, on July 9, 2024, a putative class action lawsuit, captioned </w:t>
      </w:r>
      <w:r>
        <w:rPr>
          <w:rFonts w:ascii="Times New Roman" w:cs="Times New Roman" w:eastAsia="Times New Roman" w:hAnsi="Times New Roman"/>
          <w:sz w:val="14"/>
          <w:szCs w:val="14"/>
          <w:i w:val="1"/>
          <w:iCs w:val="1"/>
          <w:color w:val="auto"/>
        </w:rPr>
        <w:t>Baxter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 MongoDB, Inc., et al. </w:t>
      </w:r>
      <w:r>
        <w:rPr>
          <w:rFonts w:ascii="Times New Roman" w:cs="Times New Roman" w:eastAsia="Times New Roman" w:hAnsi="Times New Roman"/>
          <w:sz w:val="14"/>
          <w:szCs w:val="14"/>
          <w:color w:val="auto"/>
        </w:rPr>
        <w:t>(Case No. 1:24-cv-5191), was filed in the United States District Court for the Southern District of New York against MongoDB, former CEO Dev Ittycheria, and former COO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CFO Michael Gordon (the “Securities Action”). On January 27, 2025, the lead plaintiff in the lawsuit the Securities Action filed an</w:t>
      </w: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Amended Complaint naming former Senior Vice President of Finance and former Interim CFO Srdjan Tanjga as an additional defendant. The operative complaint asserts claims under Sections 10(b) and 20(a) of the Securities Exchange Act, and alleges that defendants made material misstatements and/or omissions, including regarding MongoDB’s sales strategy, growth projections and its financial results. The complaint is purportedly brought on behalf of a putative class of persons who purchased or otherwise acquired MongoDB common stock between June 1, 2023 and May 30, 2024. It seeks unspecified monetary damages, costs and attorneys’ fees, and other unspecified relief. Defendants filed a motion to dismiss the complaint on May 9, 2025. Plaintiffs filed an opposition brief on July 1, 2025, and defendants filed their reply brief on July 29, 2025. On May 1, 2026, the Court entered an order granting Defendants’ motion to dismiss in part and denying it in part, as it relates to four specific statements. On May 15, 2026, Defendants filed a motion for reconsideration of the Court’s order on the motion to dismiss. The Company is unable to estimate any reasonably possible loss, or range of loss, with respect to these matters at this time. The Company intends to vigorously defend itself in this matter.</w:t>
      </w:r>
    </w:p>
    <w:p>
      <w:pPr>
        <w:spacing w:after="0" w:line="102"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4"/>
          <w:szCs w:val="14"/>
          <w:color w:val="auto"/>
        </w:rPr>
        <w:t xml:space="preserve">On October 7, 2024, a purported shareholder derivative lawsuit was filed in the U.S. District Court for the Southern District of New York, captioned </w:t>
      </w:r>
      <w:r>
        <w:rPr>
          <w:rFonts w:ascii="Times New Roman" w:cs="Times New Roman" w:eastAsia="Times New Roman" w:hAnsi="Times New Roman"/>
          <w:sz w:val="14"/>
          <w:szCs w:val="14"/>
          <w:i w:val="1"/>
          <w:iCs w:val="1"/>
          <w:color w:val="auto"/>
        </w:rPr>
        <w:t>Roy v. Ittycheria et al.</w:t>
      </w:r>
      <w:r>
        <w:rPr>
          <w:rFonts w:ascii="Times New Roman" w:cs="Times New Roman" w:eastAsia="Times New Roman" w:hAnsi="Times New Roman"/>
          <w:sz w:val="14"/>
          <w:szCs w:val="14"/>
          <w:color w:val="auto"/>
        </w:rPr>
        <w:t xml:space="preserve"> (Case. No. 1:24-cv-07594), against the Company, as a nominal defendant, and former CEO Dev Ittycheria, former COO and CFO Michael Gordon, and several of the Company’s current and former directors. The lawsuit alleges that the individual defendants breached their fiduciary duties and committed other alleged misconduct in connection with the statements at issue in the Securities Action and by causing the Company to issue allegedly false and misleading statements to investors. Another similar case, </w:t>
      </w:r>
      <w:r>
        <w:rPr>
          <w:rFonts w:ascii="Times New Roman" w:cs="Times New Roman" w:eastAsia="Times New Roman" w:hAnsi="Times New Roman"/>
          <w:sz w:val="14"/>
          <w:szCs w:val="14"/>
          <w:i w:val="1"/>
          <w:iCs w:val="1"/>
          <w:color w:val="auto"/>
        </w:rPr>
        <w:t>Silva v. Ittycheria et al.</w:t>
      </w:r>
      <w:r>
        <w:rPr>
          <w:rFonts w:ascii="Times New Roman" w:cs="Times New Roman" w:eastAsia="Times New Roman" w:hAnsi="Times New Roman"/>
          <w:sz w:val="14"/>
          <w:szCs w:val="14"/>
          <w:color w:val="auto"/>
        </w:rPr>
        <w:t xml:space="preserve"> (Case No. 1:24-cv-9014) was subsequently filed in the same district on November 25, 2024 against MongoDB, as nominal defendant, and the same individual defendants as the </w:t>
      </w:r>
      <w:r>
        <w:rPr>
          <w:rFonts w:ascii="Times New Roman" w:cs="Times New Roman" w:eastAsia="Times New Roman" w:hAnsi="Times New Roman"/>
          <w:sz w:val="14"/>
          <w:szCs w:val="14"/>
          <w:i w:val="1"/>
          <w:iCs w:val="1"/>
          <w:color w:val="auto"/>
        </w:rPr>
        <w:t>Roy</w:t>
      </w:r>
      <w:r>
        <w:rPr>
          <w:rFonts w:ascii="Times New Roman" w:cs="Times New Roman" w:eastAsia="Times New Roman" w:hAnsi="Times New Roman"/>
          <w:sz w:val="14"/>
          <w:szCs w:val="14"/>
          <w:color w:val="auto"/>
        </w:rPr>
        <w:t xml:space="preserve"> S.D.N.Y. action. It has been consolidated with the </w:t>
      </w:r>
      <w:r>
        <w:rPr>
          <w:rFonts w:ascii="Times New Roman" w:cs="Times New Roman" w:eastAsia="Times New Roman" w:hAnsi="Times New Roman"/>
          <w:sz w:val="14"/>
          <w:szCs w:val="14"/>
          <w:i w:val="1"/>
          <w:iCs w:val="1"/>
          <w:color w:val="auto"/>
        </w:rPr>
        <w:t>Roy</w:t>
      </w:r>
      <w:r>
        <w:rPr>
          <w:rFonts w:ascii="Times New Roman" w:cs="Times New Roman" w:eastAsia="Times New Roman" w:hAnsi="Times New Roman"/>
          <w:sz w:val="14"/>
          <w:szCs w:val="14"/>
          <w:color w:val="auto"/>
        </w:rPr>
        <w:t xml:space="preserve"> action with the caption </w:t>
      </w:r>
      <w:r>
        <w:rPr>
          <w:rFonts w:ascii="Times New Roman" w:cs="Times New Roman" w:eastAsia="Times New Roman" w:hAnsi="Times New Roman"/>
          <w:sz w:val="14"/>
          <w:szCs w:val="14"/>
          <w:i w:val="1"/>
          <w:iCs w:val="1"/>
          <w:color w:val="auto"/>
        </w:rPr>
        <w:t>In 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MongoDB, Inc. Shareholder Litigation </w:t>
      </w:r>
      <w:r>
        <w:rPr>
          <w:rFonts w:ascii="Times New Roman" w:cs="Times New Roman" w:eastAsia="Times New Roman" w:hAnsi="Times New Roman"/>
          <w:sz w:val="14"/>
          <w:szCs w:val="14"/>
          <w:color w:val="auto"/>
        </w:rPr>
        <w:t>(Case No. 1:24-cv-9014) (the “S.D.N.Y. Derivative Litigation”). On September 12, 2025 another purported derivative action was filed in the Court of Chancery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of the State of Delaware (Case No. 2025-1030) (the “Delaware Derivative Litigation”), against the Company, as a nominal defendant, and former CEO Dev Ittycheria, former COO and CFO Michael Gordon, and several of the Company’s current and former directors. The case is captioned </w:t>
      </w:r>
      <w:r>
        <w:rPr>
          <w:rFonts w:ascii="Times New Roman" w:cs="Times New Roman" w:eastAsia="Times New Roman" w:hAnsi="Times New Roman"/>
          <w:sz w:val="14"/>
          <w:szCs w:val="14"/>
          <w:i w:val="1"/>
          <w:iCs w:val="1"/>
          <w:color w:val="auto"/>
        </w:rPr>
        <w:t>Sansone v. Ittycheria, et al.</w:t>
      </w:r>
      <w:r>
        <w:rPr>
          <w:rFonts w:ascii="Times New Roman" w:cs="Times New Roman" w:eastAsia="Times New Roman" w:hAnsi="Times New Roman"/>
          <w:sz w:val="14"/>
          <w:szCs w:val="14"/>
          <w:color w:val="auto"/>
        </w:rPr>
        <w:t xml:space="preserve"> The lawsuit, like the S.D.N.Y. Derivative Litigation, alleges that the individual defendants breached their fiduciary duties and committed other alleged misconduct in connection with the statements at issue in the Securities Action and by causing the Company to issue allegedly false and misleading statements to investors. The S.D.N.Y. Derivative Litigation and the Delaware Derivative Litigation have been stayed pending the outcome of the Court’s decision on the defendants’ motion for reconsideration in the Securities Action.</w:t>
      </w:r>
    </w:p>
    <w:p>
      <w:pPr>
        <w:spacing w:after="0" w:line="108"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Although claims and litigation are inherently unpredictable, as of April 30, 2026, other than as disclosed above, the Company is currently not aware of any matters that,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adverse impact on the Company because of defense and settlement costs, diversion of management resources and other factors.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Indemnification</w:t>
      </w:r>
    </w:p>
    <w:p>
      <w:pPr>
        <w:spacing w:after="0" w:line="138"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4"/>
          <w:szCs w:val="14"/>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To date, the Company has not incurred material costs as a result of such commitments. The Company maintains commercial general liability insurance and product liability insurance to offset certain of the Company’s potential liabilities under these indemnification provisions.</w:t>
      </w:r>
    </w:p>
    <w:p>
      <w:pPr>
        <w:spacing w:after="0" w:line="101" w:lineRule="exact"/>
        <w:rPr>
          <w:sz w:val="20"/>
          <w:szCs w:val="20"/>
          <w:color w:val="auto"/>
        </w:rPr>
      </w:pPr>
    </w:p>
    <w:p>
      <w:pPr>
        <w:ind w:right="20" w:firstLine="382"/>
        <w:spacing w:after="0" w:line="263" w:lineRule="auto"/>
        <w:rPr>
          <w:sz w:val="20"/>
          <w:szCs w:val="20"/>
          <w:color w:val="auto"/>
        </w:rPr>
      </w:pPr>
      <w:r>
        <w:rPr>
          <w:rFonts w:ascii="Times New Roman" w:cs="Times New Roman" w:eastAsia="Times New Roman" w:hAnsi="Times New Roman"/>
          <w:sz w:val="14"/>
          <w:szCs w:val="14"/>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Revenue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Disaggregation of Revenue</w:t>
      </w:r>
    </w:p>
    <w:p>
      <w:pPr>
        <w:spacing w:after="0" w:line="138"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The Company believes that the nature, amount, timing and uncertainty of its revenue and cash flows and how they are affected by economic factors is most appropriately depicted through the Company’s primary geographical markets and</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70"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subscription product categories. The Company’s primary geographical markets are North and South America (“Americas”); Europe, Middle East and Africa (“EMEA”); and Asia Pacific. The Company also disaggregates its subscription products between its Atlas-related offerings and MongoDB Enterprise Advanced and other.</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Company’s revenues disaggregated by geography, based on address of the Company's customers (in thousands):</w:t>
      </w:r>
    </w:p>
    <w:p>
      <w:pPr>
        <w:spacing w:after="0" w:line="43"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5029200</wp:posOffset>
            </wp:positionH>
            <wp:positionV relativeFrom="paragraph">
              <wp:posOffset>13970</wp:posOffset>
            </wp:positionV>
            <wp:extent cx="208153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81530" cy="6985"/>
                    </a:xfrm>
                    <a:prstGeom prst="rect">
                      <a:avLst/>
                    </a:prstGeom>
                    <a:noFill/>
                  </pic:spPr>
                </pic:pic>
              </a:graphicData>
            </a:graphic>
          </wp:anchor>
        </w:drawing>
      </w:r>
    </w:p>
    <w:p>
      <w:pPr>
        <w:spacing w:after="0" w:line="11" w:lineRule="exact"/>
        <w:rPr>
          <w:sz w:val="20"/>
          <w:szCs w:val="20"/>
          <w:color w:val="auto"/>
        </w:rPr>
      </w:pPr>
    </w:p>
    <w:p>
      <w:pPr>
        <w:ind w:left="8580"/>
        <w:spacing w:after="0"/>
        <w:tabs>
          <w:tab w:leader="none" w:pos="10260" w:val="left"/>
        </w:tabs>
        <w:rPr>
          <w:sz w:val="20"/>
          <w:szCs w:val="20"/>
          <w:color w:val="auto"/>
        </w:rPr>
      </w:pPr>
      <w:r>
        <w:rPr>
          <w:rFonts w:ascii="Times New Roman" w:cs="Times New Roman" w:eastAsia="Times New Roman" w:hAnsi="Times New Roman"/>
          <w:sz w:val="13"/>
          <w:szCs w:val="13"/>
          <w:b w:val="1"/>
          <w:bCs w:val="1"/>
          <w:color w:val="auto"/>
        </w:rPr>
        <w:t>2026</w:t>
      </w:r>
      <w:r>
        <w:rPr>
          <w:sz w:val="20"/>
          <w:szCs w:val="20"/>
          <w:color w:val="auto"/>
        </w:rPr>
        <w:tab/>
      </w:r>
      <w:r>
        <w:rPr>
          <w:rFonts w:ascii="Times New Roman" w:cs="Times New Roman" w:eastAsia="Times New Roman" w:hAnsi="Times New Roman"/>
          <w:sz w:val="13"/>
          <w:szCs w:val="13"/>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07555" cy="134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7555" cy="13462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Primary geographical markets:</w:t>
      </w:r>
    </w:p>
    <w:p>
      <w:pPr>
        <w:sectPr>
          <w:pgSz w:w="11900" w:h="16838" w:orient="portrait"/>
          <w:cols w:equalWidth="0" w:num="1">
            <w:col w:w="11280"/>
          </w:cols>
          <w:pgMar w:left="300" w:top="133" w:right="319" w:bottom="1440" w:gutter="0" w:footer="0" w:header="0"/>
        </w:sectPr>
      </w:pPr>
    </w:p>
    <w:p>
      <w:pPr>
        <w:spacing w:after="0" w:line="51" w:lineRule="exact"/>
        <w:rPr>
          <w:sz w:val="20"/>
          <w:szCs w:val="20"/>
          <w:color w:val="auto"/>
        </w:rPr>
      </w:pPr>
    </w:p>
    <w:p>
      <w:pPr>
        <w:ind w:left="140"/>
        <w:spacing w:after="0"/>
        <w:tabs>
          <w:tab w:leader="none" w:pos="7920" w:val="left"/>
        </w:tabs>
        <w:rPr>
          <w:sz w:val="20"/>
          <w:szCs w:val="20"/>
          <w:color w:val="auto"/>
        </w:rPr>
      </w:pPr>
      <w:r>
        <w:rPr>
          <w:rFonts w:ascii="Times New Roman" w:cs="Times New Roman" w:eastAsia="Times New Roman" w:hAnsi="Times New Roman"/>
          <w:sz w:val="12"/>
          <w:szCs w:val="12"/>
          <w:color w:val="auto"/>
        </w:rPr>
        <w:t>Americas</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107555" cy="134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7555" cy="134620"/>
                    </a:xfrm>
                    <a:prstGeom prst="rect">
                      <a:avLst/>
                    </a:prstGeom>
                    <a:noFill/>
                  </pic:spPr>
                </pic:pic>
              </a:graphicData>
            </a:graphic>
          </wp:anchor>
        </w:drawing>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EMEA</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Asia Pacific</w:t>
      </w:r>
    </w:p>
    <w:p>
      <w:pPr>
        <w:spacing w:after="0" w:line="23" w:lineRule="exact"/>
        <w:rPr>
          <w:sz w:val="20"/>
          <w:szCs w:val="20"/>
          <w:color w:val="auto"/>
        </w:rPr>
      </w:pPr>
    </w:p>
    <w:p>
      <w:pPr>
        <w:ind w:left="180"/>
        <w:spacing w:after="0"/>
        <w:tabs>
          <w:tab w:leader="none" w:pos="7920" w:val="left"/>
        </w:tabs>
        <w:rPr>
          <w:sz w:val="20"/>
          <w:szCs w:val="20"/>
          <w:color w:val="auto"/>
        </w:rPr>
      </w:pPr>
      <w:r>
        <w:rPr>
          <w:rFonts w:ascii="Times New Roman" w:cs="Times New Roman" w:eastAsia="Times New Roman" w:hAnsi="Times New Roman"/>
          <w:sz w:val="11"/>
          <w:szCs w:val="11"/>
          <w:color w:val="auto"/>
        </w:rPr>
        <w:t>Total</w:t>
      </w:r>
      <w:r>
        <w:rPr>
          <w:sz w:val="20"/>
          <w:szCs w:val="20"/>
          <w:color w:val="auto"/>
        </w:rPr>
        <w:tab/>
      </w:r>
      <w:r>
        <w:rPr>
          <w:rFonts w:ascii="Times New Roman" w:cs="Times New Roman" w:eastAsia="Times New Roman" w:hAnsi="Times New Roman"/>
          <w:sz w:val="18"/>
          <w:szCs w:val="18"/>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07555" cy="154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7555" cy="154940"/>
                    </a:xfrm>
                    <a:prstGeom prst="rect">
                      <a:avLst/>
                    </a:prstGeom>
                    <a:noFill/>
                  </pic:spPr>
                </pic:pic>
              </a:graphicData>
            </a:graphic>
          </wp:anchor>
        </w:drawing>
      </w:r>
    </w:p>
    <w:p>
      <w:pPr>
        <w:spacing w:after="0" w:line="2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Company’s revenues disaggregated by subscription product categories and services (in thousands):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320" w:type="dxa"/>
        <w:tblCellMar>
          <w:top w:w="0" w:type="dxa"/>
          <w:left w:w="0" w:type="dxa"/>
          <w:bottom w:w="0" w:type="dxa"/>
          <w:right w:w="0" w:type="dxa"/>
        </w:tblCellMar>
      </w:tblPr>
      <w:tr>
        <w:trPr>
          <w:trHeight w:val="184"/>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412,337</w:t>
            </w: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332,867</w:t>
            </w:r>
          </w:p>
        </w:tc>
      </w:tr>
      <w:tr>
        <w:trPr>
          <w:trHeight w:val="21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194,678</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150,766</w:t>
            </w:r>
          </w:p>
        </w:tc>
      </w:tr>
      <w:tr>
        <w:trPr>
          <w:trHeight w:val="223"/>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80,601</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65,381</w:t>
            </w:r>
          </w:p>
        </w:tc>
      </w:tr>
      <w:tr>
        <w:trPr>
          <w:trHeight w:val="203"/>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687,616</w:t>
            </w:r>
          </w:p>
        </w:tc>
        <w:tc>
          <w:tcPr>
            <w:tcW w:w="5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549,014</w:t>
            </w:r>
          </w:p>
        </w:tc>
      </w:tr>
      <w:tr>
        <w:trPr>
          <w:trHeight w:val="20"/>
        </w:trPr>
        <w:tc>
          <w:tcPr>
            <w:tcW w:w="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-6350</wp:posOffset>
            </wp:positionV>
            <wp:extent cx="101028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10285" cy="698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p>
      <w:pPr>
        <w:spacing w:after="0" w:line="2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3"/>
          <w:szCs w:val="13"/>
          <w:b w:val="1"/>
          <w:bCs w:val="1"/>
          <w:color w:val="auto"/>
        </w:rPr>
        <w:t>2026</w:t>
      </w:r>
      <w:r>
        <w:rPr>
          <w:sz w:val="20"/>
          <w:szCs w:val="20"/>
          <w:color w:val="auto"/>
        </w:rPr>
        <w:tab/>
      </w:r>
      <w:r>
        <w:rPr>
          <w:rFonts w:ascii="Times New Roman" w:cs="Times New Roman" w:eastAsia="Times New Roman" w:hAnsi="Times New Roman"/>
          <w:sz w:val="13"/>
          <w:szCs w:val="13"/>
          <w:b w:val="1"/>
          <w:bCs w:val="1"/>
          <w:color w:val="auto"/>
        </w:rPr>
        <w:t>2025</w:t>
      </w:r>
    </w:p>
    <w:p>
      <w:pPr>
        <w:spacing w:after="0" w:line="18" w:lineRule="exact"/>
        <w:rPr>
          <w:sz w:val="20"/>
          <w:szCs w:val="20"/>
          <w:color w:val="auto"/>
        </w:rPr>
      </w:pPr>
    </w:p>
    <w:p>
      <w:pPr>
        <w:sectPr>
          <w:pgSz w:w="11900" w:h="16838" w:orient="portrait"/>
          <w:cols w:equalWidth="0" w:num="2">
            <w:col w:w="8000" w:space="680"/>
            <w:col w:w="2600"/>
          </w:cols>
          <w:pgMar w:left="300" w:top="133" w:right="31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product categories and services:</w:t>
            </w:r>
          </w:p>
        </w:tc>
        <w:tc>
          <w:tcPr>
            <w:tcW w:w="5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2"/>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Atlas-related</w:t>
            </w: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512,466</w:t>
            </w:r>
          </w:p>
        </w:tc>
        <w:tc>
          <w:tcPr>
            <w:tcW w:w="100" w:type="dxa"/>
            <w:vAlign w:val="bottom"/>
          </w:tcPr>
          <w:p>
            <w:pPr>
              <w:spacing w:after="0"/>
              <w:rPr>
                <w:sz w:val="18"/>
                <w:szCs w:val="18"/>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395,893</w:t>
            </w:r>
          </w:p>
        </w:tc>
      </w:tr>
      <w:tr>
        <w:trPr>
          <w:trHeight w:val="212"/>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MongoDB Enterprise Advanced and other</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153,672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135,562</w:t>
            </w:r>
          </w:p>
        </w:tc>
      </w:tr>
      <w:tr>
        <w:trPr>
          <w:trHeight w:val="223"/>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21,478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17,559</w:t>
            </w:r>
          </w:p>
        </w:tc>
      </w:tr>
      <w:tr>
        <w:trPr>
          <w:trHeight w:val="228"/>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687,616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549,014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Contract Liabilities</w:t>
      </w:r>
    </w:p>
    <w:p>
      <w:pPr>
        <w:spacing w:after="0" w:line="138"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The Company’s contract liabilities are recorded as deferred revenue in the Company’s condensed consolidated balance sheets and consist of customer invoices issued or payments received in advance of revenues being recognized from the Company’s subscription and services contracts. Deferred revenue, including current and non-current balances, was $432.3 million and $470.7 million as of April 30, 2026 and January 31, 2026, respectively. Approximately 21% and 24% of the total revenue recognized for the three months ended April 30, 2026 and 2025, respectively, was from deferred revenue at the beginning of each respective period.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Remaining Performance Obligations</w:t>
      </w:r>
    </w:p>
    <w:p>
      <w:pPr>
        <w:spacing w:after="0" w:line="138" w:lineRule="exact"/>
        <w:rPr>
          <w:sz w:val="20"/>
          <w:szCs w:val="20"/>
          <w:color w:val="auto"/>
        </w:rPr>
      </w:pPr>
    </w:p>
    <w:p>
      <w:pPr>
        <w:ind w:right="200" w:firstLine="382"/>
        <w:spacing w:after="0" w:line="259" w:lineRule="auto"/>
        <w:rPr>
          <w:sz w:val="20"/>
          <w:szCs w:val="20"/>
          <w:color w:val="auto"/>
        </w:rPr>
      </w:pPr>
      <w:r>
        <w:rPr>
          <w:rFonts w:ascii="Times New Roman" w:cs="Times New Roman" w:eastAsia="Times New Roman" w:hAnsi="Times New Roman"/>
          <w:sz w:val="14"/>
          <w:szCs w:val="14"/>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The Company applies the practical expedient to omit disclosure with respect to the amount of the transaction price allocated to remaining performance obligations if the related contract has a total duration of 12 months or less. As of April 30, 2026, the aggregate transaction price allocated to remaining performance obligations was $1,458.6 million. Approximately 53% is expected to be recognized as revenue over the next 12 months, 46% in 13 to 36 months and the remainder thereafter. However, the amount and timing of revenue recognition are generally dependent upon customers’ future consumption, which is inherently variable at the customers’ discretion.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Unbilled Receivables</w:t>
      </w:r>
    </w:p>
    <w:p>
      <w:pPr>
        <w:spacing w:after="0" w:line="138" w:lineRule="exact"/>
        <w:rPr>
          <w:sz w:val="20"/>
          <w:szCs w:val="20"/>
          <w:color w:val="auto"/>
        </w:rPr>
      </w:pPr>
    </w:p>
    <w:p>
      <w:pPr>
        <w:jc w:val="both"/>
        <w:ind w:right="80" w:firstLine="382"/>
        <w:spacing w:after="0" w:line="270" w:lineRule="auto"/>
        <w:rPr>
          <w:sz w:val="20"/>
          <w:szCs w:val="20"/>
          <w:color w:val="auto"/>
        </w:rPr>
      </w:pPr>
      <w:r>
        <w:rPr>
          <w:rFonts w:ascii="Times New Roman" w:cs="Times New Roman" w:eastAsia="Times New Roman" w:hAnsi="Times New Roman"/>
          <w:sz w:val="14"/>
          <w:szCs w:val="14"/>
          <w:color w:val="auto"/>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condensed consolidated balance sheets. As of April 30, 2026 and January 31, 2026, unbilled receivables were $25.5 million and $19.8 million, respectively.</w:t>
      </w:r>
    </w:p>
    <w:p>
      <w:pPr>
        <w:spacing w:after="0" w:line="200" w:lineRule="exact"/>
        <w:rPr>
          <w:sz w:val="20"/>
          <w:szCs w:val="20"/>
          <w:color w:val="auto"/>
        </w:rPr>
      </w:pPr>
    </w:p>
    <w:p>
      <w:pPr>
        <w:spacing w:after="0" w:line="36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Allowance for Doubtful Accounts</w:t>
      </w:r>
    </w:p>
    <w:p>
      <w:pPr>
        <w:spacing w:after="0" w:line="138"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tcPr>
          <w:p>
            <w:pPr>
              <w:jc w:val="right"/>
              <w:ind w:right="1072"/>
              <w:spacing w:after="0"/>
              <w:rPr>
                <w:sz w:val="20"/>
                <w:szCs w:val="20"/>
                <w:color w:val="auto"/>
              </w:rPr>
            </w:pPr>
            <w:r>
              <w:rPr>
                <w:rFonts w:ascii="Times New Roman" w:cs="Times New Roman" w:eastAsia="Times New Roman" w:hAnsi="Times New Roman"/>
                <w:sz w:val="11"/>
                <w:szCs w:val="11"/>
                <w:b w:val="1"/>
                <w:bCs w:val="1"/>
                <w:color w:val="auto"/>
              </w:rPr>
              <w:t>Allowance for Doubtful Accounts</w:t>
            </w:r>
          </w:p>
        </w:tc>
      </w:tr>
      <w:tr>
        <w:trPr>
          <w:trHeight w:val="180"/>
        </w:trPr>
        <w:tc>
          <w:tcPr>
            <w:tcW w:w="7360" w:type="dxa"/>
            <w:vAlign w:val="bottom"/>
            <w:shd w:val="clear" w:color="auto" w:fill="CCEEFF"/>
          </w:tcPr>
          <w:p>
            <w:pPr>
              <w:jc w:val="right"/>
              <w:ind w:right="5509"/>
              <w:spacing w:after="0"/>
              <w:rPr>
                <w:sz w:val="20"/>
                <w:szCs w:val="20"/>
                <w:color w:val="auto"/>
              </w:rPr>
            </w:pPr>
            <w:r>
              <w:rPr>
                <w:rFonts w:ascii="Times New Roman" w:cs="Times New Roman" w:eastAsia="Times New Roman" w:hAnsi="Times New Roman"/>
                <w:sz w:val="14"/>
                <w:szCs w:val="14"/>
                <w:color w:val="auto"/>
              </w:rPr>
              <w:t>Balance as of January 31, 2026</w:t>
            </w:r>
          </w:p>
        </w:tc>
        <w:tc>
          <w:tcPr>
            <w:tcW w:w="62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12,979</w:t>
            </w:r>
          </w:p>
        </w:tc>
      </w:tr>
      <w:tr>
        <w:trPr>
          <w:trHeight w:val="180"/>
        </w:trPr>
        <w:tc>
          <w:tcPr>
            <w:tcW w:w="7360" w:type="dxa"/>
            <w:vAlign w:val="bottom"/>
          </w:tcPr>
          <w:p>
            <w:pPr>
              <w:jc w:val="right"/>
              <w:ind w:right="6549"/>
              <w:spacing w:after="0"/>
              <w:rPr>
                <w:sz w:val="20"/>
                <w:szCs w:val="20"/>
                <w:color w:val="auto"/>
              </w:rPr>
            </w:pPr>
            <w:r>
              <w:rPr>
                <w:rFonts w:ascii="Times New Roman" w:cs="Times New Roman" w:eastAsia="Times New Roman" w:hAnsi="Times New Roman"/>
                <w:sz w:val="14"/>
                <w:szCs w:val="14"/>
                <w:color w:val="auto"/>
              </w:rPr>
              <w:t>Provision</w:t>
            </w:r>
          </w:p>
        </w:tc>
        <w:tc>
          <w:tcPr>
            <w:tcW w:w="620" w:type="dxa"/>
            <w:vAlign w:val="bottom"/>
          </w:tcPr>
          <w:p>
            <w:pPr>
              <w:spacing w:after="0"/>
              <w:rPr>
                <w:sz w:val="15"/>
                <w:szCs w:val="15"/>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2,476</w:t>
            </w:r>
          </w:p>
        </w:tc>
      </w:tr>
      <w:tr>
        <w:trPr>
          <w:trHeight w:val="180"/>
        </w:trPr>
        <w:tc>
          <w:tcPr>
            <w:tcW w:w="7360" w:type="dxa"/>
            <w:vAlign w:val="bottom"/>
            <w:shd w:val="clear" w:color="auto" w:fill="CCEEFF"/>
          </w:tcPr>
          <w:p>
            <w:pPr>
              <w:jc w:val="right"/>
              <w:ind w:right="5649"/>
              <w:spacing w:after="0"/>
              <w:rPr>
                <w:sz w:val="20"/>
                <w:szCs w:val="20"/>
                <w:color w:val="auto"/>
              </w:rPr>
            </w:pPr>
            <w:r>
              <w:rPr>
                <w:rFonts w:ascii="Times New Roman" w:cs="Times New Roman" w:eastAsia="Times New Roman" w:hAnsi="Times New Roman"/>
                <w:sz w:val="14"/>
                <w:szCs w:val="14"/>
                <w:color w:val="auto"/>
              </w:rPr>
              <w:t>Recoveries and write-offs</w:t>
            </w:r>
          </w:p>
        </w:tc>
        <w:tc>
          <w:tcPr>
            <w:tcW w:w="620" w:type="dxa"/>
            <w:vAlign w:val="bottom"/>
            <w:tcBorders>
              <w:bottom w:val="single" w:sz="8" w:color="auto"/>
            </w:tcBorders>
            <w:shd w:val="clear" w:color="auto" w:fill="CCEEFF"/>
          </w:tcPr>
          <w:p>
            <w:pPr>
              <w:spacing w:after="0"/>
              <w:rPr>
                <w:sz w:val="15"/>
                <w:szCs w:val="15"/>
                <w:color w:val="auto"/>
              </w:rPr>
            </w:pPr>
          </w:p>
        </w:tc>
        <w:tc>
          <w:tcPr>
            <w:tcW w:w="3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w:t>
            </w:r>
          </w:p>
        </w:tc>
      </w:tr>
      <w:tr>
        <w:trPr>
          <w:trHeight w:val="171"/>
        </w:trPr>
        <w:tc>
          <w:tcPr>
            <w:tcW w:w="7360" w:type="dxa"/>
            <w:vAlign w:val="bottom"/>
          </w:tcPr>
          <w:p>
            <w:pPr>
              <w:jc w:val="right"/>
              <w:ind w:right="5649"/>
              <w:spacing w:after="0"/>
              <w:rPr>
                <w:sz w:val="20"/>
                <w:szCs w:val="20"/>
                <w:color w:val="auto"/>
              </w:rPr>
            </w:pPr>
            <w:r>
              <w:rPr>
                <w:rFonts w:ascii="Times New Roman" w:cs="Times New Roman" w:eastAsia="Times New Roman" w:hAnsi="Times New Roman"/>
                <w:sz w:val="14"/>
                <w:szCs w:val="14"/>
                <w:color w:val="auto"/>
              </w:rPr>
              <w:t>Balance as of April 30, 2026</w:t>
            </w:r>
          </w:p>
        </w:tc>
        <w:tc>
          <w:tcPr>
            <w:tcW w:w="6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3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12,252</w:t>
            </w:r>
          </w:p>
        </w:tc>
      </w:tr>
      <w:tr>
        <w:trPr>
          <w:trHeight w:val="20"/>
        </w:trPr>
        <w:tc>
          <w:tcPr>
            <w:tcW w:w="7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Costs Capitalized to Obtain Contracts with Customers</w:t>
      </w:r>
    </w:p>
    <w:p>
      <w:pPr>
        <w:spacing w:after="0" w:line="138"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Deferred commissions were $360.9 million and $373.2 million as of April 30, 2026 and January 31, 2026, respectively, of which $231.0 million and $241.7 million comprised the non-current portion and was included in other assets on the Company’s consolidated balance sheets as of April 30, 2026 and January 31, 2026, respectively. Amortization expense with respect to deferred commissions, which is included in sales and marketing expense in the Company’s condensed consolidated statements of operations, was $35.0 million and $31.2 million during the three months ended April 30, 2026 and 2025, respectively. There was no impairment loss recognized in relation to the costs capitalized for the periods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Equity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2C2C2C"/>
        </w:rPr>
        <w:t>Equity Incentive Plan</w:t>
      </w:r>
    </w:p>
    <w:p>
      <w:pPr>
        <w:spacing w:after="0" w:line="138"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The Company adopted the 2008 Stock Incentive Plan (as amended, the “2008 Plan”) and the 2016 Equity Incentive Plan (as amended the “2016 Plan”), primarily for the purpose of granting stock-based awards to eligible employees, directors and consultants, including stock options, restricted stock units (“RSUs”), restricted stock awards (“RSAs”)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Stock Options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stock option activity for the three months ended April 30, 2026 (in thousands, except share, per share data and years):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restart"/>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w w:val="99"/>
              </w:rPr>
              <w:t>Weighted-Average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jc w:val="center"/>
              <w:ind w:left="243"/>
              <w:spacing w:after="0" w:line="117"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900" w:type="dxa"/>
            <w:vAlign w:val="bottom"/>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jc w:val="center"/>
              <w:ind w:left="343"/>
              <w:spacing w:after="0" w:line="108"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jc w:val="center"/>
              <w:ind w:left="243"/>
              <w:spacing w:after="0" w:line="108" w:lineRule="exact"/>
              <w:rPr>
                <w:sz w:val="20"/>
                <w:szCs w:val="20"/>
                <w:color w:val="auto"/>
              </w:rPr>
            </w:pPr>
            <w:r>
              <w:rPr>
                <w:rFonts w:ascii="Times New Roman" w:cs="Times New Roman" w:eastAsia="Times New Roman" w:hAnsi="Times New Roman"/>
                <w:sz w:val="11"/>
                <w:szCs w:val="11"/>
                <w:b w:val="1"/>
                <w:bCs w:val="1"/>
                <w:color w:val="auto"/>
              </w:rPr>
              <w:t>Contractual Term</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jc w:val="center"/>
              <w:ind w:right="215"/>
              <w:spacing w:after="0" w:line="108" w:lineRule="exact"/>
              <w:rPr>
                <w:sz w:val="20"/>
                <w:szCs w:val="20"/>
                <w:color w:val="auto"/>
              </w:rPr>
            </w:pPr>
            <w:r>
              <w:rPr>
                <w:rFonts w:ascii="Times New Roman" w:cs="Times New Roman" w:eastAsia="Times New Roman" w:hAnsi="Times New Roman"/>
                <w:sz w:val="11"/>
                <w:szCs w:val="11"/>
                <w:b w:val="1"/>
                <w:bCs w:val="1"/>
                <w:color w:val="auto"/>
                <w:w w:val="99"/>
              </w:rPr>
              <w:t>Intrinsic</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rPr>
              <w:t>Price Per Share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w w:val="99"/>
              </w:rPr>
              <w:t>(In Years)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95"/>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30"/>
        </w:trPr>
        <w:tc>
          <w:tcPr>
            <w:tcW w:w="45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as of January 31, 2026</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163,909</w:t>
            </w:r>
          </w:p>
        </w:tc>
        <w:tc>
          <w:tcPr>
            <w:tcW w:w="1500" w:type="dxa"/>
            <w:vAlign w:val="bottom"/>
            <w:gridSpan w:val="2"/>
            <w:shd w:val="clear" w:color="auto" w:fill="CCEEFF"/>
          </w:tcPr>
          <w:p>
            <w:pPr>
              <w:jc w:val="right"/>
              <w:ind w:right="126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59,284</w:t>
            </w:r>
          </w:p>
        </w:tc>
        <w:tc>
          <w:tcPr>
            <w:tcW w:w="0" w:type="dxa"/>
            <w:vAlign w:val="bottom"/>
          </w:tcPr>
          <w:p>
            <w:pPr>
              <w:spacing w:after="0"/>
              <w:rPr>
                <w:sz w:val="1"/>
                <w:szCs w:val="1"/>
                <w:color w:val="auto"/>
              </w:rPr>
            </w:pPr>
          </w:p>
        </w:tc>
      </w:tr>
      <w:tr>
        <w:trPr>
          <w:trHeight w:val="212"/>
        </w:trPr>
        <w:tc>
          <w:tcPr>
            <w:tcW w:w="5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Stock options exercised</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(55,128)</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 options forfeited and expired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Balance as of April 30, 2026</w:t>
            </w:r>
          </w:p>
        </w:tc>
        <w:tc>
          <w:tcPr>
            <w:tcW w:w="9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108,531</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26,080</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Vested and exercisable as of January 31, 2026</w:t>
            </w: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163,909</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59,284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Vested and exercisable as of April 30, 2026</w:t>
            </w:r>
          </w:p>
        </w:tc>
        <w:tc>
          <w:tcPr>
            <w:tcW w:w="9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96"/>
              </w:rPr>
              <w:t>108,531</w:t>
            </w:r>
          </w:p>
        </w:tc>
        <w:tc>
          <w:tcPr>
            <w:tcW w:w="1500" w:type="dxa"/>
            <w:vAlign w:val="bottom"/>
            <w:gridSpan w:val="2"/>
          </w:tcPr>
          <w:p>
            <w:pPr>
              <w:jc w:val="right"/>
              <w:ind w:right="1263"/>
              <w:spacing w:after="0" w:line="143"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260" w:type="dxa"/>
            <w:vAlign w:val="bottom"/>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26,080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4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Restricted Stock Units</w:t>
      </w:r>
    </w:p>
    <w:p>
      <w:pPr>
        <w:spacing w:after="0" w:line="138"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The Company funds withholding taxes in certain jurisdictions due upon the vesting of employee restricted stock units (“RSUs”) and executive performance stock units (“PSUs”) by net share settlement. The amount of withholding taxes related to net share settlement of employee RSUs and executive PSUs are reflected as (i) a reduction to additional paid-in-capital, and (ii) cash outflows for financing activities when the payments are made. The shares withheld by the Company as a result of the net share settlement of RSUs and executive PSUs are not considered issued and outstanding, and do not impact the calculation of basic and diluted net income (loss) per share attributable to common stockholders.</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RSU activity for the three months ended April 30, 2026: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0" w:type="dxa"/>
            <w:vAlign w:val="bottom"/>
          </w:tcPr>
          <w:p>
            <w:pPr>
              <w:spacing w:after="0"/>
              <w:rPr>
                <w:sz w:val="11"/>
                <w:szCs w:val="11"/>
                <w:color w:val="auto"/>
              </w:rPr>
            </w:pPr>
          </w:p>
        </w:tc>
        <w:tc>
          <w:tcPr>
            <w:tcW w:w="1120" w:type="dxa"/>
            <w:vAlign w:val="bottom"/>
            <w:vMerge w:val="restart"/>
          </w:tcPr>
          <w:p>
            <w:pPr>
              <w:ind w:left="7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Weighted-Average Grant Date Fair</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Value per RSU</w:t>
            </w:r>
          </w:p>
        </w:tc>
        <w:tc>
          <w:tcPr>
            <w:tcW w:w="0" w:type="dxa"/>
            <w:vAlign w:val="bottom"/>
          </w:tcPr>
          <w:p>
            <w:pPr>
              <w:spacing w:after="0"/>
              <w:rPr>
                <w:sz w:val="1"/>
                <w:szCs w:val="1"/>
                <w:color w:val="auto"/>
              </w:rPr>
            </w:pPr>
          </w:p>
        </w:tc>
      </w:tr>
      <w:tr>
        <w:trPr>
          <w:trHeight w:val="30"/>
        </w:trPr>
        <w:tc>
          <w:tcPr>
            <w:tcW w:w="7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Unvested as of January 31, 2026</w:t>
            </w:r>
          </w:p>
        </w:tc>
        <w:tc>
          <w:tcPr>
            <w:tcW w:w="1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4,233,699</w:t>
            </w:r>
          </w:p>
        </w:tc>
        <w:tc>
          <w:tcPr>
            <w:tcW w:w="4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256.82</w:t>
            </w:r>
          </w:p>
        </w:tc>
        <w:tc>
          <w:tcPr>
            <w:tcW w:w="0" w:type="dxa"/>
            <w:vAlign w:val="bottom"/>
          </w:tcPr>
          <w:p>
            <w:pPr>
              <w:spacing w:after="0"/>
              <w:rPr>
                <w:sz w:val="1"/>
                <w:szCs w:val="1"/>
                <w:color w:val="auto"/>
              </w:rPr>
            </w:pPr>
          </w:p>
        </w:tc>
      </w:tr>
      <w:tr>
        <w:trPr>
          <w:trHeight w:val="212"/>
        </w:trPr>
        <w:tc>
          <w:tcPr>
            <w:tcW w:w="8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RSUs 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1,631,378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268.85</w:t>
            </w:r>
          </w:p>
        </w:tc>
        <w:tc>
          <w:tcPr>
            <w:tcW w:w="0" w:type="dxa"/>
            <w:vAlign w:val="bottom"/>
          </w:tcPr>
          <w:p>
            <w:pPr>
              <w:spacing w:after="0"/>
              <w:rPr>
                <w:sz w:val="1"/>
                <w:szCs w:val="1"/>
                <w:color w:val="auto"/>
              </w:rPr>
            </w:pPr>
          </w:p>
        </w:tc>
      </w:tr>
      <w:tr>
        <w:trPr>
          <w:trHeight w:val="212"/>
        </w:trPr>
        <w:tc>
          <w:tcPr>
            <w:tcW w:w="8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RSUs vested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(489,162)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250.28</w:t>
            </w:r>
          </w:p>
        </w:tc>
        <w:tc>
          <w:tcPr>
            <w:tcW w:w="0" w:type="dxa"/>
            <w:vAlign w:val="bottom"/>
          </w:tcPr>
          <w:p>
            <w:pPr>
              <w:spacing w:after="0"/>
              <w:rPr>
                <w:sz w:val="1"/>
                <w:szCs w:val="1"/>
                <w:color w:val="auto"/>
              </w:rPr>
            </w:pPr>
          </w:p>
        </w:tc>
      </w:tr>
      <w:tr>
        <w:trPr>
          <w:trHeight w:val="212"/>
        </w:trPr>
        <w:tc>
          <w:tcPr>
            <w:tcW w:w="8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RSUs forfeited and canceled</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(313,160)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244.51</w:t>
            </w:r>
          </w:p>
        </w:tc>
        <w:tc>
          <w:tcPr>
            <w:tcW w:w="0" w:type="dxa"/>
            <w:vAlign w:val="bottom"/>
          </w:tcPr>
          <w:p>
            <w:pPr>
              <w:spacing w:after="0"/>
              <w:rPr>
                <w:sz w:val="1"/>
                <w:szCs w:val="1"/>
                <w:color w:val="auto"/>
              </w:rPr>
            </w:pPr>
          </w:p>
        </w:tc>
      </w:tr>
      <w:tr>
        <w:trPr>
          <w:trHeight w:val="196"/>
        </w:trPr>
        <w:tc>
          <w:tcPr>
            <w:tcW w:w="76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Unvested as of April 30, 2026</w:t>
            </w:r>
          </w:p>
        </w:tc>
        <w:tc>
          <w:tcPr>
            <w:tcW w:w="11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5,062,755</w:t>
            </w:r>
          </w:p>
        </w:tc>
        <w:tc>
          <w:tcPr>
            <w:tcW w:w="400" w:type="dxa"/>
            <w:vAlign w:val="bottom"/>
            <w:tcBorders>
              <w:top w:val="single" w:sz="8" w:color="CCEEFF"/>
              <w:bottom w:val="single" w:sz="8" w:color="CCEEFF"/>
            </w:tcBorders>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Restricted Stock Awards</w:t>
      </w:r>
    </w:p>
    <w:p>
      <w:pPr>
        <w:spacing w:after="0" w:line="138"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 xml:space="preserve">The Company has granted restricted common stock outside of the 2008 and 2016 Plans. Restricted common stock is not deemed to be outstanding for accounting purposes until it vests. Refer to Note 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in the Notes to Consolidated Financial Statements included in Part II, Item 8 of the Company’s 2026 Form 10-K, for further details on the issuance of restricted stock awards in connection with the acquisition of Voyage AI.</w:t>
      </w:r>
    </w:p>
    <w:p>
      <w:pPr>
        <w:spacing w:after="0" w:line="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RSA activity for the three months ended April 30, 2026: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0" w:type="dxa"/>
            <w:vAlign w:val="bottom"/>
          </w:tcPr>
          <w:p>
            <w:pPr>
              <w:spacing w:after="0"/>
              <w:rPr>
                <w:sz w:val="11"/>
                <w:szCs w:val="11"/>
                <w:color w:val="auto"/>
              </w:rPr>
            </w:pPr>
          </w:p>
        </w:tc>
        <w:tc>
          <w:tcPr>
            <w:tcW w:w="1180" w:type="dxa"/>
            <w:vAlign w:val="bottom"/>
            <w:vMerge w:val="restart"/>
          </w:tcPr>
          <w:p>
            <w:pPr>
              <w:ind w:left="7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Weighted-Average Grant Date Fair</w:t>
            </w:r>
          </w:p>
        </w:tc>
        <w:tc>
          <w:tcPr>
            <w:tcW w:w="0" w:type="dxa"/>
            <w:vAlign w:val="bottom"/>
          </w:tcPr>
          <w:p>
            <w:pPr>
              <w:spacing w:after="0"/>
              <w:rPr>
                <w:sz w:val="1"/>
                <w:szCs w:val="1"/>
                <w:color w:val="auto"/>
              </w:rPr>
            </w:pPr>
          </w:p>
        </w:tc>
      </w:tr>
      <w:tr>
        <w:trPr>
          <w:trHeight w:val="151"/>
        </w:trPr>
        <w:tc>
          <w:tcPr>
            <w:tcW w:w="76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Value per RSA</w:t>
            </w:r>
          </w:p>
        </w:tc>
        <w:tc>
          <w:tcPr>
            <w:tcW w:w="0" w:type="dxa"/>
            <w:vAlign w:val="bottom"/>
          </w:tcPr>
          <w:p>
            <w:pPr>
              <w:spacing w:after="0"/>
              <w:rPr>
                <w:sz w:val="1"/>
                <w:szCs w:val="1"/>
                <w:color w:val="auto"/>
              </w:rPr>
            </w:pPr>
          </w:p>
        </w:tc>
      </w:tr>
      <w:tr>
        <w:trPr>
          <w:trHeight w:val="30"/>
        </w:trPr>
        <w:tc>
          <w:tcPr>
            <w:tcW w:w="76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Unvested as of January 31, 2026</w:t>
            </w:r>
          </w:p>
        </w:tc>
        <w:tc>
          <w:tcPr>
            <w:tcW w:w="1180" w:type="dxa"/>
            <w:vAlign w:val="bottom"/>
            <w:shd w:val="clear" w:color="auto" w:fill="CCEEFF"/>
          </w:tcPr>
          <w:p>
            <w:pPr>
              <w:spacing w:after="0"/>
              <w:rPr>
                <w:sz w:val="16"/>
                <w:szCs w:val="16"/>
                <w:color w:val="auto"/>
              </w:rPr>
            </w:pP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112,153</w:t>
            </w:r>
          </w:p>
        </w:tc>
        <w:tc>
          <w:tcPr>
            <w:tcW w:w="4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292.05</w:t>
            </w:r>
          </w:p>
        </w:tc>
        <w:tc>
          <w:tcPr>
            <w:tcW w:w="0" w:type="dxa"/>
            <w:vAlign w:val="bottom"/>
          </w:tcPr>
          <w:p>
            <w:pPr>
              <w:spacing w:after="0"/>
              <w:rPr>
                <w:sz w:val="1"/>
                <w:szCs w:val="1"/>
                <w:color w:val="auto"/>
              </w:rPr>
            </w:pPr>
          </w:p>
        </w:tc>
      </w:tr>
      <w:tr>
        <w:trPr>
          <w:trHeight w:val="212"/>
        </w:trPr>
        <w:tc>
          <w:tcPr>
            <w:tcW w:w="8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RSAs vested</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(16,045)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292.05</w:t>
            </w:r>
          </w:p>
        </w:tc>
        <w:tc>
          <w:tcPr>
            <w:tcW w:w="0" w:type="dxa"/>
            <w:vAlign w:val="bottom"/>
          </w:tcPr>
          <w:p>
            <w:pPr>
              <w:spacing w:after="0"/>
              <w:rPr>
                <w:sz w:val="1"/>
                <w:szCs w:val="1"/>
                <w:color w:val="auto"/>
              </w:rPr>
            </w:pPr>
          </w:p>
        </w:tc>
      </w:tr>
      <w:tr>
        <w:trPr>
          <w:trHeight w:val="212"/>
        </w:trPr>
        <w:tc>
          <w:tcPr>
            <w:tcW w:w="8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RSAs forfeited and canceled</w:t>
            </w:r>
            <w:r>
              <w:rPr>
                <w:rFonts w:ascii="Times New Roman" w:cs="Times New Roman" w:eastAsia="Times New Roman" w:hAnsi="Times New Roman"/>
                <w:sz w:val="18"/>
                <w:szCs w:val="18"/>
                <w:color w:val="auto"/>
                <w:vertAlign w:val="superscript"/>
              </w:rPr>
              <w:t>(1)</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(54,584)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292.05</w:t>
            </w:r>
          </w:p>
        </w:tc>
        <w:tc>
          <w:tcPr>
            <w:tcW w:w="0" w:type="dxa"/>
            <w:vAlign w:val="bottom"/>
          </w:tcPr>
          <w:p>
            <w:pPr>
              <w:spacing w:after="0"/>
              <w:rPr>
                <w:sz w:val="1"/>
                <w:szCs w:val="1"/>
                <w:color w:val="auto"/>
              </w:rPr>
            </w:pPr>
          </w:p>
        </w:tc>
      </w:tr>
      <w:tr>
        <w:trPr>
          <w:trHeight w:val="171"/>
        </w:trPr>
        <w:tc>
          <w:tcPr>
            <w:tcW w:w="7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Unvested as of April 30, 2026</w:t>
            </w:r>
          </w:p>
        </w:tc>
        <w:tc>
          <w:tcPr>
            <w:tcW w:w="1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41,524</w:t>
            </w:r>
          </w:p>
        </w:tc>
        <w:tc>
          <w:tcPr>
            <w:tcW w:w="40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right="460" w:firstLine="5"/>
        <w:spacing w:after="0" w:line="230" w:lineRule="auto"/>
        <w:tabs>
          <w:tab w:leader="none" w:pos="248"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shares of common stock reacquired pursuant to the applicable restricted stock award agreements and included in repurchases of common stock on the Condensed Consolidated Statements of Stockholders’ Equity.</w:t>
      </w:r>
    </w:p>
    <w:p>
      <w:pPr>
        <w:spacing w:after="0" w:line="200" w:lineRule="exact"/>
        <w:rPr>
          <w:sz w:val="20"/>
          <w:szCs w:val="20"/>
          <w:color w:val="auto"/>
        </w:rPr>
      </w:pPr>
    </w:p>
    <w:p>
      <w:pPr>
        <w:spacing w:after="0" w:line="38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Performance Share Units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PSU activity for the three months ended April 30, 2026: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0" w:type="dxa"/>
            <w:vAlign w:val="bottom"/>
          </w:tcPr>
          <w:p>
            <w:pPr>
              <w:spacing w:after="0"/>
              <w:rPr>
                <w:sz w:val="11"/>
                <w:szCs w:val="11"/>
                <w:color w:val="auto"/>
              </w:rPr>
            </w:pPr>
          </w:p>
        </w:tc>
        <w:tc>
          <w:tcPr>
            <w:tcW w:w="1160" w:type="dxa"/>
            <w:vAlign w:val="bottom"/>
            <w:vMerge w:val="restart"/>
          </w:tcPr>
          <w:p>
            <w:pPr>
              <w:ind w:left="7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Weighted-Average Grant Date Fair</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Value per PSU</w:t>
            </w:r>
          </w:p>
        </w:tc>
        <w:tc>
          <w:tcPr>
            <w:tcW w:w="0" w:type="dxa"/>
            <w:vAlign w:val="bottom"/>
          </w:tcPr>
          <w:p>
            <w:pPr>
              <w:spacing w:after="0"/>
              <w:rPr>
                <w:sz w:val="1"/>
                <w:szCs w:val="1"/>
                <w:color w:val="auto"/>
              </w:rPr>
            </w:pPr>
          </w:p>
        </w:tc>
      </w:tr>
      <w:tr>
        <w:trPr>
          <w:trHeight w:val="30"/>
        </w:trPr>
        <w:tc>
          <w:tcPr>
            <w:tcW w:w="76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Unvested as of January 31, 2026</w:t>
            </w:r>
          </w:p>
        </w:tc>
        <w:tc>
          <w:tcPr>
            <w:tcW w:w="1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209,670</w:t>
            </w:r>
          </w:p>
        </w:tc>
        <w:tc>
          <w:tcPr>
            <w:tcW w:w="4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256.62</w:t>
            </w:r>
          </w:p>
        </w:tc>
        <w:tc>
          <w:tcPr>
            <w:tcW w:w="0" w:type="dxa"/>
            <w:vAlign w:val="bottom"/>
          </w:tcPr>
          <w:p>
            <w:pPr>
              <w:spacing w:after="0"/>
              <w:rPr>
                <w:sz w:val="1"/>
                <w:szCs w:val="1"/>
                <w:color w:val="auto"/>
              </w:rPr>
            </w:pPr>
          </w:p>
        </w:tc>
      </w:tr>
      <w:tr>
        <w:trPr>
          <w:trHeight w:val="212"/>
        </w:trPr>
        <w:tc>
          <w:tcPr>
            <w:tcW w:w="8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PSUs 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117.80</w:t>
            </w:r>
          </w:p>
        </w:tc>
        <w:tc>
          <w:tcPr>
            <w:tcW w:w="0" w:type="dxa"/>
            <w:vAlign w:val="bottom"/>
          </w:tcPr>
          <w:p>
            <w:pPr>
              <w:spacing w:after="0"/>
              <w:rPr>
                <w:sz w:val="1"/>
                <w:szCs w:val="1"/>
                <w:color w:val="auto"/>
              </w:rPr>
            </w:pPr>
          </w:p>
        </w:tc>
      </w:tr>
      <w:tr>
        <w:trPr>
          <w:trHeight w:val="212"/>
        </w:trPr>
        <w:tc>
          <w:tcPr>
            <w:tcW w:w="8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PSUs vested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218.53</w:t>
            </w:r>
          </w:p>
        </w:tc>
        <w:tc>
          <w:tcPr>
            <w:tcW w:w="0" w:type="dxa"/>
            <w:vAlign w:val="bottom"/>
          </w:tcPr>
          <w:p>
            <w:pPr>
              <w:spacing w:after="0"/>
              <w:rPr>
                <w:sz w:val="1"/>
                <w:szCs w:val="1"/>
                <w:color w:val="auto"/>
              </w:rPr>
            </w:pPr>
          </w:p>
        </w:tc>
      </w:tr>
      <w:tr>
        <w:trPr>
          <w:trHeight w:val="212"/>
        </w:trPr>
        <w:tc>
          <w:tcPr>
            <w:tcW w:w="8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Adjustment for performance achievement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199.97</w:t>
            </w:r>
          </w:p>
        </w:tc>
        <w:tc>
          <w:tcPr>
            <w:tcW w:w="0" w:type="dxa"/>
            <w:vAlign w:val="bottom"/>
          </w:tcPr>
          <w:p>
            <w:pPr>
              <w:spacing w:after="0"/>
              <w:rPr>
                <w:sz w:val="1"/>
                <w:szCs w:val="1"/>
                <w:color w:val="auto"/>
              </w:rPr>
            </w:pPr>
          </w:p>
        </w:tc>
      </w:tr>
      <w:tr>
        <w:trPr>
          <w:trHeight w:val="212"/>
        </w:trPr>
        <w:tc>
          <w:tcPr>
            <w:tcW w:w="8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PSUs forfeited and canceled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237.59</w:t>
            </w:r>
          </w:p>
        </w:tc>
        <w:tc>
          <w:tcPr>
            <w:tcW w:w="0" w:type="dxa"/>
            <w:vAlign w:val="bottom"/>
          </w:tcPr>
          <w:p>
            <w:pPr>
              <w:spacing w:after="0"/>
              <w:rPr>
                <w:sz w:val="1"/>
                <w:szCs w:val="1"/>
                <w:color w:val="auto"/>
              </w:rPr>
            </w:pPr>
          </w:p>
        </w:tc>
      </w:tr>
      <w:tr>
        <w:trPr>
          <w:trHeight w:val="171"/>
        </w:trPr>
        <w:tc>
          <w:tcPr>
            <w:tcW w:w="7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Unvested as of April 30, 2026</w:t>
            </w:r>
          </w:p>
        </w:tc>
        <w:tc>
          <w:tcPr>
            <w:tcW w:w="1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210,669</w:t>
            </w:r>
          </w:p>
        </w:tc>
        <w:tc>
          <w:tcPr>
            <w:tcW w:w="40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208.42</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4"/>
          <w:szCs w:val="14"/>
          <w:color w:val="auto"/>
        </w:rPr>
        <w:t>In January 2026, the Company granted PSUs with both service and market conditions, with an aggregate grant date fair value of $36.1 million under the 2016 Plan. The number of shares that may be earned under these PSUs with market conditions ranges from 0% to 200% of the target number of shares, based on the achievement of specified stock price targets over a five-year cumulative performance period beginning on the grant date. The market conditions are satisfied when the average closing price of the Company’s common stock over any 60 consecutive trading-day period during the performance period is equal to or exceeds stock price targets of $375.00, $400.00, $475.00 and $600.00. In addition, the PSUs with market conditions are subject to service-based vesting, under which up to 100%, 125%, 150% and 200% of the target number of shares may vest on January 31, 2027, January 31, 2028 and January 31, 2029, respectively, subject to the grantee’s continued service through each vesting date. On the date of grant, the Company assumes a performance factor of 100. As of April 30, 2026, the first stock price target has been achieved and there were approximately 51 thousand PSUs with market conditions outstanding.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2017 Employee Stock Purchase Plan</w:t>
      </w:r>
    </w:p>
    <w:p>
      <w:pPr>
        <w:spacing w:after="0" w:line="138" w:lineRule="exact"/>
        <w:rPr>
          <w:sz w:val="20"/>
          <w:szCs w:val="20"/>
          <w:color w:val="auto"/>
        </w:rPr>
      </w:pPr>
    </w:p>
    <w:p>
      <w:pPr>
        <w:jc w:val="both"/>
        <w:ind w:right="40" w:firstLine="382"/>
        <w:spacing w:after="0" w:line="270" w:lineRule="auto"/>
        <w:rPr>
          <w:sz w:val="20"/>
          <w:szCs w:val="20"/>
          <w:color w:val="auto"/>
        </w:rPr>
      </w:pPr>
      <w:r>
        <w:rPr>
          <w:rFonts w:ascii="Times New Roman" w:cs="Times New Roman" w:eastAsia="Times New Roman" w:hAnsi="Times New Roman"/>
          <w:sz w:val="14"/>
          <w:szCs w:val="14"/>
          <w:color w:val="auto"/>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The Company’s current offering period began on December 16, 2025 and is expected to end June 16, 2026.</w:t>
      </w:r>
    </w:p>
    <w:p>
      <w:pPr>
        <w:spacing w:after="0" w:line="200" w:lineRule="exact"/>
        <w:rPr>
          <w:sz w:val="20"/>
          <w:szCs w:val="20"/>
          <w:color w:val="auto"/>
        </w:rPr>
      </w:pPr>
    </w:p>
    <w:p>
      <w:pPr>
        <w:spacing w:after="0" w:line="36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Total stock-based compensation expense recognized in the Company’s condensed consolidated statements of operations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00" w:type="dxa"/>
            <w:vAlign w:val="bottom"/>
          </w:tcPr>
          <w:p>
            <w:pPr>
              <w:spacing w:after="0"/>
              <w:rPr>
                <w:sz w:val="13"/>
                <w:szCs w:val="13"/>
                <w:color w:val="auto"/>
              </w:rPr>
            </w:pPr>
          </w:p>
        </w:tc>
        <w:tc>
          <w:tcPr>
            <w:tcW w:w="234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540" w:type="dxa"/>
            <w:vAlign w:val="bottom"/>
            <w:tcBorders>
              <w:bottom w:val="single" w:sz="8" w:color="auto"/>
            </w:tcBorders>
          </w:tcPr>
          <w:p>
            <w:pPr>
              <w:spacing w:after="0"/>
              <w:rPr>
                <w:sz w:val="13"/>
                <w:szCs w:val="13"/>
                <w:color w:val="auto"/>
              </w:rPr>
            </w:pPr>
          </w:p>
        </w:tc>
      </w:tr>
      <w:tr>
        <w:trPr>
          <w:trHeight w:val="154"/>
        </w:trPr>
        <w:tc>
          <w:tcPr>
            <w:tcW w:w="84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r>
      <w:tr>
        <w:trPr>
          <w:trHeight w:val="197"/>
        </w:trPr>
        <w:tc>
          <w:tcPr>
            <w:tcW w:w="8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Cost of revenue—subscription</w:t>
            </w:r>
          </w:p>
        </w:tc>
        <w:tc>
          <w:tcPr>
            <w:tcW w:w="8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8,395</w:t>
            </w:r>
          </w:p>
        </w:tc>
      </w:tr>
      <w:tr>
        <w:trPr>
          <w:trHeight w:val="212"/>
        </w:trPr>
        <w:tc>
          <w:tcPr>
            <w:tcW w:w="8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 of revenue—services</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w:t>
            </w:r>
          </w:p>
        </w:tc>
      </w:tr>
      <w:tr>
        <w:trPr>
          <w:trHeight w:val="212"/>
        </w:trPr>
        <w:tc>
          <w:tcPr>
            <w:tcW w:w="8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Sales and marketing</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39,102</w:t>
            </w:r>
          </w:p>
        </w:tc>
      </w:tr>
      <w:tr>
        <w:trPr>
          <w:trHeight w:val="212"/>
        </w:trPr>
        <w:tc>
          <w:tcPr>
            <w:tcW w:w="8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70,708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66,405</w:t>
            </w:r>
          </w:p>
        </w:tc>
      </w:tr>
      <w:tr>
        <w:trPr>
          <w:trHeight w:val="223"/>
        </w:trPr>
        <w:tc>
          <w:tcPr>
            <w:tcW w:w="8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22,761</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14,635</w:t>
            </w:r>
          </w:p>
        </w:tc>
      </w:tr>
      <w:tr>
        <w:trPr>
          <w:trHeight w:val="203"/>
        </w:trPr>
        <w:tc>
          <w:tcPr>
            <w:tcW w:w="8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137,830</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132,431</w:t>
            </w:r>
          </w:p>
        </w:tc>
      </w:tr>
      <w:tr>
        <w:trPr>
          <w:trHeight w:val="20"/>
        </w:trPr>
        <w:tc>
          <w:tcPr>
            <w:tcW w:w="8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Repurchase Program</w:t>
      </w:r>
    </w:p>
    <w:p>
      <w:pPr>
        <w:spacing w:after="0" w:line="138" w:lineRule="exact"/>
        <w:rPr>
          <w:sz w:val="20"/>
          <w:szCs w:val="20"/>
          <w:color w:val="auto"/>
        </w:rPr>
      </w:pPr>
    </w:p>
    <w:p>
      <w:pPr>
        <w:ind w:right="220" w:firstLine="382"/>
        <w:spacing w:after="0" w:line="259" w:lineRule="auto"/>
        <w:rPr>
          <w:sz w:val="20"/>
          <w:szCs w:val="20"/>
          <w:color w:val="auto"/>
        </w:rPr>
      </w:pPr>
      <w:r>
        <w:rPr>
          <w:rFonts w:ascii="Times New Roman" w:cs="Times New Roman" w:eastAsia="Times New Roman" w:hAnsi="Times New Roman"/>
          <w:sz w:val="14"/>
          <w:szCs w:val="14"/>
          <w:color w:val="auto"/>
        </w:rPr>
        <w:t>In February 2025, the Company’s Board of Directors authorized a program to repurchase up to $200.0 million of the Company’s common stock (the “Share Repurchase Program”). Repurchases under the Share Repurchase Program may be effected through open market purchases, privately-negotiated transactions, or otherwise in accordance with applicable federal securities laws, including through Rule 10b5-1 trading plans and under Rule 10b-18 of the Securities Exchange Act of 1934. The timing and actual number of shares repurchased will depend on a variety of factors, including price, general business and market conditions and alternate uses of capital. The current authorization may be suspended or discontinued at any time and does not have a specified expiration date. In June 2025, the Company’s Board of Directors authorized an additional $800.0 million in repurchases under the Share Repurchase Program, bringing the aggregate authorized repurchase amount to $1.0 billion.</w:t>
      </w:r>
    </w:p>
    <w:p>
      <w:pPr>
        <w:spacing w:after="0" w:line="167"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During the three months ended April 30, 2026, the Company repurchased 358,216 shares of common stock for $100.0 million. The average price per share for the three months ended April 30, 2026 was $285.25. All repurchases of common stock were made in open market transactions and recorded in treasury stock. As of April 30, 2026, the total remaining authorization under the Share Repurchase Program is $499.7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Net Income (Loss) per Share</w:t>
      </w:r>
    </w:p>
    <w:p>
      <w:pPr>
        <w:spacing w:after="0" w:line="138" w:lineRule="exact"/>
        <w:rPr>
          <w:sz w:val="20"/>
          <w:szCs w:val="20"/>
          <w:color w:val="auto"/>
        </w:rPr>
      </w:pPr>
    </w:p>
    <w:p>
      <w:pPr>
        <w:ind w:right="80" w:firstLine="382"/>
        <w:spacing w:after="0" w:line="259" w:lineRule="auto"/>
        <w:rPr>
          <w:sz w:val="20"/>
          <w:szCs w:val="20"/>
          <w:color w:val="auto"/>
        </w:rPr>
      </w:pPr>
      <w:r>
        <w:rPr>
          <w:rFonts w:ascii="Times New Roman" w:cs="Times New Roman" w:eastAsia="Times New Roman" w:hAnsi="Times New Roman"/>
          <w:sz w:val="14"/>
          <w:szCs w:val="14"/>
          <w:color w:val="auto"/>
        </w:rPr>
        <w:t>Basic net income (loss) per share attributable to common stockholders is computed by dividing net income (loss) attributable to common stockholders by the weighted-average number of shares of common stock outstanding during the period. Diluted net income per share is computed by dividing net income (loss) attributable to common stockholders by the weighted-average number of shares of common stock outstanding during the period, adjusted for the effects of dilutive shares of common stock, which are comprised of outstanding stock options, RSUs, RSAs, PSUs and ESPP obligations. Stock awards with performance or market conditions are included in dilutive shares to the extent all conditions are met. The potentially dilutive shares of common stock are computed using the treasury stock method. The effects of outstanding stock options, RSUs, RSAs, PSUs and ESPP obligations are excluded from the computation of diluted net income (loss) per share in periods in which the effect would be antidilutive.</w:t>
      </w:r>
    </w:p>
    <w:p>
      <w:pPr>
        <w:spacing w:after="0" w:line="200" w:lineRule="exact"/>
        <w:rPr>
          <w:sz w:val="20"/>
          <w:szCs w:val="20"/>
          <w:color w:val="auto"/>
        </w:rPr>
      </w:pPr>
    </w:p>
    <w:p>
      <w:pPr>
        <w:spacing w:after="0" w:line="37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(loss) per share (in thousands, except share and per share data):</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84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0" w:type="dxa"/>
            <w:vAlign w:val="bottom"/>
          </w:tcPr>
          <w:p>
            <w:pPr>
              <w:spacing w:after="0"/>
              <w:rPr>
                <w:sz w:val="1"/>
                <w:szCs w:val="1"/>
                <w:color w:val="auto"/>
              </w:rPr>
            </w:pPr>
          </w:p>
        </w:tc>
      </w:tr>
      <w:tr>
        <w:trPr>
          <w:trHeight w:val="154"/>
        </w:trPr>
        <w:tc>
          <w:tcPr>
            <w:tcW w:w="84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i w:val="1"/>
                <w:iCs w:val="1"/>
                <w:color w:val="auto"/>
              </w:rPr>
              <w:t>Numerator:</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4,434</w:t>
            </w:r>
          </w:p>
        </w:tc>
        <w:tc>
          <w:tcPr>
            <w:tcW w:w="100" w:type="dxa"/>
            <w:vAlign w:val="bottom"/>
          </w:tcPr>
          <w:p>
            <w:pPr>
              <w:spacing w:after="0"/>
              <w:rPr>
                <w:sz w:val="16"/>
                <w:szCs w:val="16"/>
                <w:color w:val="auto"/>
              </w:rPr>
            </w:pPr>
          </w:p>
        </w:tc>
        <w:tc>
          <w:tcPr>
            <w:tcW w:w="32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(37,626)</w:t>
            </w:r>
          </w:p>
        </w:tc>
        <w:tc>
          <w:tcPr>
            <w:tcW w:w="0" w:type="dxa"/>
            <w:vAlign w:val="bottom"/>
          </w:tcPr>
          <w:p>
            <w:pPr>
              <w:spacing w:after="0"/>
              <w:rPr>
                <w:sz w:val="1"/>
                <w:szCs w:val="1"/>
                <w:color w:val="auto"/>
              </w:rPr>
            </w:pPr>
          </w:p>
        </w:tc>
      </w:tr>
      <w:tr>
        <w:trPr>
          <w:trHeight w:val="53"/>
        </w:trPr>
        <w:tc>
          <w:tcPr>
            <w:tcW w:w="84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8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i w:val="1"/>
                <w:iCs w:val="1"/>
                <w:color w:val="auto"/>
              </w:rPr>
              <w:t>Denominator:</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Weighted-average shares outstanding, basic</w:t>
            </w:r>
          </w:p>
        </w:tc>
        <w:tc>
          <w:tcPr>
            <w:tcW w:w="3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80,357,498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81,060,822</w:t>
            </w:r>
          </w:p>
        </w:tc>
        <w:tc>
          <w:tcPr>
            <w:tcW w:w="0" w:type="dxa"/>
            <w:vAlign w:val="bottom"/>
          </w:tcPr>
          <w:p>
            <w:pPr>
              <w:spacing w:after="0"/>
              <w:rPr>
                <w:sz w:val="1"/>
                <w:szCs w:val="1"/>
                <w:color w:val="auto"/>
              </w:rPr>
            </w:pPr>
          </w:p>
        </w:tc>
      </w:tr>
      <w:tr>
        <w:trPr>
          <w:trHeight w:val="53"/>
        </w:trPr>
        <w:tc>
          <w:tcPr>
            <w:tcW w:w="8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1,223,889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Weighted-average shares outstanding, diluted</w:t>
            </w:r>
          </w:p>
        </w:tc>
        <w:tc>
          <w:tcPr>
            <w:tcW w:w="3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81,581,387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81,060,822</w:t>
            </w:r>
          </w:p>
        </w:tc>
        <w:tc>
          <w:tcPr>
            <w:tcW w:w="0" w:type="dxa"/>
            <w:vAlign w:val="bottom"/>
          </w:tcPr>
          <w:p>
            <w:pPr>
              <w:spacing w:after="0"/>
              <w:rPr>
                <w:sz w:val="1"/>
                <w:szCs w:val="1"/>
                <w:color w:val="auto"/>
              </w:rPr>
            </w:pPr>
          </w:p>
        </w:tc>
      </w:tr>
      <w:tr>
        <w:trPr>
          <w:trHeight w:val="53"/>
        </w:trPr>
        <w:tc>
          <w:tcPr>
            <w:tcW w:w="8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8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8"/>
                <w:szCs w:val="18"/>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firstLine="382"/>
        <w:spacing w:after="0" w:line="287" w:lineRule="auto"/>
        <w:rPr>
          <w:sz w:val="20"/>
          <w:szCs w:val="20"/>
          <w:color w:val="auto"/>
        </w:rPr>
      </w:pPr>
      <w:r>
        <w:rPr>
          <w:rFonts w:ascii="Times New Roman" w:cs="Times New Roman" w:eastAsia="Times New Roman" w:hAnsi="Times New Roman"/>
          <w:sz w:val="14"/>
          <w:szCs w:val="14"/>
          <w:color w:val="auto"/>
        </w:rPr>
        <w:t>The following shares of common stock were excluded from the computation of diluted net income (loss) per share attributable to the Company for the periods presented because including them would have been anti-dilutive:</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8400" w:type="dxa"/>
            <w:vAlign w:val="bottom"/>
          </w:tcPr>
          <w:p>
            <w:pPr>
              <w:spacing w:after="0"/>
              <w:rPr>
                <w:sz w:val="13"/>
                <w:szCs w:val="13"/>
                <w:color w:val="auto"/>
              </w:rPr>
            </w:pPr>
          </w:p>
        </w:tc>
        <w:tc>
          <w:tcPr>
            <w:tcW w:w="2880" w:type="dxa"/>
            <w:vAlign w:val="bottom"/>
            <w:tcBorders>
              <w:bottom w:val="single" w:sz="8" w:color="auto"/>
            </w:tcBorders>
            <w:gridSpan w:val="3"/>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r>
      <w:tr>
        <w:trPr>
          <w:trHeight w:val="154"/>
        </w:trPr>
        <w:tc>
          <w:tcPr>
            <w:tcW w:w="840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97"/>
        </w:trPr>
        <w:tc>
          <w:tcPr>
            <w:tcW w:w="8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Stock options pursuant to the 2008 and 2016 Plan</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489,906</w:t>
            </w:r>
          </w:p>
        </w:tc>
      </w:tr>
      <w:tr>
        <w:trPr>
          <w:trHeight w:val="212"/>
        </w:trPr>
        <w:tc>
          <w:tcPr>
            <w:tcW w:w="8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1,075,337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5,095,686</w:t>
            </w:r>
          </w:p>
        </w:tc>
      </w:tr>
      <w:tr>
        <w:trPr>
          <w:trHeight w:val="212"/>
        </w:trPr>
        <w:tc>
          <w:tcPr>
            <w:tcW w:w="8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Unvested restricted stock awards</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195,030</w:t>
            </w:r>
          </w:p>
        </w:tc>
      </w:tr>
      <w:tr>
        <w:trPr>
          <w:trHeight w:val="212"/>
        </w:trPr>
        <w:tc>
          <w:tcPr>
            <w:tcW w:w="8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Unvested executive PSUs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184,341</w:t>
            </w:r>
          </w:p>
        </w:tc>
      </w:tr>
      <w:tr>
        <w:trPr>
          <w:trHeight w:val="196"/>
        </w:trPr>
        <w:tc>
          <w:tcPr>
            <w:tcW w:w="84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1,075,337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5,964,963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Income Taxes</w:t>
      </w:r>
    </w:p>
    <w:p>
      <w:pPr>
        <w:spacing w:after="0" w:line="138" w:lineRule="exact"/>
        <w:rPr>
          <w:sz w:val="20"/>
          <w:szCs w:val="20"/>
          <w:color w:val="auto"/>
        </w:rPr>
      </w:pPr>
    </w:p>
    <w:p>
      <w:pPr>
        <w:ind w:left="60" w:firstLine="382"/>
        <w:spacing w:after="0" w:line="264" w:lineRule="auto"/>
        <w:rPr>
          <w:sz w:val="20"/>
          <w:szCs w:val="20"/>
          <w:color w:val="auto"/>
        </w:rPr>
      </w:pPr>
      <w:r>
        <w:rPr>
          <w:rFonts w:ascii="Times New Roman" w:cs="Times New Roman" w:eastAsia="Times New Roman" w:hAnsi="Times New Roman"/>
          <w:sz w:val="14"/>
          <w:szCs w:val="14"/>
          <w:color w:val="auto"/>
        </w:rPr>
        <w:t>The Company recorded a provision for income taxes of $4.4 million and $4.3 million for the three months ended April 30, 2026 and 2025, respectively. The provisions recorded during both the three months ended April 30, 2026 and 2025, were driven by an increase in global income and the associated foreign taxes as the Company continues its global expansion. The calculation of income taxes was based upon the estimated annual effective tax rates for the year applied to the jurisdictional mix of current period loss before tax plus the tax effect of any significant unusual items, discrete events or changes in tax law.</w:t>
      </w:r>
    </w:p>
    <w:p>
      <w:pPr>
        <w:spacing w:after="0" w:line="98" w:lineRule="exact"/>
        <w:rPr>
          <w:sz w:val="20"/>
          <w:szCs w:val="20"/>
          <w:color w:val="auto"/>
        </w:rPr>
      </w:pPr>
    </w:p>
    <w:p>
      <w:pPr>
        <w:ind w:left="60" w:right="80" w:firstLine="382"/>
        <w:spacing w:after="0" w:line="257" w:lineRule="auto"/>
        <w:rPr>
          <w:sz w:val="20"/>
          <w:szCs w:val="20"/>
          <w:color w:val="auto"/>
        </w:rPr>
      </w:pPr>
      <w:r>
        <w:rPr>
          <w:rFonts w:ascii="Times New Roman" w:cs="Times New Roman" w:eastAsia="Times New Roman" w:hAnsi="Times New Roman"/>
          <w:sz w:val="14"/>
          <w:szCs w:val="14"/>
          <w:color w:val="auto"/>
        </w:rPr>
        <w:t>The Company regularly assesses the need for a valuation allowance against its deferred tax assets. The Company maintains a full valuation allowance for U.S and Ireland deferred tax assets, which is in place against the net deferred assets attributable to net operating loss carryforwards, tax credits and intangible assets. The Company expects to maintain these valuation allowances until it becomes more likely than not that the benefit of its deferred tax assets will be realized by way of sufficient positive evidence to support the reversal of all or some portion of this allowance. The Company regularly assesses all available evidence, including cumulative historic losses and forecasted earnings. Given the Company’s expected current earnings and anticipated future earnings, the Company believes that there is a reasonable possibility that within the next 12 months, sufficient positive evidence may become available to reach a conclusion that the U.S. valuation allowance will no longer be needed. Release of the valuation allowance would result in the recognition of material U.S. federal and state deferred tax assets and a corresponding decrease to income tax expense in the period the release is recorded. The exact timing and amount of the valuation allowance release are subject to change on the basis of the level of sustained U.S. profitability that the Company is able to actually achieve, as well as the amount of tax deductible stock compensation dependent upon the Company's publicly traded share price, foreign currency movements, and macroeconomic conditions, among other factors. The Company continues to monitor this on a quarterly basis.</w:t>
      </w:r>
    </w:p>
    <w:p>
      <w:pPr>
        <w:spacing w:after="0" w:line="102" w:lineRule="exact"/>
        <w:rPr>
          <w:sz w:val="20"/>
          <w:szCs w:val="20"/>
          <w:color w:val="auto"/>
        </w:rPr>
      </w:pPr>
    </w:p>
    <w:p>
      <w:pPr>
        <w:ind w:left="60" w:right="320" w:firstLine="382"/>
        <w:spacing w:after="0" w:line="290" w:lineRule="auto"/>
        <w:rPr>
          <w:sz w:val="20"/>
          <w:szCs w:val="20"/>
          <w:color w:val="auto"/>
        </w:rPr>
      </w:pPr>
      <w:r>
        <w:rPr>
          <w:rFonts w:ascii="Times New Roman" w:cs="Times New Roman" w:eastAsia="Times New Roman" w:hAnsi="Times New Roman"/>
          <w:sz w:val="14"/>
          <w:szCs w:val="14"/>
          <w:color w:val="auto"/>
        </w:rPr>
        <w:t xml:space="preserve">The Company assesses uncertain tax positions in accordance with ASC 740-10, </w:t>
      </w:r>
      <w:r>
        <w:rPr>
          <w:rFonts w:ascii="Times New Roman" w:cs="Times New Roman" w:eastAsia="Times New Roman" w:hAnsi="Times New Roman"/>
          <w:sz w:val="14"/>
          <w:szCs w:val="14"/>
          <w:i w:val="1"/>
          <w:iCs w:val="1"/>
          <w:color w:val="auto"/>
        </w:rPr>
        <w:t>Accounting for Uncertainties in Tax</w:t>
      </w:r>
      <w:r>
        <w:rPr>
          <w:rFonts w:ascii="Times New Roman" w:cs="Times New Roman" w:eastAsia="Times New Roman" w:hAnsi="Times New Roman"/>
          <w:sz w:val="14"/>
          <w:szCs w:val="14"/>
          <w:color w:val="auto"/>
        </w:rPr>
        <w:t>. As of January 31, 2026, the Company’s net unrecognized tax benefits totaled $142.8 million, $4.7 million of which would have an impact on the Company’s effective tax rate if recognized.</w:t>
      </w:r>
    </w:p>
    <w:p>
      <w:pPr>
        <w:spacing w:after="0" w:line="200" w:lineRule="exact"/>
        <w:rPr>
          <w:sz w:val="20"/>
          <w:szCs w:val="20"/>
          <w:color w:val="auto"/>
        </w:rPr>
      </w:pPr>
    </w:p>
    <w:p>
      <w:pPr>
        <w:spacing w:after="0" w:line="34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137160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240" w:top="133" w:right="319"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70" w:lineRule="exact"/>
        <w:rPr>
          <w:sz w:val="20"/>
          <w:szCs w:val="20"/>
          <w:color w:val="auto"/>
        </w:rPr>
      </w:pPr>
    </w:p>
    <w:p>
      <w:pPr>
        <w:ind w:left="60" w:right="180" w:firstLine="509"/>
        <w:spacing w:after="0" w:line="262" w:lineRule="auto"/>
        <w:rPr>
          <w:sz w:val="20"/>
          <w:szCs w:val="20"/>
          <w:color w:val="auto"/>
        </w:rPr>
      </w:pPr>
      <w:r>
        <w:rPr>
          <w:rFonts w:ascii="Times New Roman" w:cs="Times New Roman" w:eastAsia="Times New Roman" w:hAnsi="Times New Roman"/>
          <w:sz w:val="14"/>
          <w:szCs w:val="14"/>
          <w:color w:val="auto"/>
        </w:rPr>
        <w:t>On July 4, 2025, the One Big Beautiful Bill ("OBBBA") was signed into law. The OBBBA includes a broad range of U.S. tax reform measures, including, among other provisions, the immediate expensing of U.S. research and development expenditures. In accordance with ASC 740, we have recognized the effects of the new tax law in the period of enactment. As we maintain a full valuation allowance on its U.S. deferred tax assets, the legislation does not have a material impact on the Company’s condensed consolidated financial statements.</w:t>
      </w:r>
    </w:p>
    <w:p>
      <w:pPr>
        <w:spacing w:after="0" w:line="152" w:lineRule="exact"/>
        <w:rPr>
          <w:sz w:val="20"/>
          <w:szCs w:val="20"/>
          <w:color w:val="auto"/>
        </w:rPr>
      </w:pPr>
    </w:p>
    <w:p>
      <w:pPr>
        <w:ind w:left="60" w:firstLine="382"/>
        <w:spacing w:after="0" w:line="287" w:lineRule="auto"/>
        <w:rPr>
          <w:sz w:val="20"/>
          <w:szCs w:val="20"/>
          <w:color w:val="auto"/>
        </w:rPr>
      </w:pPr>
      <w:r>
        <w:rPr>
          <w:rFonts w:ascii="Times New Roman" w:cs="Times New Roman" w:eastAsia="Times New Roman" w:hAnsi="Times New Roman"/>
          <w:sz w:val="14"/>
          <w:szCs w:val="14"/>
          <w:color w:val="auto"/>
        </w:rPr>
        <w:t>The Company continues to monitor and interpret the impact of proposed and enacted global tax legislation. To date, globally enacted tax legislation has not materially impacted income tax expense of the financial statements due to the presence of net operating losses and full valuation allowances within the Company’s two most significant tax jurisdictions, the United States and Ireland.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Subsequent Events</w:t>
      </w:r>
    </w:p>
    <w:p>
      <w:pPr>
        <w:spacing w:after="0" w:line="138" w:lineRule="exact"/>
        <w:rPr>
          <w:sz w:val="20"/>
          <w:szCs w:val="20"/>
          <w:color w:val="auto"/>
        </w:rPr>
      </w:pPr>
    </w:p>
    <w:p>
      <w:pPr>
        <w:ind w:left="60" w:right="40" w:firstLine="382"/>
        <w:spacing w:after="0" w:line="264" w:lineRule="auto"/>
        <w:rPr>
          <w:sz w:val="20"/>
          <w:szCs w:val="20"/>
          <w:color w:val="auto"/>
        </w:rPr>
      </w:pPr>
      <w:r>
        <w:rPr>
          <w:rFonts w:ascii="Times New Roman" w:cs="Times New Roman" w:eastAsia="Times New Roman" w:hAnsi="Times New Roman"/>
          <w:sz w:val="14"/>
          <w:szCs w:val="14"/>
          <w:color w:val="auto"/>
        </w:rPr>
        <w:t>On May 8, 2026, the Company acquired all outstanding shares of Clarity Business Holdings, LLC, a services firm specializing in providing support and professional services to support modernizing legacy systems, scaling cloud-native development, and solving complex data challenges for workloads within the U.S. Government, in exchange for total consideration of approximately $16.0 million of cash, subject to customary adjustments. The Company is in the process of finalizing the accounting for this transaction and expects to complete the preliminary purchase price allocation in the second quarter of fiscal year 2027.</w:t>
      </w:r>
    </w:p>
    <w:p>
      <w:pPr>
        <w:spacing w:after="0" w:line="9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33" w:lineRule="exact"/>
        <w:rPr>
          <w:sz w:val="20"/>
          <w:szCs w:val="20"/>
          <w:color w:val="auto"/>
        </w:rPr>
      </w:pPr>
    </w:p>
    <w:p>
      <w:pPr>
        <w:ind w:left="60" w:right="100" w:firstLine="382"/>
        <w:spacing w:after="0" w:line="259" w:lineRule="auto"/>
        <w:rPr>
          <w:sz w:val="20"/>
          <w:szCs w:val="20"/>
          <w:color w:val="auto"/>
        </w:rPr>
      </w:pPr>
      <w:r>
        <w:rPr>
          <w:rFonts w:ascii="Times New Roman" w:cs="Times New Roman" w:eastAsia="Times New Roman" w:hAnsi="Times New Roman"/>
          <w:sz w:val="14"/>
          <w:szCs w:val="14"/>
          <w:color w:val="auto"/>
        </w:rPr>
        <w:t>Unless the context otherwise indicates, references in this report to the terms “MongoDB,” “the Company,” “we,” “our” and “us” refer to MongoDB, Inc., its divisions and its subsidiaries. The following discussion and analysis of our financial condition and results of operations should be read in conjunction with (1) our condensed consolidated financial statements and related notes appearing elsewhere in this Quarterly Report on Form 10-Q and (2) the audited consolidated financial statements and the related notes and the discussion under the heading “Management’s Discussion and Analysis of Financial Condition and Results of Operations” included in our Annual Report on Form 10-K for the fiscal year ended January 31, 2026 (the “2026 Form 10-K”). All information presented herein is based on our fiscal calendar year, which ends January 31. Unless otherwise stated, references to particular years, quarters, months or periods refer to our fiscal years ended January 31 and the associated quarters, months and periods of those fiscal years.</w:t>
      </w:r>
    </w:p>
    <w:p>
      <w:pPr>
        <w:spacing w:after="0" w:line="103" w:lineRule="exact"/>
        <w:rPr>
          <w:sz w:val="20"/>
          <w:szCs w:val="20"/>
          <w:color w:val="auto"/>
        </w:rPr>
      </w:pPr>
    </w:p>
    <w:p>
      <w:pPr>
        <w:ind w:left="60" w:right="20" w:firstLine="382"/>
        <w:spacing w:after="0" w:line="257"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within the meaning of Section 27A of the Securities Act of 1933, as amended (the “Securities Act”), and Section 21E of the Securities Exchange Act of 1934, as amended (the “Exchange Act”). These statements are often identified by the use of words such as “anticipate,” “believe,” “continue,” “could,” “estimate,” “expect,” “intend,” “may,” “plan,” “project,” “will,” “would” or the negative or plural of these words or similar expressions or variations, including our expectations regarding our future growth opportunity, revenue and revenue growth, investments, strategy, operating expenses and the anticipated impact of the global economic uncertainty and financial market conditions, caused by the macroeconomic environment, on our business, results of operations and financial condition.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2, Item 1A of this Quarterly Report on Form 10-Q.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02" w:lineRule="exact"/>
        <w:rPr>
          <w:sz w:val="20"/>
          <w:szCs w:val="20"/>
          <w:color w:val="auto"/>
        </w:rPr>
      </w:pPr>
    </w:p>
    <w:p>
      <w:pPr>
        <w:jc w:val="both"/>
        <w:ind w:left="60" w:right="60" w:firstLine="382"/>
        <w:spacing w:after="0" w:line="271" w:lineRule="auto"/>
        <w:rPr>
          <w:sz w:val="20"/>
          <w:szCs w:val="20"/>
          <w:color w:val="auto"/>
        </w:rPr>
      </w:pPr>
      <w:r>
        <w:rPr>
          <w:rFonts w:ascii="Times New Roman" w:cs="Times New Roman" w:eastAsia="Times New Roman" w:hAnsi="Times New Roman"/>
          <w:sz w:val="14"/>
          <w:szCs w:val="14"/>
          <w:color w:val="auto"/>
        </w:rPr>
        <w:t xml:space="preserve">Our corporate website is located at </w:t>
      </w:r>
      <w:r>
        <w:rPr>
          <w:rFonts w:ascii="Times New Roman" w:cs="Times New Roman" w:eastAsia="Times New Roman" w:hAnsi="Times New Roman"/>
          <w:sz w:val="14"/>
          <w:szCs w:val="14"/>
          <w:i w:val="1"/>
          <w:iCs w:val="1"/>
          <w:color w:val="auto"/>
        </w:rPr>
        <w:t>www.mongodb.com</w:t>
      </w:r>
      <w:r>
        <w:rPr>
          <w:rFonts w:ascii="Times New Roman" w:cs="Times New Roman" w:eastAsia="Times New Roman" w:hAnsi="Times New Roman"/>
          <w:sz w:val="14"/>
          <w:szCs w:val="14"/>
          <w:color w:val="auto"/>
        </w:rPr>
        <w:t>. We make available free of charge, on or through our corporate website, our annual, quarterly and current reports, and any amendments to those reports, as soon as reasonably practicable after electronically filing such reports with, or furnishing such reports to, the Securities and Exchange Commission (“SEC”). Information contained on our corporate website is not part of this Quarterly Report on Form 10-Q or any other report filed with or furnished to the SEC.</w:t>
      </w:r>
    </w:p>
    <w:p>
      <w:pPr>
        <w:spacing w:after="0" w:line="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137160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240" w:top="13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4"/>
          <w:szCs w:val="14"/>
          <w:color w:val="auto"/>
        </w:rPr>
        <w:t>MongoDB is the developer data platform company whose mission is to empower developers to create, transform, and disrupt industries by unleashing the power of software and data. The foundation of our offering is the world’s leading, modern general purpose database. Organizations can deploy our database at scale in the cloud, on-premises, or in a hybrid environment. Built on our unique document-based architecture, our database is designed to handle unstructured data and meet the needs of organizations for performance, scalability, flexibility and reliability while maintaining the strengths of relational databases. In addition to the database, our developer data platform includes a set of, tightly integrated, capabilities such as search, time series, data lifecycle, application-driven analytics and stream processing that allow developers to address a broader range of application requirements. Our business model combines the developer mindshare and adoption benefits of open source with the economic benefits of a proprietary software subscription business model.</w:t>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generate revenue primarily from sales of subscriptions, which accounted for 97% of our total revenue during the three months ended April 30, 2026 and 2025.</w:t>
      </w:r>
    </w:p>
    <w:p>
      <w:pPr>
        <w:spacing w:after="0" w:line="136"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4"/>
          <w:szCs w:val="14"/>
          <w:color w:val="auto"/>
        </w:rPr>
        <w:t>Atlas is our hosted multi-cloud database-as-a-service (“DBaaS”) offering, which we run and manage in the cloud, and includes comprehensive infrastructure and management, as well as a host of additional features, such as Atlas Search, Vector Search, time series, data lifecycle, application-driven analytics and stream processing. During the three months ended April 30, 2026, Atlas revenue represented 75%, as compared to 72% of our total revenue during the three months ended April 30, 2025, respectively, reflecting the continued growth of Atlas since its introduction in June 2016. We have experienced strong growth in self-serve customers of Atlas, which are charged monthly in arrears based on their usage. We have also seen growth in Atlas customers sold by our sales force, which typically sign annual contracts and pay in advance or are invoiced monthly in arrears based on usage. Customers sold by our sales force may also sign contracts that remain in effect until terminated and are invoiced monthly in arrears based on usage. We expect to continue to see a higher portion of our Atlas contracts to be billed monthly in arrears based on usage without requiring upfront commitments.</w:t>
      </w:r>
    </w:p>
    <w:p>
      <w:pPr>
        <w:spacing w:after="0" w:line="104"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MongoDB Enterprise Advanced is our proprietary commercial database server offering for enterprise customers that can run in the cloud, on-premises or in a hybrid environment. MongoDB Enterprise Advanced revenue represented 21% and 22% of our subscription revenue during the three months ended April 30, 2026 and 2025, respectively. We sell subscriptions directly through our field and inside sales teams, as well as indirectly through channel partners. The majority of our subscription contracts are one year in duration and are invoiced upfront. When we enter into multi-year subscriptions, the customer is typically invoiced on an annual basis or pays upfront.</w:t>
      </w:r>
    </w:p>
    <w:p>
      <w:pPr>
        <w:spacing w:after="0" w:line="98"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Our platform has been downloaded from our website more than 750 million times since February 2009. We also offer a free tier of Atlas, which provides access to our hosted database solution with limited processing power and storage, as well as certain operational limitations. As a result, with the availability of both Community Server and Atlas free tier offerings, our direct sales prospects are often familiar with our platform and may have already built applications using our technology. A core component of our growth strategy for Atlas and MongoDB Enterprise Advanced is to convert developers and their organizations who are already using Community Server or the free tier of Atlas to become customers of our commercial products and enjoy the benefits of either a self-managed or hosted offering.</w:t>
      </w:r>
    </w:p>
    <w:p>
      <w:pPr>
        <w:spacing w:after="0" w:line="103"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We also generate revenue from services, which consist primarily of fees associated with consulting and training services. Revenue from services accounted for 3% of our total revenue for the three months ended April 30, 2026 and 2025. We expect to continue to invest in our services organization as we believe it plays an important role in accelerating our customers’ realization of the benefits of our platform, which helps drive customer retention and expansion.</w:t>
      </w:r>
    </w:p>
    <w:p>
      <w:pPr>
        <w:spacing w:after="0" w:line="93"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We compete in the database management software market, which is one of the largest in the software industry and growing. According to the International Data Corporation (IDC)’s Worldwide Database Management Systems Software Forecast, 2025-2029, the worldwide Database Management Software market was $93 billion in 2024, and is expected to grow to approximately $169 billion in 2029. This represents a 13% five-year compound annual growth rate. Over the last two years, a number of companies launched code assistant tools, which leverage generative AI to help developers write and test their code faster, thereby accelerating application development. We believe this acceleration in application development will further benefit the database management software market, by increasing the volume of new software and demand for scalable, flexible data platforms to manage the resulting growth of data.</w:t>
      </w:r>
    </w:p>
    <w:p>
      <w:pPr>
        <w:spacing w:after="0" w:line="101"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We have experienced rapid growth and have made substantial investments in developing our platform and expanding our sales and marketing footprint. We intend to continue to invest to grow our business to take advantage of our market opportunity.</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Macroeconomic and Other Factors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operational and financial performance is subject to risks including those caused by the adverse macroeconomic environment and the geopolitical landscape.</w:t>
      </w:r>
    </w:p>
    <w:p>
      <w:pPr>
        <w:spacing w:after="0" w:line="136" w:lineRule="exact"/>
        <w:rPr>
          <w:sz w:val="20"/>
          <w:szCs w:val="20"/>
          <w:color w:val="auto"/>
        </w:rPr>
      </w:pPr>
    </w:p>
    <w:p>
      <w:pPr>
        <w:jc w:val="both"/>
        <w:ind w:right="520" w:firstLine="382"/>
        <w:spacing w:after="0" w:line="287" w:lineRule="auto"/>
        <w:rPr>
          <w:sz w:val="20"/>
          <w:szCs w:val="20"/>
          <w:color w:val="auto"/>
        </w:rPr>
      </w:pPr>
      <w:r>
        <w:rPr>
          <w:rFonts w:ascii="Times New Roman" w:cs="Times New Roman" w:eastAsia="Times New Roman" w:hAnsi="Times New Roman"/>
          <w:sz w:val="14"/>
          <w:szCs w:val="14"/>
          <w:color w:val="auto"/>
        </w:rPr>
        <w:t>Adverse macroeconomic conditions include slower or negative economic growth and higher inflation. While the impact of these macroeconomic conditions on our business, results of operations and financial position remain uncertain over the long term, we expect to experience macroeconomic headwinds on growth rate for our existing Atlas applications in the short term.</w:t>
      </w:r>
    </w:p>
    <w:p>
      <w:pPr>
        <w:spacing w:after="0" w:line="82"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We continue to monitor the developments of the macroeconomic environment and the geopolitical landscape. As these factors develop and we evaluate their impact on our business, we may adjust our business practices accordingly. For further discussion of the potential impacts of these factors on our business, operating results, and financial condition, see the section titled “Risk Factors” included in Part II, Item 1A of this Quarterly Report on Form 10-Q. Other factors affecting our performance are discussed below.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Repurchase Program</w:t>
      </w:r>
    </w:p>
    <w:p>
      <w:pPr>
        <w:spacing w:after="0" w:line="138"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4"/>
          <w:szCs w:val="14"/>
          <w:color w:val="auto"/>
        </w:rPr>
        <w:t>In February 2025, the Company’s Board of Directors authorized a program to repurchase up to $200.0 million of the Company’s common stock. In June 2025, the Company’s Board of Directors authorized an additional $800.0 million in repurchases under the Share Repurchase Program, bringing the aggregate authorized repurchase amount to $1.0 billion. During the three months ended April 30, 2026, the Company repurchased 358,216 shares of common stock for $100.0 million. The average price per share for the three months ended April 30, 2026 was $285.25. All repurchases of common stock were made in open market transactions and recorded in treasury stock. As of April 30, 2026, the total remaining authorization under the Share Repurchase Program is $499.7 million.</w:t>
      </w:r>
    </w:p>
    <w:p>
      <w:pPr>
        <w:spacing w:after="0" w:line="101"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The timing and amount of any repurchases will be determined by management based on an evaluation of market conditions and other factors. The program does not obligate us to acquire any particular amount of common stock, and the repurchase program may be suspended or discontinued at any time at our discretion.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Our Performance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Extending Product Leadership and Maintaining Developer Mindshare</w:t>
      </w:r>
    </w:p>
    <w:p>
      <w:pPr>
        <w:spacing w:after="0" w:line="138" w:lineRule="exact"/>
        <w:rPr>
          <w:sz w:val="20"/>
          <w:szCs w:val="20"/>
          <w:color w:val="auto"/>
        </w:rPr>
      </w:pPr>
    </w:p>
    <w:p>
      <w:pPr>
        <w:ind w:right="20" w:firstLine="382"/>
        <w:spacing w:after="0" w:line="257" w:lineRule="auto"/>
        <w:rPr>
          <w:sz w:val="20"/>
          <w:szCs w:val="20"/>
          <w:color w:val="auto"/>
        </w:rPr>
      </w:pPr>
      <w:r>
        <w:rPr>
          <w:rFonts w:ascii="Times New Roman" w:cs="Times New Roman" w:eastAsia="Times New Roman" w:hAnsi="Times New Roman"/>
          <w:sz w:val="14"/>
          <w:szCs w:val="14"/>
          <w:color w:val="auto"/>
        </w:rPr>
        <w:t>We are committed to delivering market-leading products to continue to build and maintain credibility with the global software developer community. We believe we must maintain our product leadership position and the strength of our brand to drive further revenue growth. We intend to continue to invest in our product offerings with the goal of expanding the functionality and adoption of our developer data platform. During 2024, we introduced MongoDB version 8.0 enhancing enterprise-grade security, resilience and availability for a wide variety of applications. We added additional features to Queryable Encryption, an encrypted search scheme, to support equality and range searches. Over the years, we have introduced additional features and functionality to Atlas, including Atlas Search, Atlas Vector Search, Atlas Data Federation, Atlas Charts, and Atlas Stream Processing, which now provide dedicated infrastructure for search use cases so customers can scale independently of their database to manage their workloads with greater flexibility and operational efficiency. Recently, we have introduced an application programming interface (“API”) within Atlas that natively provides access to Voyage AI’s embedding and reranking models. These capabilities, when combined with the core functionality of Atlas, enable organizations to build, deploy and scale AI-powered applications with higher accuracy, lower latency and reduced architectural complexity.</w:t>
      </w:r>
    </w:p>
    <w:p>
      <w:pPr>
        <w:spacing w:after="0" w:line="106"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We intend to continue to invest in our engineering capabilities and marketing activities to maintain our strong position in the developer community. We have spent $3.4 billion on research and development since our inception. Our results of operations may fluctuate as we make these investments to drive increased customer adoption and usage.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Growing Our Customer Base and Expanding Our Global Reach</w:t>
      </w:r>
    </w:p>
    <w:p>
      <w:pPr>
        <w:spacing w:after="0" w:line="138"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We are intensely focused on continuing to grow our customer base. We have invested, and expect to continue to invest, in our sales and marketing efforts and developer community outreach, which are critical to driving customer acquisition. As of April 30, 2026, we had over 67,700 customers across a wide range of industries and in over 100 countries, compared to over 57,100 customers as of April 30, 2025. All affiliated entities are counted as a single customer and our definition of “customer” excludes users of our free offerings.</w:t>
      </w:r>
    </w:p>
    <w:p>
      <w:pPr>
        <w:spacing w:after="0" w:line="200" w:lineRule="exact"/>
        <w:rPr>
          <w:sz w:val="20"/>
          <w:szCs w:val="20"/>
          <w:color w:val="auto"/>
        </w:rPr>
      </w:pPr>
    </w:p>
    <w:p>
      <w:pPr>
        <w:spacing w:after="0" w:line="36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We are also focused on increasing the number of overall Atlas customers as we emphasize the on-demand scalability of Atlas by allowing our customers to consume the product with minimal commitment. We had over 66,400 Atlas customers as of April 30, 2026 compared to over 55,800 as of April 30, 2025. The growth in Atlas customers included new customers to MongoDB and existing MongoDB Enterprise Advanced customers adding incremental Atlas workloads.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Retaining and Expanding Revenue from Existing Customers</w:t>
      </w:r>
    </w:p>
    <w:p>
      <w:pPr>
        <w:spacing w:after="0" w:line="138" w:lineRule="exact"/>
        <w:rPr>
          <w:sz w:val="20"/>
          <w:szCs w:val="20"/>
          <w:color w:val="auto"/>
        </w:rPr>
      </w:pPr>
    </w:p>
    <w:p>
      <w:pPr>
        <w:ind w:right="140" w:firstLine="382"/>
        <w:spacing w:after="0" w:line="258" w:lineRule="auto"/>
        <w:rPr>
          <w:sz w:val="20"/>
          <w:szCs w:val="20"/>
          <w:color w:val="auto"/>
        </w:rPr>
      </w:pPr>
      <w:r>
        <w:rPr>
          <w:rFonts w:ascii="Times New Roman" w:cs="Times New Roman" w:eastAsia="Times New Roman" w:hAnsi="Times New Roman"/>
          <w:sz w:val="14"/>
          <w:szCs w:val="14"/>
          <w:color w:val="auto"/>
        </w:rPr>
        <w:t>The economic attractiveness of our subscription-based model is demonstrated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Our customers add incremental workloads or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platform within their organization, as well as add new workloads with new and existing customers. Over time, the subscription amount for our typical direct sales customer has increased.</w:t>
      </w:r>
    </w:p>
    <w:p>
      <w:pPr>
        <w:spacing w:after="0" w:line="104" w:lineRule="exact"/>
        <w:rPr>
          <w:sz w:val="20"/>
          <w:szCs w:val="20"/>
          <w:color w:val="auto"/>
        </w:rPr>
      </w:pPr>
    </w:p>
    <w:p>
      <w:pPr>
        <w:ind w:right="200" w:firstLine="382"/>
        <w:spacing w:after="0" w:line="259" w:lineRule="auto"/>
        <w:rPr>
          <w:sz w:val="20"/>
          <w:szCs w:val="20"/>
          <w:color w:val="auto"/>
        </w:rPr>
      </w:pPr>
      <w:r>
        <w:rPr>
          <w:rFonts w:ascii="Times New Roman" w:cs="Times New Roman" w:eastAsia="Times New Roman" w:hAnsi="Times New Roman"/>
          <w:sz w:val="14"/>
          <w:szCs w:val="14"/>
          <w:color w:val="auto"/>
        </w:rPr>
        <w:t>We calculate annualized recurring revenue (“ARR”) to help us measure our subscription revenue performance. ARR includes the revenue we expect to receive from our customers over the following 12 months based on contractual commitments and, in the case of direct sales customers of Atlas, by annualizing the prior 90 days of their actual usage of Atlas, assuming no increases or reductions in their subscriptions or usage. For all other customers of our self-serve products, we calculate ARR by annualizing the prior 30 days of their actual usage of such products, assuming no increases or reductions in usage. ARR excludes professional services. The number of customers with $100,000 or greater in ARR was 2,895 and 2,506 as of April 30, 2026 and 2025,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03"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As of April 30, 2026, our net ARR expansion rate was 121%. Our net ARR expansion rate may fluctuate in future periods due to a variety of factors, including the volume and type of workloads that we onboard, growth rate of historical workloads on our platform and changes in the macroeconomic environment.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Revenue</w:t>
      </w:r>
    </w:p>
    <w:p>
      <w:pPr>
        <w:spacing w:after="0" w:line="136" w:lineRule="exact"/>
        <w:rPr>
          <w:sz w:val="20"/>
          <w:szCs w:val="20"/>
          <w:color w:val="auto"/>
        </w:rPr>
      </w:pPr>
    </w:p>
    <w:p>
      <w:pPr>
        <w:ind w:firstLine="382"/>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Subscription Revenue. </w:t>
      </w:r>
      <w:r>
        <w:rPr>
          <w:rFonts w:ascii="Times New Roman" w:cs="Times New Roman" w:eastAsia="Times New Roman" w:hAnsi="Times New Roman"/>
          <w:sz w:val="14"/>
          <w:szCs w:val="14"/>
          <w:color w:val="auto"/>
        </w:rPr>
        <w:t>Our subscription revenue is comprised of database-as-a-service solutions and term licenses. Revenue from our Atlas database-as-a-service offering is primarily generated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 usage basis and is billed either monthly in arrears or paid upfront. Subscriptions to term licenses 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The majority of our subscription contracts are one year in duration. When we enter into multi-year subscriptions, the customer is typically invoiced on an annual basis or pays upfront. Our subscription contracts are generally non-cancelable and non-refundable.</w:t>
      </w:r>
    </w:p>
    <w:p>
      <w:pPr>
        <w:spacing w:after="0" w:line="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Services Revenue. </w:t>
      </w:r>
      <w:r>
        <w:rPr>
          <w:rFonts w:ascii="Times New Roman" w:cs="Times New Roman" w:eastAsia="Times New Roman" w:hAnsi="Times New Roman"/>
          <w:sz w:val="14"/>
          <w:szCs w:val="14"/>
          <w:color w:val="auto"/>
        </w:rPr>
        <w:t>Services revenue is comprised of consulting and training services and is recognized over the period of delivery of the applicable services.</w:t>
      </w:r>
    </w:p>
    <w:p>
      <w:pPr>
        <w:spacing w:after="0" w:line="138"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from our Atlas customers.</w:t>
      </w:r>
    </w:p>
    <w:p>
      <w:pPr>
        <w:spacing w:after="0" w:line="200" w:lineRule="exact"/>
        <w:rPr>
          <w:sz w:val="20"/>
          <w:szCs w:val="20"/>
          <w:color w:val="auto"/>
        </w:rPr>
      </w:pPr>
    </w:p>
    <w:p>
      <w:pPr>
        <w:spacing w:after="0" w:line="36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Cost of Revenue</w:t>
      </w:r>
    </w:p>
    <w:p>
      <w:pPr>
        <w:spacing w:after="0" w:line="136" w:lineRule="exact"/>
        <w:rPr>
          <w:sz w:val="20"/>
          <w:szCs w:val="20"/>
          <w:color w:val="auto"/>
        </w:rPr>
      </w:pPr>
    </w:p>
    <w:p>
      <w:pPr>
        <w:ind w:right="200"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Cost of Subscription Revenue. </w:t>
      </w:r>
      <w:r>
        <w:rPr>
          <w:rFonts w:ascii="Times New Roman" w:cs="Times New Roman" w:eastAsia="Times New Roman" w:hAnsi="Times New Roman"/>
          <w:sz w:val="14"/>
          <w:szCs w:val="14"/>
          <w:color w:val="auto"/>
        </w:rPr>
        <w:t>Cost of subscription revenue primarily includes third-party cloud infrastructure expenses for our database-as-a-service solutions. We expect our cost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subscription revenue to increase in absolute dollars as our subscription revenue increases and, depending on the results of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spacing w:after="0" w:line="66" w:lineRule="exact"/>
        <w:rPr>
          <w:sz w:val="20"/>
          <w:szCs w:val="20"/>
          <w:color w:val="auto"/>
        </w:rPr>
      </w:pPr>
    </w:p>
    <w:p>
      <w:pPr>
        <w:ind w:right="120" w:firstLine="382"/>
        <w:spacing w:after="0" w:line="185" w:lineRule="exact"/>
        <w:rPr>
          <w:sz w:val="20"/>
          <w:szCs w:val="20"/>
          <w:color w:val="auto"/>
        </w:rPr>
      </w:pPr>
      <w:r>
        <w:rPr>
          <w:rFonts w:ascii="Times New Roman" w:cs="Times New Roman" w:eastAsia="Times New Roman" w:hAnsi="Times New Roman"/>
          <w:sz w:val="14"/>
          <w:szCs w:val="14"/>
          <w:i w:val="1"/>
          <w:iCs w:val="1"/>
          <w:color w:val="auto"/>
        </w:rPr>
        <w:t xml:space="preserve">Cost of Services Revenue. </w:t>
      </w:r>
      <w:r>
        <w:rPr>
          <w:rFonts w:ascii="Times New Roman" w:cs="Times New Roman" w:eastAsia="Times New Roman" w:hAnsi="Times New Roman"/>
          <w:sz w:val="14"/>
          <w:szCs w:val="14"/>
          <w:color w:val="auto"/>
        </w:rPr>
        <w:t>Cost of services revenue primarily includes personnel costs, including salaries, bonuses and benefits, and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for employees associated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professional service contracts, as well as, travel costs, the costs of contracted third-party consultants, allocated shared costs and depreciation and amortization. We expect our cost of services revenue to increase in absolute dollars as our services revenue increases.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Gross Profit and Gross Margin</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Gross Profit. </w:t>
      </w:r>
      <w:r>
        <w:rPr>
          <w:rFonts w:ascii="Times New Roman" w:cs="Times New Roman" w:eastAsia="Times New Roman" w:hAnsi="Times New Roman"/>
          <w:sz w:val="14"/>
          <w:szCs w:val="14"/>
          <w:color w:val="auto"/>
        </w:rPr>
        <w:t>Gross profit represents revenue less cost of revenue.</w:t>
      </w:r>
    </w:p>
    <w:p>
      <w:pPr>
        <w:spacing w:after="0" w:line="136" w:lineRule="exact"/>
        <w:rPr>
          <w:sz w:val="20"/>
          <w:szCs w:val="20"/>
          <w:color w:val="auto"/>
        </w:rPr>
      </w:pPr>
    </w:p>
    <w:p>
      <w:pPr>
        <w:jc w:val="both"/>
        <w:ind w:right="8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Gross Margin. </w:t>
      </w:r>
      <w:r>
        <w:rPr>
          <w:rFonts w:ascii="Times New Roman" w:cs="Times New Roman" w:eastAsia="Times New Roman" w:hAnsi="Times New Roman"/>
          <w:sz w:val="14"/>
          <w:szCs w:val="14"/>
          <w:color w:val="auto"/>
        </w:rPr>
        <w:t>Gross margin, or gross profit as a percentage of revenue, has been and will continue to be affected by a variety of factors, including the average sales price of our products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the mix of products sold, transaction volume growth and the mix of revenue between subscriptions and services. We expect our gross margin to fluctuate over time depending on the factors described above and, to the extent Atlas revenue increases as a percentage of total revenue, our gross margin may decline as a result of the associated hosting costs of Atlas.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Operating Expenses</w:t>
      </w:r>
    </w:p>
    <w:p>
      <w:pPr>
        <w:spacing w:after="0" w:line="138"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spacing w:after="0" w:line="51" w:lineRule="exact"/>
        <w:rPr>
          <w:sz w:val="20"/>
          <w:szCs w:val="20"/>
          <w:color w:val="auto"/>
        </w:rPr>
      </w:pPr>
    </w:p>
    <w:p>
      <w:pPr>
        <w:ind w:right="280" w:firstLine="382"/>
        <w:spacing w:after="0" w:line="182" w:lineRule="exact"/>
        <w:rPr>
          <w:sz w:val="20"/>
          <w:szCs w:val="20"/>
          <w:color w:val="auto"/>
        </w:rPr>
      </w:pPr>
      <w:r>
        <w:rPr>
          <w:rFonts w:ascii="Times New Roman" w:cs="Times New Roman" w:eastAsia="Times New Roman" w:hAnsi="Times New Roman"/>
          <w:sz w:val="14"/>
          <w:szCs w:val="14"/>
          <w:i w:val="1"/>
          <w:iCs w:val="1"/>
          <w:color w:val="auto"/>
        </w:rPr>
        <w:t xml:space="preserve">Sales and Marketing. </w:t>
      </w:r>
      <w:r>
        <w:rPr>
          <w:rFonts w:ascii="Times New Roman" w:cs="Times New Roman" w:eastAsia="Times New Roman" w:hAnsi="Times New Roman"/>
          <w:sz w:val="14"/>
          <w:szCs w:val="14"/>
          <w:color w:val="auto"/>
        </w:rPr>
        <w:t>Sales and marketing expense consists primarily of personnel costs, including salaries, sales commission and benefits, bonuses and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These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expenses also include costs related to marketing programs, travel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expenses and allocated overhead. Marketing programs consist of advertising, events, corporate communications, and brand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building and developer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82" w:lineRule="exact"/>
        <w:rPr>
          <w:sz w:val="20"/>
          <w:szCs w:val="20"/>
          <w:color w:val="auto"/>
        </w:rPr>
      </w:pPr>
    </w:p>
    <w:p>
      <w:pPr>
        <w:jc w:val="both"/>
        <w:ind w:right="60" w:firstLine="382"/>
        <w:spacing w:after="0" w:line="185" w:lineRule="exact"/>
        <w:rPr>
          <w:sz w:val="20"/>
          <w:szCs w:val="20"/>
          <w:color w:val="auto"/>
        </w:rPr>
      </w:pPr>
      <w:r>
        <w:rPr>
          <w:rFonts w:ascii="Times New Roman" w:cs="Times New Roman" w:eastAsia="Times New Roman" w:hAnsi="Times New Roman"/>
          <w:sz w:val="14"/>
          <w:szCs w:val="14"/>
          <w:i w:val="1"/>
          <w:iCs w:val="1"/>
          <w:color w:val="auto"/>
        </w:rPr>
        <w:t xml:space="preserve">Research and Development. </w:t>
      </w:r>
      <w:r>
        <w:rPr>
          <w:rFonts w:ascii="Times New Roman" w:cs="Times New Roman" w:eastAsia="Times New Roman" w:hAnsi="Times New Roman"/>
          <w:sz w:val="14"/>
          <w:szCs w:val="14"/>
          <w:color w:val="auto"/>
        </w:rPr>
        <w:t>Research and development expense consists primarily of personnel costs, including salaries, bonuses and benefits, and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It also includes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amortization associated with intangible acquired assets and allocated overhead. We expect our research and development expenses to continue to increase in absolute dollars, as we continue to invest in our developer data platform and develop new products.</w:t>
      </w:r>
    </w:p>
    <w:p>
      <w:pPr>
        <w:spacing w:after="0" w:line="83" w:lineRule="exact"/>
        <w:rPr>
          <w:sz w:val="20"/>
          <w:szCs w:val="20"/>
          <w:color w:val="auto"/>
        </w:rPr>
      </w:pPr>
    </w:p>
    <w:p>
      <w:pPr>
        <w:ind w:right="120" w:firstLine="382"/>
        <w:spacing w:after="0" w:line="185" w:lineRule="exact"/>
        <w:rPr>
          <w:sz w:val="20"/>
          <w:szCs w:val="20"/>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General and administrative expense consists primarily of personnel costs, including salaries, bonuses and benefits, and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administrative functions including finance, legal, human resources and external legal and accounting fees, as well as allocated overhead and the ongoing costs of compliance associated with being a publicly traded company. We expect general and administrative expense to increase in absolute dollars over time as we continue to invest in the growth of our business.</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income (expense), net consists primarily of interest income, interest expense, gains and losses on financial instruments, net and gains and losses from foreign currency transactions.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Provision for Income Taxes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Provision for income taxes consists primarily of state income taxes in the United States and income taxes in certain foreign jurisdictions in which we conduct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jc w:val="both"/>
        <w:ind w:right="120" w:firstLine="382"/>
        <w:spacing w:after="0" w:line="287" w:lineRule="auto"/>
        <w:rPr>
          <w:sz w:val="20"/>
          <w:szCs w:val="20"/>
          <w:color w:val="auto"/>
        </w:rPr>
      </w:pPr>
      <w:r>
        <w:rPr>
          <w:rFonts w:ascii="Times New Roman" w:cs="Times New Roman" w:eastAsia="Times New Roman" w:hAnsi="Times New Roman"/>
          <w:sz w:val="14"/>
          <w:szCs w:val="14"/>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82" w:lineRule="exact"/>
        <w:rPr>
          <w:sz w:val="20"/>
          <w:szCs w:val="20"/>
          <w:color w:val="auto"/>
        </w:rPr>
      </w:pPr>
    </w:p>
    <w:p>
      <w:pPr>
        <w:jc w:val="both"/>
        <w:ind w:right="100" w:firstLine="382"/>
        <w:spacing w:after="0" w:line="264" w:lineRule="auto"/>
        <w:rPr>
          <w:sz w:val="20"/>
          <w:szCs w:val="20"/>
          <w:color w:val="auto"/>
        </w:rPr>
      </w:pPr>
      <w:r>
        <w:rPr>
          <w:rFonts w:ascii="Times New Roman" w:cs="Times New Roman" w:eastAsia="Times New Roman" w:hAnsi="Times New Roman"/>
          <w:sz w:val="14"/>
          <w:szCs w:val="14"/>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Refer to Note 10</w:t>
      </w:r>
      <w:r>
        <w:rPr>
          <w:rFonts w:ascii="Times New Roman" w:cs="Times New Roman" w:eastAsia="Times New Roman" w:hAnsi="Times New Roman"/>
          <w:sz w:val="14"/>
          <w:szCs w:val="14"/>
          <w:i w:val="1"/>
          <w:iCs w:val="1"/>
          <w:color w:val="auto"/>
        </w:rPr>
        <w:t>, Income Taxes</w:t>
      </w:r>
      <w:r>
        <w:rPr>
          <w:rFonts w:ascii="Times New Roman" w:cs="Times New Roman" w:eastAsia="Times New Roman" w:hAnsi="Times New Roman"/>
          <w:sz w:val="14"/>
          <w:szCs w:val="14"/>
          <w:color w:val="auto"/>
        </w:rPr>
        <w:t>, in our Notes to Condensed Consolidated Financial Statements included in Part I, Item 1 of this Quarterly Report on Form 10-Q for further discussion regarding the valuation allowance.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following tables set forth our results of operations for the periods presented in U.S. dollars (unaudited, in thousands) and as a percentage of our total revenue. Percentage of revenue figures are rounded and therefore may not subtotal exactly.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560" w:type="dxa"/>
            <w:vAlign w:val="bottom"/>
            <w:tcBorders>
              <w:bottom w:val="single" w:sz="8" w:color="auto"/>
            </w:tcBorders>
          </w:tcPr>
          <w:p>
            <w:pPr>
              <w:spacing w:after="0"/>
              <w:rPr>
                <w:sz w:val="13"/>
                <w:szCs w:val="13"/>
                <w:color w:val="auto"/>
              </w:rPr>
            </w:pPr>
          </w:p>
        </w:tc>
      </w:tr>
      <w:tr>
        <w:trPr>
          <w:trHeight w:val="154"/>
        </w:trPr>
        <w:tc>
          <w:tcPr>
            <w:tcW w:w="82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r>
      <w:tr>
        <w:trPr>
          <w:trHeight w:val="166"/>
        </w:trPr>
        <w:tc>
          <w:tcPr>
            <w:tcW w:w="8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Data:</w:t>
            </w: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80"/>
        </w:trPr>
        <w:tc>
          <w:tcPr>
            <w:tcW w:w="8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Revenue:</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2"/>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Subscription</w:t>
            </w:r>
          </w:p>
        </w:tc>
        <w:tc>
          <w:tcPr>
            <w:tcW w:w="88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666,138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531,455</w:t>
            </w:r>
          </w:p>
        </w:tc>
      </w:tr>
      <w:tr>
        <w:trPr>
          <w:trHeight w:val="223"/>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Services</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21,478</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17,559</w:t>
            </w:r>
          </w:p>
        </w:tc>
      </w:tr>
      <w:tr>
        <w:trPr>
          <w:trHeight w:val="192"/>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w:t>
            </w: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687,616</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549,014</w:t>
            </w:r>
          </w:p>
        </w:tc>
      </w:tr>
      <w:tr>
        <w:trPr>
          <w:trHeight w:val="191"/>
        </w:trPr>
        <w:tc>
          <w:tcPr>
            <w:tcW w:w="8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 of revenue:</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
        </w:trPr>
        <w:tc>
          <w:tcPr>
            <w:tcW w:w="8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2"/>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Subscription</w:t>
            </w:r>
            <w:r>
              <w:rPr>
                <w:rFonts w:ascii="Times New Roman" w:cs="Times New Roman" w:eastAsia="Times New Roman" w:hAnsi="Times New Roman"/>
                <w:sz w:val="18"/>
                <w:szCs w:val="18"/>
                <w:color w:val="auto"/>
                <w:vertAlign w:val="superscript"/>
              </w:rPr>
              <w:t>(1)</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164,907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129,585</w:t>
            </w:r>
          </w:p>
        </w:tc>
      </w:tr>
      <w:tr>
        <w:trPr>
          <w:trHeight w:val="223"/>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Services</w:t>
            </w:r>
            <w:r>
              <w:rPr>
                <w:rFonts w:ascii="Times New Roman" w:cs="Times New Roman" w:eastAsia="Times New Roman" w:hAnsi="Times New Roman"/>
                <w:sz w:val="18"/>
                <w:szCs w:val="18"/>
                <w:color w:val="auto"/>
                <w:vertAlign w:val="superscript"/>
              </w:rPr>
              <w:t>(1)</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26,534</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28,456</w:t>
            </w:r>
          </w:p>
        </w:tc>
      </w:tr>
      <w:tr>
        <w:trPr>
          <w:trHeight w:val="20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cost of revenue</w:t>
            </w:r>
          </w:p>
        </w:tc>
        <w:tc>
          <w:tcPr>
            <w:tcW w:w="8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191,441</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158,041</w:t>
            </w:r>
          </w:p>
        </w:tc>
      </w:tr>
      <w:tr>
        <w:trPr>
          <w:trHeight w:val="192"/>
        </w:trPr>
        <w:tc>
          <w:tcPr>
            <w:tcW w:w="8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Gross profit</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496,175</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390,973</w:t>
            </w:r>
          </w:p>
        </w:tc>
      </w:tr>
      <w:tr>
        <w:trPr>
          <w:trHeight w:val="181"/>
        </w:trPr>
        <w:tc>
          <w:tcPr>
            <w:tcW w:w="8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Operating expenses: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bl>
    <w:p>
      <w:pPr>
        <w:spacing w:after="0" w:line="4" w:lineRule="exact"/>
        <w:rPr>
          <w:sz w:val="20"/>
          <w:szCs w:val="20"/>
          <w:color w:val="auto"/>
        </w:rPr>
      </w:pPr>
    </w:p>
    <w:p>
      <w:pPr>
        <w:sectPr>
          <w:pgSz w:w="11900" w:h="16838" w:orient="portrait"/>
          <w:cols w:equalWidth="0" w:num="1">
            <w:col w:w="11280"/>
          </w:cols>
          <w:pgMar w:left="300" w:top="133" w:right="319" w:bottom="1440" w:gutter="0" w:footer="0" w:header="0"/>
        </w:sectPr>
      </w:pPr>
    </w:p>
    <w:p>
      <w:pPr>
        <w:ind w:left="220"/>
        <w:spacing w:after="0"/>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61530" cy="134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8"/>
          <w:szCs w:val="18"/>
          <w:color w:val="auto"/>
          <w:vertAlign w:val="superscript"/>
        </w:rPr>
        <w:t>(1)</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61530" cy="134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Total operating expenses</w:t>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Other income, net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Income (loss)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41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Provision for income taxes</w:t>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142875</wp:posOffset>
            </wp:positionV>
            <wp:extent cx="181927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19275" cy="6985"/>
                    </a:xfrm>
                    <a:prstGeom prst="rect">
                      <a:avLst/>
                    </a:prstGeom>
                    <a:noFill/>
                  </pic:spPr>
                </pic:pic>
              </a:graphicData>
            </a:graphic>
          </wp:anchor>
        </w:drawing>
      </w:r>
    </w:p>
    <w:p>
      <w:pPr>
        <w:spacing w:after="0" w:line="244" w:lineRule="exact"/>
        <w:rPr>
          <w:sz w:val="20"/>
          <w:szCs w:val="20"/>
          <w:color w:val="auto"/>
        </w:rPr>
      </w:pPr>
    </w:p>
    <w:p>
      <w:pPr>
        <w:ind w:left="260" w:hanging="255"/>
        <w:spacing w:after="0" w:line="207" w:lineRule="exact"/>
        <w:tabs>
          <w:tab w:leader="none" w:pos="26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 as follows (unaudited, in thousands):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14"/>
          <w:szCs w:val="14"/>
          <w:color w:val="auto"/>
        </w:rPr>
        <w:t>249,334</w:t>
      </w:r>
      <w:r>
        <w:rPr>
          <w:sz w:val="20"/>
          <w:szCs w:val="20"/>
          <w:color w:val="auto"/>
        </w:rPr>
        <w:tab/>
      </w:r>
      <w:r>
        <w:rPr>
          <w:rFonts w:ascii="Times New Roman" w:cs="Times New Roman" w:eastAsia="Times New Roman" w:hAnsi="Times New Roman"/>
          <w:sz w:val="14"/>
          <w:szCs w:val="14"/>
          <w:color w:val="auto"/>
        </w:rPr>
        <w:t>220,923</w:t>
      </w:r>
    </w:p>
    <w:p>
      <w:pPr>
        <w:spacing w:after="0" w:line="51"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14"/>
          <w:szCs w:val="14"/>
          <w:color w:val="auto"/>
        </w:rPr>
        <w:t>200,409</w:t>
      </w:r>
      <w:r>
        <w:rPr>
          <w:sz w:val="20"/>
          <w:szCs w:val="20"/>
          <w:color w:val="auto"/>
        </w:rPr>
        <w:tab/>
      </w:r>
      <w:r>
        <w:rPr>
          <w:rFonts w:ascii="Times New Roman" w:cs="Times New Roman" w:eastAsia="Times New Roman" w:hAnsi="Times New Roman"/>
          <w:sz w:val="14"/>
          <w:szCs w:val="14"/>
          <w:color w:val="auto"/>
        </w:rPr>
        <w:t>168,829</w:t>
      </w:r>
    </w:p>
    <w:p>
      <w:pPr>
        <w:spacing w:after="0" w:line="62" w:lineRule="exact"/>
        <w:rPr>
          <w:sz w:val="20"/>
          <w:szCs w:val="20"/>
          <w:color w:val="auto"/>
        </w:rPr>
      </w:pPr>
    </w:p>
    <w:p>
      <w:pPr>
        <w:ind w:left="980"/>
        <w:spacing w:after="0"/>
        <w:tabs>
          <w:tab w:leader="none" w:pos="2520" w:val="left"/>
        </w:tabs>
        <w:rPr>
          <w:sz w:val="20"/>
          <w:szCs w:val="20"/>
          <w:color w:val="auto"/>
        </w:rPr>
      </w:pPr>
      <w:r>
        <w:rPr>
          <w:rFonts w:ascii="Times New Roman" w:cs="Times New Roman" w:eastAsia="Times New Roman" w:hAnsi="Times New Roman"/>
          <w:sz w:val="14"/>
          <w:szCs w:val="14"/>
          <w:color w:val="auto"/>
        </w:rPr>
        <w:t>71,236</w:t>
      </w:r>
      <w:r>
        <w:rPr>
          <w:sz w:val="20"/>
          <w:szCs w:val="20"/>
          <w:color w:val="auto"/>
        </w:rPr>
        <w:tab/>
      </w:r>
      <w:r>
        <w:rPr>
          <w:rFonts w:ascii="Times New Roman" w:cs="Times New Roman" w:eastAsia="Times New Roman" w:hAnsi="Times New Roman"/>
          <w:sz w:val="14"/>
          <w:szCs w:val="14"/>
          <w:color w:val="auto"/>
        </w:rPr>
        <w:t>54,775</w:t>
      </w:r>
    </w:p>
    <w:p>
      <w:pPr>
        <w:spacing w:after="0" w:line="51"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14"/>
          <w:szCs w:val="14"/>
          <w:color w:val="auto"/>
        </w:rPr>
        <w:t>520,979</w:t>
      </w:r>
      <w:r>
        <w:rPr>
          <w:sz w:val="20"/>
          <w:szCs w:val="20"/>
          <w:color w:val="auto"/>
        </w:rPr>
        <w:tab/>
      </w:r>
      <w:r>
        <w:rPr>
          <w:rFonts w:ascii="Times New Roman" w:cs="Times New Roman" w:eastAsia="Times New Roman" w:hAnsi="Times New Roman"/>
          <w:sz w:val="14"/>
          <w:szCs w:val="14"/>
          <w:color w:val="auto"/>
        </w:rPr>
        <w:t>444,527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0690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06905" cy="6985"/>
                    </a:xfrm>
                    <a:prstGeom prst="rect">
                      <a:avLst/>
                    </a:prstGeom>
                    <a:noFill/>
                  </pic:spPr>
                </pic:pic>
              </a:graphicData>
            </a:graphic>
          </wp:anchor>
        </w:drawing>
      </w:r>
    </w:p>
    <w:p>
      <w:pPr>
        <w:spacing w:after="0" w:line="31" w:lineRule="exact"/>
        <w:rPr>
          <w:sz w:val="20"/>
          <w:szCs w:val="20"/>
          <w:color w:val="auto"/>
        </w:rPr>
      </w:pPr>
    </w:p>
    <w:p>
      <w:pPr>
        <w:jc w:val="both"/>
        <w:ind w:left="940"/>
        <w:spacing w:after="0"/>
        <w:tabs>
          <w:tab w:leader="none" w:pos="2460" w:val="left"/>
        </w:tabs>
        <w:rPr>
          <w:sz w:val="20"/>
          <w:szCs w:val="20"/>
          <w:color w:val="auto"/>
        </w:rPr>
      </w:pPr>
      <w:r>
        <w:rPr>
          <w:rFonts w:ascii="Times New Roman" w:cs="Times New Roman" w:eastAsia="Times New Roman" w:hAnsi="Times New Roman"/>
          <w:sz w:val="14"/>
          <w:szCs w:val="14"/>
          <w:color w:val="auto"/>
        </w:rPr>
        <w:t>(24,804)</w:t>
      </w:r>
      <w:r>
        <w:rPr>
          <w:sz w:val="20"/>
          <w:szCs w:val="20"/>
          <w:color w:val="auto"/>
        </w:rPr>
        <w:tab/>
      </w:r>
      <w:r>
        <w:rPr>
          <w:rFonts w:ascii="Times New Roman" w:cs="Times New Roman" w:eastAsia="Times New Roman" w:hAnsi="Times New Roman"/>
          <w:sz w:val="14"/>
          <w:szCs w:val="14"/>
          <w:color w:val="auto"/>
        </w:rPr>
        <w:t>(53,554)</w:t>
      </w:r>
    </w:p>
    <w:p>
      <w:pPr>
        <w:spacing w:after="0" w:line="51" w:lineRule="exact"/>
        <w:rPr>
          <w:sz w:val="20"/>
          <w:szCs w:val="20"/>
          <w:color w:val="auto"/>
        </w:rPr>
      </w:pPr>
    </w:p>
    <w:p>
      <w:pPr>
        <w:ind w:left="980"/>
        <w:spacing w:after="0"/>
        <w:tabs>
          <w:tab w:leader="none" w:pos="2520" w:val="left"/>
        </w:tabs>
        <w:rPr>
          <w:sz w:val="20"/>
          <w:szCs w:val="20"/>
          <w:color w:val="auto"/>
        </w:rPr>
      </w:pPr>
      <w:r>
        <w:rPr>
          <w:rFonts w:ascii="Times New Roman" w:cs="Times New Roman" w:eastAsia="Times New Roman" w:hAnsi="Times New Roman"/>
          <w:sz w:val="14"/>
          <w:szCs w:val="14"/>
          <w:color w:val="auto"/>
        </w:rPr>
        <w:t>33,598</w:t>
      </w:r>
      <w:r>
        <w:rPr>
          <w:sz w:val="20"/>
          <w:szCs w:val="20"/>
          <w:color w:val="auto"/>
        </w:rPr>
        <w:tab/>
      </w:r>
      <w:r>
        <w:rPr>
          <w:rFonts w:ascii="Times New Roman" w:cs="Times New Roman" w:eastAsia="Times New Roman" w:hAnsi="Times New Roman"/>
          <w:sz w:val="14"/>
          <w:szCs w:val="14"/>
          <w:color w:val="auto"/>
        </w:rPr>
        <w:t>20,230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0690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06905" cy="6985"/>
                    </a:xfrm>
                    <a:prstGeom prst="rect">
                      <a:avLst/>
                    </a:prstGeom>
                    <a:noFill/>
                  </pic:spPr>
                </pic:pic>
              </a:graphicData>
            </a:graphic>
          </wp:anchor>
        </w:drawing>
      </w:r>
    </w:p>
    <w:p>
      <w:pPr>
        <w:spacing w:after="0" w:line="31" w:lineRule="exact"/>
        <w:rPr>
          <w:sz w:val="20"/>
          <w:szCs w:val="20"/>
          <w:color w:val="auto"/>
        </w:rPr>
      </w:pPr>
    </w:p>
    <w:p>
      <w:pPr>
        <w:jc w:val="both"/>
        <w:ind w:left="1060"/>
        <w:spacing w:after="0"/>
        <w:tabs>
          <w:tab w:leader="none" w:pos="2460" w:val="left"/>
        </w:tabs>
        <w:rPr>
          <w:sz w:val="20"/>
          <w:szCs w:val="20"/>
          <w:color w:val="auto"/>
        </w:rPr>
      </w:pPr>
      <w:r>
        <w:rPr>
          <w:rFonts w:ascii="Times New Roman" w:cs="Times New Roman" w:eastAsia="Times New Roman" w:hAnsi="Times New Roman"/>
          <w:sz w:val="14"/>
          <w:szCs w:val="14"/>
          <w:color w:val="auto"/>
        </w:rPr>
        <w:t>8,794</w:t>
      </w:r>
      <w:r>
        <w:rPr>
          <w:sz w:val="20"/>
          <w:szCs w:val="20"/>
          <w:color w:val="auto"/>
        </w:rPr>
        <w:tab/>
      </w:r>
      <w:r>
        <w:rPr>
          <w:rFonts w:ascii="Times New Roman" w:cs="Times New Roman" w:eastAsia="Times New Roman" w:hAnsi="Times New Roman"/>
          <w:sz w:val="14"/>
          <w:szCs w:val="14"/>
          <w:color w:val="auto"/>
        </w:rPr>
        <w:t>(33,324)</w:t>
      </w:r>
    </w:p>
    <w:p>
      <w:pPr>
        <w:spacing w:after="0" w:line="62" w:lineRule="exact"/>
        <w:rPr>
          <w:sz w:val="20"/>
          <w:szCs w:val="20"/>
          <w:color w:val="auto"/>
        </w:rPr>
      </w:pPr>
    </w:p>
    <w:p>
      <w:pPr>
        <w:ind w:left="1060"/>
        <w:spacing w:after="0"/>
        <w:tabs>
          <w:tab w:leader="none" w:pos="2580" w:val="left"/>
        </w:tabs>
        <w:rPr>
          <w:sz w:val="20"/>
          <w:szCs w:val="20"/>
          <w:color w:val="auto"/>
        </w:rPr>
      </w:pPr>
      <w:r>
        <w:rPr>
          <w:rFonts w:ascii="Times New Roman" w:cs="Times New Roman" w:eastAsia="Times New Roman" w:hAnsi="Times New Roman"/>
          <w:sz w:val="14"/>
          <w:szCs w:val="14"/>
          <w:color w:val="auto"/>
        </w:rPr>
        <w:t>4,360</w:t>
      </w:r>
      <w:r>
        <w:rPr>
          <w:sz w:val="20"/>
          <w:szCs w:val="20"/>
          <w:color w:val="auto"/>
        </w:rPr>
        <w:tab/>
      </w:r>
      <w:r>
        <w:rPr>
          <w:rFonts w:ascii="Times New Roman" w:cs="Times New Roman" w:eastAsia="Times New Roman" w:hAnsi="Times New Roman"/>
          <w:sz w:val="14"/>
          <w:szCs w:val="14"/>
          <w:color w:val="auto"/>
        </w:rPr>
        <w:t>4,302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0690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06905" cy="6985"/>
                    </a:xfrm>
                    <a:prstGeom prst="rect">
                      <a:avLst/>
                    </a:prstGeom>
                    <a:noFill/>
                  </pic:spPr>
                </pic:pic>
              </a:graphicData>
            </a:graphic>
          </wp:anchor>
        </w:drawing>
      </w:r>
    </w:p>
    <w:p>
      <w:pPr>
        <w:spacing w:after="0" w:line="42" w:lineRule="exact"/>
        <w:rPr>
          <w:sz w:val="20"/>
          <w:szCs w:val="20"/>
          <w:color w:val="auto"/>
        </w:rPr>
      </w:pPr>
    </w:p>
    <w:p>
      <w:pPr>
        <w:spacing w:after="0"/>
        <w:tabs>
          <w:tab w:leader="none" w:pos="1040" w:val="left"/>
          <w:tab w:leader="none" w:pos="1520" w:val="left"/>
          <w:tab w:leader="none" w:pos="24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4,434</w:t>
        <w:tab/>
        <w:t>$</w:t>
      </w:r>
      <w:r>
        <w:rPr>
          <w:sz w:val="20"/>
          <w:szCs w:val="20"/>
          <w:color w:val="auto"/>
        </w:rPr>
        <w:tab/>
      </w:r>
      <w:r>
        <w:rPr>
          <w:rFonts w:ascii="Times New Roman" w:cs="Times New Roman" w:eastAsia="Times New Roman" w:hAnsi="Times New Roman"/>
          <w:sz w:val="14"/>
          <w:szCs w:val="14"/>
          <w:color w:val="auto"/>
        </w:rPr>
        <w:t>(37,626)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06905" cy="266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06905" cy="26670"/>
                    </a:xfrm>
                    <a:prstGeom prst="rect">
                      <a:avLst/>
                    </a:prstGeom>
                    <a:noFill/>
                  </pic:spPr>
                </pic:pic>
              </a:graphicData>
            </a:graphic>
          </wp:anchor>
        </w:drawing>
      </w:r>
    </w:p>
    <w:p>
      <w:pPr>
        <w:spacing w:after="0" w:line="630" w:lineRule="exact"/>
        <w:rPr>
          <w:sz w:val="20"/>
          <w:szCs w:val="20"/>
          <w:color w:val="auto"/>
        </w:rPr>
      </w:pPr>
    </w:p>
    <w:p>
      <w:pPr>
        <w:sectPr>
          <w:pgSz w:w="11900" w:h="16838" w:orient="portrait"/>
          <w:cols w:equalWidth="0" w:num="2">
            <w:col w:w="7580" w:space="720"/>
            <w:col w:w="2980"/>
          </w:cols>
          <w:pgMar w:left="300" w:top="133" w:right="31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2480" w:type="dxa"/>
            <w:vAlign w:val="bottom"/>
            <w:tcBorders>
              <w:bottom w:val="single" w:sz="8" w:color="auto"/>
            </w:tcBorders>
            <w:gridSpan w:val="4"/>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520" w:type="dxa"/>
            <w:vAlign w:val="bottom"/>
            <w:tcBorders>
              <w:bottom w:val="single" w:sz="8" w:color="auto"/>
            </w:tcBorders>
          </w:tcPr>
          <w:p>
            <w:pPr>
              <w:spacing w:after="0"/>
              <w:rPr>
                <w:sz w:val="13"/>
                <w:szCs w:val="13"/>
                <w:color w:val="auto"/>
              </w:rPr>
            </w:pPr>
          </w:p>
        </w:tc>
      </w:tr>
      <w:tr>
        <w:trPr>
          <w:trHeight w:val="154"/>
        </w:trPr>
        <w:tc>
          <w:tcPr>
            <w:tcW w:w="82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2026</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r>
      <w:tr>
        <w:trPr>
          <w:trHeight w:val="166"/>
        </w:trPr>
        <w:tc>
          <w:tcPr>
            <w:tcW w:w="8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Cost of revenue—subscription</w:t>
            </w:r>
          </w:p>
        </w:tc>
        <w:tc>
          <w:tcPr>
            <w:tcW w:w="94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8,888</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8,395</w:t>
            </w:r>
          </w:p>
        </w:tc>
      </w:tr>
      <w:tr>
        <w:trPr>
          <w:trHeight w:val="171"/>
        </w:trPr>
        <w:tc>
          <w:tcPr>
            <w:tcW w:w="8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Cost of revenue—services</w:t>
            </w:r>
          </w:p>
        </w:tc>
        <w:tc>
          <w:tcPr>
            <w:tcW w:w="940" w:type="dxa"/>
            <w:vAlign w:val="bottom"/>
          </w:tcPr>
          <w:p>
            <w:pPr>
              <w:spacing w:after="0"/>
              <w:rPr>
                <w:sz w:val="14"/>
                <w:szCs w:val="14"/>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2,792</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3,894</w:t>
            </w:r>
          </w:p>
        </w:tc>
      </w:tr>
      <w:tr>
        <w:trPr>
          <w:trHeight w:val="190"/>
        </w:trPr>
        <w:tc>
          <w:tcPr>
            <w:tcW w:w="8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Sales and marketing</w:t>
            </w:r>
          </w:p>
        </w:tc>
        <w:tc>
          <w:tcPr>
            <w:tcW w:w="9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32,681</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39,102</w:t>
            </w:r>
          </w:p>
        </w:tc>
      </w:tr>
      <w:tr>
        <w:trPr>
          <w:trHeight w:val="171"/>
        </w:trPr>
        <w:tc>
          <w:tcPr>
            <w:tcW w:w="8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Research and development</w:t>
            </w:r>
          </w:p>
        </w:tc>
        <w:tc>
          <w:tcPr>
            <w:tcW w:w="940" w:type="dxa"/>
            <w:vAlign w:val="bottom"/>
          </w:tcPr>
          <w:p>
            <w:pPr>
              <w:spacing w:after="0"/>
              <w:rPr>
                <w:sz w:val="14"/>
                <w:szCs w:val="14"/>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70,708</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66,405</w:t>
            </w:r>
          </w:p>
        </w:tc>
      </w:tr>
      <w:tr>
        <w:trPr>
          <w:trHeight w:val="201"/>
        </w:trPr>
        <w:tc>
          <w:tcPr>
            <w:tcW w:w="8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9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22,761</w:t>
            </w: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14,635</w:t>
            </w:r>
          </w:p>
        </w:tc>
      </w:tr>
      <w:tr>
        <w:trPr>
          <w:trHeight w:val="160"/>
        </w:trPr>
        <w:tc>
          <w:tcPr>
            <w:tcW w:w="8280" w:type="dxa"/>
            <w:vAlign w:val="bottom"/>
          </w:tcPr>
          <w:p>
            <w:pPr>
              <w:ind w:left="220"/>
              <w:spacing w:after="0" w:line="127" w:lineRule="exact"/>
              <w:rPr>
                <w:sz w:val="20"/>
                <w:szCs w:val="20"/>
                <w:color w:val="auto"/>
              </w:rPr>
            </w:pPr>
            <w:r>
              <w:rPr>
                <w:rFonts w:ascii="Times New Roman" w:cs="Times New Roman" w:eastAsia="Times New Roman" w:hAnsi="Times New Roman"/>
                <w:sz w:val="11"/>
                <w:szCs w:val="11"/>
                <w:color w:val="auto"/>
              </w:rPr>
              <w:t>Total stock</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based compensation expense</w:t>
            </w:r>
          </w:p>
        </w:tc>
        <w:tc>
          <w:tcPr>
            <w:tcW w:w="94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137,830</w:t>
            </w:r>
          </w:p>
        </w:tc>
        <w:tc>
          <w:tcPr>
            <w:tcW w:w="80" w:type="dxa"/>
            <w:vAlign w:val="bottom"/>
          </w:tcPr>
          <w:p>
            <w:pPr>
              <w:spacing w:after="0"/>
              <w:rPr>
                <w:sz w:val="13"/>
                <w:szCs w:val="13"/>
                <w:color w:val="auto"/>
              </w:rPr>
            </w:pPr>
          </w:p>
        </w:tc>
        <w:tc>
          <w:tcPr>
            <w:tcW w:w="94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132,431</w:t>
            </w:r>
          </w:p>
        </w:tc>
      </w:tr>
      <w:tr>
        <w:trPr>
          <w:trHeight w:val="20"/>
        </w:trPr>
        <w:tc>
          <w:tcPr>
            <w:tcW w:w="8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Percentage of Revenue Data:</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Revenue:</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Subscription</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Services</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revenue</w:t>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Cost of revenue:</w:t>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Subscription</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Services</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cost of revenue</w:t>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Gross profit</w:t>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Operating expenses:</w:t>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Sales and marketing</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operating expenses</w:t>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Loss from operations</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Other income, net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Income (loss) before provision for income taxes</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Provision for income taxes</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Net income (loss)</w:t>
      </w:r>
    </w:p>
    <w:p>
      <w:pPr>
        <w:spacing w:after="0" w:line="200" w:lineRule="exact"/>
        <w:rPr>
          <w:sz w:val="20"/>
          <w:szCs w:val="20"/>
          <w:color w:val="auto"/>
        </w:rPr>
      </w:pPr>
    </w:p>
    <w:p>
      <w:pPr>
        <w:spacing w:after="0" w:line="390" w:lineRule="exact"/>
        <w:rPr>
          <w:sz w:val="20"/>
          <w:szCs w:val="20"/>
          <w:color w:val="auto"/>
        </w:rPr>
      </w:pPr>
    </w:p>
    <w:p>
      <w:pPr>
        <w:ind w:right="440"/>
        <w:spacing w:after="0" w:line="480" w:lineRule="auto"/>
        <w:rPr>
          <w:sz w:val="20"/>
          <w:szCs w:val="20"/>
          <w:color w:val="auto"/>
        </w:rPr>
      </w:pPr>
      <w:r>
        <w:rPr>
          <w:rFonts w:ascii="Times New Roman" w:cs="Times New Roman" w:eastAsia="Times New Roman" w:hAnsi="Times New Roman"/>
          <w:sz w:val="14"/>
          <w:szCs w:val="14"/>
          <w:b w:val="1"/>
          <w:bCs w:val="1"/>
          <w:color w:val="auto"/>
        </w:rPr>
        <w:t>Comparison of the Three Months Ended April 30, 2026 and 2025 Revenue</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Subscription</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Services</w:t>
      </w:r>
    </w:p>
    <w:p>
      <w:pPr>
        <w:spacing w:after="0" w:line="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Total revenue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73" w:lineRule="exact"/>
        <w:rPr>
          <w:sz w:val="20"/>
          <w:szCs w:val="20"/>
          <w:color w:val="auto"/>
        </w:rPr>
      </w:pPr>
    </w:p>
    <w:p>
      <w:pPr>
        <w:jc w:val="center"/>
        <w:ind w:left="-2699"/>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26035</wp:posOffset>
            </wp:positionV>
            <wp:extent cx="202819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28190" cy="6985"/>
                    </a:xfrm>
                    <a:prstGeom prst="rect">
                      <a:avLst/>
                    </a:prstGeom>
                    <a:noFill/>
                  </pic:spPr>
                </pic:pic>
              </a:graphicData>
            </a:graphic>
          </wp:anchor>
        </w:drawing>
      </w:r>
    </w:p>
    <w:p>
      <w:pPr>
        <w:spacing w:after="0" w:line="23" w:lineRule="exact"/>
        <w:rPr>
          <w:sz w:val="20"/>
          <w:szCs w:val="20"/>
          <w:color w:val="auto"/>
        </w:rPr>
      </w:pPr>
    </w:p>
    <w:p>
      <w:pPr>
        <w:ind w:left="3680"/>
        <w:spacing w:after="0"/>
        <w:tabs>
          <w:tab w:leader="none" w:pos="5300" w:val="left"/>
        </w:tabs>
        <w:rPr>
          <w:sz w:val="20"/>
          <w:szCs w:val="20"/>
          <w:color w:val="auto"/>
        </w:rPr>
      </w:pPr>
      <w:r>
        <w:rPr>
          <w:rFonts w:ascii="Times New Roman" w:cs="Times New Roman" w:eastAsia="Times New Roman" w:hAnsi="Times New Roman"/>
          <w:sz w:val="11"/>
          <w:szCs w:val="11"/>
          <w:b w:val="1"/>
          <w:bCs w:val="1"/>
          <w:color w:val="auto"/>
        </w:rPr>
        <w:t>2026</w:t>
      </w:r>
      <w:r>
        <w:rPr>
          <w:sz w:val="20"/>
          <w:szCs w:val="20"/>
          <w:color w:val="auto"/>
        </w:rPr>
        <w:tab/>
      </w:r>
      <w:r>
        <w:rPr>
          <w:rFonts w:ascii="Times New Roman" w:cs="Times New Roman" w:eastAsia="Times New Roman" w:hAnsi="Times New Roman"/>
          <w:sz w:val="11"/>
          <w:szCs w:val="11"/>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255270</wp:posOffset>
            </wp:positionV>
            <wp:extent cx="7161530" cy="134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26035</wp:posOffset>
            </wp:positionV>
            <wp:extent cx="7161530" cy="1143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3000" w:type="dxa"/>
        <w:tblCellMar>
          <w:top w:w="0" w:type="dxa"/>
          <w:left w:w="0" w:type="dxa"/>
          <w:bottom w:w="0" w:type="dxa"/>
          <w:right w:w="0" w:type="dxa"/>
        </w:tblCellMar>
      </w:tblPr>
      <w:tr>
        <w:trPr>
          <w:trHeight w:val="184"/>
        </w:trPr>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r>
      <w:tr>
        <w:trPr>
          <w:trHeight w:val="223"/>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2"/>
        </w:trPr>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393"/>
        </w:trPr>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r>
      <w:tr>
        <w:trPr>
          <w:trHeight w:val="223"/>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03"/>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192"/>
        </w:trPr>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r>
      <w:tr>
        <w:trPr>
          <w:trHeight w:val="393"/>
        </w:trPr>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212"/>
        </w:trPr>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223"/>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203"/>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81 %</w:t>
            </w:r>
          </w:p>
        </w:tc>
      </w:tr>
      <w:tr>
        <w:trPr>
          <w:trHeight w:val="192"/>
        </w:trPr>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2"/>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92"/>
        </w:trPr>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2"/>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3"/>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-2175510</wp:posOffset>
            </wp:positionV>
            <wp:extent cx="7161530" cy="134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-1925955</wp:posOffset>
            </wp:positionV>
            <wp:extent cx="7161530" cy="134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-1649730</wp:posOffset>
            </wp:positionV>
            <wp:extent cx="7161530" cy="141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-1373505</wp:posOffset>
            </wp:positionV>
            <wp:extent cx="7161530" cy="1143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-1124585</wp:posOffset>
            </wp:positionV>
            <wp:extent cx="7161530" cy="134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-848360</wp:posOffset>
            </wp:positionV>
            <wp:extent cx="7161530" cy="141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-572135</wp:posOffset>
            </wp:positionV>
            <wp:extent cx="7161530" cy="134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-302260</wp:posOffset>
            </wp:positionV>
            <wp:extent cx="7161530" cy="134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42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60"/>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1"/>
        </w:trPr>
        <w:tc>
          <w:tcPr>
            <w:tcW w:w="880" w:type="dxa"/>
            <w:vAlign w:val="bottom"/>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666,138</w:t>
            </w:r>
          </w:p>
        </w:tc>
        <w:tc>
          <w:tcPr>
            <w:tcW w:w="80" w:type="dxa"/>
            <w:vAlign w:val="bottom"/>
          </w:tcPr>
          <w:p>
            <w:pPr>
              <w:spacing w:after="0"/>
              <w:rPr>
                <w:sz w:val="17"/>
                <w:szCs w:val="17"/>
                <w:color w:val="auto"/>
              </w:rPr>
            </w:pP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531,455</w:t>
            </w:r>
          </w:p>
        </w:tc>
        <w:tc>
          <w:tcPr>
            <w:tcW w:w="100" w:type="dxa"/>
            <w:vAlign w:val="bottom"/>
          </w:tcPr>
          <w:p>
            <w:pPr>
              <w:spacing w:after="0"/>
              <w:rPr>
                <w:sz w:val="17"/>
                <w:szCs w:val="17"/>
                <w:color w:val="auto"/>
              </w:rPr>
            </w:pP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134,683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223"/>
        </w:trPr>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21,478</w:t>
            </w: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17,559</w:t>
            </w: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224"/>
        </w:trPr>
        <w:tc>
          <w:tcPr>
            <w:tcW w:w="880" w:type="dxa"/>
            <w:vAlign w:val="bottom"/>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687,616</w:t>
            </w:r>
          </w:p>
        </w:tc>
        <w:tc>
          <w:tcPr>
            <w:tcW w:w="80" w:type="dxa"/>
            <w:vAlign w:val="bottom"/>
          </w:tcPr>
          <w:p>
            <w:pPr>
              <w:spacing w:after="0"/>
              <w:rPr>
                <w:sz w:val="19"/>
                <w:szCs w:val="19"/>
                <w:color w:val="auto"/>
              </w:rPr>
            </w:pP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549,014</w:t>
            </w:r>
          </w:p>
        </w:tc>
        <w:tc>
          <w:tcPr>
            <w:tcW w:w="100" w:type="dxa"/>
            <w:vAlign w:val="bottom"/>
          </w:tcPr>
          <w:p>
            <w:pPr>
              <w:spacing w:after="0"/>
              <w:rPr>
                <w:sz w:val="19"/>
                <w:szCs w:val="19"/>
                <w:color w:val="auto"/>
              </w:rPr>
            </w:pP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-430530</wp:posOffset>
            </wp:positionV>
            <wp:extent cx="7161530" cy="134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-154305</wp:posOffset>
            </wp:positionV>
            <wp:extent cx="7161530" cy="154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4360" w:space="720"/>
            <w:col w:w="6200"/>
          </w:cols>
          <w:pgMar w:left="300" w:top="133" w:right="319" w:bottom="1440" w:gutter="0" w:footer="0" w:header="0"/>
        </w:sect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Total revenue growth reflects increased demand for our products and related services. Subscription revenue increased by $134.7 million primarily due to an increase in consumption of Atlas by our large existing customers as evidenced by our net ARR expansion rate of 121% as of April 30, 2026.</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Revenue, Gross Profit and Gross Margin Percentage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8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Borders>
              <w:bottom w:val="single" w:sz="8" w:color="auto"/>
            </w:tcBorders>
          </w:tcPr>
          <w:p>
            <w:pPr>
              <w:spacing w:after="0"/>
              <w:rPr>
                <w:sz w:val="14"/>
                <w:szCs w:val="14"/>
                <w:color w:val="auto"/>
              </w:rPr>
            </w:pPr>
          </w:p>
        </w:tc>
      </w:tr>
      <w:tr>
        <w:trPr>
          <w:trHeight w:val="160"/>
        </w:trPr>
        <w:tc>
          <w:tcPr>
            <w:tcW w:w="4980" w:type="dxa"/>
            <w:vAlign w:val="bottom"/>
            <w:tcBorders>
              <w:bottom w:val="single" w:sz="8" w:color="CCEEFF"/>
            </w:tcBorders>
          </w:tcPr>
          <w:p>
            <w:pPr>
              <w:jc w:val="center"/>
              <w:ind w:right="3272"/>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2"/>
        </w:trPr>
        <w:tc>
          <w:tcPr>
            <w:tcW w:w="4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Subscription cost of revenue</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164,907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6"/>
              </w:rPr>
              <w:t>129,585</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35,322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223"/>
        </w:trPr>
        <w:tc>
          <w:tcPr>
            <w:tcW w:w="49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Services cost of revenue</w:t>
            </w: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26,534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28,456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2"/>
        </w:trPr>
        <w:tc>
          <w:tcPr>
            <w:tcW w:w="4980" w:type="dxa"/>
            <w:vAlign w:val="bottom"/>
            <w:shd w:val="clear" w:color="auto" w:fill="CCEEFF"/>
          </w:tcPr>
          <w:p>
            <w:pPr>
              <w:jc w:val="center"/>
              <w:ind w:right="3292"/>
              <w:spacing w:after="0"/>
              <w:rPr>
                <w:sz w:val="20"/>
                <w:szCs w:val="20"/>
                <w:color w:val="auto"/>
              </w:rPr>
            </w:pPr>
            <w:r>
              <w:rPr>
                <w:rFonts w:ascii="Times New Roman" w:cs="Times New Roman" w:eastAsia="Times New Roman" w:hAnsi="Times New Roman"/>
                <w:sz w:val="14"/>
                <w:szCs w:val="14"/>
                <w:color w:val="auto"/>
                <w:w w:val="99"/>
              </w:rPr>
              <w:t>Total cost of revenue</w:t>
            </w:r>
          </w:p>
        </w:tc>
        <w:tc>
          <w:tcPr>
            <w:tcW w:w="8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191,441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6"/>
              </w:rPr>
              <w:t>158,041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223"/>
        </w:trPr>
        <w:tc>
          <w:tcPr>
            <w:tcW w:w="4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Gross profit</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496,175</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96"/>
              </w:rPr>
              <w:t>390,973</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20"/>
        </w:trPr>
        <w:tc>
          <w:tcPr>
            <w:tcW w:w="4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3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Gross margin</w:t>
            </w:r>
          </w:p>
        </w:tc>
        <w:tc>
          <w:tcPr>
            <w:tcW w:w="36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72 %</w:t>
            </w:r>
          </w:p>
        </w:tc>
        <w:tc>
          <w:tcPr>
            <w:tcW w:w="4140" w:type="dxa"/>
            <w:vAlign w:val="bottom"/>
          </w:tcPr>
          <w:p>
            <w:pPr>
              <w:jc w:val="right"/>
              <w:ind w:right="3089"/>
              <w:spacing w:after="0"/>
              <w:rPr>
                <w:sz w:val="20"/>
                <w:szCs w:val="20"/>
                <w:color w:val="auto"/>
              </w:rPr>
            </w:pPr>
            <w:r>
              <w:rPr>
                <w:rFonts w:ascii="Times New Roman" w:cs="Times New Roman" w:eastAsia="Times New Roman" w:hAnsi="Times New Roman"/>
                <w:sz w:val="14"/>
                <w:szCs w:val="14"/>
                <w:color w:val="auto"/>
              </w:rPr>
              <w:t>71 %</w:t>
            </w:r>
          </w:p>
        </w:tc>
      </w:tr>
      <w:tr>
        <w:trPr>
          <w:trHeight w:val="212"/>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Subscription</w:t>
            </w:r>
          </w:p>
        </w:tc>
        <w:tc>
          <w:tcPr>
            <w:tcW w:w="36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75 %</w:t>
            </w:r>
          </w:p>
        </w:tc>
        <w:tc>
          <w:tcPr>
            <w:tcW w:w="4140" w:type="dxa"/>
            <w:vAlign w:val="bottom"/>
          </w:tcPr>
          <w:p>
            <w:pPr>
              <w:jc w:val="right"/>
              <w:ind w:right="3089"/>
              <w:spacing w:after="0"/>
              <w:rPr>
                <w:sz w:val="20"/>
                <w:szCs w:val="20"/>
                <w:color w:val="auto"/>
              </w:rPr>
            </w:pPr>
            <w:r>
              <w:rPr>
                <w:rFonts w:ascii="Times New Roman" w:cs="Times New Roman" w:eastAsia="Times New Roman" w:hAnsi="Times New Roman"/>
                <w:sz w:val="14"/>
                <w:szCs w:val="14"/>
                <w:color w:val="auto"/>
              </w:rPr>
              <w:t>76 %</w:t>
            </w:r>
          </w:p>
        </w:tc>
      </w:tr>
      <w:tr>
        <w:trPr>
          <w:trHeight w:val="212"/>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Services</w:t>
            </w:r>
          </w:p>
        </w:tc>
        <w:tc>
          <w:tcPr>
            <w:tcW w:w="360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(24)%</w:t>
            </w:r>
          </w:p>
        </w:tc>
        <w:tc>
          <w:tcPr>
            <w:tcW w:w="4140" w:type="dxa"/>
            <w:vAlign w:val="bottom"/>
            <w:shd w:val="clear" w:color="auto" w:fill="CCEEFF"/>
          </w:tcPr>
          <w:p>
            <w:pPr>
              <w:jc w:val="right"/>
              <w:ind w:right="3089"/>
              <w:spacing w:after="0"/>
              <w:rPr>
                <w:sz w:val="20"/>
                <w:szCs w:val="20"/>
                <w:color w:val="auto"/>
              </w:rPr>
            </w:pPr>
            <w:r>
              <w:rPr>
                <w:rFonts w:ascii="Times New Roman" w:cs="Times New Roman" w:eastAsia="Times New Roman" w:hAnsi="Times New Roman"/>
                <w:sz w:val="14"/>
                <w:szCs w:val="14"/>
                <w:color w:val="auto"/>
              </w:rPr>
              <w:t>(62)%</w:t>
            </w:r>
          </w:p>
        </w:tc>
      </w:tr>
    </w:tbl>
    <w:p>
      <w:pPr>
        <w:spacing w:after="0" w:line="145" w:lineRule="exact"/>
        <w:rPr>
          <w:sz w:val="20"/>
          <w:szCs w:val="20"/>
          <w:color w:val="auto"/>
        </w:rPr>
      </w:pPr>
    </w:p>
    <w:p>
      <w:pPr>
        <w:ind w:right="80" w:firstLine="382"/>
        <w:spacing w:after="0" w:line="185" w:lineRule="exact"/>
        <w:rPr>
          <w:sz w:val="20"/>
          <w:szCs w:val="20"/>
          <w:color w:val="auto"/>
        </w:rPr>
      </w:pPr>
      <w:r>
        <w:rPr>
          <w:rFonts w:ascii="Times New Roman" w:cs="Times New Roman" w:eastAsia="Times New Roman" w:hAnsi="Times New Roman"/>
          <w:sz w:val="14"/>
          <w:szCs w:val="14"/>
          <w:color w:val="auto"/>
        </w:rPr>
        <w:t>The increase in subscription cost of revenue was primarily due to a $28.5 million increase in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cloud infrastructure costs, including costs associated with the growth of Atlas and an increase of $3.1 million in personnel costs. The increase in third-party cloud infrastructure costs was partially offset by continued cost efficiencies realized as we scale Atlas. The decrease in services cost of revenue was primarily due to a decrease in third-party consultant costs related to the delivery of consulting and training services.</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overall gross margin increased to 72%. Our subscription gross margin decreased to 75% due to an increase in subscription cost of revenue from Atlas as a percentage of our total revenue.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Services gross margin increased due to the impact of lower third-party consultant and training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Sales and Marketing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400" w:type="dxa"/>
            <w:vAlign w:val="bottom"/>
          </w:tcPr>
          <w:p>
            <w:pPr>
              <w:spacing w:after="0"/>
              <w:rPr>
                <w:sz w:val="14"/>
                <w:szCs w:val="14"/>
                <w:color w:val="auto"/>
              </w:rPr>
            </w:pPr>
          </w:p>
        </w:tc>
        <w:tc>
          <w:tcPr>
            <w:tcW w:w="1600" w:type="dxa"/>
            <w:vAlign w:val="bottom"/>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tc>
        <w:tc>
          <w:tcPr>
            <w:tcW w:w="3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auto"/>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249,334</w:t>
            </w:r>
          </w:p>
        </w:tc>
        <w:tc>
          <w:tcPr>
            <w:tcW w:w="8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220,923</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53"/>
        </w:trPr>
        <w:tc>
          <w:tcPr>
            <w:tcW w:w="5100" w:type="dxa"/>
            <w:vAlign w:val="bottom"/>
            <w:shd w:val="clear" w:color="auto" w:fill="CCEEFF"/>
          </w:tcPr>
          <w:p>
            <w:pPr>
              <w:spacing w:after="0"/>
              <w:rPr>
                <w:sz w:val="4"/>
                <w:szCs w:val="4"/>
                <w:color w:val="auto"/>
              </w:rPr>
            </w:pPr>
          </w:p>
        </w:tc>
        <w:tc>
          <w:tcPr>
            <w:tcW w:w="360" w:type="dxa"/>
            <w:vAlign w:val="bottom"/>
            <w:vMerge w:val="continue"/>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60" w:type="dxa"/>
            <w:vAlign w:val="bottom"/>
            <w:vMerge w:val="continue"/>
            <w:shd w:val="clear" w:color="auto" w:fill="CCEEFF"/>
          </w:tcPr>
          <w:p>
            <w:pPr>
              <w:spacing w:after="0"/>
              <w:rPr>
                <w:sz w:val="4"/>
                <w:szCs w:val="4"/>
                <w:color w:val="auto"/>
              </w:rPr>
            </w:pPr>
          </w:p>
        </w:tc>
        <w:tc>
          <w:tcPr>
            <w:tcW w:w="108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vMerge w:val="continue"/>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increase in sales and marketing expense was primarily driven by a $9.7 million increase in personnel costs, a $8.2 million increase in travel-related expenses due to internal travel for our annual sales kickoff event, a $7.5 million increase in commissions, and a $6.1 million increase in spend on in-person events and digital marketing programs. The increase in sales and marketing was partially offset by a $6.4 million decrease in stock-based compensation.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Research and Development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400" w:type="dxa"/>
            <w:vAlign w:val="bottom"/>
          </w:tcPr>
          <w:p>
            <w:pPr>
              <w:spacing w:after="0"/>
              <w:rPr>
                <w:sz w:val="14"/>
                <w:szCs w:val="14"/>
                <w:color w:val="auto"/>
              </w:rPr>
            </w:pPr>
          </w:p>
        </w:tc>
        <w:tc>
          <w:tcPr>
            <w:tcW w:w="1600" w:type="dxa"/>
            <w:vAlign w:val="bottom"/>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00" w:type="dxa"/>
            <w:vAlign w:val="bottom"/>
            <w:tcBorders>
              <w:bottom w:val="single" w:sz="8" w:color="CCEEFF"/>
            </w:tcBorders>
          </w:tcPr>
          <w:p>
            <w:pPr>
              <w:jc w:val="center"/>
              <w:ind w:right="3396"/>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tc>
        <w:tc>
          <w:tcPr>
            <w:tcW w:w="3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auto"/>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jc w:val="center"/>
              <w:ind w:right="3396"/>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200,409</w:t>
            </w:r>
          </w:p>
        </w:tc>
        <w:tc>
          <w:tcPr>
            <w:tcW w:w="8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168,829</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53"/>
        </w:trPr>
        <w:tc>
          <w:tcPr>
            <w:tcW w:w="5100" w:type="dxa"/>
            <w:vAlign w:val="bottom"/>
            <w:shd w:val="clear" w:color="auto" w:fill="CCEEFF"/>
          </w:tcPr>
          <w:p>
            <w:pPr>
              <w:spacing w:after="0"/>
              <w:rPr>
                <w:sz w:val="4"/>
                <w:szCs w:val="4"/>
                <w:color w:val="auto"/>
              </w:rPr>
            </w:pPr>
          </w:p>
        </w:tc>
        <w:tc>
          <w:tcPr>
            <w:tcW w:w="360" w:type="dxa"/>
            <w:vAlign w:val="bottom"/>
            <w:vMerge w:val="continue"/>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60" w:type="dxa"/>
            <w:vAlign w:val="bottom"/>
            <w:vMerge w:val="continue"/>
            <w:shd w:val="clear" w:color="auto" w:fill="CCEEFF"/>
          </w:tcPr>
          <w:p>
            <w:pPr>
              <w:spacing w:after="0"/>
              <w:rPr>
                <w:sz w:val="4"/>
                <w:szCs w:val="4"/>
                <w:color w:val="auto"/>
              </w:rPr>
            </w:pPr>
          </w:p>
        </w:tc>
        <w:tc>
          <w:tcPr>
            <w:tcW w:w="108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vMerge w:val="continue"/>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The increase in research and development expense was primarily driven by a $23.4 million increase in personnel costs and stock-based compensation, a $4.2 million increase in software costs, and a $3.9 million increase in third-party infrastructure expenses to support ongoing product development and testing activities.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General and Administrative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400" w:type="dxa"/>
            <w:vAlign w:val="bottom"/>
          </w:tcPr>
          <w:p>
            <w:pPr>
              <w:spacing w:after="0"/>
              <w:rPr>
                <w:sz w:val="14"/>
                <w:szCs w:val="14"/>
                <w:color w:val="auto"/>
              </w:rPr>
            </w:pPr>
          </w:p>
        </w:tc>
        <w:tc>
          <w:tcPr>
            <w:tcW w:w="1600" w:type="dxa"/>
            <w:vAlign w:val="bottom"/>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00" w:type="dxa"/>
            <w:vAlign w:val="bottom"/>
            <w:tcBorders>
              <w:bottom w:val="single" w:sz="8" w:color="CCEEFF"/>
            </w:tcBorders>
          </w:tcPr>
          <w:p>
            <w:pPr>
              <w:jc w:val="center"/>
              <w:ind w:right="3396"/>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tc>
        <w:tc>
          <w:tcPr>
            <w:tcW w:w="3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auto"/>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jc w:val="center"/>
              <w:ind w:right="3396"/>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71,236</w:t>
            </w:r>
          </w:p>
        </w:tc>
        <w:tc>
          <w:tcPr>
            <w:tcW w:w="8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54,775</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53"/>
        </w:trPr>
        <w:tc>
          <w:tcPr>
            <w:tcW w:w="5100" w:type="dxa"/>
            <w:vAlign w:val="bottom"/>
            <w:shd w:val="clear" w:color="auto" w:fill="CCEEFF"/>
          </w:tcPr>
          <w:p>
            <w:pPr>
              <w:spacing w:after="0"/>
              <w:rPr>
                <w:sz w:val="4"/>
                <w:szCs w:val="4"/>
                <w:color w:val="auto"/>
              </w:rPr>
            </w:pPr>
          </w:p>
        </w:tc>
        <w:tc>
          <w:tcPr>
            <w:tcW w:w="360" w:type="dxa"/>
            <w:vAlign w:val="bottom"/>
            <w:vMerge w:val="continue"/>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60" w:type="dxa"/>
            <w:vAlign w:val="bottom"/>
            <w:vMerge w:val="continue"/>
            <w:shd w:val="clear" w:color="auto" w:fill="CCEEFF"/>
          </w:tcPr>
          <w:p>
            <w:pPr>
              <w:spacing w:after="0"/>
              <w:rPr>
                <w:sz w:val="4"/>
                <w:szCs w:val="4"/>
                <w:color w:val="auto"/>
              </w:rPr>
            </w:pPr>
          </w:p>
        </w:tc>
        <w:tc>
          <w:tcPr>
            <w:tcW w:w="108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vMerge w:val="continue"/>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increase in general and administrative expense was primarily driven by a $14.4 million increase in personnel costs and stock-based compensation.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Other Income, Net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6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2026</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2"/>
        </w:trPr>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income, net</w:t>
            </w:r>
          </w:p>
        </w:tc>
        <w:tc>
          <w:tcPr>
            <w:tcW w:w="92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r>
    </w:tbl>
    <w:p>
      <w:pPr>
        <w:spacing w:after="0" w:line="176" w:lineRule="exact"/>
        <w:rPr>
          <w:sz w:val="20"/>
          <w:szCs w:val="20"/>
          <w:color w:val="auto"/>
        </w:rPr>
      </w:pPr>
    </w:p>
    <w:p>
      <w:pPr>
        <w:ind w:right="1520" w:firstLine="382"/>
        <w:spacing w:after="0" w:line="463" w:lineRule="auto"/>
        <w:rPr>
          <w:sz w:val="20"/>
          <w:szCs w:val="20"/>
          <w:color w:val="auto"/>
        </w:rPr>
      </w:pPr>
      <w:r>
        <w:rPr>
          <w:rFonts w:ascii="Times New Roman" w:cs="Times New Roman" w:eastAsia="Times New Roman" w:hAnsi="Times New Roman"/>
          <w:sz w:val="14"/>
          <w:szCs w:val="14"/>
          <w:color w:val="auto"/>
        </w:rPr>
        <w:t xml:space="preserve">Other income, net, for the three months ended April 30, 2026 increased primarily due to realized and unrealized gains recognized from our non-marketable securities. </w:t>
      </w:r>
      <w:r>
        <w:rPr>
          <w:rFonts w:ascii="Times New Roman" w:cs="Times New Roman" w:eastAsia="Times New Roman" w:hAnsi="Times New Roman"/>
          <w:sz w:val="14"/>
          <w:szCs w:val="14"/>
          <w:b w:val="1"/>
          <w:bCs w:val="1"/>
          <w:color w:val="auto"/>
        </w:rPr>
        <w:t>Provision for Income Taxes</w:t>
      </w: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60"/>
        </w:trPr>
        <w:tc>
          <w:tcPr>
            <w:tcW w:w="5100" w:type="dxa"/>
            <w:vAlign w:val="bottom"/>
            <w:tcBorders>
              <w:bottom w:val="single" w:sz="8" w:color="CCEEFF"/>
            </w:tcBorders>
          </w:tcPr>
          <w:p>
            <w:pPr>
              <w:jc w:val="center"/>
              <w:ind w:right="3396"/>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2026</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2"/>
        </w:trPr>
        <w:tc>
          <w:tcPr>
            <w:tcW w:w="5100" w:type="dxa"/>
            <w:vAlign w:val="bottom"/>
            <w:shd w:val="clear" w:color="auto" w:fill="CCEEFF"/>
          </w:tcPr>
          <w:p>
            <w:pPr>
              <w:jc w:val="center"/>
              <w:ind w:right="3396"/>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6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bl>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provision for income taxes remained flat for the three months ended April 30, 2026.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jc w:val="both"/>
        <w:ind w:right="200" w:firstLine="382"/>
        <w:spacing w:after="0" w:line="270" w:lineRule="auto"/>
        <w:rPr>
          <w:sz w:val="20"/>
          <w:szCs w:val="20"/>
          <w:color w:val="auto"/>
        </w:rPr>
      </w:pPr>
      <w:r>
        <w:rPr>
          <w:rFonts w:ascii="Times New Roman" w:cs="Times New Roman" w:eastAsia="Times New Roman" w:hAnsi="Times New Roman"/>
          <w:sz w:val="14"/>
          <w:szCs w:val="14"/>
          <w:color w:val="auto"/>
        </w:rPr>
        <w:t>As of April 30, 2026, our principal sources of liquidity were cash, cash equivalents, short-term investments and restricted cash totaling $2.4 billion. Our cash and cash equivalents primarily consist of bank deposits and money market funds. Our short-term investments consist of U.S. government treasury securities, and our restricted cash represents collateral for our available credit on corporate credit cards. We believe our existing cash and cash equivalents and short-term investments will be sufficient to fund our operating and capital needs for at least the next 12 months.</w:t>
      </w:r>
    </w:p>
    <w:p>
      <w:pPr>
        <w:spacing w:after="0" w:line="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 June 2025, our Board of Directors authorized an additional $800.0 million in repurchases under the Share Repurchase Program, bringing the aggregate authorized repurchase amount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 billion. During the three months ended April 30, 2026, under the Share Repurchase Program, we repurchased 358,216 shares of common stock for $100.0 million. The average price per share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three months ended April 30, 2026 was $285.25. Refer to Note 8,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in our Notes to Condensed Consolidated Financial Statements included in Part I, Item 1, and “</w:t>
      </w:r>
      <w:r>
        <w:rPr>
          <w:rFonts w:ascii="Times New Roman" w:cs="Times New Roman" w:eastAsia="Times New Roman" w:hAnsi="Times New Roman"/>
          <w:sz w:val="14"/>
          <w:szCs w:val="14"/>
          <w:i w:val="1"/>
          <w:iCs w:val="1"/>
          <w:color w:val="auto"/>
        </w:rPr>
        <w:t>Purchases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Securities by the Issuer” </w:t>
      </w:r>
      <w:r>
        <w:rPr>
          <w:rFonts w:ascii="Times New Roman" w:cs="Times New Roman" w:eastAsia="Times New Roman" w:hAnsi="Times New Roman"/>
          <w:sz w:val="14"/>
          <w:szCs w:val="14"/>
          <w:color w:val="auto"/>
        </w:rPr>
        <w:t>included in Part II, Item 2 of this Quarterly Report on Form 10-Q for further details.</w:t>
      </w:r>
    </w:p>
    <w:p>
      <w:pPr>
        <w:spacing w:after="0" w:line="122" w:lineRule="exact"/>
        <w:rPr>
          <w:sz w:val="20"/>
          <w:szCs w:val="20"/>
          <w:color w:val="auto"/>
        </w:rPr>
      </w:pPr>
    </w:p>
    <w:p>
      <w:pPr>
        <w:ind w:right="100" w:firstLine="382"/>
        <w:spacing w:after="0" w:line="270" w:lineRule="auto"/>
        <w:rPr>
          <w:sz w:val="20"/>
          <w:szCs w:val="20"/>
          <w:color w:val="auto"/>
        </w:rPr>
      </w:pPr>
      <w:r>
        <w:rPr>
          <w:rFonts w:ascii="Times New Roman" w:cs="Times New Roman" w:eastAsia="Times New Roman" w:hAnsi="Times New Roman"/>
          <w:sz w:val="14"/>
          <w:szCs w:val="14"/>
          <w:color w:val="auto"/>
        </w:rPr>
        <w:t>In October 2025, we began funding withholding taxes in certain jurisdictions due on the vesting of employee RSUs by net share settlement, rather than our previous approach of selling shares of our common stock to cover taxes upon vesting of such awards. The amount of withholding taxes paid related to net share settlement of employee RSUs was $58.3 million for the three months ended April 30, 2026.</w:t>
      </w:r>
    </w:p>
    <w:p>
      <w:pPr>
        <w:spacing w:after="0" w:line="93" w:lineRule="exact"/>
        <w:rPr>
          <w:sz w:val="20"/>
          <w:szCs w:val="20"/>
          <w:color w:val="auto"/>
        </w:rPr>
      </w:pPr>
    </w:p>
    <w:p>
      <w:pPr>
        <w:ind w:right="120" w:firstLine="382"/>
        <w:spacing w:after="0" w:line="257" w:lineRule="auto"/>
        <w:rPr>
          <w:sz w:val="20"/>
          <w:szCs w:val="20"/>
          <w:color w:val="auto"/>
        </w:rPr>
      </w:pPr>
      <w:r>
        <w:rPr>
          <w:rFonts w:ascii="Times New Roman" w:cs="Times New Roman" w:eastAsia="Times New Roman" w:hAnsi="Times New Roman"/>
          <w:sz w:val="14"/>
          <w:szCs w:val="14"/>
          <w:color w:val="auto"/>
        </w:rPr>
        <w:t>We have generated significant operating losses as reflected in our accumulated deficit of $1.9 billion as of April 30, 2026. We expect to continue to incur operating losses, may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inflation, the timing and extent of spending to support development efforts, the expansion of sales and marketing and international operation activities, the timing and size of new subscription introductions and customer usage of our developer data platform, the continuing market acceptance of our subscriptions and services and the impact of the macroeconomic conditions on the global economy and our business, financial condition and results of operations. As the impact of macroeconomic conditions on the global economy and our operations continues to evolve, we will continue to assess our liquidity needs. In the future, we may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37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 (unaudited,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560" w:type="dxa"/>
            <w:vAlign w:val="bottom"/>
            <w:tcBorders>
              <w:bottom w:val="single" w:sz="8" w:color="auto"/>
            </w:tcBorders>
          </w:tcPr>
          <w:p>
            <w:pPr>
              <w:spacing w:after="0"/>
              <w:rPr>
                <w:sz w:val="13"/>
                <w:szCs w:val="13"/>
                <w:color w:val="auto"/>
              </w:rPr>
            </w:pPr>
          </w:p>
        </w:tc>
      </w:tr>
      <w:tr>
        <w:trPr>
          <w:trHeight w:val="154"/>
        </w:trPr>
        <w:tc>
          <w:tcPr>
            <w:tcW w:w="82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r>
      <w:tr>
        <w:trPr>
          <w:trHeight w:val="197"/>
        </w:trPr>
        <w:tc>
          <w:tcPr>
            <w:tcW w:w="8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201,631</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109,929</w:t>
            </w:r>
          </w:p>
        </w:tc>
      </w:tr>
      <w:tr>
        <w:trPr>
          <w:trHeight w:val="212"/>
        </w:trPr>
        <w:tc>
          <w:tcPr>
            <w:tcW w:w="8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(86,923)</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51,571</w:t>
            </w:r>
          </w:p>
        </w:tc>
      </w:tr>
      <w:tr>
        <w:trPr>
          <w:trHeight w:val="212"/>
        </w:trPr>
        <w:tc>
          <w:tcPr>
            <w:tcW w:w="8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(159,875)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Operating Activities</w:t>
      </w:r>
    </w:p>
    <w:p>
      <w:pPr>
        <w:spacing w:after="0" w:line="138" w:lineRule="exact"/>
        <w:rPr>
          <w:sz w:val="20"/>
          <w:szCs w:val="20"/>
          <w:color w:val="auto"/>
        </w:rPr>
      </w:pPr>
    </w:p>
    <w:p>
      <w:pPr>
        <w:ind w:right="60" w:firstLine="509"/>
        <w:spacing w:after="0" w:line="172" w:lineRule="exact"/>
        <w:rPr>
          <w:sz w:val="20"/>
          <w:szCs w:val="20"/>
          <w:color w:val="auto"/>
        </w:rPr>
      </w:pPr>
      <w:r>
        <w:rPr>
          <w:rFonts w:ascii="Times New Roman" w:cs="Times New Roman" w:eastAsia="Times New Roman" w:hAnsi="Times New Roman"/>
          <w:sz w:val="14"/>
          <w:szCs w:val="14"/>
          <w:color w:val="auto"/>
        </w:rPr>
        <w:t>Net cash provided by operating activities during the three months ended April 30, 2026 was $201.6 million, and reflects our net income of $4.4 million, adjusted by non-cash items such as $137.8 million of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$16.4 million of net realized and unrealized gains on financial instruments, $5.6 million of depreciation and amortization, and net cash provided by changes in operating assets and liabilities of $67.6 million. The net cash provided by changes in operating assets and liabilities primarily consisted of an increase in cash collected from customers resulting from an increase in sales as evidenced through a net increase in cash of $73.1 million from changes in accounts receivable and deferred revenue. Additionally, a decrease of $12.2 million in deferred commissions primarily due to amortization exceeding current-period capitalization. Partially offsetting these benefits to our operating cash flow were increases in prepaid expenses and other assets of $12.3 million and a decrease of $2.3 million of accrued liabilities and accounts payable.</w:t>
      </w:r>
    </w:p>
    <w:p>
      <w:pPr>
        <w:spacing w:after="0" w:line="116" w:lineRule="exact"/>
        <w:rPr>
          <w:sz w:val="20"/>
          <w:szCs w:val="20"/>
          <w:color w:val="auto"/>
        </w:rPr>
      </w:pPr>
    </w:p>
    <w:p>
      <w:pPr>
        <w:ind w:right="200" w:firstLine="509"/>
        <w:spacing w:after="0" w:line="174" w:lineRule="exact"/>
        <w:rPr>
          <w:sz w:val="20"/>
          <w:szCs w:val="20"/>
          <w:color w:val="auto"/>
        </w:rPr>
      </w:pPr>
      <w:r>
        <w:rPr>
          <w:rFonts w:ascii="Times New Roman" w:cs="Times New Roman" w:eastAsia="Times New Roman" w:hAnsi="Times New Roman"/>
          <w:sz w:val="14"/>
          <w:szCs w:val="14"/>
          <w:color w:val="auto"/>
        </w:rPr>
        <w:t>Net cash provided by operating activities during the three months ended April 30, 2025 was $109.9 million, driven primarily by an increase in our cash collections reflecting the overall growth of our sales and expansion of our customer base. Accordingly, our accounts receivable decreased by $79.9 million. In addition, our net loss of $37.6 million, includes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charges of $132.4 million for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$5.3 million for depreciation and amortization and other net non-cash charges of $1.5 million. Partially offsetting these benefits to our operating cash flow were a decrease in deferred revenue by $39.6 million, a decrease in accrued liabilities by $19.4 million and an increase in other long-term assets of $12.6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Investing Activities</w:t>
      </w:r>
    </w:p>
    <w:p>
      <w:pPr>
        <w:spacing w:after="0" w:line="138"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during the three months ended April 30, 2026 was $86.9 million, due to purchases of marketable securities, net of maturities, of $92.3 million, purchases of property and equipment of $2.3 million, partially offset by proceeds from non-marketable securities, net of investments made, of $7.7 million.</w:t>
      </w:r>
    </w:p>
    <w:p>
      <w:pPr>
        <w:spacing w:after="0" w:line="82" w:lineRule="exact"/>
        <w:rPr>
          <w:sz w:val="20"/>
          <w:szCs w:val="20"/>
          <w:color w:val="auto"/>
        </w:rPr>
      </w:pPr>
    </w:p>
    <w:p>
      <w:pPr>
        <w:jc w:val="both"/>
        <w:ind w:right="120" w:firstLine="382"/>
        <w:spacing w:after="0" w:line="270" w:lineRule="auto"/>
        <w:rPr>
          <w:sz w:val="20"/>
          <w:szCs w:val="20"/>
          <w:color w:val="auto"/>
        </w:rPr>
      </w:pPr>
      <w:r>
        <w:rPr>
          <w:rFonts w:ascii="Times New Roman" w:cs="Times New Roman" w:eastAsia="Times New Roman" w:hAnsi="Times New Roman"/>
          <w:sz w:val="14"/>
          <w:szCs w:val="14"/>
          <w:color w:val="auto"/>
        </w:rPr>
        <w:t>Net cash provided by investing activities during the three months ended April 30, 2025 was $51.6 million, due to proceeds from maturities of marketable securities, net of purchases, of $60.0 million, partially offset by cash used for investments in non-marketable securities of $4.8 million, payments related to a business combination, net of cash acquired of $2.0 million and purchases of property and equipment of $1.6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Financing Activities</w:t>
      </w:r>
    </w:p>
    <w:p>
      <w:pPr>
        <w:spacing w:after="0" w:line="138"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Net cash used in financing activities during the three months ended April 30, 2026 was $159.9 million, due to repurchases of common stock of $100.3 million and $58.3 million due to taxes paid related to net share settlement of equity awards.</w:t>
      </w:r>
    </w:p>
    <w:p>
      <w:pPr>
        <w:spacing w:after="0" w:line="82"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Net cash used in financing activities during the three months ended April 30, 2025 was $1.8 million, due to principal payments of finance leases of $2.4 million, partially offset by proceeds from the exercises of stock options of $0.6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38"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We have experienced seasonal fluctuations in our revenue and operating results and this trend may continue in the future. We may experience variability and reduced comparability of our quarterly revenue and operating results with respect to the timing and nature of certain contracts, particularly multi-year contracts that contain a term license. We may also experience fluctuations as Atlas revenue is recorded on a consumption basis and varies with usage, inclusive of seasonal variability. As Atlas revenue continues to increase as a percentage of total revenue, these fluctuations may have a greater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38" w:lineRule="exact"/>
        <w:rPr>
          <w:sz w:val="20"/>
          <w:szCs w:val="20"/>
          <w:color w:val="auto"/>
        </w:rPr>
      </w:pPr>
    </w:p>
    <w:p>
      <w:pPr>
        <w:ind w:right="240" w:firstLine="382"/>
        <w:spacing w:after="0" w:line="270" w:lineRule="auto"/>
        <w:rPr>
          <w:sz w:val="20"/>
          <w:szCs w:val="20"/>
          <w:color w:val="auto"/>
        </w:rPr>
      </w:pPr>
      <w:r>
        <w:rPr>
          <w:rFonts w:ascii="Times New Roman" w:cs="Times New Roman" w:eastAsia="Times New Roman" w:hAnsi="Times New Roman"/>
          <w:sz w:val="14"/>
          <w:szCs w:val="14"/>
          <w:color w:val="auto"/>
        </w:rPr>
        <w:t xml:space="preserve">There were no other material changes outside the ordinary course of business to our contractual obligations and commitments from those disclosed in our 2026 Form 10-K. Refer to Note 5, </w:t>
      </w:r>
      <w:r>
        <w:rPr>
          <w:rFonts w:ascii="Times New Roman" w:cs="Times New Roman" w:eastAsia="Times New Roman" w:hAnsi="Times New Roman"/>
          <w:sz w:val="14"/>
          <w:szCs w:val="14"/>
          <w:i w:val="1"/>
          <w:iCs w:val="1"/>
          <w:color w:val="auto"/>
        </w:rPr>
        <w:t xml:space="preserve">Leases </w:t>
      </w:r>
      <w:r>
        <w:rPr>
          <w:rFonts w:ascii="Times New Roman" w:cs="Times New Roman" w:eastAsia="Times New Roman" w:hAnsi="Times New Roman"/>
          <w:sz w:val="14"/>
          <w:szCs w:val="14"/>
          <w:color w:val="auto"/>
        </w:rPr>
        <w:t>and Note 6,</w:t>
      </w:r>
      <w:r>
        <w:rPr>
          <w:rFonts w:ascii="Times New Roman" w:cs="Times New Roman" w:eastAsia="Times New Roman" w:hAnsi="Times New Roman"/>
          <w:sz w:val="14"/>
          <w:szCs w:val="14"/>
          <w:i w:val="1"/>
          <w:iCs w:val="1"/>
          <w:color w:val="auto"/>
        </w:rPr>
        <w:t xml:space="preserve"> Commitments and Contingencies</w:t>
      </w:r>
      <w:r>
        <w:rPr>
          <w:rFonts w:ascii="Times New Roman" w:cs="Times New Roman" w:eastAsia="Times New Roman" w:hAnsi="Times New Roman"/>
          <w:sz w:val="14"/>
          <w:szCs w:val="14"/>
          <w:color w:val="auto"/>
        </w:rPr>
        <w:t>, in our Notes to Condensed Consolidated Financial Statements included in Part I, Item 1 of this Quarterly Report on Form 10-Q for further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details.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38"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202"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4"/>
          <w:szCs w:val="14"/>
          <w:color w:val="auto"/>
        </w:rPr>
        <w:t>We are subject to income taxes in the U.S. and in many foreign jurisdictions. Significant judgment is required in determining our provision for income taxes, our deferred tax assets and liabilities and any valuation allowance recorded against our net deferred tax assets that are not more-likely-than-not to be realized. The determination of the realizability of deferred tax assets requires significant judgment in assessing the likelihood of future tax consequences and evaluation of all available evidence in accordance with applicable accounting guidance. In completing our assessment of realizability of our deferred tax assets, we consider our history of losses measured at pre-tax income (loss) adjusted for permanent book-tax differences on a jurisdictional basis, volatility in actual earnings, excess tax benefits related to stock-based compensation in recent prior years, and impacts of the timing of reversal of existing temporary differences. We also rely on our assessment of the Company’s projected future results of business operations, relative to historical results, volatility in the market price of our common stock and its performance over time, variable macroeconomic conditions impacting our ability to forecast future taxable income, and changes in business that may affect the existence and magnitude of future taxable income. Our valuation allowance assessment is based on our best estimate of future results considering all available information. There were no material changes in our valuation allowance assessment, given our current earnings and anticipated future earnings, we believe that there is a reasonable possibility that sufficient positive evidence may become available within the next 12 months to reach a conclusion that all or a portion of the U.S. valuation allowance will no longer be needed. Release of the valuation allowance would result in a material income tax benefit due to the recognition of U.S. federal and state deferred tax assets and a corresponding decrease to income tax expense in the period the release is recorded. The exact timing and amount of any potential valuation allowance release are subject to change on the basis of our level of sustained U.S. profitability, as well as the amount of our tax deductible stock-based compensation, which is dependent upon our publicly traded share price and macroeconomic conditions, among other factors. We will continue to monitor this on a quarterly basis.</w:t>
      </w:r>
    </w:p>
    <w:p>
      <w:pPr>
        <w:spacing w:after="0" w:line="111" w:lineRule="exact"/>
        <w:rPr>
          <w:sz w:val="20"/>
          <w:szCs w:val="20"/>
          <w:color w:val="auto"/>
        </w:rPr>
      </w:pPr>
    </w:p>
    <w:p>
      <w:pPr>
        <w:ind w:right="220" w:firstLine="382"/>
        <w:spacing w:after="0" w:line="287" w:lineRule="auto"/>
        <w:rPr>
          <w:sz w:val="20"/>
          <w:szCs w:val="20"/>
          <w:color w:val="auto"/>
        </w:rPr>
      </w:pPr>
      <w:r>
        <w:rPr>
          <w:rFonts w:ascii="Times New Roman" w:cs="Times New Roman" w:eastAsia="Times New Roman" w:hAnsi="Times New Roman"/>
          <w:sz w:val="14"/>
          <w:szCs w:val="14"/>
          <w:color w:val="auto"/>
        </w:rPr>
        <w:t>There have been no other changes in our critical accounting estimates from those disclosed in Part II, Item 7, “Management’s Discussion and Analysis of Financial Condition and Results of Operations” of the 2026 Form 10-K.</w:t>
      </w:r>
    </w:p>
    <w:p>
      <w:pPr>
        <w:spacing w:after="0" w:line="200" w:lineRule="exact"/>
        <w:rPr>
          <w:sz w:val="20"/>
          <w:szCs w:val="20"/>
          <w:color w:val="auto"/>
        </w:rPr>
      </w:pPr>
    </w:p>
    <w:p>
      <w:pPr>
        <w:spacing w:after="0" w:line="34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33"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We have operations both within the United States and internationally and we are exposed to market risk in the ordinary course of business. The uncertainty that exists in the global economic environment has introduced significant volatility in the financial markets.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Interest Rate Risk</w:t>
      </w:r>
    </w:p>
    <w:p>
      <w:pPr>
        <w:spacing w:after="0" w:line="13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Our cash and cash equivalents primarily consist of bank deposits and money market funds, and our short-term investments consist of U.S. government treasury securities. As of April 30, 2026, we had cash, cash equivalents, restricted cash and short-term investments of $2.4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April 30, 2026.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Foreign Currency Risk</w:t>
      </w:r>
    </w:p>
    <w:p>
      <w:pPr>
        <w:spacing w:after="0" w:line="138" w:lineRule="exact"/>
        <w:rPr>
          <w:sz w:val="20"/>
          <w:szCs w:val="20"/>
          <w:color w:val="auto"/>
        </w:rPr>
      </w:pPr>
    </w:p>
    <w:p>
      <w:pPr>
        <w:ind w:right="20" w:firstLine="382"/>
        <w:spacing w:after="0" w:line="259" w:lineRule="auto"/>
        <w:rPr>
          <w:sz w:val="20"/>
          <w:szCs w:val="20"/>
          <w:color w:val="auto"/>
        </w:rPr>
      </w:pPr>
      <w:r>
        <w:rPr>
          <w:rFonts w:ascii="Times New Roman" w:cs="Times New Roman" w:eastAsia="Times New Roman" w:hAnsi="Times New Roman"/>
          <w:sz w:val="14"/>
          <w:szCs w:val="14"/>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condensed consolidated statements of operations. The effect of a hypothetical 10% change in foreign currency exchange rates applicable to our business would not have a material impact on our historical consolidated financial statements for the three months ended April 30, 2026 and 2025.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Market Risk</w:t>
      </w:r>
    </w:p>
    <w:p>
      <w:pPr>
        <w:spacing w:after="0" w:line="138"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We could experience additional volatility to our condensed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April 30, 2026 and January 31, 2026, the total amount of non-marketable securities included in other assets on our balance sheets was $37.7 million and $32.3 million, respectively.</w:t>
      </w: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3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01"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our Chief Financial Officer, evaluated the effectiveness of our disclosure controls and procedures as of April 30, 2026. Based on the evaluation of our disclosure controls and procedures as of April 30, 2026, our Chief Executive Officer and Chief Financial Officer concluded that, as of such date, our disclosure controls and procedures were effective at the reasonable assurance level.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38" w:lineRule="exact"/>
        <w:rPr>
          <w:sz w:val="20"/>
          <w:szCs w:val="20"/>
          <w:color w:val="auto"/>
        </w:rPr>
      </w:pPr>
    </w:p>
    <w:p>
      <w:pPr>
        <w:ind w:right="380" w:firstLine="382"/>
        <w:spacing w:after="0" w:line="287" w:lineRule="auto"/>
        <w:rPr>
          <w:sz w:val="20"/>
          <w:szCs w:val="20"/>
          <w:color w:val="auto"/>
        </w:rPr>
      </w:pPr>
      <w:r>
        <w:rPr>
          <w:rFonts w:ascii="Times New Roman" w:cs="Times New Roman" w:eastAsia="Times New Roman" w:hAnsi="Times New Roman"/>
          <w:sz w:val="14"/>
          <w:szCs w:val="14"/>
          <w:color w:val="auto"/>
        </w:rPr>
        <w:t>There was no change in our internal control over financial reporting identified in connection with the evaluation required by Rule 13a-15(d) and Rule 15d-15(d) of the Exchange Act that occurred during the three months ended April 30, 2026 that has materially affected, or is reasonably likely to materially affect, our internal control over financial reporting.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w:t>
      </w:r>
    </w:p>
    <w:p>
      <w:pPr>
        <w:spacing w:after="0" w:line="138" w:lineRule="exact"/>
        <w:rPr>
          <w:sz w:val="20"/>
          <w:szCs w:val="20"/>
          <w:color w:val="auto"/>
        </w:rPr>
      </w:pPr>
    </w:p>
    <w:p>
      <w:pPr>
        <w:ind w:right="20" w:firstLine="382"/>
        <w:spacing w:after="0" w:line="256" w:lineRule="auto"/>
        <w:rPr>
          <w:sz w:val="20"/>
          <w:szCs w:val="20"/>
          <w:color w:val="auto"/>
        </w:rPr>
      </w:pPr>
      <w:r>
        <w:rPr>
          <w:rFonts w:ascii="Times New Roman" w:cs="Times New Roman" w:eastAsia="Times New Roman" w:hAnsi="Times New Roman"/>
          <w:sz w:val="14"/>
          <w:szCs w:val="14"/>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5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31" w:lineRule="exact"/>
        <w:rPr>
          <w:sz w:val="20"/>
          <w:szCs w:val="20"/>
          <w:color w:val="auto"/>
        </w:rPr>
      </w:pPr>
    </w:p>
    <w:p>
      <w:pPr>
        <w:ind w:right="660" w:firstLine="382"/>
        <w:spacing w:after="0" w:line="290" w:lineRule="auto"/>
        <w:rPr>
          <w:sz w:val="20"/>
          <w:szCs w:val="20"/>
          <w:color w:val="auto"/>
        </w:rPr>
      </w:pPr>
      <w:r>
        <w:rPr>
          <w:rFonts w:ascii="Times New Roman" w:cs="Times New Roman" w:eastAsia="Times New Roman" w:hAnsi="Times New Roman"/>
          <w:sz w:val="14"/>
          <w:szCs w:val="14"/>
          <w:color w:val="auto"/>
        </w:rPr>
        <w:t xml:space="preserve">The information required to be set forth under this Item 1 is incorporated by reference to Note 6,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of the Notes to Condensed Consolidated Financial Statements included in this Form 10-Q.</w:t>
      </w:r>
    </w:p>
    <w:p>
      <w:pPr>
        <w:spacing w:after="0" w:line="78" w:lineRule="exact"/>
        <w:rPr>
          <w:sz w:val="20"/>
          <w:szCs w:val="20"/>
          <w:color w:val="auto"/>
        </w:rPr>
      </w:pPr>
    </w:p>
    <w:p>
      <w:pPr>
        <w:ind w:right="60" w:firstLine="382"/>
        <w:spacing w:after="0" w:line="257" w:lineRule="auto"/>
        <w:rPr>
          <w:sz w:val="20"/>
          <w:szCs w:val="20"/>
          <w:color w:val="auto"/>
        </w:rPr>
      </w:pPr>
      <w:r>
        <w:rPr>
          <w:rFonts w:ascii="Times New Roman" w:cs="Times New Roman" w:eastAsia="Times New Roman" w:hAnsi="Times New Roman"/>
          <w:sz w:val="14"/>
          <w:szCs w:val="14"/>
          <w:color w:val="auto"/>
        </w:rPr>
        <w:t xml:space="preserve">On July 9, 2024, a putative class action lawsuit, captioned </w:t>
      </w:r>
      <w:r>
        <w:rPr>
          <w:rFonts w:ascii="Times New Roman" w:cs="Times New Roman" w:eastAsia="Times New Roman" w:hAnsi="Times New Roman"/>
          <w:sz w:val="14"/>
          <w:szCs w:val="14"/>
          <w:i w:val="1"/>
          <w:iCs w:val="1"/>
          <w:color w:val="auto"/>
        </w:rPr>
        <w:t>Baxter v. MongoDB, Inc., et al.</w:t>
      </w:r>
      <w:r>
        <w:rPr>
          <w:rFonts w:ascii="Times New Roman" w:cs="Times New Roman" w:eastAsia="Times New Roman" w:hAnsi="Times New Roman"/>
          <w:sz w:val="14"/>
          <w:szCs w:val="14"/>
          <w:color w:val="auto"/>
        </w:rPr>
        <w:t xml:space="preserve"> (Case No. 1:24-cv-5191), was filed in the United States District Court for the Southern District of New York against MongoDB, former CEO Dev Ittycheria, and former COO and CFO Michael Gordon (the “Securities Action”). On January 27, 2025, the lead plaintiff in the Securities Action filed an Amended Complaint naming former Senior Vice President of Finance and former Interim CFO Srdjan Tanjga as an additional defendant. The operative complaint asserts claims under Sections 10(b) and 20(a) of the Securities Exchange Act, and alleges that defendants made material misstatements and/or omissions, including regarding MongoDB’s sales strategy, growth projections and its financial results. The complaint is purportedly brought on behalf of a putative class of persons who purchased or otherwise acquired MongoDB common stock between June 1, 2023 and May 30, 2024. It seeks unspecified monetary damages, costs and attorneys’ fees, and other unspecified relief. Defendants filed a motion to dismiss the complaint on May 9, 2025. Plaintiffs filed an opposition brief on July 1, 2025, and defendants filed their reply brief on July 29, 2025. On May 1, 2026, the Court entered an order granting Defendants’ motion to dismiss in part and denying it in part, as it relates to four specific statements. On May 15, 2026, Defendants filed a motion for reconsideration of the Court’s order on the motion to dismiss. The Company is unable to estimate any reasonably possible loss, or range of loss, with respect to these matters at this time. The Company intends to vigorously defend itself in this matter.</w:t>
      </w:r>
    </w:p>
    <w:p>
      <w:pPr>
        <w:spacing w:after="0" w:line="104"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4"/>
          <w:szCs w:val="14"/>
          <w:color w:val="auto"/>
        </w:rPr>
        <w:t xml:space="preserve">On October 7, 2024, a purported shareholder derivative lawsuit was filed in the U.S. District Court for the Southern District of New York, captioned </w:t>
      </w:r>
      <w:r>
        <w:rPr>
          <w:rFonts w:ascii="Times New Roman" w:cs="Times New Roman" w:eastAsia="Times New Roman" w:hAnsi="Times New Roman"/>
          <w:sz w:val="14"/>
          <w:szCs w:val="14"/>
          <w:i w:val="1"/>
          <w:iCs w:val="1"/>
          <w:color w:val="auto"/>
        </w:rPr>
        <w:t>Roy v. Ittycheria et al.</w:t>
      </w:r>
      <w:r>
        <w:rPr>
          <w:rFonts w:ascii="Times New Roman" w:cs="Times New Roman" w:eastAsia="Times New Roman" w:hAnsi="Times New Roman"/>
          <w:sz w:val="14"/>
          <w:szCs w:val="14"/>
          <w:color w:val="auto"/>
        </w:rPr>
        <w:t xml:space="preserve"> (Case. No. 1:24-cv-07594), against the Company, as a nominal defendant, and former CEO Dev Ittycheria, former COO and CFO Michael Gordon, and several of the Company’s current and former directors. The lawsuit alleges that the individual defendants breached their fiduciary duties and committed other alleged misconduct in connection with the statements at issue in the Securities Action and by causing the Company to issue allegedly false and misleading statements to investors. Another similar case, </w:t>
      </w:r>
      <w:r>
        <w:rPr>
          <w:rFonts w:ascii="Times New Roman" w:cs="Times New Roman" w:eastAsia="Times New Roman" w:hAnsi="Times New Roman"/>
          <w:sz w:val="14"/>
          <w:szCs w:val="14"/>
          <w:i w:val="1"/>
          <w:iCs w:val="1"/>
          <w:color w:val="auto"/>
        </w:rPr>
        <w:t>Silva v. Ittycheria et al.</w:t>
      </w:r>
      <w:r>
        <w:rPr>
          <w:rFonts w:ascii="Times New Roman" w:cs="Times New Roman" w:eastAsia="Times New Roman" w:hAnsi="Times New Roman"/>
          <w:sz w:val="14"/>
          <w:szCs w:val="14"/>
          <w:color w:val="auto"/>
        </w:rPr>
        <w:t xml:space="preserve"> (Case No. 1:24-cv-9014) was subsequently filed in the same district on November 25, 2024 against MongoDB, as nominal defendant, and the same individual defendants as the </w:t>
      </w:r>
      <w:r>
        <w:rPr>
          <w:rFonts w:ascii="Times New Roman" w:cs="Times New Roman" w:eastAsia="Times New Roman" w:hAnsi="Times New Roman"/>
          <w:sz w:val="14"/>
          <w:szCs w:val="14"/>
          <w:i w:val="1"/>
          <w:iCs w:val="1"/>
          <w:color w:val="auto"/>
        </w:rPr>
        <w:t>Roy</w:t>
      </w:r>
      <w:r>
        <w:rPr>
          <w:rFonts w:ascii="Times New Roman" w:cs="Times New Roman" w:eastAsia="Times New Roman" w:hAnsi="Times New Roman"/>
          <w:sz w:val="14"/>
          <w:szCs w:val="14"/>
          <w:color w:val="auto"/>
        </w:rPr>
        <w:t xml:space="preserve"> S.D.N.Y. action. It has been consolidated with the Roy action with the caption </w:t>
      </w:r>
      <w:r>
        <w:rPr>
          <w:rFonts w:ascii="Times New Roman" w:cs="Times New Roman" w:eastAsia="Times New Roman" w:hAnsi="Times New Roman"/>
          <w:sz w:val="14"/>
          <w:szCs w:val="14"/>
          <w:i w:val="1"/>
          <w:iCs w:val="1"/>
          <w:color w:val="auto"/>
        </w:rPr>
        <w:t>In 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MongoDB, Inc. Shareholder Litigation </w:t>
      </w:r>
      <w:r>
        <w:rPr>
          <w:rFonts w:ascii="Times New Roman" w:cs="Times New Roman" w:eastAsia="Times New Roman" w:hAnsi="Times New Roman"/>
          <w:sz w:val="14"/>
          <w:szCs w:val="14"/>
          <w:color w:val="auto"/>
        </w:rPr>
        <w:t>(Case No. 1:24-cv-9014) (the “S.D.N.Y Derivative Litigation”). On September 12, 2025 another purported derivative action was filed in the Court of Chancery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of the State of Delaware (Case No. 2025-1030) (the “Delaware Derivative Litigation”), against the Company, as a nominal defendant, and former CEO Dev Ittycheria, former COO and CFO Michael Gordon, and several of the Company’s current and former directors. The case is captioned </w:t>
      </w:r>
      <w:r>
        <w:rPr>
          <w:rFonts w:ascii="Times New Roman" w:cs="Times New Roman" w:eastAsia="Times New Roman" w:hAnsi="Times New Roman"/>
          <w:sz w:val="14"/>
          <w:szCs w:val="14"/>
          <w:i w:val="1"/>
          <w:iCs w:val="1"/>
          <w:color w:val="auto"/>
        </w:rPr>
        <w:t>Sansone v. Ittycheria, et al.</w:t>
      </w:r>
      <w:r>
        <w:rPr>
          <w:rFonts w:ascii="Times New Roman" w:cs="Times New Roman" w:eastAsia="Times New Roman" w:hAnsi="Times New Roman"/>
          <w:sz w:val="14"/>
          <w:szCs w:val="14"/>
          <w:color w:val="auto"/>
        </w:rPr>
        <w:t xml:space="preserve"> The lawsuit, like the S.D.N.Y. Derivative Litigation, alleges that the individual defendants breached their fiduciary duties and committed other alleged misconduct in connection with the statements at issue in the Securities Action and by causing the Company to issue allegedly false and misleading statements to investors. The S.D.N.Y. Derivative Litigation and the Delaware Derivative Litigation have been stayed pending the outcome of the Court’s decision on the defendants’ motion for reconsideration in the Securities Action.</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From time to time, we may be subject to other legal proceedings and claims in the ordinary course of business.</w:t>
      </w:r>
    </w:p>
    <w:p>
      <w:pPr>
        <w:spacing w:after="0" w:line="136" w:lineRule="exact"/>
        <w:rPr>
          <w:sz w:val="20"/>
          <w:szCs w:val="20"/>
          <w:color w:val="auto"/>
        </w:rPr>
      </w:pPr>
    </w:p>
    <w:p>
      <w:pPr>
        <w:jc w:val="both"/>
        <w:ind w:right="60" w:firstLine="382"/>
        <w:spacing w:after="0" w:line="270" w:lineRule="auto"/>
        <w:rPr>
          <w:sz w:val="20"/>
          <w:szCs w:val="20"/>
          <w:color w:val="auto"/>
        </w:rPr>
      </w:pPr>
      <w:r>
        <w:rPr>
          <w:rFonts w:ascii="Times New Roman" w:cs="Times New Roman" w:eastAsia="Times New Roman" w:hAnsi="Times New Roman"/>
          <w:sz w:val="14"/>
          <w:szCs w:val="14"/>
          <w:color w:val="auto"/>
        </w:rPr>
        <w:t>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41" w:lineRule="exact"/>
        <w:rPr>
          <w:sz w:val="20"/>
          <w:szCs w:val="20"/>
          <w:color w:val="auto"/>
        </w:rPr>
      </w:pPr>
    </w:p>
    <w:p>
      <w:pPr>
        <w:ind w:right="20"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200" w:lineRule="exact"/>
        <w:rPr>
          <w:sz w:val="20"/>
          <w:szCs w:val="20"/>
          <w:color w:val="auto"/>
        </w:rPr>
      </w:pPr>
    </w:p>
    <w:p>
      <w:pPr>
        <w:spacing w:after="0" w:line="36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138" w:lineRule="exact"/>
        <w:rPr>
          <w:sz w:val="20"/>
          <w:szCs w:val="20"/>
          <w:color w:val="auto"/>
        </w:rPr>
      </w:pPr>
    </w:p>
    <w:p>
      <w:pPr>
        <w:ind w:right="340" w:firstLine="318"/>
        <w:spacing w:after="0" w:line="287"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spacing w:after="0" w:line="82" w:lineRule="exact"/>
        <w:rPr>
          <w:sz w:val="20"/>
          <w:szCs w:val="20"/>
          <w:color w:val="auto"/>
        </w:rPr>
      </w:pPr>
    </w:p>
    <w:p>
      <w:pPr>
        <w:ind w:left="520" w:right="26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conditions in our industry or the global economy or reductions in information technology spending could limit our ability to grow our business and materially and adversely affect our results of operations.</w:t>
      </w:r>
    </w:p>
    <w:p>
      <w:pPr>
        <w:spacing w:after="0" w:line="39" w:lineRule="exact"/>
        <w:rPr>
          <w:rFonts w:ascii="Times New Roman" w:cs="Times New Roman" w:eastAsia="Times New Roman" w:hAnsi="Times New Roman"/>
          <w:sz w:val="14"/>
          <w:szCs w:val="14"/>
          <w:color w:val="auto"/>
        </w:rPr>
      </w:pPr>
    </w:p>
    <w:p>
      <w:pPr>
        <w:jc w:val="both"/>
        <w:ind w:left="520" w:right="60" w:hanging="260"/>
        <w:spacing w:after="0" w:line="270"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meet our publicly announced guidance or other expectations about our business and future operating results, which would cause our stock price to decline.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at our current scale, which makes it difficult to predict our future results of operations.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losses and as our costs increase, we may not be able to generate sufficient revenue to achieve or sustain profitability.</w:t>
      </w:r>
    </w:p>
    <w:p>
      <w:pPr>
        <w:spacing w:after="0" w:line="93" w:lineRule="exact"/>
        <w:rPr>
          <w:rFonts w:ascii="Times New Roman" w:cs="Times New Roman" w:eastAsia="Times New Roman" w:hAnsi="Times New Roman"/>
          <w:sz w:val="14"/>
          <w:szCs w:val="14"/>
          <w:color w:val="auto"/>
        </w:rPr>
      </w:pPr>
    </w:p>
    <w:p>
      <w:pPr>
        <w:ind w:left="520" w:right="48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derive more than the majority of our revenue from Atlas, failure of Atlas to satisfy customer demands could adversely affect our business, results of operations, financial condition and growth prospects and our future revenue may be more difficult to predict.</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currently face significant competition and expect that intense competition will continue.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do not effectively expand our sales and marketing organization, we may be unable to add new customers or increase sales to our existing customers.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 to offer Community Server under the Server Side Public License (“SSPL”) may harm the adoption of Community Server.</w:t>
      </w:r>
    </w:p>
    <w:p>
      <w:pPr>
        <w:spacing w:after="0" w:line="93"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negatively impacted if the GNU Affero General Public License Version 3 (the “AGPL”), the SSPL and other open source licenses under which some of our software is licensed are not enforceable.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licensing model for Community Server could negatively affect our ability to monetize and protect our intellectual property rights.</w:t>
      </w:r>
    </w:p>
    <w:p>
      <w:pPr>
        <w:spacing w:after="0" w:line="93"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not able to introduce new features or services successfully and to make enhancements to our software or services, our business and results of operations could be adversely affected.</w:t>
      </w:r>
    </w:p>
    <w:p>
      <w:pPr>
        <w:spacing w:after="0" w:line="93" w:lineRule="exact"/>
        <w:rPr>
          <w:rFonts w:ascii="Times New Roman" w:cs="Times New Roman" w:eastAsia="Times New Roman" w:hAnsi="Times New Roman"/>
          <w:sz w:val="14"/>
          <w:szCs w:val="14"/>
          <w:color w:val="auto"/>
        </w:rPr>
      </w:pPr>
    </w:p>
    <w:p>
      <w:pPr>
        <w:ind w:left="520" w:right="44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39" w:lineRule="exact"/>
        <w:rPr>
          <w:rFonts w:ascii="Times New Roman" w:cs="Times New Roman" w:eastAsia="Times New Roman" w:hAnsi="Times New Roman"/>
          <w:sz w:val="14"/>
          <w:szCs w:val="14"/>
          <w:color w:val="auto"/>
        </w:rPr>
      </w:pPr>
    </w:p>
    <w:p>
      <w:pPr>
        <w:ind w:left="520" w:right="220" w:hanging="260"/>
        <w:spacing w:after="0" w:line="270"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50" w:lineRule="exact"/>
        <w:rPr>
          <w:rFonts w:ascii="Times New Roman" w:cs="Times New Roman" w:eastAsia="Times New Roman" w:hAnsi="Times New Roman"/>
          <w:sz w:val="14"/>
          <w:szCs w:val="14"/>
          <w:color w:val="auto"/>
        </w:rPr>
      </w:pPr>
    </w:p>
    <w:p>
      <w:pPr>
        <w:ind w:left="520" w:right="30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not able to maintain and enhance our brand, especially among developers, our business and results of operations may be adversely affected.</w:t>
      </w:r>
    </w:p>
    <w:p>
      <w:pPr>
        <w:spacing w:after="0" w:line="200" w:lineRule="exact"/>
        <w:rPr>
          <w:sz w:val="20"/>
          <w:szCs w:val="20"/>
          <w:color w:val="auto"/>
        </w:rPr>
      </w:pPr>
    </w:p>
    <w:p>
      <w:pPr>
        <w:spacing w:after="0" w:line="36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25"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Unfavorable conditions in our industry or the global economy or reductions in information technology spending could limit our ability to grow our business and materially and adversely affect our results of operations.</w:t>
      </w:r>
    </w:p>
    <w:p>
      <w:pPr>
        <w:spacing w:after="0" w:line="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4"/>
          <w:szCs w:val="14"/>
          <w:color w:val="auto"/>
        </w:rPr>
        <w:t>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materially and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changes in trade policies, such as trade wars, tariffs or other trade restrictions or the threat of such actions, international trade relations, political turmoil, natural catastrophes, regional or global outbreaks of contagious diseases, such as the COVID-19 pandemic, volatility in the banking sector, warfare and terrorist attacks on the United States, Europe, the Asia Pacific region or elsewhere, such as the conflict in the Middle East, could cause a decrease in business investments, including spending on information technology, disrupt the timing and cadence of key industry and marketing events and otherwise could materially and adversely affect the growth of our business and results of operations. Geopolitical risks, including those arising from trade tension and/or the imposition of trade tariffs, terrorist activity or acts of civil or international hostility, are increasing. In particular, there is currently significant uncertainty about trade policies, treaties, tariffs and taxes, which may lead to continuing volatility in U.S. and global financial and economic conditions and commodity markets, declining consumer confidence, significant inflation and diminished expectations for the economy, and which may ultimately lead to reduced usage or demand for our products. Similarly, the ongoing military conflict between Russia and Ukraine has had negative impacts on the global economy, including by contributing to rapidly rising costs of living (driven largely by higher energy prices) in Europe and creating uncertainty in the global capital markets and is expected to have further global economic consequences, including disruptions of the global supply chain and energy markets. The geopolitical instability resulting from the conflict in Iran, the unrest in Mexico, the conflict between Israel and Hamas and recent events in Venezuela, and any resulting conflicts in the respective regions, may have similar negative impacts. Further,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spacing w:after="0" w:line="104" w:lineRule="exact"/>
        <w:rPr>
          <w:sz w:val="20"/>
          <w:szCs w:val="20"/>
          <w:color w:val="auto"/>
        </w:rPr>
      </w:pPr>
    </w:p>
    <w:p>
      <w:pPr>
        <w:ind w:right="40" w:firstLine="382"/>
        <w:spacing w:after="0" w:line="257" w:lineRule="auto"/>
        <w:rPr>
          <w:sz w:val="20"/>
          <w:szCs w:val="20"/>
          <w:color w:val="auto"/>
        </w:rPr>
      </w:pPr>
      <w:r>
        <w:rPr>
          <w:rFonts w:ascii="Times New Roman" w:cs="Times New Roman" w:eastAsia="Times New Roman" w:hAnsi="Times New Roman"/>
          <w:sz w:val="14"/>
          <w:szCs w:val="14"/>
          <w:color w:val="auto"/>
        </w:rPr>
        <w:t>Additionally, the global economy, including credit and financial markets, has experienced extreme volatility and disruptions and may continue to experience such disruptions in the future,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has caused and could continue to cause disruptions of the global supply chain and energy markets. The geopolitical instability resulting from the conflict in Iran, the unrest in Mexico, the conflict between Israel and Hamas and recent events in Venezuela, and any resulting conflicts in the respective regions, has caused and may continue to cause similar negative impacts. Any such volatility and disruptions may have material and adverse consequences on us, the third parties on whom we rely or our customers. Increased inflation and/or interest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spacing w:after="0" w:line="104"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This could also result in an extension of our sales cycle with potential customers, thus increasing the time and cost associated with our sales process. Further, if our customers experience reductions in their technology spending, even if they choose to use our products, they may not purchase additional products and services in the future due to budget limitations.</w:t>
      </w:r>
    </w:p>
    <w:p>
      <w:pPr>
        <w:spacing w:after="0" w:line="200" w:lineRule="exact"/>
        <w:rPr>
          <w:sz w:val="20"/>
          <w:szCs w:val="20"/>
          <w:color w:val="auto"/>
        </w:rPr>
      </w:pPr>
    </w:p>
    <w:p>
      <w:pPr>
        <w:spacing w:after="0" w:line="36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4"/>
          <w:szCs w:val="14"/>
          <w:color w:val="auto"/>
        </w:rPr>
        <w:t>In addition, the banking sector has previously experienced increased volatility as a result of several distressed or closed banks and financial institutions. While we have not suffered any material effects as a result of the increased financial market volatility, we do regularly maintain cash balances at third-party financial institutions in excess of government- insured limits, and if financial institutions used by us or our customers face insolvency or illiquidity challenges due to events affecting the banking system and / or financial markets, our and our customers' ability to access existing cash, cash equivalents, and investments may be threatened. To the extent that the resulting receivership or insolvency causes customers to be unable to, or causes delays, in accessing bank deposits, our customers may not be able to pay us on time or at all for the products and services that we provide them and they may not renew their subscriptions with us. The failure of banks or financial institutions and the measures taken by governments, businesses and other organizations in response to such events could adversely impact our business, financial condition and results of operations.</w:t>
      </w:r>
    </w:p>
    <w:p>
      <w:pPr>
        <w:spacing w:after="0" w:line="273"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at our current scale, which makes it difficult to predict our future results of operations.</w:t>
      </w:r>
    </w:p>
    <w:p>
      <w:pPr>
        <w:spacing w:after="0" w:line="138"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As a result of our limited operating history at our current scale,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losses and as our costs increase, we may not be able to generate sufficient revenue to achieve or sustain profitability.</w:t>
      </w:r>
    </w:p>
    <w:p>
      <w:pPr>
        <w:spacing w:after="0" w:line="138" w:lineRule="exact"/>
        <w:rPr>
          <w:sz w:val="20"/>
          <w:szCs w:val="20"/>
          <w:color w:val="auto"/>
        </w:rPr>
      </w:pPr>
    </w:p>
    <w:p>
      <w:pPr>
        <w:ind w:right="60" w:firstLine="382"/>
        <w:spacing w:after="0" w:line="257" w:lineRule="auto"/>
        <w:rPr>
          <w:sz w:val="20"/>
          <w:szCs w:val="20"/>
          <w:color w:val="auto"/>
        </w:rPr>
      </w:pPr>
      <w:r>
        <w:rPr>
          <w:rFonts w:ascii="Times New Roman" w:cs="Times New Roman" w:eastAsia="Times New Roman" w:hAnsi="Times New Roman"/>
          <w:sz w:val="14"/>
          <w:szCs w:val="14"/>
          <w:color w:val="auto"/>
        </w:rPr>
        <w:t>We have generated net income of $4.4 million for the three months ended April 30, 2026 and net losses of $71.2 million, $129.1 million, and $176.6 million for the fiscal years ended January 31, 2026, 2025 and 2024, respectively. We had an accumulated deficit of $1,907.4 million as of April 30, 2026. While we have experienced significant growth in revenue in recent periods, and have achieved profitability during certain periods, we cannot assure you when or whether we will reach sustained profitability.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04"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derive more than the majority of our revenue from Atlas, failure of Atlas to satisfy customer demands could adversely affect our business, results of operations, financial condition and growth prospects and our future revenue may be more difficult to predict.</w:t>
      </w:r>
    </w:p>
    <w:p>
      <w:pPr>
        <w:spacing w:after="0" w:line="80"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We derive and expect to continue to derive more than the majority of our revenue from Atlas, our database-as-a-service offering, which is primarily recognized on a usage-basis. As such, market adoption and usage of Atlas is critical to our continued success. Although Atlas has seen rapid adoption since its commercial launch in June 2016, and though we intend to continue to direct a significant portion of our financial and operating resources to develop and grow Atlas, including</w:t>
      </w:r>
    </w:p>
    <w:p>
      <w:pPr>
        <w:spacing w:after="0" w:line="200" w:lineRule="exact"/>
        <w:rPr>
          <w:sz w:val="20"/>
          <w:szCs w:val="20"/>
          <w:color w:val="auto"/>
        </w:rPr>
      </w:pPr>
    </w:p>
    <w:p>
      <w:pPr>
        <w:spacing w:after="0" w:line="36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offering a free tier of Atlas to generate developer usage and awareness, we cannot guarantee that rate of adoption will continue at the same pace or at all. Demand for Atlas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If we are unable to continue to meet the demands of our customers and the developer community, our business operations, financial results and growth prospects will be materially and adversely affected. In addition, because our customers’ usage of Atlas may vary for a number of reasons, our visibility into the timing of revenue recognition is limited. There is a risk that customers will consume our Atlas offering more slowly than we expect, and our actual results may differ from our forecasts and our future revenue may be less predictable going forward due to, among other things, fluctuations in the rate of customer renewals and expansions and seasonality of, or fluctuations in, usage of Atlas.</w:t>
      </w:r>
    </w:p>
    <w:p>
      <w:pPr>
        <w:spacing w:after="0" w:line="1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93"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4"/>
          <w:szCs w:val="14"/>
          <w:color w:val="auto"/>
        </w:rPr>
        <w:t>Our subscription offerings are term-based and a majority of our subscription contracts are one year in duration.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and our net ARR expansion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spacing w:after="0" w:line="108"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See “—</w:t>
      </w:r>
      <w:r>
        <w:rPr>
          <w:rFonts w:ascii="Times New Roman" w:cs="Times New Roman" w:eastAsia="Times New Roman" w:hAnsi="Times New Roman"/>
          <w:sz w:val="14"/>
          <w:szCs w:val="14"/>
          <w:i w:val="1"/>
          <w:iCs w:val="1"/>
          <w:color w:val="auto"/>
        </w:rPr>
        <w:t>Unfavorable conditions in our industry or the global economy 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reductions in information technology spending could limit our ability to grow our business and materially and adversely affect our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currently face significant competition and expect that intense competition will continue.</w:t>
      </w:r>
    </w:p>
    <w:p>
      <w:pPr>
        <w:spacing w:after="0" w:line="138" w:lineRule="exact"/>
        <w:rPr>
          <w:sz w:val="20"/>
          <w:szCs w:val="20"/>
          <w:color w:val="auto"/>
        </w:rPr>
      </w:pPr>
    </w:p>
    <w:p>
      <w:pPr>
        <w:ind w:right="80" w:firstLine="382"/>
        <w:spacing w:after="0" w:line="258" w:lineRule="auto"/>
        <w:rPr>
          <w:sz w:val="20"/>
          <w:szCs w:val="20"/>
          <w:color w:val="auto"/>
        </w:rPr>
      </w:pPr>
      <w:r>
        <w:rPr>
          <w:rFonts w:ascii="Times New Roman" w:cs="Times New Roman" w:eastAsia="Times New Roman" w:hAnsi="Times New Roman"/>
          <w:sz w:val="14"/>
          <w:szCs w:val="14"/>
          <w:color w:val="auto"/>
        </w:rPr>
        <w:t>The database software market, for both relational and non-relational database products, is highly competitive and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on-premises or in a hybrid environment and ease of deployment; breadth of use cases supported; ease of integration with existing IT infrastructure; robustness of professional services and customer support; price and total cost of ownership; adherence to industry standards and certifications, including cybersecurity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spacing w:after="0" w:line="104"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with smaller, emerging database software providers. In addition, other large software and internet companies may seek to enter our market.</w:t>
      </w:r>
    </w:p>
    <w:p>
      <w:pPr>
        <w:spacing w:after="0" w:line="200" w:lineRule="exact"/>
        <w:rPr>
          <w:sz w:val="20"/>
          <w:szCs w:val="20"/>
          <w:color w:val="auto"/>
        </w:rPr>
      </w:pPr>
    </w:p>
    <w:p>
      <w:pPr>
        <w:spacing w:after="0" w:line="36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4"/>
          <w:szCs w:val="14"/>
          <w:color w:val="auto"/>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08"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4"/>
          <w:szCs w:val="14"/>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do not effectively expand our sales and marketing organization, we may be unable to add new customers or increase sales to our existing customers.</w:t>
      </w:r>
    </w:p>
    <w:p>
      <w:pPr>
        <w:spacing w:after="0" w:line="138"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Increasing our customer base and achieving broader market acceptance of our subscription offerings and related services will depend, to a significant extent, on our ability to timely and effectively expand our sales and marketing operations and activities. We are substantially dependent on our direct sales force and our marketing efforts to obtain new customers.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adoption strategies include offering Community Server and a free tier of Atlas and we may not be able to realize the intended benefits of these strategies.</w:t>
      </w:r>
    </w:p>
    <w:p>
      <w:pPr>
        <w:spacing w:after="0" w:line="138"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4"/>
          <w:szCs w:val="14"/>
          <w:color w:val="auto"/>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Atlas do not become, or lead others to become, paying customers, we will not realize the intended benefits of these strategies and our ability to grow our business or achieve profitability may be harmed.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decision to offer Community Server under the SSPL, may harm the adoption of Community Server.</w:t>
      </w:r>
    </w:p>
    <w:p>
      <w:pPr>
        <w:spacing w:after="0" w:line="138"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On October 16, 2018, we announced that we were changing the license for Community Server from the AGPL to a new software license, the SSPL. The SSPL builds on the spirit of the AGPL, but includes an explicit condition that any</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spacing w:after="0" w:line="99" w:lineRule="exact"/>
        <w:rPr>
          <w:sz w:val="20"/>
          <w:szCs w:val="20"/>
          <w:color w:val="auto"/>
        </w:rPr>
      </w:pPr>
    </w:p>
    <w:p>
      <w:pPr>
        <w:ind w:right="4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spacing w:after="0" w:line="80" w:lineRule="exact"/>
        <w:rPr>
          <w:sz w:val="20"/>
          <w:szCs w:val="20"/>
          <w:color w:val="auto"/>
        </w:rPr>
      </w:pPr>
    </w:p>
    <w:p>
      <w:pPr>
        <w:ind w:right="80" w:firstLine="382"/>
        <w:spacing w:after="0" w:line="256" w:lineRule="auto"/>
        <w:rPr>
          <w:sz w:val="20"/>
          <w:szCs w:val="20"/>
          <w:color w:val="auto"/>
        </w:rPr>
      </w:pPr>
      <w:r>
        <w:rPr>
          <w:rFonts w:ascii="Times New Roman" w:cs="Times New Roman" w:eastAsia="Times New Roman" w:hAnsi="Times New Roman"/>
          <w:sz w:val="14"/>
          <w:szCs w:val="14"/>
          <w:color w:val="auto"/>
        </w:rPr>
        <w:t>We track certain operational metrics, including annualized recurring revenue (“ARR”), net ARR expansion rate, total customers, direct sales customers, Atlas customers, customers over 100K and downloads of our platform and non-GAAP metrics such as non-GAAP gross profit, non-GAAP gross margin, non-GAAP operating expenses, non-GAAP income (loss) from operations, non-GAAP net income (loss), non-GAAP net income (loss) per share and free cash flow. These operational metrics are tracked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we expect that our business, reputation, financial condition, and results of operations would be adversely affected.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negatively impacted if the AGPL, the SSPL and other open source licenses under which some of our software is licensed are not enforceable.</w:t>
      </w:r>
    </w:p>
    <w:p>
      <w:pPr>
        <w:spacing w:after="0" w:line="13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on or after that date. The SSPL builds on the spirit of the AGPL, but includes an explicit condition that any organization using Community Server to offer MongoDB as a third-party service must open source the software that it uses to offer such service. It is possible that a court could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licensing model for Community Server could negatively affect our ability to monetize and protect our intellectual property rights.</w:t>
      </w:r>
    </w:p>
    <w:p>
      <w:pPr>
        <w:spacing w:after="0" w:line="138" w:lineRule="exact"/>
        <w:rPr>
          <w:sz w:val="20"/>
          <w:szCs w:val="20"/>
          <w:color w:val="auto"/>
        </w:rPr>
      </w:pPr>
    </w:p>
    <w:p>
      <w:pPr>
        <w:ind w:right="40" w:firstLine="382"/>
        <w:spacing w:after="0" w:line="257" w:lineRule="auto"/>
        <w:rPr>
          <w:sz w:val="20"/>
          <w:szCs w:val="20"/>
          <w:color w:val="auto"/>
        </w:rPr>
      </w:pPr>
      <w:r>
        <w:rPr>
          <w:rFonts w:ascii="Times New Roman" w:cs="Times New Roman" w:eastAsia="Times New Roman" w:hAnsi="Times New Roman"/>
          <w:sz w:val="14"/>
          <w:szCs w:val="14"/>
          <w:color w:val="auto"/>
        </w:rPr>
        <w:t>We make our Community Server offering available under either the SSPL (for versions released on or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200" w:lineRule="exact"/>
        <w:rPr>
          <w:sz w:val="20"/>
          <w:szCs w:val="20"/>
          <w:color w:val="auto"/>
        </w:rPr>
      </w:pPr>
    </w:p>
    <w:p>
      <w:pPr>
        <w:spacing w:after="0" w:line="37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jc w:val="both"/>
        <w:ind w:right="320" w:firstLine="382"/>
        <w:spacing w:after="0" w:line="270" w:lineRule="auto"/>
        <w:rPr>
          <w:sz w:val="20"/>
          <w:szCs w:val="20"/>
          <w:color w:val="auto"/>
        </w:rPr>
      </w:pPr>
      <w:r>
        <w:rPr>
          <w:rFonts w:ascii="Times New Roman" w:cs="Times New Roman" w:eastAsia="Times New Roman" w:hAnsi="Times New Roman"/>
          <w:sz w:val="14"/>
          <w:szCs w:val="14"/>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software incorporates third-party open source software, which could negatively affect our ability to sell our products and subject us to possible litigation.</w:t>
      </w:r>
    </w:p>
    <w:p>
      <w:pPr>
        <w:spacing w:after="0" w:line="138"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or that we have not breached the terms of an applicable open source license agreement, in part because open source license terms are often ambiguous.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03" w:lineRule="exact"/>
        <w:rPr>
          <w:sz w:val="20"/>
          <w:szCs w:val="20"/>
          <w:color w:val="auto"/>
        </w:rPr>
      </w:pPr>
    </w:p>
    <w:p>
      <w:pPr>
        <w:ind w:right="80" w:firstLine="382"/>
        <w:spacing w:after="0" w:line="259" w:lineRule="auto"/>
        <w:rPr>
          <w:sz w:val="20"/>
          <w:szCs w:val="20"/>
          <w:color w:val="auto"/>
        </w:rPr>
      </w:pPr>
      <w:r>
        <w:rPr>
          <w:rFonts w:ascii="Times New Roman" w:cs="Times New Roman" w:eastAsia="Times New Roman" w:hAnsi="Times New Roman"/>
          <w:sz w:val="14"/>
          <w:szCs w:val="14"/>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applicable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03"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In addition to risks related to license requirements, the use of third-party open source software can lead to greater risks than the use of third-party commercial software, as open source licensors generally do not provide warranties, indemnities or other contractual protections with respect to the software (for example, non-infringement or functionality). There is typically no support available for open source software, and we cannot ensure that the authors of such open source software will implement or push updates to address security risks or will not abandon further development and maintenance. Our use of open source software may also present additional security risks because the source code for open source software is publicly available, which may make it easier for hackers and other third parties to determine how to breach our systems and networks that rely on open source software.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Any of these risks could be difficult to eliminate or manage and if not addressed, could have a negative effect on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38" w:lineRule="exact"/>
        <w:rPr>
          <w:sz w:val="20"/>
          <w:szCs w:val="20"/>
          <w:color w:val="auto"/>
        </w:rPr>
      </w:pPr>
    </w:p>
    <w:p>
      <w:pPr>
        <w:ind w:right="40" w:firstLine="382"/>
        <w:spacing w:after="0" w:line="258" w:lineRule="auto"/>
        <w:rPr>
          <w:sz w:val="20"/>
          <w:szCs w:val="20"/>
          <w:color w:val="auto"/>
        </w:rPr>
      </w:pPr>
      <w:r>
        <w:rPr>
          <w:rFonts w:ascii="Times New Roman" w:cs="Times New Roman" w:eastAsia="Times New Roman" w:hAnsi="Times New Roman"/>
          <w:sz w:val="14"/>
          <w:szCs w:val="14"/>
          <w:color w:val="auto"/>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For instance, with the development of next-generation solutions that utilize new and advanced features, including artificial intelligence (“AI”) and machine learning (“ML”), we may be required to commit significant resources to developing new products, enhancements and developments.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w:t>
      </w:r>
    </w:p>
    <w:p>
      <w:pPr>
        <w:spacing w:after="0" w:line="200" w:lineRule="exact"/>
        <w:rPr>
          <w:sz w:val="20"/>
          <w:szCs w:val="20"/>
          <w:color w:val="auto"/>
        </w:rPr>
      </w:pPr>
    </w:p>
    <w:p>
      <w:pPr>
        <w:spacing w:after="0" w:line="37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01" w:lineRule="exact"/>
        <w:rPr>
          <w:sz w:val="20"/>
          <w:szCs w:val="20"/>
          <w:color w:val="auto"/>
        </w:rPr>
      </w:pPr>
    </w:p>
    <w:p>
      <w:pPr>
        <w:ind w:right="340" w:firstLine="382"/>
        <w:spacing w:after="0" w:line="270" w:lineRule="auto"/>
        <w:rPr>
          <w:sz w:val="20"/>
          <w:szCs w:val="20"/>
          <w:color w:val="auto"/>
        </w:rPr>
      </w:pPr>
      <w:r>
        <w:rPr>
          <w:rFonts w:ascii="Times New Roman" w:cs="Times New Roman" w:eastAsia="Times New Roman" w:hAnsi="Times New Roman"/>
          <w:sz w:val="14"/>
          <w:szCs w:val="14"/>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success is highly dependent on our ability to penetrate the existing market for database products, as well as the growth and expansion of the market for database products.</w:t>
      </w:r>
    </w:p>
    <w:p>
      <w:pPr>
        <w:spacing w:after="0" w:line="138"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quarterly results may fluctuate significantly and if we fail to meet the expectations of analysts or investors, our stock price could decline substantially.</w:t>
      </w:r>
    </w:p>
    <w:p>
      <w:pPr>
        <w:spacing w:after="0" w:line="138" w:lineRule="exact"/>
        <w:rPr>
          <w:sz w:val="20"/>
          <w:szCs w:val="20"/>
          <w:color w:val="auto"/>
        </w:rPr>
      </w:pPr>
    </w:p>
    <w:p>
      <w:pPr>
        <w:jc w:val="both"/>
        <w:ind w:right="280" w:firstLine="382"/>
        <w:spacing w:after="0" w:line="270" w:lineRule="auto"/>
        <w:rPr>
          <w:sz w:val="20"/>
          <w:szCs w:val="20"/>
          <w:color w:val="auto"/>
        </w:rPr>
      </w:pPr>
      <w:r>
        <w:rPr>
          <w:rFonts w:ascii="Times New Roman" w:cs="Times New Roman" w:eastAsia="Times New Roman" w:hAnsi="Times New Roman"/>
          <w:sz w:val="14"/>
          <w:szCs w:val="14"/>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93"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actual and anticipated growth rates of our revenue, customers and other key operating metrics;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product announcements, pricing changes and other actions by competitors;</w:t>
      </w:r>
    </w:p>
    <w:p>
      <w:pPr>
        <w:spacing w:after="0" w:line="93" w:lineRule="exact"/>
        <w:rPr>
          <w:rFonts w:ascii="Times New Roman" w:cs="Times New Roman" w:eastAsia="Times New Roman" w:hAnsi="Times New Roman"/>
          <w:sz w:val="14"/>
          <w:szCs w:val="14"/>
          <w:color w:val="auto"/>
        </w:rPr>
      </w:pPr>
    </w:p>
    <w:p>
      <w:pPr>
        <w:ind w:left="520" w:right="140" w:hanging="260"/>
        <w:spacing w:after="0" w:line="270"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mix of revenue and associated costs attributable to subscriptions for our Atlas and MongoDB Enterprise Advanced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mix of revenue and associated costs attributable to sales where subscriptions are bundled with services versus sold on a standalone basis and sales by us and our partners;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customers;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and effectively expand our sales and marketing capabilities and teams;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customers and expand their usage of our software, particularly for our largest customers;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enforce the AGPL or SSPL;</w:t>
      </w:r>
    </w:p>
    <w:p>
      <w:pPr>
        <w:spacing w:after="0" w:line="93"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closing sales, including the timing of renewals, which may result in revenue being pushed into the next quarter, particularly because a large portion of our sales occur toward the end of each quarter;</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revenue recognition;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mix of revenue attributable to larger transactions as opposed to smaller transactions;</w:t>
      </w:r>
    </w:p>
    <w:p>
      <w:pPr>
        <w:spacing w:after="0" w:line="200" w:lineRule="exact"/>
        <w:rPr>
          <w:sz w:val="20"/>
          <w:szCs w:val="20"/>
          <w:color w:val="auto"/>
        </w:rPr>
      </w:pPr>
    </w:p>
    <w:p>
      <w:pPr>
        <w:spacing w:after="0" w:line="36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customers’ budgets and in the timing of their budgeting cycles and purchasing decisions;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customers’ consumption of our platform;</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customers and potential customers opting for alternative products, including developing their own in-house solutions, or opting to use only the free version of our products;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control costs, including our operating expenses;</w:t>
      </w:r>
    </w:p>
    <w:p>
      <w:pPr>
        <w:spacing w:after="0" w:line="93" w:lineRule="exact"/>
        <w:rPr>
          <w:rFonts w:ascii="Times New Roman" w:cs="Times New Roman" w:eastAsia="Times New Roman" w:hAnsi="Times New Roman"/>
          <w:sz w:val="14"/>
          <w:szCs w:val="14"/>
          <w:color w:val="auto"/>
        </w:rPr>
      </w:pPr>
    </w:p>
    <w:p>
      <w:pPr>
        <w:ind w:left="520" w:right="28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security breaches or other security vulnerabilities, incidents, technical difficulties, or interruptions with respect to the delivery and use of our software;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maintain the level of service uptime and performance required by our customers;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collectability of receivables from customers and resellers, which may be hindered or delayed if these customers or resellers experience financial distress;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and economic conditions, in domestic or international markets;</w:t>
      </w:r>
    </w:p>
    <w:p>
      <w:pPr>
        <w:spacing w:after="0" w:line="93" w:lineRule="exact"/>
        <w:rPr>
          <w:rFonts w:ascii="Times New Roman" w:cs="Times New Roman" w:eastAsia="Times New Roman" w:hAnsi="Times New Roman"/>
          <w:sz w:val="14"/>
          <w:szCs w:val="14"/>
          <w:color w:val="auto"/>
        </w:rPr>
      </w:pPr>
    </w:p>
    <w:p>
      <w:pPr>
        <w:ind w:left="520" w:right="40" w:hanging="260"/>
        <w:spacing w:after="0" w:line="27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both domestically and internationally, including warfare and terrorist attacks on the United States and other regions in which we or our customers operate, such as the conflict in Iran, the unrest in Mexico, the Russia-Ukraine conflict, the Israel-Hamas conflict and recent events in Venezuela, as well as economic conditions specifically affecting industries in which our customers participate;</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tax and other tax determinations by authorities in the jurisdictions in which we conduct business;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amount, and cost of our investments to expand the capacity of our public cloud providers;</w:t>
      </w:r>
    </w:p>
    <w:p>
      <w:pPr>
        <w:spacing w:after="0" w:line="93"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legal expenses, including settlements, judgments, fines, legal fees, and other charges associated with litigation, governmental investigations or inquiries, regulatory investigations or inquiries, or other legal proceedings;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costs associated with hiring, training, and integrating new employees and retaining and motivating existing employees;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and timing of acquisitions and their integration;</w:t>
      </w:r>
    </w:p>
    <w:p>
      <w:pPr>
        <w:spacing w:after="0" w:line="93" w:lineRule="exact"/>
        <w:rPr>
          <w:rFonts w:ascii="Times New Roman" w:cs="Times New Roman" w:eastAsia="Times New Roman" w:hAnsi="Times New Roman"/>
          <w:sz w:val="14"/>
          <w:szCs w:val="14"/>
          <w:color w:val="auto"/>
        </w:rPr>
      </w:pPr>
    </w:p>
    <w:p>
      <w:pPr>
        <w:ind w:left="520" w:right="48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or legal environments, including the interpretation or enforcement of regulatory or legal requirements, that may cause us to incur, among other things, expenses associated with compliance;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new accounting pronouncements;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stock-based compensation expense.</w:t>
      </w:r>
    </w:p>
    <w:p>
      <w:pPr>
        <w:spacing w:after="0" w:line="94"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4"/>
          <w:szCs w:val="14"/>
          <w:color w:val="auto"/>
        </w:rPr>
        <w:t>The occurrence of one or more of the foregoing and other factors may cause our results of operations to vary significantly and be materially and adversely affected. For example, fluctuations in our quarterly operating results and the price of our common stock may be particularly pronounced in the current economic environment due to the ongoing geopolitical instability resulting from the conflict in Iran, the unrest in Mexico, the conflicts between Russia and Ukraine, Israel and Hamas and recent events in Venezuela, continued restrictive monetary policy in certain markets in which we operate, declines in consumer confidence, declines in economic growth, persistent inflation, and uncertainty about economic stability. It is especially difficult to predict the impact of such events on the global economic markets, which have been and will continue to be highly dependent upon the actions of governments, businesses, and other enterprises in response to macroeconomic events, and the effectiveness of those actions. Any of these factors or any combination thereof could materially and adversely affect our business, results of operations and financial condition.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 See the section titled “Legal Proceedings” included in Part II, Item 1 of this Quarterly Report on Form 10-Q.</w:t>
      </w:r>
    </w:p>
    <w:p>
      <w:pPr>
        <w:spacing w:after="0" w:line="200" w:lineRule="exact"/>
        <w:rPr>
          <w:sz w:val="20"/>
          <w:szCs w:val="20"/>
          <w:color w:val="auto"/>
        </w:rPr>
      </w:pPr>
    </w:p>
    <w:p>
      <w:pPr>
        <w:spacing w:after="0" w:line="37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have experienced rapid growth in our business, operations and employee headcount. For fiscal years 2026, 2025 and 2024, our total revenue was $2,463.8 million, $2,006.4 million,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$1,683.0 million, respectively, representing a 23%, 19%, and 31% growth rate, respectively. In addition, for the three months ended April 30, 2026 and 2025, our total revenue was $687.6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$549.0 million, respectively, representing a 25% growth rate. We have also significantly increased the size of our customer base from over 3,200 customers as of January 31, 2017, the year we began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as a public company, to over 67,700 customers as of April 30, 2026, and we grew from 713 employees as of January 31, 2017 to 5,695 employees as of April 30, 2026. Our success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depend in part on our ability to continue to grow and to manage this growth, domestically and internationally, effectively.</w:t>
      </w:r>
    </w:p>
    <w:p>
      <w:pPr>
        <w:spacing w:after="0" w:line="122"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Our current and anticipated growth is expected to place a significant strain on our management, administrative, operational and financial infrastructure. We will need to continue to improve our operational, financial and management processes and controls and our reporting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10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93"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4"/>
          <w:szCs w:val="14"/>
          <w:color w:val="auto"/>
        </w:rPr>
        <w:t>Cyberattacks, malicious internet-based activity, and online and offline fraud, and other similar activities threaten the confidentiality, integrity and availability of our personal, proprietary, confidential and other sensitive data and our information technology systems and networks, and those of the third parties upon which we rely to help deliver services to our customers. Such threats are prevalent, increasing in frequency, evolving in nature and becoming increasingly difficult to detect and their frequency may be increased, and effectiveness enhanced, by the use of AI. These threats come from a variety of sources, including traditional computer “hackers,” threat actors (including organized criminal threat actors), “hacktivists,” personnel (such as through theft or misuse), sophisticated nation-states, and nation-state-supported actors. In addition, some actors, such as sophisticated nation-states and nation-state supported actors now engage and are expected to continue to engage in cyberattacks, including without limitation for geopolitical reasons and in conjunction with military conflicts and defense activities. During times of war and other major conflicts, we and the third parties upon whom we rely may be vulnerable to a heightened risk of these attacks, including retaliatory cyberattacks and physical attacks on critical infrastructure, that could materially disrupt our systems and networks,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account takeovers, personnel misconduct or error, fraud, ransomware attacks, supply-chain attacks, software bugs, server malfunctions, software or hardware failures, loss or theft of data or other information technology assets, adware, telecommunications failures, pandemics, earthquakes, fires, floods, and other similar threats.</w:t>
      </w:r>
    </w:p>
    <w:p>
      <w:pPr>
        <w:spacing w:after="0" w:line="95" w:lineRule="exact"/>
        <w:rPr>
          <w:sz w:val="20"/>
          <w:szCs w:val="20"/>
          <w:color w:val="auto"/>
        </w:rPr>
      </w:pPr>
    </w:p>
    <w:p>
      <w:pPr>
        <w:ind w:right="60" w:firstLine="509"/>
        <w:spacing w:after="0"/>
        <w:rPr>
          <w:sz w:val="20"/>
          <w:szCs w:val="20"/>
          <w:color w:val="auto"/>
        </w:rPr>
      </w:pPr>
      <w:r>
        <w:rPr>
          <w:rFonts w:ascii="Times New Roman" w:cs="Times New Roman" w:eastAsia="Times New Roman" w:hAnsi="Times New Roman"/>
          <w:sz w:val="14"/>
          <w:szCs w:val="14"/>
          <w:color w:val="auto"/>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Our software may also contain security flaws or vulnerabilities that expose us and our customers to an increased risk of cyberattack or exploitation.</w:t>
      </w:r>
    </w:p>
    <w:p>
      <w:pPr>
        <w:spacing w:after="0" w:line="200" w:lineRule="exact"/>
        <w:rPr>
          <w:sz w:val="20"/>
          <w:szCs w:val="20"/>
          <w:color w:val="auto"/>
        </w:rPr>
      </w:pPr>
    </w:p>
    <w:p>
      <w:pPr>
        <w:spacing w:after="0" w:line="25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The COVID-19 pandemic increased our remote workforce, which increased risks to our information technology systems and data, as more of our employees work from home, utilizing network connections, computers and devices outside our premises or network, including while at home, in transit and in public locations. Additionally, cybersecurity risks may be heightened as a result of the ongoing global conflicts such as the military conflict between Russia and Ukraine and the related sanctions imposed by the United States and other countries or the geopolitical instability resulting from the conflict in Iran, the unrest in Mexico, the conflict between Israel and Hamas, and recent events in Venezuela. Furthermore, future or past business transactions (such as acquisitions or integrations) could expose us to additional data security risks and vulnerabilities, as our systems could be negatively affected by vulnerabilities present in acquired or integrated entities’ systems and technologies. Risks related to data security will increase as we continue to grow the scale and functionality of our business and collect, store, transmit and otherwise process increasingly large amounts of our and our customers’ information and data, which may include personal, proprietary, confidential or other sensitive data.</w:t>
      </w:r>
    </w:p>
    <w:p>
      <w:pPr>
        <w:spacing w:after="0" w:line="94" w:lineRule="exact"/>
        <w:rPr>
          <w:sz w:val="20"/>
          <w:szCs w:val="20"/>
          <w:color w:val="auto"/>
        </w:rPr>
      </w:pPr>
    </w:p>
    <w:p>
      <w:pPr>
        <w:ind w:right="20" w:firstLine="382"/>
        <w:spacing w:after="0" w:line="239" w:lineRule="auto"/>
        <w:rPr>
          <w:sz w:val="20"/>
          <w:szCs w:val="20"/>
          <w:color w:val="auto"/>
        </w:rPr>
      </w:pPr>
      <w:r>
        <w:rPr>
          <w:rFonts w:ascii="Times New Roman" w:cs="Times New Roman" w:eastAsia="Times New Roman" w:hAnsi="Times New Roman"/>
          <w:sz w:val="14"/>
          <w:szCs w:val="14"/>
          <w:color w:val="auto"/>
        </w:rPr>
        <w:t>Any of the above identified or similar threats could cause a security breach or other security incident that could result in unauthorized, unlawful, or accidental acquisition, modification, destruction, loss, alteration, encryption, disclosure, transfer, use or other processing of, or access to our information technology systems and networks or personal, proprietary, confidential or other sensitive information, or those of the third parties upon whom we rely. For example, in December 2023 we discovered that a previously unknown flaw in a third-party application used by MongoDB enabled an unauthorized third party to successfully phish and to gain access to certain corporate applications, including applications that we use to provide support services to MongoDB customers, which include customer contact information and related account metadata. In an effort to contain the impact of this security incident, we immediately activated our incident response process, promptly published an alert on our website and emailed customers notifying them of the situation and reminding them to stay vigilant. The investigation led by MongoDB into this incident uncovered no evidence of unauthorized access to Atlas clusters, a finding that has been verified by our third-party forensic experts. To date, we have not experienced a cybersecurity event that had a material impact on our financial performance or operations, but it is possible that we might experience such an attack in the future. A security breach or other security incident could disrupt our ability (and that of third parties upon whom we rely) to provide our platform, products, and services.</w:t>
      </w:r>
    </w:p>
    <w:p>
      <w:pPr>
        <w:spacing w:after="0" w:line="117"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We may expend significant resources or modify our business activities to try to protect against, mitigate or remediate actual or perceived security breaches and other security incidents. Certain data privacy and security obligations may require us to implement and maintain specific security measures, industry-standard or reasonable security measures to protect our information technology systems and networks and personal, proprietary, confidential or other sensitive information</w:t>
      </w:r>
    </w:p>
    <w:p>
      <w:pPr>
        <w:spacing w:after="0" w:line="93" w:lineRule="exact"/>
        <w:rPr>
          <w:sz w:val="20"/>
          <w:szCs w:val="20"/>
          <w:color w:val="auto"/>
        </w:rPr>
      </w:pPr>
    </w:p>
    <w:p>
      <w:pPr>
        <w:ind w:right="140" w:firstLine="382"/>
        <w:spacing w:after="0" w:line="257" w:lineRule="auto"/>
        <w:rPr>
          <w:sz w:val="20"/>
          <w:szCs w:val="20"/>
          <w:color w:val="auto"/>
        </w:rPr>
      </w:pPr>
      <w:r>
        <w:rPr>
          <w:rFonts w:ascii="Times New Roman" w:cs="Times New Roman" w:eastAsia="Times New Roman" w:hAnsi="Times New Roman"/>
          <w:sz w:val="14"/>
          <w:szCs w:val="14"/>
          <w:color w:val="auto"/>
        </w:rPr>
        <w:t>While we have implemented security measures designed to protect against security breaches and other security incidents, there can be no assurance that these measures will be effective. We have not always been able in the past and may be unable in the future to detect vulnerabilities in our information technology systems and networks (including our products) because such threats and techniques change frequently, are often sophisticated in nature, and may not be detected until after a security breach or other security incident has occurred. For example, industry publications have reported ransomware attacks on MongoDB instances, some of which we believe were successful due to the failure by users of our Community Server offering to properly turn on the recommended security settings when running these instances. Despite our efforts to identify and remediate vulnerabilities, if any, in our information technology systems and networks (including our products), our efforts may not be successful. As new technology, particularly AI, makes it easier to detect and understand vulnerabilities in our code, it may become easier for third parties to exploit such vulnerabilities before we can remediate them, which may require us to dedicate greater time and resources to vulnerability detection and remediation than in the past. Further, we may experience delays in developing and deploying remedial measures designed to address any such identified vulnerabilities.</w:t>
      </w:r>
    </w:p>
    <w:p>
      <w:pPr>
        <w:spacing w:after="0" w:line="106" w:lineRule="exact"/>
        <w:rPr>
          <w:sz w:val="20"/>
          <w:szCs w:val="20"/>
          <w:color w:val="auto"/>
        </w:rPr>
      </w:pPr>
    </w:p>
    <w:p>
      <w:pPr>
        <w:ind w:right="200" w:firstLine="382"/>
        <w:spacing w:after="0" w:line="264" w:lineRule="auto"/>
        <w:rPr>
          <w:sz w:val="20"/>
          <w:szCs w:val="20"/>
          <w:color w:val="auto"/>
        </w:rPr>
      </w:pPr>
      <w:r>
        <w:rPr>
          <w:rFonts w:ascii="Times New Roman" w:cs="Times New Roman" w:eastAsia="Times New Roman" w:hAnsi="Times New Roman"/>
          <w:sz w:val="14"/>
          <w:szCs w:val="14"/>
          <w:color w:val="auto"/>
        </w:rPr>
        <w:t>We use third-party service providers and subprocessors to help us deliver services to our customers. These third-party service providers and subprocessors may collect, store, transmit or otherwise process personal data or other confidential information of our employees and our customers. Our ability to monitor these third parties’ information security practices is limited, and these third parties may not have adequate information security measures in place. Due to applicable laws, regulations, rules, standards, contractual obligations, policies and other obligations, we may be held responsible for security breaches or other security incidents attributed to our third-party service providers as they relate to the information we share with them.</w:t>
      </w:r>
    </w:p>
    <w:p>
      <w:pPr>
        <w:spacing w:after="0" w:line="98"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Applicable data privacy and security obligations may require us to notify relevant stakeholders of security breaches and other security incidents. Such disclosures are costly, and the disclosures or the failure to comply with such requirements could lead to adverse consequences.</w:t>
      </w:r>
    </w:p>
    <w:p>
      <w:pPr>
        <w:spacing w:after="0" w:line="200" w:lineRule="exact"/>
        <w:rPr>
          <w:sz w:val="20"/>
          <w:szCs w:val="20"/>
          <w:color w:val="auto"/>
        </w:rPr>
      </w:pPr>
    </w:p>
    <w:p>
      <w:pPr>
        <w:spacing w:after="0" w:line="34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If we (or a third party upon whom we rely) experience or are perceived to have experienced a security breach or other security incident, or fail to make adequate or timely disclosures to the public, regulators, law enforcement agencies or affected individuals, as applicable, following any such event, we previously have, and may in the future, experience adverse consequences. These consequences may include: liability under applicable data privacy and security laws, regulations, rules, standards, contractual obligations, policies and other obligations; obligations to notify regulators and affected individuals; government enforcement actions (for example, investigations, fines, penalties, audits, and inspections); additional reporting requirements and/or oversight; restrictions on processing personal and other sensitive information; litigation (including class claims); indemnification and other contractual obligations; damages; negative publicity; reputational harm; monetary fund diversions; interruptions in our operations (including availability of data); financial loss; and other similar harms. Security breaches and other security incidents and attendant consequences may cause customers to stop using our platform, products, and services, deter new customers from using our platform, products, and services, and negatively impact our ability to grow and operate our business.</w:t>
      </w:r>
    </w:p>
    <w:p>
      <w:pPr>
        <w:spacing w:after="0" w:line="106"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82"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proprietary, confidential or other sensitive data or otherwise relating to data privacy and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at all, or that our insurers will not deny coverage as to any future claim.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sales cycle may be long and is unpredictable and our sales efforts require considerable time and expense.</w:t>
      </w:r>
    </w:p>
    <w:p>
      <w:pPr>
        <w:spacing w:after="0" w:line="138" w:lineRule="exact"/>
        <w:rPr>
          <w:sz w:val="20"/>
          <w:szCs w:val="20"/>
          <w:color w:val="auto"/>
        </w:rPr>
      </w:pPr>
    </w:p>
    <w:p>
      <w:pPr>
        <w:ind w:right="60" w:firstLine="382"/>
        <w:spacing w:after="0" w:line="258" w:lineRule="auto"/>
        <w:rPr>
          <w:sz w:val="20"/>
          <w:szCs w:val="20"/>
          <w:color w:val="auto"/>
        </w:rPr>
      </w:pPr>
      <w:r>
        <w:rPr>
          <w:rFonts w:ascii="Times New Roman" w:cs="Times New Roman" w:eastAsia="Times New Roman" w:hAnsi="Times New Roman"/>
          <w:sz w:val="14"/>
          <w:szCs w:val="14"/>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04"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sales force, in particular new sales people as we increase the size of our sales force;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discretionary nature of purchasing and budget cycles and decisions;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obstacles placed by a customer’s procurement process;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convert users of our free offerings to paying customers;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conditions and other factors impacting customer budgets;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evaluation of competing products during the purchasing process;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customer demands.</w:t>
      </w:r>
    </w:p>
    <w:p>
      <w:pPr>
        <w:spacing w:after="0" w:line="94"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Given these factors, it is difficult to predict whether and when a sale will be completed and when revenue from a sale will be recognized, particularly the timing of revenue recognition related to the term license portion of our subscription revenue. In addition, as a result of rising inflation and interest rates, and global economic uncertainty, potential customers may consider reducing or delaying, technology or other discretionary spending, which could also result in an extension of our sales cycle. This could impact the variability and comparability of our quarterly revenue results and may have an adverse effect on our business, results of operations and financial condition.</w:t>
      </w:r>
    </w:p>
    <w:p>
      <w:pPr>
        <w:spacing w:after="0" w:line="200" w:lineRule="exact"/>
        <w:rPr>
          <w:sz w:val="20"/>
          <w:szCs w:val="20"/>
          <w:color w:val="auto"/>
        </w:rPr>
      </w:pPr>
    </w:p>
    <w:p>
      <w:pPr>
        <w:spacing w:after="0" w:line="36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forced to reduce prices for our subscription offerings and as a result our revenue and results of operations will be harmed.</w:t>
      </w:r>
    </w:p>
    <w:p>
      <w:pPr>
        <w:spacing w:after="0" w:line="138" w:lineRule="exact"/>
        <w:rPr>
          <w:sz w:val="20"/>
          <w:szCs w:val="20"/>
          <w:color w:val="auto"/>
        </w:rPr>
      </w:pPr>
    </w:p>
    <w:p>
      <w:pPr>
        <w:ind w:right="80" w:firstLine="382"/>
        <w:spacing w:after="0" w:line="261" w:lineRule="auto"/>
        <w:rPr>
          <w:sz w:val="20"/>
          <w:szCs w:val="20"/>
          <w:color w:val="auto"/>
        </w:rPr>
      </w:pPr>
      <w:r>
        <w:rPr>
          <w:rFonts w:ascii="Times New Roman" w:cs="Times New Roman" w:eastAsia="Times New Roman" w:hAnsi="Times New Roman"/>
          <w:sz w:val="14"/>
          <w:szCs w:val="14"/>
          <w:color w:val="auto"/>
        </w:rPr>
        <w:t>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99"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80"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93" w:lineRule="exact"/>
        <w:rPr>
          <w:sz w:val="20"/>
          <w:szCs w:val="20"/>
          <w:color w:val="auto"/>
        </w:rPr>
      </w:pPr>
    </w:p>
    <w:p>
      <w:pPr>
        <w:ind w:right="40" w:firstLine="382"/>
        <w:spacing w:after="0" w:line="257" w:lineRule="auto"/>
        <w:rPr>
          <w:sz w:val="20"/>
          <w:szCs w:val="20"/>
          <w:color w:val="auto"/>
        </w:rPr>
      </w:pPr>
      <w:r>
        <w:rPr>
          <w:rFonts w:ascii="Times New Roman" w:cs="Times New Roman" w:eastAsia="Times New Roman" w:hAnsi="Times New Roman"/>
          <w:sz w:val="14"/>
          <w:szCs w:val="14"/>
          <w:color w:val="auto"/>
        </w:rPr>
        <w:t>Even if we do attract new customers, the cost of new customer acquisition, product implementation and ongoing customer support may prove so high as to prevent us from achieving or sustaining profitability. For example, in fiscal years 2026, 2025 and 2024, total sales and marketing expense represented 38%, 43%, and 47%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in our MongoDB.local events,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offer high quality support, our business and reputation could suffer.</w:t>
      </w:r>
    </w:p>
    <w:p>
      <w:pPr>
        <w:spacing w:after="0" w:line="138" w:lineRule="exact"/>
        <w:rPr>
          <w:sz w:val="20"/>
          <w:szCs w:val="20"/>
          <w:color w:val="auto"/>
        </w:rPr>
      </w:pPr>
    </w:p>
    <w:p>
      <w:pPr>
        <w:ind w:right="280" w:firstLine="382"/>
        <w:spacing w:after="0" w:line="264" w:lineRule="auto"/>
        <w:rPr>
          <w:sz w:val="20"/>
          <w:szCs w:val="20"/>
          <w:color w:val="auto"/>
        </w:rPr>
      </w:pPr>
      <w:r>
        <w:rPr>
          <w:rFonts w:ascii="Times New Roman" w:cs="Times New Roman" w:eastAsia="Times New Roman" w:hAnsi="Times New Roman"/>
          <w:sz w:val="14"/>
          <w:szCs w:val="14"/>
          <w:color w:val="auto"/>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Real or perceived errors, failures or bugs in our software could adversely affect our business, results of operations, financial condition and growth prospects.</w:t>
      </w:r>
    </w:p>
    <w:p>
      <w:pPr>
        <w:spacing w:after="0" w:line="138"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200" w:lineRule="exact"/>
        <w:rPr>
          <w:sz w:val="20"/>
          <w:szCs w:val="20"/>
          <w:color w:val="auto"/>
        </w:rPr>
      </w:pPr>
    </w:p>
    <w:p>
      <w:pPr>
        <w:spacing w:after="0" w:line="37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stringent and evolving U.S. and foreign laws, regulations, rules, standards, contractual obligations, policies and other obligations particularly related to data privacy and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spacing w:after="0" w:line="93"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Data privacy and security is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We collect personal information from individuals located both in the United States and abroad and may store or otherwise process such information outside of the country in which it was collected. Our data processing activities subject us to numerous data privacy and security obligations, such as various laws, regulations, rules, guidance, industry standards, external and internal privacy and security policies, contracts, and other obligations that govern the processing of personal data by us and on our behalf.</w:t>
      </w:r>
    </w:p>
    <w:p>
      <w:pPr>
        <w:spacing w:after="0" w:line="103" w:lineRule="exact"/>
        <w:rPr>
          <w:sz w:val="20"/>
          <w:szCs w:val="20"/>
          <w:color w:val="auto"/>
        </w:rPr>
      </w:pPr>
    </w:p>
    <w:p>
      <w:pPr>
        <w:ind w:right="60" w:firstLine="382"/>
        <w:spacing w:after="0" w:line="257" w:lineRule="auto"/>
        <w:rPr>
          <w:sz w:val="20"/>
          <w:szCs w:val="20"/>
          <w:color w:val="auto"/>
        </w:rPr>
      </w:pPr>
      <w:r>
        <w:rPr>
          <w:rFonts w:ascii="Times New Roman" w:cs="Times New Roman" w:eastAsia="Times New Roman" w:hAnsi="Times New Roman"/>
          <w:sz w:val="14"/>
          <w:szCs w:val="14"/>
          <w:color w:val="auto"/>
        </w:rPr>
        <w:t>In the United States, federal, state, and local governments have enacted numerous data privacy and security laws, including data breach notification laws, personal data privacy laws, and consumer protection laws. For example, at the federal level, Section 5 of the Federal Trade Commission Act prohibits unfair or deceptive acts or practices in or affecting commerce (which extends to data privacy and security practices), and the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At the state level, the California Consumer Privacy Act, as modified by the California Privacy Rights Act (collectively, the “CCPA”) gives California residents the right to, among other things, request disclosure of personal information collected about them and whether that information has been sold to others, request deletion of personal information (subject to certain exceptions), opt out of sales of their personal information, and not be discriminated against for exercising these rights. The CCPA also authorizes private lawsuits to recover statutory damages for certain data breaches. The effects of the CCPA are potentially significant and may require us to modify our data collection or processing practices and policies and increase our compliance costs and potential liability with respect to personal information we collect about California residents.</w:t>
      </w:r>
    </w:p>
    <w:p>
      <w:pPr>
        <w:spacing w:after="0" w:line="104"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4"/>
          <w:szCs w:val="14"/>
          <w:color w:val="auto"/>
        </w:rPr>
        <w:t>A number of other U.S. states have also enacted, or are considering enacting, comprehensive data privacy laws that share similarities with the CCPA. Certain state laws and regulations may be more stringent, broader in scope, or offer greater individual rights, with respect to personal data than federal or other state laws and regulations, and such laws and regulations may differ from each other, which may complicate compliance efforts and increase legal risk and compliance costs for us and the third parties upon whom we rely.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spacing w:after="0" w:line="101" w:lineRule="exact"/>
        <w:rPr>
          <w:sz w:val="20"/>
          <w:szCs w:val="20"/>
          <w:color w:val="auto"/>
        </w:rPr>
      </w:pPr>
    </w:p>
    <w:p>
      <w:pPr>
        <w:jc w:val="both"/>
        <w:ind w:right="160" w:firstLine="509"/>
        <w:spacing w:after="0" w:line="264" w:lineRule="auto"/>
        <w:rPr>
          <w:sz w:val="20"/>
          <w:szCs w:val="20"/>
          <w:color w:val="auto"/>
        </w:rPr>
      </w:pPr>
      <w:r>
        <w:rPr>
          <w:rFonts w:ascii="Times New Roman" w:cs="Times New Roman" w:eastAsia="Times New Roman" w:hAnsi="Times New Roman"/>
          <w:sz w:val="14"/>
          <w:szCs w:val="14"/>
          <w:color w:val="auto"/>
        </w:rPr>
        <w:t>Furthermore, from time to time, U.S. presidential administrations have issued, and may in the future issue, Executive Orders related to cybersecurity practices that may affect our business. For example, while the Biden administration’s Executive Order 14208 (2021) established a framework for federal cybersecurity, the current administration has shifted toward a more decentralized, risk-based approach. In June 2025, the Trump administration issued Executive Order 14306, which amended prior orders and increased private-sector flexibility. The transition to this decentralized model may lead to inconsistent or fragmented cybersecurity requirements across various federal agencies, complicating our compliance efforts.</w:t>
      </w:r>
    </w:p>
    <w:p>
      <w:pPr>
        <w:spacing w:after="0" w:line="98"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Internationally, virtually every jurisdiction in which we operate has established its own data privacy and security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is subject to the General Data Protection Regulation (the “GDPR”), and other European laws governing the processing of personal data. Data protection authorities in the E.E.A.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w:t>
      </w:r>
    </w:p>
    <w:p>
      <w:pPr>
        <w:spacing w:after="0" w:line="200" w:lineRule="exact"/>
        <w:rPr>
          <w:sz w:val="20"/>
          <w:szCs w:val="20"/>
          <w:color w:val="auto"/>
        </w:rPr>
      </w:pPr>
    </w:p>
    <w:p>
      <w:pPr>
        <w:spacing w:after="0" w:line="37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20" w:firstLine="382"/>
        <w:spacing w:after="0" w:line="259" w:lineRule="auto"/>
        <w:rPr>
          <w:sz w:val="20"/>
          <w:szCs w:val="20"/>
          <w:color w:val="auto"/>
        </w:rPr>
      </w:pPr>
      <w:r>
        <w:rPr>
          <w:rFonts w:ascii="Times New Roman" w:cs="Times New Roman" w:eastAsia="Times New Roman" w:hAnsi="Times New Roman"/>
          <w:sz w:val="14"/>
          <w:szCs w:val="14"/>
          <w:color w:val="auto"/>
        </w:rPr>
        <w:t>Following the exit of the U.K. from the European Union (“E.U.”), the GDPR was transposed into U.K. law (the “U.K. GDPR”) as supplemented by the U.K. Data Protection Act 2018, which currently imposes the same obligations as the GDPR in most material respects. Failure to comply with the U.K. GDPR can result in fines up to a maximum of £17.5 million or 4% of the entity’s total worldwide global turnover for the preceding financial year, whichever is higher. However, the U.K. GDPR will not automatically incorporate changes made to the GDPR going forward (which would need to be specifically incorporated by the U.K. government). Moreover, the U.K. government has adopted reforms to its data privacy and cybersecurity legal framework in its Data (Use and Access) Act 2025, which became law on June 19, 2025 (phasing in between June 2025 and June 2026) and which will introduce significant changes from the GDPR, all of which creates a risk of divergent parallel regimes and related uncertainty, along with the potential for increased compliance costs and risks for affected businesses.</w:t>
      </w:r>
    </w:p>
    <w:p>
      <w:pPr>
        <w:spacing w:after="0" w:line="103" w:lineRule="exact"/>
        <w:rPr>
          <w:sz w:val="20"/>
          <w:szCs w:val="20"/>
          <w:color w:val="auto"/>
        </w:rPr>
      </w:pPr>
    </w:p>
    <w:p>
      <w:pPr>
        <w:ind w:right="80" w:firstLine="382"/>
        <w:spacing w:after="0" w:line="258" w:lineRule="auto"/>
        <w:rPr>
          <w:sz w:val="20"/>
          <w:szCs w:val="20"/>
          <w:color w:val="auto"/>
        </w:rPr>
      </w:pPr>
      <w:r>
        <w:rPr>
          <w:rFonts w:ascii="Times New Roman" w:cs="Times New Roman" w:eastAsia="Times New Roman" w:hAnsi="Times New Roman"/>
          <w:sz w:val="14"/>
          <w:szCs w:val="14"/>
          <w:color w:val="auto"/>
        </w:rPr>
        <w:t>The European Commission also revised its Cybersecurity Directive (“NIS2”), which came into force in January 2023 and applies extraterritorially similar to the GDPR. Among other things, NIS2 requires companies providing essential and digital services across key sectors in the EU economy, including cloud services providers, to adopt or update policies and procedures on issues such as incident handling and supply chain security. However, EU Member States have flexibility in identifying the types of entities considered “essential” and many EU Member States have not yet fully transposed NIS2 into national law, creating ongoing uncertainty around how NIS2 will impact our business. Moreover, in January 2026, the European Commission proposed amendments to NIS2, which are still being finalized. In addition, the EU’s Digital Operational Resiliency Act (“DORA”) for the financial sector took effect in January 2025. DORA standardizes how financial entities report cybersecurity incidents, test their digital operational resilience, and manage ICT third-party risk across the financial services sector and EU member states. We have taken steps to ensure our contracts with EU financial sector customers are DORA-compliant, however we cannot assure you that such steps are complete or effective.</w:t>
      </w:r>
    </w:p>
    <w:p>
      <w:pPr>
        <w:spacing w:after="0" w:line="104"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Countries outside Europe are implementing significant limitations on the processing of personal data, similar to those in the GDPR. For example, Brazil has enacted the General Data Protection Law (Lei Geral de Proteção de Dados Pessoais, or “LGPD”) (Law No. 13,709/2018). In addition, on June 5, 2020, Japan passed amendments to its Act on the Protection of Personal data, or APPI, which entered into force on April 1, 2022. Both of these laws broadly regulate the processing of personal data in a manner comparable to the GDPR, and violators of the LGPD and APPI face substantial penalties.</w:t>
      </w:r>
    </w:p>
    <w:p>
      <w:pPr>
        <w:spacing w:after="0" w:line="98"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4"/>
          <w:szCs w:val="14"/>
          <w:color w:val="auto"/>
        </w:rPr>
        <w:t>Some foreign data privacy and security laws, including, without limitation, the GDPR, the U.K. GDPR, and the Swiss Federal Act on Data Protection may restrict the cross-border transfer of personal data, such as transfers of data to the United States from the E.E.A., Switzerland or U.K.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the GDPR generally restricts the transfer of personal data to countries outside of the E.E.A. that the European Commission does not consider to provide an adequate level of data privacy and security, such as the United States, unless the parties to the transfer have implemented specific safeguards to protect the transferred personal data, such as, most commonly, the “Standard Contractual Clauses” (“SCCs”) released by the European Commission. Use of the SCCs imposes additional compliance burdens, such as conducting transfer impact assessments to determine whether additional security measures are necessary to protect the at-issue personal data. Although the U.K. currently has an adequacy decision from the European Commission, such that SCCs are not required for the transfer of personal data from the E.E.A. to the U.K., that decision will sunset in December 2031 and it may be revoked in the future by the European Commission if the U.K. data protection regime is reformed in ways that deviate substantially from the GDPR. Adding further complexity for international data transfers, in March 2022, the U.K. adopted its own International Data Transfer Agreement for transfers of personal data out of the U.K. to so-called third countries, as well as an international data transfer addendum that can be used with the SCCs for the same purpose. Moreover, on July 10, 2023 the European Commission adopted an adequacy decision concluding that the United States ensures an adequate level of protection for personal data transferred from the E.U. to the U.S. under the EU-U.S. Data Privacy Framework.</w:t>
      </w:r>
    </w:p>
    <w:p>
      <w:pPr>
        <w:spacing w:after="0" w:line="104"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We are currently self-certified under the EU-U.S. Data Privacy Framework, however such adequacy decision is likely to face challenge at the Court of Justice of the European Union. While the EU-U.S. Data Privacy Framework does not apply to the U.K., on October 12, 2023, the U.K. government adopted an adequacy decision concluding that the United States ensures an adequate level of protection transferred from the U.K. to the United States under the U.K. Extension to the EU-U.S. Data Privacy Framework (“U.K. Data Privacy Framework”). We are currently self-certified under the U.K. Data Privacy Framework, and have also self-certified under the Swiss Data Privacy Framework. Both the U.K. and Swiss Data Privacy Frameworks could also be contested or otherwise affected by any challenges to the EU-U.S. Data Privacy Framework. Certain countries outside Europe (including Russia, China and Brazil) have also passed or are considering laws requiring local data residency or otherwise impeding the transfer of personal data across borders, any of which could increase the cost</w:t>
      </w:r>
    </w:p>
    <w:p>
      <w:pPr>
        <w:spacing w:after="0" w:line="200" w:lineRule="exact"/>
        <w:rPr>
          <w:sz w:val="20"/>
          <w:szCs w:val="20"/>
          <w:color w:val="auto"/>
        </w:rPr>
      </w:pPr>
    </w:p>
    <w:p>
      <w:pPr>
        <w:spacing w:after="0" w:line="37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spacing w:after="0" w:line="98" w:lineRule="exact"/>
        <w:rPr>
          <w:sz w:val="20"/>
          <w:szCs w:val="20"/>
          <w:color w:val="auto"/>
        </w:rPr>
      </w:pPr>
    </w:p>
    <w:p>
      <w:pPr>
        <w:ind w:right="80" w:firstLine="382"/>
        <w:spacing w:after="0" w:line="261" w:lineRule="auto"/>
        <w:rPr>
          <w:sz w:val="20"/>
          <w:szCs w:val="20"/>
          <w:color w:val="auto"/>
        </w:rPr>
      </w:pPr>
      <w:r>
        <w:rPr>
          <w:rFonts w:ascii="Times New Roman" w:cs="Times New Roman" w:eastAsia="Times New Roman" w:hAnsi="Times New Roman"/>
          <w:sz w:val="14"/>
          <w:szCs w:val="14"/>
          <w:color w:val="auto"/>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Although the European Commission officially withdrew the long-stalled ePrivacy Regulation in February 2025, they immediately replaced that effort with a new reform package in late 2025 called the “Digital Omnibus”. Compliance with these laws and regulations may require us to make significant operational changes, limit the effectiveness of our marketing activities, divert the attention of our technology personnel, adversely affect our margins, and subject us to liabilities.</w:t>
      </w:r>
    </w:p>
    <w:p>
      <w:pPr>
        <w:spacing w:after="0" w:line="101"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In addition to government regulation, we may be contractually subject to industry standards adopted by privacy advocates and industry groups and may become subject to such obligations in the future. We may also be bound by other contractual obligations related to data privacy and security, and our efforts to comply with such obligations may not be successful.</w:t>
      </w:r>
    </w:p>
    <w:p>
      <w:pPr>
        <w:spacing w:after="0" w:line="82"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14"/>
          <w:szCs w:val="14"/>
          <w:color w:val="auto"/>
        </w:rPr>
        <w:t>Further, because data privacy and security are critical competitive factors in our industry, we publish privacy policies and other documentation regarding our collection, use, disclosure and other processing of personal data and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spacing w:after="0" w:line="104"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4"/>
          <w:szCs w:val="14"/>
          <w:color w:val="auto"/>
        </w:rPr>
        <w:t>Because the interpretation and application of data privacy and security laws, regulations, rules, standards and other obligations are still uncertain and likely to remain uncertain for the foreseeable future, it is possible that these laws, regulations, rules, standards and other actual or alleged obligations, including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privacy and security laws, regulations, rules, standards, contractual obligations, policies and other actual or alleged obligations, could result in additional cost and liability to us, damage our reputation, inhibit sales and adversely affect our business.</w:t>
      </w:r>
    </w:p>
    <w:p>
      <w:pPr>
        <w:spacing w:after="0" w:line="104" w:lineRule="exact"/>
        <w:rPr>
          <w:sz w:val="20"/>
          <w:szCs w:val="20"/>
          <w:color w:val="auto"/>
        </w:rPr>
      </w:pPr>
    </w:p>
    <w:p>
      <w:pPr>
        <w:jc w:val="both"/>
        <w:ind w:right="160" w:firstLine="382"/>
        <w:spacing w:after="0" w:line="270" w:lineRule="auto"/>
        <w:rPr>
          <w:sz w:val="20"/>
          <w:szCs w:val="20"/>
          <w:color w:val="auto"/>
        </w:rPr>
      </w:pPr>
      <w:r>
        <w:rPr>
          <w:rFonts w:ascii="Times New Roman" w:cs="Times New Roman" w:eastAsia="Times New Roman" w:hAnsi="Times New Roman"/>
          <w:sz w:val="14"/>
          <w:szCs w:val="14"/>
          <w:color w:val="auto"/>
        </w:rPr>
        <w:t>Furthermore, the costs of compliance with and other burdens imposed by, the laws, regulations, rules, standards, contractual obligations, policies and other obligations related to data privacy and security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91"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80" w:lineRule="exact"/>
        <w:rPr>
          <w:sz w:val="20"/>
          <w:szCs w:val="20"/>
          <w:color w:val="auto"/>
        </w:rPr>
      </w:pPr>
    </w:p>
    <w:p>
      <w:pPr>
        <w:ind w:right="300" w:firstLine="382"/>
        <w:spacing w:after="0" w:line="270" w:lineRule="auto"/>
        <w:rPr>
          <w:sz w:val="20"/>
          <w:szCs w:val="20"/>
          <w:color w:val="auto"/>
        </w:rPr>
      </w:pPr>
      <w:r>
        <w:rPr>
          <w:rFonts w:ascii="Times New Roman" w:cs="Times New Roman" w:eastAsia="Times New Roman" w:hAnsi="Times New Roman"/>
          <w:sz w:val="14"/>
          <w:szCs w:val="14"/>
          <w:color w:val="auto"/>
        </w:rPr>
        <w:t>Our market opportunity estimates and growth forecasts are subject to significant uncertainty and are based on third-party assumptions and estimates that may not prove to be accurate. The market in which we compete may not meet these size estimates and may not achieve these growth forecasts. Even if the market in which we compete meets such size estimates and the growth forecasts, our business could fail to grow at similar rates, if at all, for a variety of reasons, which would adversely affect our results of operations.</w:t>
      </w:r>
    </w:p>
    <w:p>
      <w:pPr>
        <w:spacing w:after="0" w:line="200" w:lineRule="exact"/>
        <w:rPr>
          <w:sz w:val="20"/>
          <w:szCs w:val="20"/>
          <w:color w:val="auto"/>
        </w:rPr>
      </w:pPr>
    </w:p>
    <w:p>
      <w:pPr>
        <w:spacing w:after="0" w:line="36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80"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4"/>
          <w:szCs w:val="14"/>
          <w:color w:val="auto"/>
        </w:rPr>
        <w:t>Our success and ability to compete depend in part upon our intellectual property rights. As of April 30, 2026, we had 103 issued patents and 44 pending patent applications in the United States. Patent applications may not result in issued patents and even if a patent issues, we cannot assure you that such patent will be adequate to protect our business. In addition to patent protection, we primarily rely on copyright and trademark laws, trade secret protection and confidentiality or other contractual arrangements with our employees, customers, partners and others to protect our intellectual property rights. However, the steps we take to protect our intellectual property rights may not be adequate and we may be unable to detect the unauthorized use of, or prevent third parties from infringing, misappropriating or otherwise violating, our intellectual property rights.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interpreted narrowly or held unenforceable and could put our related intellectual property at risk of not issuing or being canceled.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Our patent applications and patents arising from any patent applications we may file in the future may never be granted and, even if we are successful in obtaining effective protection, it is expensive to maintain these rights, both in terms of application and maintenance costs, and the time and cost required to defend our rights could be substantial. Additionally, the process of obtaining patent protection is expensive and time-consuming, and we may be unable to prosecute all necessary or desirable patent applications at a reasonable cost or in a timely manner.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107" w:lineRule="exact"/>
        <w:rPr>
          <w:sz w:val="20"/>
          <w:szCs w:val="20"/>
          <w:color w:val="auto"/>
        </w:rPr>
      </w:pPr>
    </w:p>
    <w:p>
      <w:pPr>
        <w:ind w:right="80" w:firstLine="382"/>
        <w:spacing w:after="0" w:line="259" w:lineRule="auto"/>
        <w:rPr>
          <w:sz w:val="20"/>
          <w:szCs w:val="20"/>
          <w:color w:val="auto"/>
        </w:rPr>
      </w:pPr>
      <w:r>
        <w:rPr>
          <w:rFonts w:ascii="Times New Roman" w:cs="Times New Roman" w:eastAsia="Times New Roman" w:hAnsi="Times New Roman"/>
          <w:sz w:val="14"/>
          <w:szCs w:val="14"/>
          <w:color w:val="auto"/>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 See “—Our software incorporates third-party open source software, which could negatively affect our ability to sell our products and subject us to possible litigation.”</w:t>
      </w:r>
    </w:p>
    <w:p>
      <w:pPr>
        <w:spacing w:after="0" w:line="101"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80"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4"/>
          <w:szCs w:val="14"/>
          <w:color w:val="auto"/>
        </w:rPr>
        <w:t>Companies in the software and technology industries, including some of our current and potential competitors, own large numbers of patents, copyrights, trademarks and trade secrets and frequently enter into litigation based on allegations of infringement, misappropriation or other violations of intellectual property rights. We have in the past and may in the future be subject to claims that we have misappropriated, misused, infringed or otherwise violated the intellectual property rights of our competitors, non-practicing entities or other third parties. This risk is exacerbated by the fact that our software incorporates third-party open source software.</w:t>
      </w:r>
    </w:p>
    <w:p>
      <w:pPr>
        <w:spacing w:after="0" w:line="98"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w:t>
      </w:r>
    </w:p>
    <w:p>
      <w:pPr>
        <w:spacing w:after="0" w:line="200" w:lineRule="exact"/>
        <w:rPr>
          <w:sz w:val="20"/>
          <w:szCs w:val="20"/>
          <w:color w:val="auto"/>
        </w:rPr>
      </w:pPr>
    </w:p>
    <w:p>
      <w:pPr>
        <w:spacing w:after="0" w:line="36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non-infringing technology, which could require significant effort and expense. If we cannot license or develop technology for any aspect of our business that may ultimately be determined to infringe, misappropriate or otherwise violate the intellectual property rights of another party, we could be forced to limit or stop sales of subscriptions to our software and may be unable to compete effectively. In addition, to the extent we hire personnel from competitors, we may be subject to allegations that such personnel have divulged proprietary or other confidential information to us. Further, we may be unaware of the intellectual property rights of others that may cover some or all of our products, and our insurance may not cover intellectual property rights infringement claims that may be made. Any of these results would adversely affect our business, results of operations and financial condition.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maintain successful relationships with our partners, our business, results of operations and financial condition could be harmed.</w:t>
      </w:r>
    </w:p>
    <w:p>
      <w:pPr>
        <w:spacing w:after="0" w:line="138" w:lineRule="exact"/>
        <w:rPr>
          <w:sz w:val="20"/>
          <w:szCs w:val="20"/>
          <w:color w:val="auto"/>
        </w:rPr>
      </w:pPr>
    </w:p>
    <w:p>
      <w:pPr>
        <w:ind w:right="20" w:firstLine="382"/>
        <w:spacing w:after="0" w:line="259" w:lineRule="auto"/>
        <w:rPr>
          <w:sz w:val="20"/>
          <w:szCs w:val="20"/>
          <w:color w:val="auto"/>
        </w:rPr>
      </w:pPr>
      <w:r>
        <w:rPr>
          <w:rFonts w:ascii="Times New Roman" w:cs="Times New Roman" w:eastAsia="Times New Roman" w:hAnsi="Times New Roman"/>
          <w:sz w:val="14"/>
          <w:szCs w:val="14"/>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01"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80" w:lineRule="exact"/>
        <w:rPr>
          <w:sz w:val="20"/>
          <w:szCs w:val="20"/>
          <w:color w:val="auto"/>
        </w:rPr>
      </w:pPr>
    </w:p>
    <w:p>
      <w:pPr>
        <w:ind w:right="40" w:firstLine="382"/>
        <w:spacing w:after="0" w:line="255" w:lineRule="auto"/>
        <w:rPr>
          <w:sz w:val="20"/>
          <w:szCs w:val="20"/>
          <w:color w:val="auto"/>
        </w:rPr>
      </w:pPr>
      <w:r>
        <w:rPr>
          <w:rFonts w:ascii="Times New Roman" w:cs="Times New Roman" w:eastAsia="Times New Roman" w:hAnsi="Times New Roman"/>
          <w:sz w:val="14"/>
          <w:szCs w:val="14"/>
          <w:color w:val="auto"/>
        </w:rPr>
        <w:t>We outsource substantially all of the infrastructure relating to Atlas across AWS, Microsoft Azure and GCP to host our cloud offering. If the hosting of Atlas is disrupted or interfered with for any reason, our business would be negatively impacted. Customers of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cyberattacks, or security breaches or other security incidents that we cannot predict or prevent. Such interruptions, delays or outages could lead to the triggering of our service level agreements and the issuance of credits to our cloud offering customers, which may impact our business, results of operations and financial condition. In addition, if we or any of these third-party cloud providers, experience a security breach or other security incident,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Interruptions or performance problems associated with our technology and infrastructure may adversely affect our business, results of operations and financial condition.</w:t>
      </w:r>
    </w:p>
    <w:p>
      <w:pPr>
        <w:spacing w:after="0" w:line="13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security breaches or other security incidents, or capacity constraints. Capacity constraints could be due to a number of potential causes including technical failures, natural disasters, fraud, cyberattacks, data breaches or other security incidents. In some instances, we may not be able to identify and/or remedy the cause or causes of these performance problems within an acceptable period of time. It may become increasingly difficult to maintain and improve our performance</w:t>
      </w:r>
    </w:p>
    <w:p>
      <w:pPr>
        <w:spacing w:after="0" w:line="200" w:lineRule="exact"/>
        <w:rPr>
          <w:sz w:val="20"/>
          <w:szCs w:val="20"/>
          <w:color w:val="auto"/>
        </w:rPr>
      </w:pPr>
    </w:p>
    <w:p>
      <w:pPr>
        <w:spacing w:after="0" w:line="36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38"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03"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meet our service level commitments, our business, results of operations and financial condition could be adversely affected.</w:t>
      </w:r>
    </w:p>
    <w:p>
      <w:pPr>
        <w:spacing w:after="0" w:line="138"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4"/>
          <w:szCs w:val="14"/>
          <w:color w:val="auto"/>
        </w:rPr>
        <w:t>Our agreements with customers typically provide for service level commitments. Our MongoDB Enterprise Advanced customers typically get service level commitments with certain guaranteed response times and comprehensive 24x365 coverage. Our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99"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80"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We believe our success has depended, and continues to depend, on the efforts and talents of our senior management team, particularly our Chief Executive Officer, and our highly skilled team members, including our sales personnel, customer-facing technical personnel, software engineers, and AI-researchers or AI-skilled personnel.</w:t>
      </w:r>
    </w:p>
    <w:p>
      <w:pPr>
        <w:spacing w:after="0" w:line="82"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103" w:lineRule="exact"/>
        <w:rPr>
          <w:sz w:val="20"/>
          <w:szCs w:val="20"/>
          <w:color w:val="auto"/>
        </w:rPr>
      </w:pPr>
    </w:p>
    <w:p>
      <w:pPr>
        <w:ind w:right="580" w:firstLine="382"/>
        <w:spacing w:after="0" w:line="287" w:lineRule="auto"/>
        <w:rPr>
          <w:sz w:val="20"/>
          <w:szCs w:val="20"/>
          <w:color w:val="auto"/>
        </w:rPr>
      </w:pPr>
      <w:r>
        <w:rPr>
          <w:rFonts w:ascii="Times New Roman" w:cs="Times New Roman" w:eastAsia="Times New Roman" w:hAnsi="Times New Roman"/>
          <w:sz w:val="14"/>
          <w:szCs w:val="14"/>
          <w:color w:val="auto"/>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software engineers, and AI-researchers or AI-skilled personnel, is intense,</w:t>
      </w:r>
    </w:p>
    <w:p>
      <w:pPr>
        <w:spacing w:after="0" w:line="200" w:lineRule="exact"/>
        <w:rPr>
          <w:sz w:val="20"/>
          <w:szCs w:val="20"/>
          <w:color w:val="auto"/>
        </w:rPr>
      </w:pPr>
    </w:p>
    <w:p>
      <w:pPr>
        <w:spacing w:after="0" w:line="34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and it may be even more challenging to retain qualified personnel as many companies have moved to offer a remote or hybrid work environment.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not able to maintain and enhance our brand, especially among developers, our business and results of operations may be adversely affected.</w:t>
      </w:r>
    </w:p>
    <w:p>
      <w:pPr>
        <w:spacing w:after="0" w:line="13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.local events,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99"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spacing w:after="0" w:line="80"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We believe that our culture has been and will continue to be a key contributor to our success. Our workforce has increased significantly since our initial public offering in 2017 and we expect to continue to hire as we expand, especially among research and development and sales and marketing personnel. Such headcount growth may result in a change to our corporate culture.</w:t>
      </w:r>
    </w:p>
    <w:p>
      <w:pPr>
        <w:spacing w:after="0" w:line="82" w:lineRule="exact"/>
        <w:rPr>
          <w:sz w:val="20"/>
          <w:szCs w:val="20"/>
          <w:color w:val="auto"/>
        </w:rPr>
      </w:pPr>
    </w:p>
    <w:p>
      <w:pPr>
        <w:ind w:right="160" w:firstLine="382"/>
        <w:spacing w:after="0" w:line="270" w:lineRule="auto"/>
        <w:rPr>
          <w:sz w:val="20"/>
          <w:szCs w:val="20"/>
          <w:color w:val="auto"/>
        </w:rPr>
      </w:pPr>
      <w:r>
        <w:rPr>
          <w:rFonts w:ascii="Times New Roman" w:cs="Times New Roman" w:eastAsia="Times New Roman" w:hAnsi="Times New Roman"/>
          <w:sz w:val="14"/>
          <w:szCs w:val="14"/>
          <w:color w:val="auto"/>
        </w:rPr>
        <w:t>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w:t>
      </w:r>
    </w:p>
    <w:p>
      <w:pPr>
        <w:spacing w:after="0" w:line="93"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If we do not continue to maintain and develop our corporate culture, we may be unable to execute effectively and foster the innovation, creativity and entrepreneurial spirit we believe we need to support our growth, which could harm our business.</w:t>
      </w:r>
    </w:p>
    <w:p>
      <w:pPr>
        <w:spacing w:after="0" w:line="80"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80" w:lineRule="exact"/>
        <w:rPr>
          <w:sz w:val="20"/>
          <w:szCs w:val="20"/>
          <w:color w:val="auto"/>
        </w:rPr>
      </w:pPr>
    </w:p>
    <w:p>
      <w:pPr>
        <w:ind w:right="140" w:firstLine="382"/>
        <w:spacing w:after="0" w:line="264" w:lineRule="auto"/>
        <w:rPr>
          <w:sz w:val="20"/>
          <w:szCs w:val="20"/>
          <w:color w:val="auto"/>
        </w:rPr>
      </w:pPr>
      <w:r>
        <w:rPr>
          <w:rFonts w:ascii="Times New Roman" w:cs="Times New Roman" w:eastAsia="Times New Roman" w:hAnsi="Times New Roman"/>
          <w:sz w:val="14"/>
          <w:szCs w:val="14"/>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Indemnity provisions in various agreements could expose us to substantial liability for data breaches, intellectual property infringement and other losses.</w:t>
      </w:r>
    </w:p>
    <w:p>
      <w:pPr>
        <w:spacing w:after="0" w:line="138"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security breaches or other security incidents,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w:t>
      </w:r>
    </w:p>
    <w:p>
      <w:pPr>
        <w:spacing w:after="0" w:line="200" w:lineRule="exact"/>
        <w:rPr>
          <w:sz w:val="20"/>
          <w:szCs w:val="20"/>
          <w:color w:val="auto"/>
        </w:rPr>
      </w:pPr>
    </w:p>
    <w:p>
      <w:pPr>
        <w:spacing w:after="0" w:line="36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adverse effects on our relationship with that customer and other existing customers and new customers and harm our business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Because our long-term growth strategy involves sales to customers outside the United States, our business is susceptible to risks associated with international operations.</w:t>
      </w:r>
    </w:p>
    <w:p>
      <w:pPr>
        <w:spacing w:after="0" w:line="138"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A significant portion of our revenue is derived internationally and we are susceptible to risks related to our international operations. In the fiscal years ended January 31, 2026, 2025 and 2024, total revenue generated from customers outside the United States was 46%, 46%, and 46%,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spacing w:after="0" w:line="103"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 specific country’s or region’s political or economic conditions;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adapt and localize our products for specific countries;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difficulty collecting accounts receivable and longer payment cycles;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laws, regulatory requirements, taxes or trade laws;</w:t>
      </w:r>
    </w:p>
    <w:p>
      <w:pPr>
        <w:spacing w:after="0" w:line="93" w:lineRule="exact"/>
        <w:rPr>
          <w:rFonts w:ascii="Times New Roman" w:cs="Times New Roman" w:eastAsia="Times New Roman" w:hAnsi="Times New Roman"/>
          <w:sz w:val="14"/>
          <w:szCs w:val="14"/>
          <w:color w:val="auto"/>
        </w:rPr>
      </w:pPr>
    </w:p>
    <w:p>
      <w:pPr>
        <w:ind w:left="520" w:right="2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shelter-in-place, occupancy limitations or similar orders, private travel limitation, or business disruption in regions affecting our operations, stemming from actual, imminent or perceived outbreak of contagious disease;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stringent regulations relating to data privacy and security and the unauthorized use of, or access to, commercial and personal data, particularly in EMEA;</w:t>
      </w:r>
    </w:p>
    <w:p>
      <w:pPr>
        <w:spacing w:after="0" w:line="93" w:lineRule="exact"/>
        <w:rPr>
          <w:rFonts w:ascii="Times New Roman" w:cs="Times New Roman" w:eastAsia="Times New Roman" w:hAnsi="Times New Roman"/>
          <w:sz w:val="14"/>
          <w:szCs w:val="14"/>
          <w:color w:val="auto"/>
        </w:rPr>
      </w:pPr>
    </w:p>
    <w:p>
      <w:pPr>
        <w:ind w:left="520" w:right="38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labor regulations, especially in EMEA, where labor laws are generally more advantageous to employees as compared to the United States, including deemed hourly wage and overtime regulations in these locations;</w:t>
      </w:r>
    </w:p>
    <w:p>
      <w:pPr>
        <w:spacing w:after="0" w:line="39"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inherent in efficiently managing an increased number of employees over large geographic distances, including the need to implement appropriate systems, policies, benefits and compliance programs;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managing a business in new markets with diverse cultures, languages, customs, legal systems, alternative dispute systems and regulatory systems;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associated with international operations, including travel, real estate, infrastructure and legal compliance costs;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exchange rate fluctuations and the resulting effect on our revenue and expenses and the cost and risk of entering into hedging transactions if we chose to do so in the future;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other economic factors, including inflation, pricing and currency devaluation;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our ability to reinvest earnings from operations in one country to fund the capital needs of our operations in other countries;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business practices favoring local competitors or general preferences for local vendors;</w:t>
      </w:r>
    </w:p>
    <w:p>
      <w:pPr>
        <w:spacing w:after="0" w:line="93"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or insufficient intellectual property protection or difficulties enforcing our intellectual property;</w:t>
      </w:r>
    </w:p>
    <w:p>
      <w:pPr>
        <w:spacing w:after="0" w:line="93" w:lineRule="exact"/>
        <w:rPr>
          <w:rFonts w:ascii="Times New Roman" w:cs="Times New Roman" w:eastAsia="Times New Roman" w:hAnsi="Times New Roman"/>
          <w:sz w:val="14"/>
          <w:szCs w:val="14"/>
          <w:color w:val="auto"/>
        </w:rPr>
      </w:pPr>
    </w:p>
    <w:p>
      <w:pPr>
        <w:ind w:left="520" w:hanging="260"/>
        <w:spacing w:after="0" w:line="270"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instability, including any escalation in the geopolitical tensions between China and Taiwan, social unrest, terrorist activities, acts of civil or international hostility, such as the conflict in Iran, the unrest in Mexico, the Russia-Ukraine conflict, the Israel-Hamas conflict and recent events in Venezuela, natural disasters or regional or global outbreaks of contagious diseases, such as the COVID-19 pandemic;</w:t>
      </w:r>
    </w:p>
    <w:p>
      <w:pPr>
        <w:spacing w:after="0" w:line="50" w:lineRule="exact"/>
        <w:rPr>
          <w:rFonts w:ascii="Times New Roman" w:cs="Times New Roman" w:eastAsia="Times New Roman" w:hAnsi="Times New Roman"/>
          <w:sz w:val="14"/>
          <w:szCs w:val="14"/>
          <w:color w:val="auto"/>
        </w:rPr>
      </w:pPr>
    </w:p>
    <w:p>
      <w:pPr>
        <w:ind w:left="520" w:right="2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liabilities under anti-corruption and anti-money laundering laws, including the U.S. Foreign Corrupt Practices Act, U.K. Bribery Act and similar laws and regulations in other jurisdictions; and</w:t>
      </w:r>
    </w:p>
    <w:p>
      <w:pPr>
        <w:spacing w:after="0" w:line="200" w:lineRule="exact"/>
        <w:rPr>
          <w:sz w:val="20"/>
          <w:szCs w:val="20"/>
          <w:color w:val="auto"/>
        </w:rPr>
      </w:pPr>
    </w:p>
    <w:p>
      <w:pPr>
        <w:spacing w:after="0" w:line="30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tax burdens and foreign exchange controls that could make it difficult to repatriate earnings and cash.</w:t>
      </w:r>
    </w:p>
    <w:p>
      <w:pPr>
        <w:spacing w:after="0" w:line="94" w:lineRule="exact"/>
        <w:rPr>
          <w:sz w:val="20"/>
          <w:szCs w:val="20"/>
          <w:color w:val="auto"/>
        </w:rPr>
      </w:pPr>
    </w:p>
    <w:p>
      <w:pPr>
        <w:ind w:right="560" w:firstLine="382"/>
        <w:spacing w:after="0" w:line="287" w:lineRule="auto"/>
        <w:rPr>
          <w:sz w:val="20"/>
          <w:szCs w:val="20"/>
          <w:color w:val="auto"/>
        </w:rPr>
      </w:pPr>
      <w:r>
        <w:rPr>
          <w:rFonts w:ascii="Times New Roman" w:cs="Times New Roman" w:eastAsia="Times New Roman" w:hAnsi="Times New Roman"/>
          <w:sz w:val="14"/>
          <w:szCs w:val="14"/>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80"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spacing w:after="0" w:line="80" w:lineRule="exact"/>
        <w:rPr>
          <w:sz w:val="20"/>
          <w:szCs w:val="20"/>
          <w:color w:val="auto"/>
        </w:rPr>
      </w:pPr>
    </w:p>
    <w:p>
      <w:pPr>
        <w:ind w:right="160" w:firstLine="382"/>
        <w:spacing w:after="0" w:line="259" w:lineRule="auto"/>
        <w:rPr>
          <w:sz w:val="20"/>
          <w:szCs w:val="20"/>
          <w:color w:val="auto"/>
        </w:rPr>
      </w:pPr>
      <w:r>
        <w:rPr>
          <w:rFonts w:ascii="Times New Roman" w:cs="Times New Roman" w:eastAsia="Times New Roman" w:hAnsi="Times New Roman"/>
          <w:sz w:val="14"/>
          <w:szCs w:val="14"/>
          <w:color w:val="auto"/>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may lead to continuing volatility in U.S. and global financial and economic conditions and commodity markets, declining consumer confidence, significant inflation and diminished expectations for the economy, and may ultimately result in lower demand for our offerings, which could adversely affect our business, financial condition and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currency exchange rates fluctuate substantially in the future, our financial results, which are reported in U.S. dollars, could be adversely affected.</w:t>
      </w:r>
    </w:p>
    <w:p>
      <w:pPr>
        <w:spacing w:after="0" w:line="138"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02"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80"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4"/>
          <w:szCs w:val="14"/>
          <w:color w:val="auto"/>
        </w:rPr>
        <w:t>The future success of our business and particularly our cloud offerings, such as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01" w:lineRule="exact"/>
        <w:rPr>
          <w:sz w:val="20"/>
          <w:szCs w:val="20"/>
          <w:color w:val="auto"/>
        </w:rPr>
      </w:pPr>
    </w:p>
    <w:p>
      <w:pPr>
        <w:ind w:right="180" w:firstLine="382"/>
        <w:spacing w:after="0" w:line="264" w:lineRule="auto"/>
        <w:rPr>
          <w:sz w:val="20"/>
          <w:szCs w:val="20"/>
          <w:color w:val="auto"/>
        </w:rPr>
      </w:pPr>
      <w:r>
        <w:rPr>
          <w:rFonts w:ascii="Times New Roman" w:cs="Times New Roman" w:eastAsia="Times New Roman" w:hAnsi="Times New Roman"/>
          <w:sz w:val="14"/>
          <w:szCs w:val="14"/>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a variety of evolving data security threats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80"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spacing w:after="0" w:line="104"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have completed acquisitions in the past and may in the future expand through acquisitions or investments in strategic partnerships, each of which may divert our management’s attention, result in additional dilution to our stockholders, increase expenses, disrupt our operations, and harm our results of operations.</w:t>
      </w:r>
    </w:p>
    <w:p>
      <w:pPr>
        <w:spacing w:after="0" w:line="69" w:lineRule="exact"/>
        <w:rPr>
          <w:sz w:val="20"/>
          <w:szCs w:val="20"/>
          <w:color w:val="auto"/>
        </w:rPr>
      </w:pPr>
    </w:p>
    <w:p>
      <w:pPr>
        <w:jc w:val="both"/>
        <w:ind w:right="100" w:firstLine="382"/>
        <w:spacing w:after="0" w:line="254" w:lineRule="auto"/>
        <w:rPr>
          <w:sz w:val="20"/>
          <w:szCs w:val="20"/>
          <w:color w:val="auto"/>
        </w:rPr>
      </w:pPr>
      <w:r>
        <w:rPr>
          <w:rFonts w:ascii="Times New Roman" w:cs="Times New Roman" w:eastAsia="Times New Roman" w:hAnsi="Times New Roman"/>
          <w:sz w:val="14"/>
          <w:szCs w:val="14"/>
          <w:color w:val="auto"/>
        </w:rPr>
        <w:t>Our success will depend, in part, on our ability to grow our business in response to changing technologies, customer demands and competitive pressures. We have in the past acquired, and we may in the future expand through, acquisitions or investments in products or technologies that we believe could complement or expand our platform, enhance our technical capabilities or otherwise offer growth opportunities. The identification of suitable acquisition candidates can be difficult, time-consuming and costly and we may not be able to successfully complete identified acquisitions.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risks we face in connection with any acquisitions or strategic investments include:</w:t>
      </w:r>
    </w:p>
    <w:p>
      <w:pPr>
        <w:spacing w:after="0" w:line="136" w:lineRule="exact"/>
        <w:rPr>
          <w:sz w:val="20"/>
          <w:szCs w:val="20"/>
          <w:color w:val="auto"/>
        </w:rPr>
      </w:pPr>
    </w:p>
    <w:p>
      <w:pPr>
        <w:ind w:left="520" w:hanging="260"/>
        <w:spacing w:after="0" w:line="270"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of incurring charges or assuming substantial debt or other liabilities, which may cause adverse tax consequences or unfavorable accounting treatment, and which may expose us to claims and disputes by stockholders and third parties, including intellectual property claims and disputes, or which may not generate sufficient financial return to offset additional costs and expenses related to the acquisition or strategic investment;</w:t>
      </w:r>
    </w:p>
    <w:p>
      <w:pPr>
        <w:spacing w:after="0" w:line="50"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encounter difficulties or unforeseen expenditures in integrating the business, technologies, products, personnel or operations of any company that we acquire or invest in, particularly if key personnel of the acquired company decide not to work for us;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realize anticipated synergies;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acquisition or strategic investment may disrupt our ongoing business, divert resources, increase our expenses and distract our management;</w:t>
      </w:r>
    </w:p>
    <w:p>
      <w:pPr>
        <w:spacing w:after="0" w:line="93"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encounter challenges integrating the employees of the acquired company into our company culture;</w:t>
      </w:r>
    </w:p>
    <w:p>
      <w:pPr>
        <w:spacing w:after="0" w:line="93" w:lineRule="exact"/>
        <w:rPr>
          <w:rFonts w:ascii="Times New Roman" w:cs="Times New Roman" w:eastAsia="Times New Roman" w:hAnsi="Times New Roman"/>
          <w:sz w:val="14"/>
          <w:szCs w:val="14"/>
          <w:color w:val="auto"/>
        </w:rPr>
      </w:pPr>
    </w:p>
    <w:p>
      <w:pPr>
        <w:ind w:left="520" w:right="28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international transactions, we may face additional challenges related to the integration of operations across different cultures and languages and the economic, political and regulatory risks associated with specific countries;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successfully sell any acquired products or increase adoption or usage of acquired products, or increase spend by acquired customers;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of cash to pay for acquisitions or strategic investment would limit other potential uses for our cash;</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incur debt to fund any acquisitions, such debt may subject us to material restrictions on our ability to conduct our business, including financial maintenance covenants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issue a significant amount of equity securities in connection with future acquisitions, existing stockholders may be diluted and earnings per share may decrease;</w:t>
      </w:r>
    </w:p>
    <w:p>
      <w:pPr>
        <w:spacing w:after="0" w:line="93"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legal liability arising from prior or ongoing acts or omissions by the acquired businesses which are not discovered by due diligence during the acquisition process or that prove to have a greater than anticipated adverse</w:t>
      </w:r>
    </w:p>
    <w:p>
      <w:pPr>
        <w:spacing w:after="0" w:line="200" w:lineRule="exact"/>
        <w:rPr>
          <w:sz w:val="20"/>
          <w:szCs w:val="20"/>
          <w:color w:val="auto"/>
        </w:rPr>
      </w:pPr>
    </w:p>
    <w:p>
      <w:pPr>
        <w:spacing w:after="0" w:line="30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jc w:val="both"/>
        <w:ind w:left="520" w:right="520"/>
        <w:spacing w:after="0" w:line="270" w:lineRule="auto"/>
        <w:rPr>
          <w:sz w:val="20"/>
          <w:szCs w:val="20"/>
          <w:color w:val="auto"/>
        </w:rPr>
      </w:pPr>
      <w:r>
        <w:rPr>
          <w:rFonts w:ascii="Times New Roman" w:cs="Times New Roman" w:eastAsia="Times New Roman" w:hAnsi="Times New Roman"/>
          <w:sz w:val="14"/>
          <w:szCs w:val="14"/>
          <w:color w:val="auto"/>
        </w:rPr>
        <w:t>impact. There is no assurance that acquired businesses will have invested sufficient efforts in their own regulatory compliance, and we may need to invest in and seek to improve the regulatory compliance controls and systems of such businesses. Generally, if an acquired business fails to meet our expectations, or if we are unable to establish effective regulatory compliance controls with respect to an acquired business, our operating results, business, and financial condition may suffer; and</w:t>
      </w:r>
    </w:p>
    <w:p>
      <w:pPr>
        <w:spacing w:after="0" w:line="51" w:lineRule="exact"/>
        <w:rPr>
          <w:sz w:val="20"/>
          <w:szCs w:val="20"/>
          <w:color w:val="auto"/>
        </w:rPr>
      </w:pPr>
    </w:p>
    <w:p>
      <w:pPr>
        <w:ind w:left="520" w:right="60" w:hanging="260"/>
        <w:spacing w:after="0" w:line="26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acquired business holds governmental authorizations, facility security clearances, personnel security clearances or other approvals that are important to the anticipated strategic benefits of the acquisition, we may be unable to maintain or transfer those authorizations, clearances or approvals following the acquisition, including as a result of changes in ownership, control, management, operations, compliance posture or other changed conditions. If we are unable to maintain any such authorizations, clearances or approvals, or if doing so requires us to implement additional compliance, governance, cybersecurity, personnel, reporting, inspection or mitigation measures, we may not realize the anticipated benefits of the acquisition, may incur additional costs or delays, and may be unable to pursue or perform certain opportunities, including opportunities involving U.S. government customers.</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occurrence of any of these risks could have an adverse effect on our business, results of operations and financial condition.</w:t>
      </w:r>
    </w:p>
    <w:p>
      <w:pPr>
        <w:spacing w:after="0" w:line="134"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our non-marketable securities, including partial or complete loss of invested capital. Significant changes in the fair value of our private investment portfolio could negatively impact our financial results.</w:t>
      </w:r>
    </w:p>
    <w:p>
      <w:pPr>
        <w:spacing w:after="0" w:line="80" w:lineRule="exact"/>
        <w:rPr>
          <w:sz w:val="20"/>
          <w:szCs w:val="20"/>
          <w:color w:val="auto"/>
        </w:rPr>
      </w:pPr>
    </w:p>
    <w:p>
      <w:pPr>
        <w:jc w:val="both"/>
        <w:ind w:right="40" w:firstLine="382"/>
        <w:spacing w:after="0" w:line="270" w:lineRule="auto"/>
        <w:rPr>
          <w:sz w:val="20"/>
          <w:szCs w:val="20"/>
          <w:color w:val="auto"/>
        </w:rPr>
      </w:pPr>
      <w:r>
        <w:rPr>
          <w:rFonts w:ascii="Times New Roman" w:cs="Times New Roman" w:eastAsia="Times New Roman" w:hAnsi="Times New Roman"/>
          <w:sz w:val="14"/>
          <w:szCs w:val="14"/>
          <w:color w:val="auto"/>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spacing w:after="0" w:line="93" w:lineRule="exact"/>
        <w:rPr>
          <w:sz w:val="20"/>
          <w:szCs w:val="20"/>
          <w:color w:val="auto"/>
        </w:rPr>
      </w:pPr>
    </w:p>
    <w:p>
      <w:pPr>
        <w:ind w:firstLine="382"/>
        <w:spacing w:after="0" w:line="263" w:lineRule="auto"/>
        <w:rPr>
          <w:sz w:val="20"/>
          <w:szCs w:val="20"/>
          <w:color w:val="auto"/>
        </w:rPr>
      </w:pPr>
      <w:r>
        <w:rPr>
          <w:rFonts w:ascii="Times New Roman" w:cs="Times New Roman" w:eastAsia="Times New Roman" w:hAnsi="Times New Roman"/>
          <w:sz w:val="14"/>
          <w:szCs w:val="14"/>
          <w:color w:val="auto"/>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anti-bribery, anti-corruption and anti-money laundering laws could subject us to penalties and other adverse consequences.</w:t>
      </w:r>
    </w:p>
    <w:p>
      <w:pPr>
        <w:spacing w:after="0" w:line="138" w:lineRule="exact"/>
        <w:rPr>
          <w:sz w:val="20"/>
          <w:szCs w:val="20"/>
          <w:color w:val="auto"/>
        </w:rPr>
      </w:pPr>
    </w:p>
    <w:p>
      <w:pPr>
        <w:ind w:right="40" w:firstLine="382"/>
        <w:spacing w:after="0" w:line="255" w:lineRule="auto"/>
        <w:rPr>
          <w:sz w:val="20"/>
          <w:szCs w:val="20"/>
          <w:color w:val="auto"/>
        </w:rPr>
      </w:pPr>
      <w:r>
        <w:rPr>
          <w:rFonts w:ascii="Times New Roman" w:cs="Times New Roman" w:eastAsia="Times New Roman" w:hAnsi="Times New Roman"/>
          <w:sz w:val="14"/>
          <w:szCs w:val="14"/>
          <w:color w:val="auto"/>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200" w:lineRule="exact"/>
        <w:rPr>
          <w:sz w:val="20"/>
          <w:szCs w:val="20"/>
          <w:color w:val="auto"/>
        </w:rPr>
      </w:pPr>
    </w:p>
    <w:p>
      <w:pPr>
        <w:spacing w:after="0" w:line="37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Contracting with government entities, and maintaining authorizations, clearances and certifications required for government-related opportunities, exposes us to additional risks inherent in the government procurement process.</w:t>
      </w:r>
    </w:p>
    <w:p>
      <w:pPr>
        <w:spacing w:after="0" w:line="80" w:lineRule="exact"/>
        <w:rPr>
          <w:sz w:val="20"/>
          <w:szCs w:val="20"/>
          <w:color w:val="auto"/>
        </w:rPr>
      </w:pPr>
    </w:p>
    <w:p>
      <w:pPr>
        <w:ind w:right="100" w:firstLine="382"/>
        <w:spacing w:after="0" w:line="261" w:lineRule="auto"/>
        <w:rPr>
          <w:sz w:val="20"/>
          <w:szCs w:val="20"/>
          <w:color w:val="auto"/>
        </w:rPr>
      </w:pPr>
      <w:r>
        <w:rPr>
          <w:rFonts w:ascii="Times New Roman" w:cs="Times New Roman" w:eastAsia="Times New Roman" w:hAnsi="Times New Roman"/>
          <w:sz w:val="14"/>
          <w:szCs w:val="14"/>
          <w:color w:val="auto"/>
        </w:rPr>
        <w:t>We provide products and services, directly and indirectly, to a variety of government entities, and we may seek to expand our ability to pursue opportunities with U.S. government customers. Risks associated with licensing and selling products and services to government entities include extended sales and collection cycles, varying governmental budgeting processes, and adherence to complex procurement regulations, security requirements and other government-specific contractual requirements, which are subject to change by the government and may require significant upfront cost, time and resources, with no assurance that we will secure contracts with government entities. Governmental entities may also have statutory, contractual or other legal rights to terminate contracts with us or our partners for convenience or for other reasons.</w:t>
      </w:r>
    </w:p>
    <w:p>
      <w:pPr>
        <w:spacing w:after="0" w:line="101"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4"/>
          <w:szCs w:val="14"/>
          <w:color w:val="auto"/>
        </w:rPr>
        <w:t>In addition, we have acquired, and may in the future acquire, businesses that hold governmental authorizations, facility security clearances, personnel security clearances or other approvals that are important to our ability to pursue or perform certain opportunities involving U.S. government customers. Although the revenues and government contracts of any such acquired business may not be material to our business, the loss of, or inability to maintain, any such authorization, clearance or approval could prevent us from realizing the anticipated strategic benefits of the acquisition. Maintaining these authorizations, clearances and approvals may require us to satisfy ongoing security, reporting, governance, cybersecurity, inspection, personnel-clearance and other compliance obligations, including obligations arising from changes in ownership, control, management, operations or other changed conditions. If we are unable to maintain any such authorization, clearance or approval, or if doing so requires us to implement additional compliance, mitigation or governance measures, we may incur increased costs or delays, lose access to certain government-related opportunities, or be unable to perform certain work for U.S. government customers.</w:t>
      </w:r>
    </w:p>
    <w:p>
      <w:pPr>
        <w:spacing w:after="0" w:line="104"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We may be subject to audits and investigations relating to any government contracts, authorizations, clearances, certifications and related compliance obligations, and any violations could result in civil and criminal penalties and administrative sanctions, including termination of contracts, payment of fines, loss of authorizations, clearances or certifications, and suspension or debarment from future government business, as well as harm to our reputation and financial results.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reported financial results may be adversely affected by changes in accounting principles generally accepted in the United States.</w:t>
      </w:r>
    </w:p>
    <w:p>
      <w:pPr>
        <w:spacing w:after="0" w:line="138"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prove to be incorrect, our results of operations could be adversely affected.</w:t>
      </w:r>
    </w:p>
    <w:p>
      <w:pPr>
        <w:spacing w:after="0" w:line="138" w:lineRule="exact"/>
        <w:rPr>
          <w:sz w:val="20"/>
          <w:szCs w:val="20"/>
          <w:color w:val="auto"/>
        </w:rPr>
      </w:pPr>
    </w:p>
    <w:p>
      <w:pPr>
        <w:ind w:right="60" w:firstLine="382"/>
        <w:spacing w:after="0" w:line="257" w:lineRule="auto"/>
        <w:rPr>
          <w:sz w:val="20"/>
          <w:szCs w:val="20"/>
          <w:color w:val="auto"/>
        </w:rPr>
      </w:pPr>
      <w:r>
        <w:rPr>
          <w:rFonts w:ascii="Times New Roman" w:cs="Times New Roman" w:eastAsia="Times New Roman" w:hAnsi="Times New Roman"/>
          <w:sz w:val="14"/>
          <w:szCs w:val="14"/>
          <w:color w:val="auto"/>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in the Notes to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and Condensed Consolidated Financial Statements include those related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intangible assets and property and equipment, fair value of non-marketable securities and accounting for income taxes. Our results of operations may be adversely affected if our assumptions change or</w:t>
      </w:r>
    </w:p>
    <w:p>
      <w:pPr>
        <w:spacing w:after="0" w:line="200" w:lineRule="exact"/>
        <w:rPr>
          <w:sz w:val="20"/>
          <w:szCs w:val="20"/>
          <w:color w:val="auto"/>
        </w:rPr>
      </w:pPr>
    </w:p>
    <w:p>
      <w:pPr>
        <w:spacing w:after="0" w:line="37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auto"/>
        </w:rPr>
        <w:t>if actual circumstances differ from those in our assumptions, which could cause our results of operations to fall below the expectations of securities analysts and investors, resulting in a decline in the trading price of our common stock.</w:t>
      </w:r>
    </w:p>
    <w:p>
      <w:pPr>
        <w:spacing w:after="0" w:line="80"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80" w:lineRule="exact"/>
        <w:rPr>
          <w:sz w:val="20"/>
          <w:szCs w:val="20"/>
          <w:color w:val="auto"/>
        </w:rPr>
      </w:pPr>
    </w:p>
    <w:p>
      <w:pPr>
        <w:jc w:val="both"/>
        <w:ind w:right="40" w:firstLine="382"/>
        <w:spacing w:after="0" w:line="270" w:lineRule="auto"/>
        <w:rPr>
          <w:sz w:val="20"/>
          <w:szCs w:val="20"/>
          <w:color w:val="auto"/>
        </w:rPr>
      </w:pPr>
      <w:r>
        <w:rPr>
          <w:rFonts w:ascii="Times New Roman" w:cs="Times New Roman" w:eastAsia="Times New Roman" w:hAnsi="Times New Roman"/>
          <w:sz w:val="14"/>
          <w:szCs w:val="14"/>
          <w:color w:val="auto"/>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93" w:lineRule="exact"/>
        <w:rPr>
          <w:sz w:val="20"/>
          <w:szCs w:val="20"/>
          <w:color w:val="auto"/>
        </w:rPr>
      </w:pPr>
    </w:p>
    <w:p>
      <w:pPr>
        <w:ind w:right="140" w:firstLine="382"/>
        <w:spacing w:after="0" w:line="259" w:lineRule="auto"/>
        <w:rPr>
          <w:sz w:val="20"/>
          <w:szCs w:val="20"/>
          <w:color w:val="auto"/>
        </w:rPr>
      </w:pPr>
      <w:r>
        <w:rPr>
          <w:rFonts w:ascii="Times New Roman" w:cs="Times New Roman" w:eastAsia="Times New Roman" w:hAnsi="Times New Roman"/>
          <w:sz w:val="14"/>
          <w:szCs w:val="14"/>
          <w:color w:val="auto"/>
        </w:rPr>
        <w:t>The Sarbanes-Oxley Act requires, among other things, that we maintain effective disclosure controls and procedures and internal control over financial reporting. We have developed and are continuing to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03"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spacing w:after="0" w:line="104" w:lineRule="exact"/>
        <w:rPr>
          <w:sz w:val="20"/>
          <w:szCs w:val="20"/>
          <w:color w:val="auto"/>
        </w:rPr>
      </w:pPr>
    </w:p>
    <w:p>
      <w:pPr>
        <w:ind w:right="40" w:firstLine="382"/>
        <w:spacing w:after="0" w:line="258" w:lineRule="auto"/>
        <w:rPr>
          <w:sz w:val="20"/>
          <w:szCs w:val="20"/>
          <w:color w:val="auto"/>
        </w:rPr>
      </w:pPr>
      <w:r>
        <w:rPr>
          <w:rFonts w:ascii="Times New Roman" w:cs="Times New Roman" w:eastAsia="Times New Roman" w:hAnsi="Times New Roman"/>
          <w:sz w:val="14"/>
          <w:szCs w:val="14"/>
          <w:color w:val="auto"/>
        </w:rPr>
        <w:t>We are required, pursuant to SEC rules that implement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spacing w:after="0" w:line="102"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80"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4"/>
          <w:szCs w:val="14"/>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w:t>
      </w:r>
    </w:p>
    <w:p>
      <w:pPr>
        <w:spacing w:after="0" w:line="200" w:lineRule="exact"/>
        <w:rPr>
          <w:sz w:val="20"/>
          <w:szCs w:val="20"/>
          <w:color w:val="auto"/>
        </w:rPr>
      </w:pPr>
    </w:p>
    <w:p>
      <w:pPr>
        <w:spacing w:after="0" w:line="37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terms that are satisfactory to us when we require it, our ability to continue to support our business growth and to respond to business challenges could be significantly impaired and our business may be harmed.</w:t>
      </w:r>
    </w:p>
    <w:p>
      <w:pPr>
        <w:spacing w:after="0" w:line="80"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 multinational organization with a distributed workforce facing increasingly complex tax issues in many jurisdictions and we could be obligated to pay additional taxes in various jurisdictions.</w:t>
      </w:r>
    </w:p>
    <w:p>
      <w:pPr>
        <w:spacing w:after="0" w:line="80"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the rise of flexible work policies resulting from the COVID-19 pandemic is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spacing w:after="0" w:line="10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80" w:lineRule="exact"/>
        <w:rPr>
          <w:sz w:val="20"/>
          <w:szCs w:val="20"/>
          <w:color w:val="auto"/>
        </w:rPr>
      </w:pPr>
    </w:p>
    <w:p>
      <w:pPr>
        <w:ind w:right="140" w:firstLine="382"/>
        <w:spacing w:after="0" w:line="264" w:lineRule="auto"/>
        <w:rPr>
          <w:sz w:val="20"/>
          <w:szCs w:val="20"/>
          <w:color w:val="auto"/>
        </w:rPr>
      </w:pPr>
      <w:r>
        <w:rPr>
          <w:rFonts w:ascii="Times New Roman" w:cs="Times New Roman" w:eastAsia="Times New Roman" w:hAnsi="Times New Roman"/>
          <w:sz w:val="14"/>
          <w:szCs w:val="14"/>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spacing w:after="0" w:line="9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Potential tax reform globally and in the United States may result in significant changes to U.S. federal income tax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Inflation Reduction Act (“IRA”). The Company has determined that it is not currently subject to the tax effects of the IRA, which includes a corporate alternative minimum tax and an excise tax on stock buybacks. In addition, many jurisdictions have enacted legislation and adopted policies resulting from the Organization for Economic Cooperation and Development’s (“OECD”) Anti-Base Erosion and Profit Shifting Pillar Two Model Rules (“Pillar Two”). Rules adopted in response to the initiative establish a global per-country minimum tax of 15%. Many countries have enacted legislation, or have indicated their intent to adopt legislation, to implement these rules. The OECD and implementing countries are expected to continue to make further revisions to their legislation and release additional guidance. Pillar Two became effective for the Company in the first quarter of its fiscal year ending January 31, 2025. While the Company does not anticipate that Pillar Two will have a material impact on its tax provision or effective tax rate in the short-term, the Company continues to monitor evolving tax legislation in the jurisdictions in which it operates.</w:t>
      </w:r>
    </w:p>
    <w:p>
      <w:pPr>
        <w:spacing w:after="0" w:line="108"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On July 4, 2025, the One Big Beautiful Bill ("OBBBA") was signed into law. The OBBBA includes a broad range of U.S. tax reform measures, including, among other provisions, the immediate expensing of U.S. research and development expenditures. In accordance with ASC 740, we have recognized the effects of the new tax law in the period of enactment. As we maintain a full valuation allowance on our U.S. deferred tax assets and have net operating losses (“NOLs”) in the U.S. and Ireland, the legislation does not have a material impact on the Company’s consolidated financial statements.</w:t>
      </w:r>
    </w:p>
    <w:p>
      <w:pPr>
        <w:spacing w:after="0" w:line="9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We continue to monitor the impact of new global and U.S. tax legislation and reform measures, including its potential to impact on our effective tax rate and income tax expense. We may in the future experience an increase in our income tax expense, especially if we are not able to maintain a full valuation allowance on our U.S. deferred tax assets or utilize a material portion of the NOLs reflected on our balance sheet. See “—</w:t>
      </w:r>
      <w:r>
        <w:rPr>
          <w:rFonts w:ascii="Times New Roman" w:cs="Times New Roman" w:eastAsia="Times New Roman" w:hAnsi="Times New Roman"/>
          <w:sz w:val="14"/>
          <w:szCs w:val="14"/>
          <w:i w:val="1"/>
          <w:iCs w:val="1"/>
          <w:color w:val="auto"/>
        </w:rPr>
        <w:t>Our ability to use our net operating losses to offset future taxable income may be subject to certain limitations</w:t>
      </w:r>
      <w:r>
        <w:rPr>
          <w:rFonts w:ascii="Times New Roman" w:cs="Times New Roman" w:eastAsia="Times New Roman" w:hAnsi="Times New Roman"/>
          <w:sz w:val="14"/>
          <w:szCs w:val="14"/>
          <w:color w:val="auto"/>
        </w:rPr>
        <w:t>.” Any increase in our income tax expense could have a negative effect on our financial condition and results of operations. Changes in global and U.S. tax legislation which may lead to other impacts, including on the U.S. federal income tax considerations relating to the purchase, ownership and disposition of our common stock.</w:t>
      </w:r>
    </w:p>
    <w:p>
      <w:pPr>
        <w:spacing w:after="0" w:line="200" w:lineRule="exact"/>
        <w:rPr>
          <w:sz w:val="20"/>
          <w:szCs w:val="20"/>
          <w:color w:val="auto"/>
        </w:rPr>
      </w:pPr>
    </w:p>
    <w:p>
      <w:pPr>
        <w:spacing w:after="0" w:line="36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losses to offset future taxable income may be subject to certain limitations.</w:t>
      </w:r>
    </w:p>
    <w:p>
      <w:pPr>
        <w:spacing w:after="0" w:line="138"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4"/>
          <w:szCs w:val="14"/>
          <w:color w:val="auto"/>
        </w:rPr>
        <w:t>As of January 31, 2026, we had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w:t>
      </w:r>
    </w:p>
    <w:p>
      <w:pPr>
        <w:spacing w:after="0" w:line="103"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8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80"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4"/>
          <w:szCs w:val="14"/>
          <w:color w:val="auto"/>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38"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82"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98"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93"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93"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w:t>
      </w: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91"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of earthquakes, fire, floods, pandemics and public health emergencies and other natural catastrophic events and to interruption by man-made problems such as power disruptions, security breaches or other security incidents, or terrorism.</w:t>
      </w:r>
    </w:p>
    <w:p>
      <w:pPr>
        <w:spacing w:after="0" w:line="80" w:lineRule="exact"/>
        <w:rPr>
          <w:sz w:val="20"/>
          <w:szCs w:val="20"/>
          <w:color w:val="auto"/>
        </w:rPr>
      </w:pPr>
    </w:p>
    <w:p>
      <w:pPr>
        <w:ind w:right="40" w:firstLine="382"/>
        <w:spacing w:after="0" w:line="255" w:lineRule="auto"/>
        <w:rPr>
          <w:sz w:val="20"/>
          <w:szCs w:val="20"/>
          <w:color w:val="auto"/>
        </w:rPr>
      </w:pPr>
      <w:r>
        <w:rPr>
          <w:rFonts w:ascii="Times New Roman" w:cs="Times New Roman" w:eastAsia="Times New Roman" w:hAnsi="Times New Roman"/>
          <w:sz w:val="14"/>
          <w:szCs w:val="14"/>
          <w:color w:val="auto"/>
        </w:rPr>
        <w:t>As of April 30, 2026, we have customers in over 100 countries and employees in over 25 countries. A significant natural disaster or man-made problem, such as an earthquake, fire, flood, an act of terrorism, the regional or global outbreak 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COVID-19 pandemic and/or the precautionary measures that we, our customers, and the governmental authorities adopted resulted in operational challenges, including, among other things, adapting to new work-from-home arrangements. More generally, a catastrophic event could adversely affect economies and financial markets globally and lead to an economic downturn, which could decrease technology spending and adversely affect demand for our products and services. Any prolonged economic downturn or a recession could materially harm our business and operating results and those of our customers, could result in business closures, layoffs, or furloughs of, or reductions in the number of hours worked by, our and our customer's employees, and a significant increase in unemployment in the United States and elsewhere. Such events may also lead to a reduction in the capital and operating budgets that we or our customers have available, which could harm our business, financial condition, and operating results. As we experienced during the COVID-19 pandemic, the trading prices for our and other technology companies' common stock may be highly volatile as a result of a catastrophic event, which may reduce our ability to access capital on favorable terms or at all. In the event of a major disruption caused by a natural disaster or man-made problem, we may be unable to continue our operations and may endure system interruptions, reputational harm, delays in our development activities, lengthy interruptions in service, data breaches or other security incidents and loss of critical data, any of which could adversely affect our business, results of operations and financial condition.</w:t>
      </w:r>
    </w:p>
    <w:p>
      <w:pPr>
        <w:spacing w:after="0" w:line="108" w:lineRule="exact"/>
        <w:rPr>
          <w:sz w:val="20"/>
          <w:szCs w:val="20"/>
          <w:color w:val="auto"/>
        </w:rPr>
      </w:pPr>
    </w:p>
    <w:p>
      <w:pPr>
        <w:jc w:val="both"/>
        <w:ind w:right="100" w:firstLine="382"/>
        <w:spacing w:after="0" w:line="287" w:lineRule="auto"/>
        <w:rPr>
          <w:sz w:val="20"/>
          <w:szCs w:val="20"/>
          <w:color w:val="auto"/>
        </w:rPr>
      </w:pPr>
      <w:r>
        <w:rPr>
          <w:rFonts w:ascii="Times New Roman" w:cs="Times New Roman" w:eastAsia="Times New Roman" w:hAnsi="Times New Roman"/>
          <w:sz w:val="14"/>
          <w:szCs w:val="14"/>
          <w:color w:val="auto"/>
        </w:rPr>
        <w:t>In addition, data security threats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82"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To the extent any of the above or similar events occur and adversely affect our business and results of operations, such event may also have the effect of heightening many of the other risks and uncertainties described in this “Risk Factors” section which may materially and adversely affect our business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related to our environmental, social, and governance activities and disclosures</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4"/>
          <w:szCs w:val="14"/>
          <w:color w:val="auto"/>
        </w:rPr>
        <w:t>We communicate certain environmental, social and governance (“ESG”) related initiatives and goals regarding environmental matters, diversity and other matters in our ESG Report (formerly known as the Corporate Sustainability Report), on our website and elsewhere. The implementation of any of our current or future initiatives, goals and commitments may be difficult to achieve and may require considerable investment. Additionally,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 If we fail to satisfy the expectations of investors, regulators, customers and other stakeholders, if our initiatives are not executed as planned, or if we fail to implement sufficient oversight or accurately capture and disclose ESG matters, our reputation and business, operating results and financial condition could be adversely impacted.</w:t>
      </w:r>
    </w:p>
    <w:p>
      <w:pPr>
        <w:spacing w:after="0" w:line="103" w:lineRule="exact"/>
        <w:rPr>
          <w:sz w:val="20"/>
          <w:szCs w:val="20"/>
          <w:color w:val="auto"/>
        </w:rPr>
      </w:pPr>
    </w:p>
    <w:p>
      <w:pPr>
        <w:ind w:right="420" w:firstLine="382"/>
        <w:spacing w:after="0" w:line="287" w:lineRule="auto"/>
        <w:rPr>
          <w:sz w:val="20"/>
          <w:szCs w:val="20"/>
          <w:color w:val="auto"/>
        </w:rPr>
      </w:pPr>
      <w:r>
        <w:rPr>
          <w:rFonts w:ascii="Times New Roman" w:cs="Times New Roman" w:eastAsia="Times New Roman" w:hAnsi="Times New Roman"/>
          <w:sz w:val="14"/>
          <w:szCs w:val="14"/>
          <w:color w:val="auto"/>
        </w:rPr>
        <w:t>In addition, there is an increasing focus from regulators, certain investors, customers and other stakeholders concerning ESG matters, both in the United States and internationally. Some investors may use these non-financial</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performance factors to guide their investment strategies and, in some cases, may choose not to invest in us if they believe our ESG-related policies and actions are inadequate. The growing investor demand for measurement of non-financial performance is addressed by third-party providers of sustainability assessment and ESG ratings on companies. The criteria by which our ESG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and other stakeholders may conclude that our ESG-related policies and/or actions with respect to corporate social responsibility are inadequate. There have also been increasing allegations of greenwashing against companies making significant ESG claims due to a variety of perceived deficiencies in performance. As stakeholder perceptions of sustainability continue to evolve, we may face reputational damage and potential stakeholder engagement and/or litigation in the event that we do not meet the ESG standards set by various constituencies. In addition, there exists certain “anti-ESG” sentiment among some individuals and government institutions, and we may also face scrutiny, reputational risk, lawsuits, or market access restrictions from these parties regarding our ESG initiatives.</w:t>
      </w:r>
    </w:p>
    <w:p>
      <w:pPr>
        <w:spacing w:after="0" w:line="106"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14"/>
          <w:szCs w:val="14"/>
          <w:color w:val="auto"/>
        </w:rPr>
        <w:t>Standards for tracking and reporting ESG matters continue to evolve. Accordingly,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and to keep up with market trends and stay competitive among our peers, in the United States and elsewhere may be substantial. Our selection of voluntary disclosure frameworks and standards, and the interpretation or application of those frameworks and standards, may change from time to time or differ from those of others. Our processes and controls for reporting ESG matters across our operations and supply chain are evolving along with multiple disparate standards for identifying, measuring, and reporting metrics, including ESG -related disclosures pursuant to voluntary disclosure standards and those that are or may be required by the SEC and other regulators, and such standards, or interpretation and guidance thereof, may change over time, which could result in significant revisions to our current goals, reported progress in achieving such goals, or ability to achieve such goals in the future.</w:t>
      </w:r>
    </w:p>
    <w:p>
      <w:pPr>
        <w:spacing w:after="0" w:line="102"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Social, ethical, security and regulatory issues relating to the use of new and evolving technologies, such as AI and ML, in our offerings or partnerships may result in reputational harm and liability.</w:t>
      </w:r>
    </w:p>
    <w:p>
      <w:pPr>
        <w:spacing w:after="0" w:line="8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4"/>
          <w:szCs w:val="14"/>
          <w:color w:val="auto"/>
        </w:rPr>
        <w:t>Social, ethical, security and regulatory issues relating to the use of new and evolving technologies such as AI and ML, including generative AI and AI models, in our offerings, internal operations or partnerships, may result in reputational harm and liability, and may cause us to incur additional research and development costs to resolve such issues. The use of generative and agentic AI, relatively new and emerging technologies in the early stages of commercial use, exposes us to additional risks, such as damage to our reputation, competitive position, and business, legal and regulatory risks and additional costs. For example, generative AI has been known to produce false or “hallucinatory” inferences or output, and certain generative AI uses machine learning and predictive analytics, which can create inaccurate, incomplete, or misleading content, unintended biases, and other discriminatory or unexpected results, errors or inadequacies, any of which may not be easily detectable by us or any of our related service providers. As with many innovations, AI and ML presents risks and challenges that could affect its adoption, and therefore our business. Our offerings based on AI and ML may expose us to additional claims, demands and proceedings by private parties and regulatory authorities and subject us to legal liability as well as brand and reputational harm.</w:t>
      </w:r>
    </w:p>
    <w:p>
      <w:pPr>
        <w:spacing w:after="0" w:line="10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If we enable or offer solutions that draw controversy due to their perceived or actual impact on society or if the content, analyses or recommendations that AI and ML-powered solutions assist in producing in our products and services are, or are perceived to be, deficient, insufficient, inaccurate, biased, unethical or otherwise flawed, we may experience brand or reputational harm, competitive harm or legal liability. Potential government regulation related to AI and ML use and ethics may also increase the burden and cost of research and development in this area, and failure to properly remediate AI and ML usage or ethics issues may cause public confidence in AI and ML to be undermined. The rapid evolution of AI and ML will require the application of resources to develop, test and maintain any potential offerings or partnerships to help ensure that AI and ML are implemented ethically in order to minimize unintended, harmful impact.</w:t>
      </w:r>
    </w:p>
    <w:p>
      <w:pPr>
        <w:spacing w:after="0" w:line="10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In addition, the use of AI and ML may enhance intellectual property, cybersecurity, operational and technological risks. Examples of heightened cybersecurity threats emerging from the rise of generative AI include the use of deepfake technologies in phishing and social engineering attacks, and more sophisticated malware that can evade conventional detection tools. AI and ML also make it cheaper for attackers to create malware, phishing, code reviews, or other tools at a high volume. AI and ML may change the way our industry identifies and responds to cybersecurity threats, and businesses that are slow to adopt or fail to adopt such new technologies may face a competitive disadvantage. The use of AI also has resulted in, and may in the future result in, security breaches or other security incidents that implicate the personal data of</w:t>
      </w:r>
    </w:p>
    <w:p>
      <w:pPr>
        <w:spacing w:after="0" w:line="200" w:lineRule="exact"/>
        <w:rPr>
          <w:sz w:val="20"/>
          <w:szCs w:val="20"/>
          <w:color w:val="auto"/>
        </w:rPr>
      </w:pPr>
    </w:p>
    <w:p>
      <w:pPr>
        <w:spacing w:after="0" w:line="36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users of AI-powered applications. If we experience security breaches or incidents in connection with our use of AI and ML, it could adversely affect our reputation and expose us to legal liability or regulatory risk.</w:t>
      </w:r>
    </w:p>
    <w:p>
      <w:pPr>
        <w:spacing w:after="0" w:line="82"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As the regulatory framework for AI, ML and related technologies evolves, it is possible that new laws and regulations will be adopted, or that existing laws and regulations, including intellectual property, privacy, data protection and cybersecurity, consumer protection, competition and equal opportunity laws and regulations, may be interpreted in ways that would affect our business and the ways in which we or our partners use AI, ML or related technologies, our financial condition and our results of operations, including as a result of the cost to comply with such laws or regulations.</w:t>
      </w:r>
    </w:p>
    <w:p>
      <w:pPr>
        <w:spacing w:after="0" w:line="98"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4"/>
          <w:szCs w:val="14"/>
          <w:color w:val="auto"/>
        </w:rPr>
        <w:t>For example, if we or our third-party AI providers do not have sufficient rights to use the data or other material or content on which AI tools rely, or the output generated by our use of such AI tools, we may incur liability through the violation of such laws, third-party intellectual property, privacy or other rights, or contracts to which we are a party. Moreover, use of generative AI in our code development process, while offering various potential benefits, could also pose certain ownership and security risks with respect to our codebase, given the current legal uncertainties relating to ownership of AI- or ML-generated works and the potential for security flaws in output code. If any of our employees, contractors, vendors or service providers use any third-party AI-powered software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Our ability to mitigate risks associated with disclosure of our confidential information, including in connection with AI and ML-powered software, will depend on our implementation, maintenance, monitoring and enforcement of appropriate technical and administrative safeguards, policies and procedures governing the use of AI and ML in our business.</w:t>
      </w:r>
    </w:p>
    <w:p>
      <w:pPr>
        <w:spacing w:after="0" w:line="10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Moreover, any content created by us using generative AI tools may not be subject to copyright protection which may adversely affect our intellectual property rights in, or ability to commercialize or use, any such content. In the United States, a number of civil lawsuits have been initiated related to the foregoing and other concerns, the outcome of any one of which may, amongst other things, require us to limit the ways in which we use AI in our business. For example, the output produced by generative AI tools may include information subject to certain rights of publicity or privacy laws or constitute an unauthorized derivative work of the copyrighted material used in training the underlying AI model, any of which could also create a risk of liability for us, or adversely affect our business or operations. Our business, financial condition and results of operations may be adversely affected if content, recommendations, solutions or features or their development or deployment (including the collection, use, or other processing of data used to train or create such AI and ML solutions or features) are found to have or alleged to have infringed upon or misappropriated third-party intellectual property rights or violate applicable laws, regulations, or other actual or asserted legal obligations to which we are or may become subject.</w:t>
      </w:r>
    </w:p>
    <w:p>
      <w:pPr>
        <w:spacing w:after="0" w:line="10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Further, potential government regulation related to AI and ML use and ethics may also increase the burden and cost of research and development in this area, and failure to properly remediate AI and ML usage or ethics issues may cause public confidence in AI and ML to be undermined, which could slow adoption of AI and ML in our products and services. For example, the European Union’s Artificial Intelligence Act (the “EU AI Act”) entered into force on August 1, 2024, with the first set of provisions taking effect on February 2, 2025. The EU AI Act establishes, among other things, a risk-based governance framework for regulating AI systems operating in the EU. This framework categorizes AI systems, based on the risks associated with such AI systems’ intended purposes, as creating unacceptable or high risks, with all other AI systems being considered low risk. The EU AI Act prohibits certain uses of AI systems and places numerous obligations on providers and deployers of permitted AI systems, with heightened requirements based on AI systems that are general purpose, which we currently have, or considered high risk. In addition, a patchwork of state-level AI-related legislation continues to emerge in the United States. We may not be able to anticipate how to respond to these rapidly evolving frameworks, and we may need to expend resources to adjust our operations or offerings in certain jurisdictions if the legal frameworks are inconsistent across jurisdictions. Furthermore, because AI and ML technology itself is highly complex and rapidly developing, it is not possible to predict all of the legal, operational or technological risks that may arise relating to the use of AI and ML. These and other developments may require us to make significant changes to our use of AI and ML, including by limiting or restricting our use of AI and ML, which may require us to make significant changes to our policies and practices. The cost to comply with such laws or regulations could be significant and would increase our operating expenses, which could adversely affect our business, financial condition and results of operations.</w:t>
      </w:r>
    </w:p>
    <w:p>
      <w:pPr>
        <w:spacing w:after="0" w:line="276"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As the utilization of AI and ML becomes more prevalent, we anticipate that it will continue to present new or unanticipated ethical, reputational, technical, operational, legal, competitive and regulatory issues, among others. We expect that our incorporation of AI and ML in our business will require additional resources, including the incurrence of additional</w:t>
      </w:r>
    </w:p>
    <w:p>
      <w:pPr>
        <w:spacing w:after="0" w:line="200" w:lineRule="exact"/>
        <w:rPr>
          <w:sz w:val="20"/>
          <w:szCs w:val="20"/>
          <w:color w:val="auto"/>
        </w:rPr>
      </w:pPr>
    </w:p>
    <w:p>
      <w:pPr>
        <w:spacing w:after="0" w:line="22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costs, to develop and maintain our products and solutions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and ML could adversely affect our business, financial condition and results of operations.</w:t>
      </w:r>
    </w:p>
    <w:p>
      <w:pPr>
        <w:spacing w:after="0" w:line="155"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broader adoption, use, and commercialization of AI and ML technologies, and the continued rapid pace of developments in the AI and ML field, are inherently uncertain. The use of AI and ML technologies in our product offerings and internal operations may not produce the desired benefits, and may result in increased reputational harm, or other adverse consequences.</w:t>
      </w:r>
    </w:p>
    <w:p>
      <w:pPr>
        <w:spacing w:after="0" w:line="133" w:lineRule="exact"/>
        <w:rPr>
          <w:sz w:val="20"/>
          <w:szCs w:val="20"/>
          <w:color w:val="auto"/>
        </w:rPr>
      </w:pPr>
    </w:p>
    <w:p>
      <w:pPr>
        <w:ind w:right="120" w:firstLine="382"/>
        <w:spacing w:after="0" w:line="243" w:lineRule="auto"/>
        <w:rPr>
          <w:sz w:val="20"/>
          <w:szCs w:val="20"/>
          <w:color w:val="auto"/>
        </w:rPr>
      </w:pPr>
      <w:r>
        <w:rPr>
          <w:rFonts w:ascii="Times New Roman" w:cs="Times New Roman" w:eastAsia="Times New Roman" w:hAnsi="Times New Roman"/>
          <w:sz w:val="14"/>
          <w:szCs w:val="14"/>
          <w:color w:val="auto"/>
        </w:rPr>
        <w:t>We are increasingly utilizing and building AI and ML capabilities into our business, as well as incorporating AI and ML into our internal operations. We expect AI and ML solutions and features to help drive future growth in our business, but there can be no assurance that we will realize the desired or anticipated benefits from AI and ML. If we are unable to keep up with the changing AI landscape or in developing services to meet our customers’ evolving AI needs, or if the AI landscape does not develop to the extent we or our customers expect, our business, operating results, financial condition and future prospects may be adversely impacted</w:t>
      </w:r>
    </w:p>
    <w:p>
      <w:pPr>
        <w:spacing w:after="0" w:line="165" w:lineRule="exact"/>
        <w:rPr>
          <w:sz w:val="20"/>
          <w:szCs w:val="20"/>
          <w:color w:val="auto"/>
        </w:rPr>
      </w:pPr>
    </w:p>
    <w:p>
      <w:pPr>
        <w:ind w:right="20" w:firstLine="382"/>
        <w:spacing w:after="0" w:line="245" w:lineRule="auto"/>
        <w:rPr>
          <w:sz w:val="20"/>
          <w:szCs w:val="20"/>
          <w:color w:val="auto"/>
        </w:rPr>
      </w:pPr>
      <w:r>
        <w:rPr>
          <w:rFonts w:ascii="Times New Roman" w:cs="Times New Roman" w:eastAsia="Times New Roman" w:hAnsi="Times New Roman"/>
          <w:sz w:val="14"/>
          <w:szCs w:val="14"/>
          <w:color w:val="auto"/>
        </w:rPr>
        <w:t>In addition, the rapid adoption of generative and agentic AI tools may change how software developers design, build and deploy applications, including through increased automation of coding, infrastructure configuration and application architecture. Because a significant portion of our strategy is focused on being the database platform of choice for developers, changes in developer workflows, tooling or decision-making processes resulting from the adoption of AI-enabled development tools could affect how developers select databases or other data platforms. If these evolving development patterns reduce developer engagement with, or preference for, our platform or favor alternative technologies or architectures, it could adversely affect demand for our products and services.</w:t>
      </w:r>
    </w:p>
    <w:p>
      <w:pPr>
        <w:spacing w:after="0" w:line="165" w:lineRule="exact"/>
        <w:rPr>
          <w:sz w:val="20"/>
          <w:szCs w:val="20"/>
          <w:color w:val="auto"/>
        </w:rPr>
      </w:pPr>
    </w:p>
    <w:p>
      <w:pPr>
        <w:ind w:right="280" w:firstLine="382"/>
        <w:spacing w:after="0" w:line="248" w:lineRule="auto"/>
        <w:rPr>
          <w:sz w:val="20"/>
          <w:szCs w:val="20"/>
          <w:color w:val="auto"/>
        </w:rPr>
      </w:pPr>
      <w:r>
        <w:rPr>
          <w:rFonts w:ascii="Times New Roman" w:cs="Times New Roman" w:eastAsia="Times New Roman" w:hAnsi="Times New Roman"/>
          <w:sz w:val="14"/>
          <w:szCs w:val="14"/>
          <w:color w:val="auto"/>
        </w:rPr>
        <w:t>We may fail to properly implement or market our AI and ML solutions and features. Our competitors or other third parties may incorporate AI and ML into their products, offerings, and solutions more quickly or more successfully than us, which could impair our ability to compete effectively and adversely affect our results of operations. Our ability to effectively implement and market our AI and ML solutions and features will depend, in part, on our ability to attract and retain employees with AI and ML expertise, and we expect significant competition for professionals with the skills and technical knowledge that we will require.</w:t>
      </w:r>
    </w:p>
    <w:p>
      <w:pPr>
        <w:spacing w:after="0" w:line="162" w:lineRule="exact"/>
        <w:rPr>
          <w:sz w:val="20"/>
          <w:szCs w:val="20"/>
          <w:color w:val="auto"/>
        </w:rPr>
      </w:pPr>
    </w:p>
    <w:p>
      <w:pPr>
        <w:ind w:firstLine="382"/>
        <w:spacing w:after="0"/>
        <w:rPr>
          <w:sz w:val="20"/>
          <w:szCs w:val="20"/>
          <w:color w:val="auto"/>
        </w:rPr>
      </w:pPr>
      <w:r>
        <w:rPr>
          <w:rFonts w:ascii="Times New Roman" w:cs="Times New Roman" w:eastAsia="Times New Roman" w:hAnsi="Times New Roman"/>
          <w:sz w:val="14"/>
          <w:szCs w:val="14"/>
          <w:color w:val="auto"/>
        </w:rPr>
        <w:t>In addition, we may incur significant costs and experience significant delays in developing new solutions and services or supporting or enhancing our product offerings to adapt to the changing AI and ML landscape, and we may not achieve a return on investment or capitalize on the opportunities presented by demand for AI and ML solutions. Moreover, while adoption of AI and ML is likely to continue and may accelerate, the long-term trajectory of this technological trend is uncertain. Further, market acceptance, understanding and valuation of solutions and services that incorporate AI and ML technologies is uncertain, and the perceived value of AI and ML technologies used and provided by our customers could be inaccurate. If AI and ML is not broadly adopted by enterprises to the extent we expect, or if new use cases do not arise, then our opportunity may be smaller than we expect. Such risks and challenges could undermine public confidence in AI and ML, which could slow or even halt their adoption and negatively affect our business. See “—Social, ethical, security and regulatory issues relating to the use of new and evolving technologies, such as AI and ML, in our offerings or partnerships may result in reputational harm and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our common stock has been and is likely to continue to be volatile, which could cause the value of our common stock to decline.</w:t>
      </w:r>
    </w:p>
    <w:p>
      <w:pPr>
        <w:spacing w:after="0" w:line="138"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spacing w:after="0" w:line="82"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or fluctuations in our results of operations;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results of operations meet the expectations of securities analysts or investors;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new products or technologies, commercial relationships, acquisitions or other events by us or our competitors;</w:t>
      </w:r>
    </w:p>
    <w:p>
      <w:pPr>
        <w:spacing w:after="0" w:line="200" w:lineRule="exact"/>
        <w:rPr>
          <w:sz w:val="20"/>
          <w:szCs w:val="20"/>
          <w:color w:val="auto"/>
        </w:rPr>
      </w:pPr>
    </w:p>
    <w:p>
      <w:pPr>
        <w:spacing w:after="0" w:line="36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how customers perceive the benefits of our product and future product offerings and releases;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departures of key personnel;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trading volume of our shares or the size of our public float;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large blocks of our common stock;</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actual or future expectations of investors or securities analysts;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data breach or other security incident involving our software;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involving us, our industry, or both;</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or changes in government trade policy in the United States, foreign countries or both;</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trends;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major catastrophic events in our domestic and foreign markets;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“flash crashes,” “freeze flashes” or other glitches that disrupt trading on the securities exchange on which we are listed.</w:t>
      </w:r>
    </w:p>
    <w:p>
      <w:pPr>
        <w:spacing w:after="0" w:line="94"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fail to meet our publicly announced guidance or other expectations about our business and future operating results, which would cause our stock price to decline.</w:t>
      </w:r>
    </w:p>
    <w:p>
      <w:pPr>
        <w:spacing w:after="0" w:line="127" w:lineRule="exact"/>
        <w:rPr>
          <w:sz w:val="20"/>
          <w:szCs w:val="20"/>
          <w:color w:val="auto"/>
        </w:rPr>
      </w:pPr>
    </w:p>
    <w:p>
      <w:pPr>
        <w:ind w:firstLine="382"/>
        <w:spacing w:after="0" w:line="238" w:lineRule="auto"/>
        <w:rPr>
          <w:sz w:val="20"/>
          <w:szCs w:val="20"/>
          <w:color w:val="auto"/>
        </w:rPr>
      </w:pPr>
      <w:r>
        <w:rPr>
          <w:rFonts w:ascii="Times New Roman" w:cs="Times New Roman" w:eastAsia="Times New Roman" w:hAnsi="Times New Roman"/>
          <w:sz w:val="14"/>
          <w:szCs w:val="14"/>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macroeconomic environment, including inflation and interest rates,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volatility, instability in the banking sector, the ongoing geopolitical instability resulting from the conflict in Iran, the unrest in Mexico, the conflicts between Russia and Ukraine and Israel and Hamas and recent events in Venezuela, severely diminished liquidity and credit availability, declines in consumer confidence, declines in economic growth, increases in unemployment rates, increases in inflation rates, higher interest rates and uncertainty about economic stability, any of which or combination 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120"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0" w:lineRule="exact"/>
        <w:rPr>
          <w:sz w:val="20"/>
          <w:szCs w:val="20"/>
          <w:color w:val="auto"/>
        </w:rPr>
      </w:pPr>
    </w:p>
    <w:p>
      <w:pPr>
        <w:spacing w:after="0" w:line="36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280" w:firstLine="382"/>
        <w:spacing w:after="0" w:line="287" w:lineRule="auto"/>
        <w:rPr>
          <w:sz w:val="20"/>
          <w:szCs w:val="20"/>
          <w:color w:val="auto"/>
        </w:rPr>
      </w:pPr>
      <w:r>
        <w:rPr>
          <w:rFonts w:ascii="Times New Roman" w:cs="Times New Roman" w:eastAsia="Times New Roman" w:hAnsi="Times New Roman"/>
          <w:sz w:val="14"/>
          <w:szCs w:val="14"/>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issuance of additional capital stock in connection with financings, acquisitions, investments, our equity incentive plans or otherwise will dilute all other stockholders.</w:t>
      </w:r>
    </w:p>
    <w:p>
      <w:pPr>
        <w:spacing w:after="0" w:line="138"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common stock for the foreseeable future.</w:t>
      </w:r>
    </w:p>
    <w:p>
      <w:pPr>
        <w:spacing w:after="0" w:line="138"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spacing w:after="0" w:line="80"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80" w:lineRule="exact"/>
        <w:rPr>
          <w:sz w:val="20"/>
          <w:szCs w:val="20"/>
          <w:color w:val="auto"/>
        </w:rPr>
      </w:pPr>
    </w:p>
    <w:p>
      <w:pPr>
        <w:ind w:right="60" w:firstLine="382"/>
        <w:spacing w:after="0" w:line="257" w:lineRule="auto"/>
        <w:rPr>
          <w:sz w:val="20"/>
          <w:szCs w:val="20"/>
          <w:color w:val="auto"/>
        </w:rPr>
      </w:pPr>
      <w:r>
        <w:rPr>
          <w:rFonts w:ascii="Times New Roman" w:cs="Times New Roman" w:eastAsia="Times New Roman" w:hAnsi="Times New Roman"/>
          <w:sz w:val="14"/>
          <w:szCs w:val="14"/>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06"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93" w:lineRule="exact"/>
        <w:rPr>
          <w:sz w:val="20"/>
          <w:szCs w:val="20"/>
          <w:color w:val="auto"/>
        </w:rPr>
      </w:pPr>
    </w:p>
    <w:p>
      <w:pPr>
        <w:jc w:val="both"/>
        <w:ind w:right="60" w:firstLine="382"/>
        <w:spacing w:after="0" w:line="264" w:lineRule="auto"/>
        <w:rPr>
          <w:sz w:val="20"/>
          <w:szCs w:val="20"/>
          <w:color w:val="auto"/>
        </w:rPr>
      </w:pPr>
      <w:r>
        <w:rPr>
          <w:rFonts w:ascii="Times New Roman" w:cs="Times New Roman" w:eastAsia="Times New Roman" w:hAnsi="Times New Roman"/>
          <w:sz w:val="14"/>
          <w:szCs w:val="14"/>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96"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93"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82"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breach of fiduciary duty;</w:t>
      </w:r>
    </w:p>
    <w:p>
      <w:pPr>
        <w:spacing w:after="0" w:line="200" w:lineRule="exact"/>
        <w:rPr>
          <w:sz w:val="20"/>
          <w:szCs w:val="20"/>
          <w:color w:val="auto"/>
        </w:rPr>
      </w:pPr>
    </w:p>
    <w:p>
      <w:pPr>
        <w:spacing w:after="0" w:line="36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arising under the Delaware General Corporation Law, our amended and restated certificate of incorporation, or our amended and restated bylaws;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that is governed by the internal-affairs doctrine.</w:t>
      </w:r>
    </w:p>
    <w:p>
      <w:pPr>
        <w:spacing w:after="0" w:line="94"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4"/>
          <w:szCs w:val="14"/>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t>
      </w:r>
      <w:r>
        <w:rPr>
          <w:rFonts w:ascii="Times New Roman" w:cs="Times New Roman" w:eastAsia="Times New Roman" w:hAnsi="Times New Roman"/>
          <w:sz w:val="14"/>
          <w:szCs w:val="14"/>
          <w:color w:val="212529"/>
        </w:rPr>
        <w:t>While the Delaware courts have determined that such choice of forum provisions are facially valid, a stockholder may nevertheless seek to bring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Delaware law and our corporate charter and bylaws contain anti-takeover provisions that could delay or discourage takeover attempts that stockholders may consider favorable.</w:t>
      </w:r>
    </w:p>
    <w:p>
      <w:pPr>
        <w:spacing w:after="0" w:line="138" w:lineRule="exact"/>
        <w:rPr>
          <w:sz w:val="20"/>
          <w:szCs w:val="20"/>
          <w:color w:val="auto"/>
        </w:rPr>
      </w:pPr>
    </w:p>
    <w:p>
      <w:pPr>
        <w:ind w:right="100" w:firstLine="382"/>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93"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with three-year staggered terms, which could delay the ability of stockholders to change the membership of a majority of our Board of Directors;</w:t>
      </w:r>
    </w:p>
    <w:p>
      <w:pPr>
        <w:spacing w:after="0" w:line="93"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39"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w:t>
      </w:r>
    </w:p>
    <w:p>
      <w:pPr>
        <w:spacing w:after="0" w:line="93" w:lineRule="exact"/>
        <w:rPr>
          <w:rFonts w:ascii="Times New Roman" w:cs="Times New Roman" w:eastAsia="Times New Roman" w:hAnsi="Times New Roman"/>
          <w:sz w:val="14"/>
          <w:szCs w:val="14"/>
          <w:color w:val="auto"/>
        </w:rPr>
      </w:pPr>
    </w:p>
    <w:p>
      <w:pPr>
        <w:ind w:left="520" w:right="58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39" w:lineRule="exact"/>
        <w:rPr>
          <w:rFonts w:ascii="Times New Roman" w:cs="Times New Roman" w:eastAsia="Times New Roman" w:hAnsi="Times New Roman"/>
          <w:sz w:val="14"/>
          <w:szCs w:val="14"/>
          <w:color w:val="auto"/>
        </w:rPr>
      </w:pPr>
    </w:p>
    <w:p>
      <w:pPr>
        <w:jc w:val="both"/>
        <w:ind w:left="520" w:right="260" w:hanging="260"/>
        <w:spacing w:after="0" w:line="27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50"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39" w:lineRule="exact"/>
        <w:rPr>
          <w:rFonts w:ascii="Times New Roman" w:cs="Times New Roman" w:eastAsia="Times New Roman" w:hAnsi="Times New Roman"/>
          <w:sz w:val="14"/>
          <w:szCs w:val="14"/>
          <w:color w:val="auto"/>
        </w:rPr>
      </w:pPr>
    </w:p>
    <w:p>
      <w:pPr>
        <w:ind w:left="520" w:right="1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0" w:lineRule="exact"/>
        <w:rPr>
          <w:sz w:val="20"/>
          <w:szCs w:val="20"/>
          <w:color w:val="auto"/>
        </w:rPr>
      </w:pPr>
    </w:p>
    <w:p>
      <w:pPr>
        <w:spacing w:after="0" w:line="30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substantial amounts of our common stock in the public markets, or the perception that they might occur, could cause the market price of our common stock to decline.</w:t>
      </w:r>
    </w:p>
    <w:p>
      <w:pPr>
        <w:spacing w:after="0" w:line="138"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82"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In addition, we have options outstanding that, if fully exercised, would result in the issuance of shares of our common stock. We also have restricted stock units (“RSUs”) outstanding that, if vested and settled, would result in the issuance of shares of common stock. All of the shares of common stock issuable upon the exercise of stock options and vesting of RSUs and the shares reserved for future issuance under our equity incentive plans, are registered for public resale under the Securities Act. Accordingly, these shares will be able to be freely sold in the public market upon issuance, subject to applicable vesting requirements.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can be no assurance that we will repurchase shares of our common stock or that we will repurchase shares at favorable prices.</w:t>
      </w:r>
    </w:p>
    <w:p>
      <w:pPr>
        <w:spacing w:after="0" w:line="202" w:lineRule="exact"/>
        <w:rPr>
          <w:sz w:val="20"/>
          <w:szCs w:val="20"/>
          <w:color w:val="auto"/>
        </w:rPr>
      </w:pPr>
    </w:p>
    <w:p>
      <w:pPr>
        <w:ind w:right="180" w:firstLine="382"/>
        <w:spacing w:after="0" w:line="270" w:lineRule="auto"/>
        <w:rPr>
          <w:sz w:val="20"/>
          <w:szCs w:val="20"/>
          <w:color w:val="auto"/>
        </w:rPr>
      </w:pPr>
      <w:r>
        <w:rPr>
          <w:rFonts w:ascii="Times New Roman" w:cs="Times New Roman" w:eastAsia="Times New Roman" w:hAnsi="Times New Roman"/>
          <w:sz w:val="14"/>
          <w:szCs w:val="14"/>
          <w:color w:val="auto"/>
        </w:rPr>
        <w:t>We have a share repurchase program (the “Share Repurchase Program”) pursuant to which we are authorized to repurchase up to $1,000,000,000 of our common stock from time to time through open market transactions. The amount and timing of our share repurchases, if any, are subject to the availability of capital and our determination that the share repurchases are in the best interest of the Company and our stockholders. Our Share Repurchase Program does not obligate us to repurchase any specific number of shares and may be suspended at any time at our discretion.</w:t>
      </w:r>
    </w:p>
    <w:p>
      <w:pPr>
        <w:spacing w:after="0" w:line="93"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 could have a negative effect on our reputation, investor confidence in us and our stock price.</w:t>
      </w:r>
    </w:p>
    <w:p>
      <w:pPr>
        <w:spacing w:after="0" w:line="98"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w:t>
      </w:r>
    </w:p>
    <w:p>
      <w:pPr>
        <w:spacing w:after="0" w:line="93" w:lineRule="exact"/>
        <w:rPr>
          <w:sz w:val="20"/>
          <w:szCs w:val="20"/>
          <w:color w:val="auto"/>
        </w:rPr>
      </w:pPr>
    </w:p>
    <w:p>
      <w:pPr>
        <w:ind w:right="620" w:firstLine="382"/>
        <w:spacing w:after="0" w:line="287" w:lineRule="auto"/>
        <w:rPr>
          <w:sz w:val="20"/>
          <w:szCs w:val="20"/>
          <w:color w:val="auto"/>
        </w:rPr>
      </w:pPr>
      <w:r>
        <w:rPr>
          <w:rFonts w:ascii="Times New Roman" w:cs="Times New Roman" w:eastAsia="Times New Roman" w:hAnsi="Times New Roman"/>
          <w:sz w:val="14"/>
          <w:szCs w:val="14"/>
          <w:color w:val="auto"/>
        </w:rPr>
        <w:t>Repurchasing our common stock will reduce the amount of cash we have available to fund working capital, repayment of debt, capital expenditures, strategic acquisitions or business opportunities, and other general corporate purposes, and we may fail to realize the anticipated long-term stockholder value of our share repurchase program.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13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 the past, we incurred significant amounts of debt and may in the future incur additional indebtedness. We may not have sufficient cash flow from our business to make payments on such debt when due.</w:t>
      </w:r>
    </w:p>
    <w:p>
      <w:pPr>
        <w:spacing w:after="0" w:line="80" w:lineRule="exact"/>
        <w:rPr>
          <w:sz w:val="20"/>
          <w:szCs w:val="20"/>
          <w:color w:val="auto"/>
        </w:rPr>
      </w:pPr>
    </w:p>
    <w:p>
      <w:pPr>
        <w:ind w:right="140" w:firstLine="382"/>
        <w:spacing w:after="0" w:line="259" w:lineRule="auto"/>
        <w:rPr>
          <w:sz w:val="20"/>
          <w:szCs w:val="20"/>
          <w:color w:val="auto"/>
        </w:rPr>
      </w:pPr>
      <w:r>
        <w:rPr>
          <w:rFonts w:ascii="Times New Roman" w:cs="Times New Roman" w:eastAsia="Times New Roman" w:hAnsi="Times New Roman"/>
          <w:sz w:val="14"/>
          <w:szCs w:val="14"/>
          <w:color w:val="auto"/>
        </w:rPr>
        <w:t>We and our subsidiaries may incur substantial additional debt in the future, subject to the restrictions contained in our future debt agreements, some of which may be secured debt. In addition to any future indebtedness, we have entered into long-term contractual commitments, including non-cancelable multi-year capacity commitments with respect to cloud infrastructure services with certain third-party cloud providers, which require us to pay for such capacity irrespective of actual usage, as well as non-cancelable operating and finance lease agreements, principally for office space globally, with lease terms generally ranging from one to twelve years. We may be required to use a substantial portion of our cash flows from operations to pay interest and principal on our indebtedness. Our ability to make scheduled payments of the principal of, to pay interest on or to refinance our indebtedness, depends on our future performance, which is subject to economic, financial, competitive and other factors beyond our control. Such payments will reduce the funds available to us for working</w:t>
      </w:r>
    </w:p>
    <w:p>
      <w:pPr>
        <w:spacing w:after="0" w:line="200" w:lineRule="exact"/>
        <w:rPr>
          <w:sz w:val="20"/>
          <w:szCs w:val="20"/>
          <w:color w:val="auto"/>
        </w:rPr>
      </w:pPr>
    </w:p>
    <w:p>
      <w:pPr>
        <w:spacing w:after="0" w:line="37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9" w:name="page70"/>
    <w:bookmarkEnd w:id="69"/>
    <w:p>
      <w:pPr>
        <w:ind w:left="27"/>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left="27" w:right="20"/>
        <w:spacing w:after="0" w:line="258" w:lineRule="auto"/>
        <w:rPr>
          <w:sz w:val="20"/>
          <w:szCs w:val="20"/>
          <w:color w:val="auto"/>
        </w:rPr>
      </w:pPr>
      <w:r>
        <w:rPr>
          <w:rFonts w:ascii="Times New Roman" w:cs="Times New Roman" w:eastAsia="Times New Roman" w:hAnsi="Times New Roman"/>
          <w:sz w:val="14"/>
          <w:szCs w:val="14"/>
          <w:color w:val="auto"/>
        </w:rPr>
        <w:t>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 Additionally, weakness and volatility in capital markets and the economy, in general or as a result of macroeconomic conditions such as rising inflation, could limit our access to capital markets and increase our costs of borrowing.</w:t>
      </w:r>
    </w:p>
    <w:p>
      <w:pPr>
        <w:spacing w:after="0" w:line="105" w:lineRule="exact"/>
        <w:rPr>
          <w:sz w:val="20"/>
          <w:szCs w:val="20"/>
          <w:color w:val="auto"/>
        </w:rPr>
      </w:pPr>
    </w:p>
    <w:p>
      <w:pPr>
        <w:ind w:left="67"/>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41" w:lineRule="exact"/>
        <w:rPr>
          <w:sz w:val="20"/>
          <w:szCs w:val="20"/>
          <w:color w:val="auto"/>
        </w:rPr>
      </w:pPr>
    </w:p>
    <w:p>
      <w:pPr>
        <w:ind w:left="407" w:right="8100" w:hanging="375"/>
        <w:spacing w:after="0" w:line="442" w:lineRule="auto"/>
        <w:tabs>
          <w:tab w:leader="none" w:pos="402" w:val="left"/>
        </w:tabs>
        <w:numPr>
          <w:ilvl w:val="1"/>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Recent Sales of Unregistered Equity Securities </w:t>
      </w:r>
      <w:r>
        <w:rPr>
          <w:rFonts w:ascii="Times New Roman" w:cs="Times New Roman" w:eastAsia="Times New Roman" w:hAnsi="Times New Roman"/>
          <w:sz w:val="14"/>
          <w:szCs w:val="14"/>
          <w:color w:val="auto"/>
        </w:rPr>
        <w:t>None.</w:t>
      </w:r>
    </w:p>
    <w:p>
      <w:pPr>
        <w:spacing w:after="0" w:line="1" w:lineRule="exact"/>
        <w:rPr>
          <w:rFonts w:ascii="Times New Roman" w:cs="Times New Roman" w:eastAsia="Times New Roman" w:hAnsi="Times New Roman"/>
          <w:sz w:val="14"/>
          <w:szCs w:val="14"/>
          <w:b w:val="1"/>
          <w:bCs w:val="1"/>
          <w:color w:val="auto"/>
        </w:rPr>
      </w:pPr>
    </w:p>
    <w:p>
      <w:pPr>
        <w:ind w:left="407" w:right="9960" w:hanging="375"/>
        <w:spacing w:after="0" w:line="442" w:lineRule="auto"/>
        <w:tabs>
          <w:tab w:leader="none" w:pos="399" w:val="left"/>
        </w:tabs>
        <w:numPr>
          <w:ilvl w:val="1"/>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Use of Proceeds </w:t>
      </w:r>
      <w:r>
        <w:rPr>
          <w:rFonts w:ascii="Times New Roman" w:cs="Times New Roman" w:eastAsia="Times New Roman" w:hAnsi="Times New Roman"/>
          <w:sz w:val="14"/>
          <w:szCs w:val="14"/>
          <w:color w:val="auto"/>
        </w:rPr>
        <w:t>None.</w:t>
      </w:r>
    </w:p>
    <w:p>
      <w:pPr>
        <w:spacing w:after="0" w:line="1" w:lineRule="exact"/>
        <w:rPr>
          <w:rFonts w:ascii="Times New Roman" w:cs="Times New Roman" w:eastAsia="Times New Roman" w:hAnsi="Times New Roman"/>
          <w:sz w:val="14"/>
          <w:szCs w:val="14"/>
          <w:b w:val="1"/>
          <w:bCs w:val="1"/>
          <w:color w:val="auto"/>
        </w:rPr>
      </w:pPr>
    </w:p>
    <w:p>
      <w:pPr>
        <w:ind w:left="387" w:hanging="387"/>
        <w:spacing w:after="0"/>
        <w:tabs>
          <w:tab w:leader="none" w:pos="387"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Issuer Purchases of Equity Securities</w:t>
      </w:r>
    </w:p>
    <w:p>
      <w:pPr>
        <w:spacing w:after="0" w:line="156" w:lineRule="exact"/>
        <w:rPr>
          <w:sz w:val="20"/>
          <w:szCs w:val="20"/>
          <w:color w:val="auto"/>
        </w:rPr>
      </w:pPr>
    </w:p>
    <w:tbl>
      <w:tblPr>
        <w:tblLayout w:type="fixed"/>
        <w:tblInd w:w="27" w:type="dxa"/>
        <w:tblCellMar>
          <w:top w:w="0" w:type="dxa"/>
          <w:left w:w="0" w:type="dxa"/>
          <w:bottom w:w="0" w:type="dxa"/>
          <w:right w:w="0" w:type="dxa"/>
        </w:tblCellMar>
      </w:tblPr>
      <w:tr>
        <w:trPr>
          <w:trHeight w:val="126"/>
        </w:trPr>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Approximate Dollar Value of Shares that</w:t>
            </w:r>
          </w:p>
        </w:tc>
        <w:tc>
          <w:tcPr>
            <w:tcW w:w="0" w:type="dxa"/>
            <w:vAlign w:val="bottom"/>
          </w:tcPr>
          <w:p>
            <w:pPr>
              <w:spacing w:after="0"/>
              <w:rPr>
                <w:sz w:val="1"/>
                <w:szCs w:val="1"/>
                <w:color w:val="auto"/>
              </w:rPr>
            </w:pPr>
          </w:p>
        </w:tc>
      </w:tr>
      <w:tr>
        <w:trPr>
          <w:trHeight w:val="115"/>
        </w:trPr>
        <w:tc>
          <w:tcPr>
            <w:tcW w:w="3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00" w:type="dxa"/>
            <w:vAlign w:val="bottom"/>
          </w:tcPr>
          <w:p>
            <w:pPr>
              <w:jc w:val="center"/>
              <w:ind w:right="96"/>
              <w:spacing w:after="0" w:line="115" w:lineRule="exact"/>
              <w:rPr>
                <w:sz w:val="20"/>
                <w:szCs w:val="20"/>
                <w:color w:val="auto"/>
              </w:rPr>
            </w:pPr>
            <w:r>
              <w:rPr>
                <w:rFonts w:ascii="Times New Roman" w:cs="Times New Roman" w:eastAsia="Times New Roman" w:hAnsi="Times New Roman"/>
                <w:sz w:val="11"/>
                <w:szCs w:val="11"/>
                <w:b w:val="1"/>
                <w:bCs w:val="1"/>
                <w:color w:val="auto"/>
              </w:rPr>
              <w:t>May Yet Be Purchased Under the</w:t>
            </w:r>
          </w:p>
        </w:tc>
        <w:tc>
          <w:tcPr>
            <w:tcW w:w="0" w:type="dxa"/>
            <w:vAlign w:val="bottom"/>
          </w:tcPr>
          <w:p>
            <w:pPr>
              <w:spacing w:after="0"/>
              <w:rPr>
                <w:sz w:val="1"/>
                <w:szCs w:val="1"/>
                <w:color w:val="auto"/>
              </w:rPr>
            </w:pPr>
          </w:p>
        </w:tc>
      </w:tr>
      <w:tr>
        <w:trPr>
          <w:trHeight w:val="170"/>
        </w:trPr>
        <w:tc>
          <w:tcPr>
            <w:tcW w:w="3400" w:type="dxa"/>
            <w:vAlign w:val="bottom"/>
            <w:vMerge w:val="restart"/>
          </w:tcPr>
          <w:p>
            <w:pPr>
              <w:ind w:left="154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00" w:type="dxa"/>
            <w:vAlign w:val="bottom"/>
            <w:vMerge w:val="restart"/>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Total Number of Shares Purchased</w:t>
            </w:r>
            <w:r>
              <w:rPr>
                <w:rFonts w:ascii="Times New Roman" w:cs="Times New Roman" w:eastAsia="Times New Roman" w:hAnsi="Times New Roman"/>
                <w:sz w:val="14"/>
                <w:szCs w:val="14"/>
                <w:b w:val="1"/>
                <w:bCs w:val="1"/>
                <w:color w:val="auto"/>
                <w:vertAlign w:val="superscript"/>
              </w:rPr>
              <w:t>(1)(2)</w:t>
            </w:r>
          </w:p>
        </w:tc>
        <w:tc>
          <w:tcPr>
            <w:tcW w:w="100" w:type="dxa"/>
            <w:vAlign w:val="bottom"/>
            <w:vMerge w:val="restart"/>
          </w:tcPr>
          <w:p>
            <w:pPr>
              <w:spacing w:after="0"/>
              <w:rPr>
                <w:sz w:val="14"/>
                <w:szCs w:val="14"/>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Average Price Paid Per Share</w:t>
            </w:r>
          </w:p>
        </w:tc>
        <w:tc>
          <w:tcPr>
            <w:tcW w:w="1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Total Number of Shares Purchased as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w w:val="99"/>
              </w:rPr>
              <w:t>Program</w:t>
            </w:r>
          </w:p>
        </w:tc>
        <w:tc>
          <w:tcPr>
            <w:tcW w:w="0" w:type="dxa"/>
            <w:vAlign w:val="bottom"/>
          </w:tcPr>
          <w:p>
            <w:pPr>
              <w:spacing w:after="0"/>
              <w:rPr>
                <w:sz w:val="1"/>
                <w:szCs w:val="1"/>
                <w:color w:val="auto"/>
              </w:rPr>
            </w:pPr>
          </w:p>
        </w:tc>
      </w:tr>
      <w:tr>
        <w:trPr>
          <w:trHeight w:val="127"/>
        </w:trPr>
        <w:tc>
          <w:tcPr>
            <w:tcW w:w="34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9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7"/>
                <w:szCs w:val="7"/>
                <w:b w:val="1"/>
                <w:bCs w:val="1"/>
                <w:color w:val="auto"/>
              </w:rPr>
              <w:t>(3)</w:t>
            </w:r>
          </w:p>
        </w:tc>
        <w:tc>
          <w:tcPr>
            <w:tcW w:w="80" w:type="dxa"/>
            <w:vAlign w:val="bottom"/>
            <w:tcBorders>
              <w:bottom w:val="single" w:sz="8" w:color="CCEEFF"/>
            </w:tcBorders>
          </w:tcPr>
          <w:p>
            <w:pPr>
              <w:spacing w:after="0"/>
              <w:rPr>
                <w:sz w:val="11"/>
                <w:szCs w:val="11"/>
                <w:color w:val="auto"/>
              </w:rPr>
            </w:pPr>
          </w:p>
        </w:tc>
        <w:tc>
          <w:tcPr>
            <w:tcW w:w="194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1"/>
                <w:szCs w:val="11"/>
                <w:b w:val="1"/>
                <w:bCs w:val="1"/>
                <w:color w:val="auto"/>
              </w:rPr>
              <w:t>Part of Publicly Announced Program</w:t>
            </w:r>
            <w:r>
              <w:rPr>
                <w:rFonts w:ascii="Times New Roman" w:cs="Times New Roman" w:eastAsia="Times New Roman" w:hAnsi="Times New Roman"/>
                <w:sz w:val="14"/>
                <w:szCs w:val="14"/>
                <w:b w:val="1"/>
                <w:bCs w:val="1"/>
                <w:color w:val="auto"/>
                <w:vertAlign w:val="superscript"/>
              </w:rPr>
              <w:t>(1)</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February 1 - February 28, 2026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94,699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344.71</w:t>
            </w:r>
          </w:p>
        </w:tc>
        <w:tc>
          <w:tcPr>
            <w:tcW w:w="8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94,699</w:t>
            </w: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567,130</w:t>
            </w:r>
          </w:p>
        </w:tc>
        <w:tc>
          <w:tcPr>
            <w:tcW w:w="0" w:type="dxa"/>
            <w:vAlign w:val="bottom"/>
          </w:tcPr>
          <w:p>
            <w:pPr>
              <w:spacing w:after="0"/>
              <w:rPr>
                <w:sz w:val="1"/>
                <w:szCs w:val="1"/>
                <w:color w:val="auto"/>
              </w:rPr>
            </w:pPr>
          </w:p>
        </w:tc>
      </w:tr>
      <w:tr>
        <w:trPr>
          <w:trHeight w:val="212"/>
        </w:trPr>
        <w:tc>
          <w:tcPr>
            <w:tcW w:w="3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March 1 - March 31, 2026</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262.74</w:t>
            </w:r>
          </w:p>
        </w:tc>
        <w:tc>
          <w:tcPr>
            <w:tcW w:w="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531,556</w:t>
            </w:r>
          </w:p>
        </w:tc>
        <w:tc>
          <w:tcPr>
            <w:tcW w:w="0" w:type="dxa"/>
            <w:vAlign w:val="bottom"/>
          </w:tcPr>
          <w:p>
            <w:pPr>
              <w:spacing w:after="0"/>
              <w:rPr>
                <w:sz w:val="1"/>
                <w:szCs w:val="1"/>
                <w:color w:val="auto"/>
              </w:rPr>
            </w:pPr>
          </w:p>
        </w:tc>
      </w:tr>
      <w:tr>
        <w:trPr>
          <w:trHeight w:val="212"/>
        </w:trPr>
        <w:tc>
          <w:tcPr>
            <w:tcW w:w="3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April 1 - April 30, 2026</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182,112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227.12</w:t>
            </w:r>
          </w:p>
        </w:tc>
        <w:tc>
          <w:tcPr>
            <w:tcW w:w="8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127,528</w:t>
            </w: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499,660</w:t>
            </w:r>
          </w:p>
        </w:tc>
        <w:tc>
          <w:tcPr>
            <w:tcW w:w="0" w:type="dxa"/>
            <w:vAlign w:val="bottom"/>
          </w:tcPr>
          <w:p>
            <w:pPr>
              <w:spacing w:after="0"/>
              <w:rPr>
                <w:sz w:val="1"/>
                <w:szCs w:val="1"/>
                <w:color w:val="auto"/>
              </w:rPr>
            </w:pPr>
          </w:p>
        </w:tc>
      </w:tr>
      <w:tr>
        <w:trPr>
          <w:trHeight w:val="171"/>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412,800</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276.01</w:t>
            </w:r>
          </w:p>
        </w:tc>
        <w:tc>
          <w:tcPr>
            <w:tcW w:w="80" w:type="dxa"/>
            <w:vAlign w:val="bottom"/>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358,216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547" w:right="20" w:hanging="133"/>
        <w:spacing w:after="0" w:line="237" w:lineRule="auto"/>
        <w:tabs>
          <w:tab w:leader="none" w:pos="55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On June 3, 2025, the Company’s Board of Directors authorized an additional $800.0 million in repurchases under the Company’s existing share repurchase program, bringing the aggregate authorized repurchase amount to $1.0 billion. Repurchases of the Company's common stock may be made from time to time, either through open market transactions or in privately negotiated transactions. The timing of the repurchases will depend on certain factors, including but not limited to, market conditions and prices and management’s discretion. The repurchases may be suspended, terminated or modified at any time for any reason, including market conditions, the cost of repurchasing shares, the availability of alternative investment opportunities, liquidity, and other factors deemed appropriate. These factors may also affect the timing and amount of share repurchases. The Company is not obligated to purchase any dollar amount or particular number of shares.</w:t>
      </w:r>
    </w:p>
    <w:p>
      <w:pPr>
        <w:spacing w:after="0" w:line="100" w:lineRule="exact"/>
        <w:rPr>
          <w:rFonts w:ascii="Times New Roman" w:cs="Times New Roman" w:eastAsia="Times New Roman" w:hAnsi="Times New Roman"/>
          <w:sz w:val="17"/>
          <w:szCs w:val="17"/>
          <w:color w:val="auto"/>
          <w:vertAlign w:val="superscript"/>
        </w:rPr>
      </w:pPr>
    </w:p>
    <w:p>
      <w:pPr>
        <w:ind w:left="547" w:right="100" w:hanging="133"/>
        <w:spacing w:after="0" w:line="218" w:lineRule="auto"/>
        <w:tabs>
          <w:tab w:leader="none" w:pos="55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Represents 54,584 shares of common stock repurchased by the Company in April 2026 pursuant to the terms of the underlying restricted stock award agreements in connection with acquisition of Voyage AI, at an average price of $3.39 per share. These repurchases were not made pursuant to a publicly announced plan or program.</w:t>
      </w:r>
    </w:p>
    <w:p>
      <w:pPr>
        <w:spacing w:after="0" w:line="80" w:lineRule="exact"/>
        <w:rPr>
          <w:rFonts w:ascii="Times New Roman" w:cs="Times New Roman" w:eastAsia="Times New Roman" w:hAnsi="Times New Roman"/>
          <w:sz w:val="17"/>
          <w:szCs w:val="17"/>
          <w:color w:val="auto"/>
          <w:vertAlign w:val="superscript"/>
        </w:rPr>
      </w:pPr>
    </w:p>
    <w:p>
      <w:pPr>
        <w:ind w:left="547" w:hanging="133"/>
        <w:spacing w:after="0"/>
        <w:tabs>
          <w:tab w:leader="none" w:pos="547"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Average price paid includes costs associated with the repurchases of common stock, excluding the 1% excise tax as a result of the Inflation Reduction Act (“IRA”).</w:t>
      </w:r>
    </w:p>
    <w:p>
      <w:pPr>
        <w:spacing w:after="0" w:line="107"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43"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4"/>
          <w:szCs w:val="14"/>
          <w:color w:val="auto"/>
        </w:rPr>
        <w:t>Not applicable.</w:t>
      </w:r>
    </w:p>
    <w:p>
      <w:pPr>
        <w:spacing w:after="0" w:line="137"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33"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4"/>
          <w:szCs w:val="14"/>
          <w:color w:val="auto"/>
        </w:rPr>
        <w:t>Not applicable.</w:t>
      </w:r>
    </w:p>
    <w:p>
      <w:pPr>
        <w:spacing w:after="0" w:line="137"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2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4"/>
          <w:szCs w:val="14"/>
          <w:i w:val="1"/>
          <w:iCs w:val="1"/>
          <w:color w:val="auto"/>
        </w:rPr>
        <w:t>Rule 10b5-1 and Non-Rule 10b5-1 Trading Arrangements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7"/>
          </w:cols>
          <w:pgMar w:left="273" w:top="133"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35" w:lineRule="exact"/>
        <w:rPr>
          <w:sz w:val="20"/>
          <w:szCs w:val="20"/>
          <w:color w:val="auto"/>
        </w:rPr>
      </w:pPr>
    </w:p>
    <w:p>
      <w:pPr>
        <w:ind w:right="240" w:firstLine="318"/>
        <w:spacing w:after="0" w:line="271" w:lineRule="auto"/>
        <w:rPr>
          <w:sz w:val="20"/>
          <w:szCs w:val="20"/>
          <w:color w:val="auto"/>
        </w:rPr>
      </w:pPr>
      <w:r>
        <w:rPr>
          <w:rFonts w:ascii="Times New Roman" w:cs="Times New Roman" w:eastAsia="Times New Roman" w:hAnsi="Times New Roman"/>
          <w:sz w:val="14"/>
          <w:szCs w:val="14"/>
          <w:color w:val="auto"/>
        </w:rPr>
        <w:t>Certain executive officers and directors of the Company may execute purchases and sales of the Company's common stock through Rule 10b5-1 equity trading plans and “non-Rule 10b5-1 equity trading arrangements” (as defined in Item 408(c) of Regulation S-K).</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the three months ended April 30, 2026, one of our former executive officers engaged in the following Rule 10b5-1 trading arrangements:</w:t>
      </w:r>
    </w:p>
    <w:p>
      <w:pPr>
        <w:spacing w:after="0" w:line="115" w:lineRule="exact"/>
        <w:rPr>
          <w:sz w:val="20"/>
          <w:szCs w:val="20"/>
          <w:color w:val="auto"/>
        </w:rPr>
      </w:pPr>
    </w:p>
    <w:p>
      <w:pPr>
        <w:ind w:right="40" w:firstLine="318"/>
        <w:spacing w:after="0" w:line="245" w:lineRule="auto"/>
        <w:rPr>
          <w:sz w:val="20"/>
          <w:szCs w:val="20"/>
          <w:color w:val="auto"/>
        </w:rPr>
      </w:pPr>
      <w:r>
        <w:rPr>
          <w:rFonts w:ascii="Times New Roman" w:cs="Times New Roman" w:eastAsia="Times New Roman" w:hAnsi="Times New Roman"/>
          <w:sz w:val="14"/>
          <w:szCs w:val="14"/>
          <w:color w:val="auto"/>
        </w:rPr>
        <w:t>On March 6, 2026, Cedric Pech, our former President of Field Operations, terminated a previously disclosed trading plan intended to satisfy the conditions under Rule 10b5-1(c) of the Exchange Act, which had been entered into on December 24, 2025. The terminated plan provided for the potential sale of up to 100% of the (net) shares of common stock resulting from the vesting of an aggregate of 25,571 RSUs and PSUs in amounts and prices determined in accordance with a formula set forth in the plan (net shares are net of tax withholding) over a period scheduled to end on the earlier of (i) the date that all the shares under the plan were sold and (ii) December 31, 2026, subject to early termination for certain specified events set forth in the plan. No further transactions will occur under the terminated plan.</w:t>
      </w:r>
    </w:p>
    <w:p>
      <w:pPr>
        <w:spacing w:after="0" w:line="112"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During the three months ended April 30, 2026, other than noted above, none of our executive officers or directors terminated or modified a 10b5-1 equity trading plan, or adopted, terminated, or modified any “non-Rule 10b5-1 equity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33" w:right="4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gridSpan w:val="2"/>
          </w:tcPr>
          <w:p>
            <w:pPr>
              <w:ind w:left="80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Filed Herewith</w:t>
            </w:r>
          </w:p>
        </w:tc>
        <w:tc>
          <w:tcPr>
            <w:tcW w:w="0" w:type="dxa"/>
            <w:vAlign w:val="bottom"/>
          </w:tcPr>
          <w:p>
            <w:pPr>
              <w:spacing w:after="0"/>
              <w:rPr>
                <w:sz w:val="1"/>
                <w:szCs w:val="1"/>
                <w:color w:val="auto"/>
              </w:rPr>
            </w:pPr>
          </w:p>
        </w:tc>
      </w:tr>
      <w:tr>
        <w:trPr>
          <w:trHeight w:val="83"/>
        </w:trPr>
        <w:tc>
          <w:tcPr>
            <w:tcW w:w="9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980" w:type="dxa"/>
            <w:vAlign w:val="bottom"/>
          </w:tcPr>
          <w:p>
            <w:pPr>
              <w:ind w:left="300"/>
              <w:spacing w:after="0" w:line="99" w:lineRule="exact"/>
              <w:rPr>
                <w:sz w:val="20"/>
                <w:szCs w:val="20"/>
                <w:color w:val="auto"/>
              </w:rPr>
            </w:pPr>
            <w:r>
              <w:rPr>
                <w:rFonts w:ascii="Times New Roman" w:cs="Times New Roman" w:eastAsia="Times New Roman" w:hAnsi="Times New Roman"/>
                <w:sz w:val="11"/>
                <w:szCs w:val="11"/>
                <w:b w:val="1"/>
                <w:bCs w:val="1"/>
                <w:color w:val="auto"/>
              </w:rPr>
              <w:t>Exhibit</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2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540" w:type="dxa"/>
            <w:vAlign w:val="bottom"/>
          </w:tcPr>
          <w:p>
            <w:pPr>
              <w:ind w:left="20"/>
              <w:spacing w:after="0" w:line="99" w:lineRule="exact"/>
              <w:rPr>
                <w:sz w:val="20"/>
                <w:szCs w:val="20"/>
                <w:color w:val="auto"/>
              </w:rPr>
            </w:pPr>
            <w:r>
              <w:rPr>
                <w:rFonts w:ascii="Times New Roman" w:cs="Times New Roman" w:eastAsia="Times New Roman" w:hAnsi="Times New Roman"/>
                <w:sz w:val="11"/>
                <w:szCs w:val="11"/>
                <w:b w:val="1"/>
                <w:bCs w:val="1"/>
                <w:color w:val="auto"/>
              </w:rPr>
              <w:t>Form</w:t>
            </w:r>
          </w:p>
        </w:tc>
        <w:tc>
          <w:tcPr>
            <w:tcW w:w="1180" w:type="dxa"/>
            <w:vAlign w:val="bottom"/>
          </w:tcPr>
          <w:p>
            <w:pPr>
              <w:ind w:left="260"/>
              <w:spacing w:after="0" w:line="99" w:lineRule="exact"/>
              <w:rPr>
                <w:sz w:val="20"/>
                <w:szCs w:val="20"/>
                <w:color w:val="auto"/>
              </w:rPr>
            </w:pPr>
            <w:r>
              <w:rPr>
                <w:rFonts w:ascii="Times New Roman" w:cs="Times New Roman" w:eastAsia="Times New Roman" w:hAnsi="Times New Roman"/>
                <w:sz w:val="11"/>
                <w:szCs w:val="11"/>
                <w:b w:val="1"/>
                <w:bCs w:val="1"/>
                <w:color w:val="auto"/>
              </w:rPr>
              <w:t>File No.</w:t>
            </w:r>
          </w:p>
        </w:tc>
        <w:tc>
          <w:tcPr>
            <w:tcW w:w="980" w:type="dxa"/>
            <w:vAlign w:val="bottom"/>
          </w:tcPr>
          <w:p>
            <w:pPr>
              <w:ind w:left="300"/>
              <w:spacing w:after="0" w:line="99" w:lineRule="exact"/>
              <w:rPr>
                <w:sz w:val="20"/>
                <w:szCs w:val="20"/>
                <w:color w:val="auto"/>
              </w:rPr>
            </w:pPr>
            <w:r>
              <w:rPr>
                <w:rFonts w:ascii="Times New Roman" w:cs="Times New Roman" w:eastAsia="Times New Roman" w:hAnsi="Times New Roman"/>
                <w:sz w:val="11"/>
                <w:szCs w:val="11"/>
                <w:b w:val="1"/>
                <w:bCs w:val="1"/>
                <w:color w:val="auto"/>
              </w:rPr>
              <w:t>Exhibit</w:t>
            </w:r>
          </w:p>
        </w:tc>
        <w:tc>
          <w:tcPr>
            <w:tcW w:w="1300" w:type="dxa"/>
            <w:vAlign w:val="bottom"/>
          </w:tcPr>
          <w:p>
            <w:pPr>
              <w:ind w:left="40"/>
              <w:spacing w:after="0" w:line="99" w:lineRule="exact"/>
              <w:rPr>
                <w:sz w:val="20"/>
                <w:szCs w:val="20"/>
                <w:color w:val="auto"/>
              </w:rPr>
            </w:pPr>
            <w:r>
              <w:rPr>
                <w:rFonts w:ascii="Times New Roman" w:cs="Times New Roman" w:eastAsia="Times New Roman" w:hAnsi="Times New Roman"/>
                <w:sz w:val="11"/>
                <w:szCs w:val="11"/>
                <w:b w:val="1"/>
                <w:bCs w:val="1"/>
                <w:color w:val="auto"/>
              </w:rPr>
              <w:t>Filing Date</w:t>
            </w: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9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gridSpan w:val="17"/>
            <w:vMerge w:val="continue"/>
          </w:tcPr>
          <w:p>
            <w:pPr>
              <w:spacing w:after="0"/>
              <w:rPr>
                <w:sz w:val="6"/>
                <w:szCs w:val="6"/>
                <w:color w:val="auto"/>
              </w:rPr>
            </w:pPr>
          </w:p>
        </w:tc>
        <w:tc>
          <w:tcPr>
            <w:tcW w:w="5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98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Amended and Restated Certificate of Incorporation of MongoDB, Inc.</w:t>
              </w:r>
            </w:hyperlink>
          </w:p>
        </w:tc>
        <w:tc>
          <w:tcPr>
            <w:tcW w:w="1240" w:type="dxa"/>
            <w:vAlign w:val="bottom"/>
            <w:gridSpan w:val="9"/>
          </w:tcPr>
          <w:p>
            <w:pPr>
              <w:spacing w:after="0"/>
              <w:rPr>
                <w:sz w:val="15"/>
                <w:szCs w:val="15"/>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001-38240</w:t>
            </w:r>
          </w:p>
        </w:tc>
        <w:tc>
          <w:tcPr>
            <w:tcW w:w="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3.1</w:t>
            </w:r>
          </w:p>
        </w:tc>
        <w:tc>
          <w:tcPr>
            <w:tcW w:w="1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10/25/2017</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17"/>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Certificate of Retirement</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001-38240</w:t>
            </w:r>
          </w:p>
        </w:tc>
        <w:tc>
          <w:tcPr>
            <w:tcW w:w="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3.1</w:t>
            </w:r>
          </w:p>
        </w:tc>
        <w:tc>
          <w:tcPr>
            <w:tcW w:w="1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6/16/2020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17"/>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Certificate of Amendment of the Amended and Restated Certificate of Incorporation of</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001-38240</w:t>
            </w:r>
          </w:p>
        </w:tc>
        <w:tc>
          <w:tcPr>
            <w:tcW w:w="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3.1.2</w:t>
            </w:r>
          </w:p>
        </w:tc>
        <w:tc>
          <w:tcPr>
            <w:tcW w:w="1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8/27/2025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2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67">
              <w:r>
                <w:rPr>
                  <w:rFonts w:ascii="Times New Roman" w:cs="Times New Roman" w:eastAsia="Times New Roman" w:hAnsi="Times New Roman"/>
                  <w:sz w:val="13"/>
                  <w:szCs w:val="13"/>
                  <w:color w:val="0000FF"/>
                </w:rPr>
                <w:t>MongoDB, Inc.</w:t>
              </w:r>
            </w:hyperlink>
          </w:p>
        </w:tc>
        <w:tc>
          <w:tcPr>
            <w:tcW w:w="30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17"/>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Amended and Restated Bylaws of MongoDB, Inc.</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001-38240</w:t>
            </w:r>
          </w:p>
        </w:tc>
        <w:tc>
          <w:tcPr>
            <w:tcW w:w="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3.1</w:t>
            </w:r>
          </w:p>
        </w:tc>
        <w:tc>
          <w:tcPr>
            <w:tcW w:w="1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3/2/2026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Separation Agreement, dated February 27, 2026, by and between the Cedric Pech and</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40" w:type="dxa"/>
            <w:vAlign w:val="bottom"/>
            <w:tcBorders>
              <w:top w:val="single" w:sz="8" w:color="0000FF"/>
            </w:tcBorders>
            <w:gridSpan w:val="11"/>
          </w:tcPr>
          <w:p>
            <w:pPr>
              <w:spacing w:after="0" w:line="118" w:lineRule="exact"/>
              <w:rPr>
                <w:sz w:val="20"/>
                <w:szCs w:val="20"/>
                <w:color w:val="auto"/>
              </w:rPr>
            </w:pPr>
            <w:r>
              <w:rPr>
                <w:rFonts w:ascii="Times New Roman" w:cs="Times New Roman" w:eastAsia="Times New Roman" w:hAnsi="Times New Roman"/>
                <w:sz w:val="13"/>
                <w:szCs w:val="13"/>
                <w:color w:val="0000FF"/>
              </w:rPr>
              <w:t>MongoDB Switzerland GmbH</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gridSpan w:val="3"/>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00" w:type="dxa"/>
            <w:vAlign w:val="bottom"/>
            <w:tcBorders>
              <w:top w:val="single" w:sz="8" w:color="0000FF"/>
            </w:tcBorders>
            <w:gridSpan w:val="14"/>
          </w:tcPr>
          <w:p>
            <w:pPr>
              <w:spacing w:after="0" w:line="118" w:lineRule="exact"/>
              <w:rPr>
                <w:sz w:val="20"/>
                <w:szCs w:val="20"/>
                <w:color w:val="auto"/>
              </w:rPr>
            </w:pPr>
            <w:r>
              <w:rPr>
                <w:rFonts w:ascii="Times New Roman" w:cs="Times New Roman" w:eastAsia="Times New Roman" w:hAnsi="Times New Roman"/>
                <w:sz w:val="13"/>
                <w:szCs w:val="13"/>
                <w:color w:val="0000FF"/>
              </w:rPr>
              <w:t>under the Securities Exchange Act of 1934, as Adopted Pursuant to Section 302 of the</w:t>
            </w:r>
          </w:p>
        </w:tc>
        <w:tc>
          <w:tcPr>
            <w:tcW w:w="320" w:type="dxa"/>
            <w:vAlign w:val="bottom"/>
            <w:gridSpan w:val="3"/>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Borders>
              <w:top w:val="single" w:sz="8" w:color="0000FF"/>
            </w:tcBorders>
            <w:gridSpan w:val="13"/>
          </w:tcPr>
          <w:p>
            <w:pPr>
              <w:spacing w:after="0" w:line="129"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40" w:type="dxa"/>
            <w:vAlign w:val="bottom"/>
            <w:gridSpan w:val="4"/>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60" w:type="dxa"/>
            <w:vAlign w:val="bottom"/>
            <w:tcBorders>
              <w:top w:val="single" w:sz="8" w:color="0000FF"/>
            </w:tcBorders>
            <w:gridSpan w:val="12"/>
          </w:tcPr>
          <w:p>
            <w:pPr>
              <w:spacing w:after="0" w:line="118" w:lineRule="exact"/>
              <w:rPr>
                <w:sz w:val="20"/>
                <w:szCs w:val="20"/>
                <w:color w:val="auto"/>
              </w:rPr>
            </w:pPr>
            <w:r>
              <w:rPr>
                <w:rFonts w:ascii="Times New Roman" w:cs="Times New Roman" w:eastAsia="Times New Roman" w:hAnsi="Times New Roman"/>
                <w:sz w:val="13"/>
                <w:szCs w:val="13"/>
                <w:color w:val="0000FF"/>
              </w:rPr>
              <w:t>under the Securities Exchange Act of 1934, as Adopted Pursuant to Section 302 of the</w:t>
            </w:r>
          </w:p>
        </w:tc>
        <w:tc>
          <w:tcPr>
            <w:tcW w:w="360" w:type="dxa"/>
            <w:vAlign w:val="bottom"/>
            <w:gridSpan w:val="5"/>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Borders>
              <w:top w:val="single" w:sz="8" w:color="0000FF"/>
            </w:tcBorders>
            <w:gridSpan w:val="13"/>
          </w:tcPr>
          <w:p>
            <w:pPr>
              <w:spacing w:after="0" w:line="129"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40" w:type="dxa"/>
            <w:vAlign w:val="bottom"/>
            <w:gridSpan w:val="4"/>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00" w:type="dxa"/>
            <w:vAlign w:val="bottom"/>
            <w:tcBorders>
              <w:top w:val="single" w:sz="8" w:color="0000FF"/>
              <w:bottom w:val="single" w:sz="8" w:color="0000FF"/>
            </w:tcBorders>
            <w:gridSpan w:val="7"/>
          </w:tcPr>
          <w:p>
            <w:pPr>
              <w:spacing w:after="0" w:line="118" w:lineRule="exact"/>
              <w:rPr>
                <w:sz w:val="20"/>
                <w:szCs w:val="20"/>
                <w:color w:val="auto"/>
              </w:rPr>
            </w:pPr>
            <w:r>
              <w:rPr>
                <w:rFonts w:ascii="Times New Roman" w:cs="Times New Roman" w:eastAsia="Times New Roman" w:hAnsi="Times New Roman"/>
                <w:sz w:val="13"/>
                <w:szCs w:val="13"/>
                <w:color w:val="0000FF"/>
              </w:rPr>
              <w:t>Adopted Pursuant to Section 906 of the Sarbanes-Oxley Act of 2002</w:t>
            </w:r>
          </w:p>
        </w:tc>
        <w:tc>
          <w:tcPr>
            <w:tcW w:w="780" w:type="dxa"/>
            <w:vAlign w:val="bottom"/>
            <w:tcBorders>
              <w:top w:val="single" w:sz="8" w:color="0000FF"/>
            </w:tcBorders>
            <w:gridSpan w:val="3"/>
          </w:tcPr>
          <w:p>
            <w:pPr>
              <w:spacing w:after="0"/>
              <w:rPr>
                <w:sz w:val="10"/>
                <w:szCs w:val="10"/>
                <w:color w:val="auto"/>
              </w:rPr>
            </w:pPr>
          </w:p>
        </w:tc>
        <w:tc>
          <w:tcPr>
            <w:tcW w:w="540" w:type="dxa"/>
            <w:vAlign w:val="bottom"/>
            <w:gridSpan w:val="7"/>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80" w:type="dxa"/>
            <w:vAlign w:val="bottom"/>
            <w:tcBorders>
              <w:top w:val="single" w:sz="8" w:color="0000FF"/>
              <w:bottom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Adopted Pursuant to Section 906 of the Sarbanes-Oxley Act of 2002</w:t>
            </w:r>
          </w:p>
        </w:tc>
        <w:tc>
          <w:tcPr>
            <w:tcW w:w="760" w:type="dxa"/>
            <w:vAlign w:val="bottom"/>
            <w:tcBorders>
              <w:top w:val="single" w:sz="8" w:color="0000FF"/>
            </w:tcBorders>
            <w:gridSpan w:val="3"/>
          </w:tcPr>
          <w:p>
            <w:pPr>
              <w:spacing w:after="0"/>
              <w:rPr>
                <w:sz w:val="10"/>
                <w:szCs w:val="10"/>
                <w:color w:val="auto"/>
              </w:rPr>
            </w:pPr>
          </w:p>
        </w:tc>
        <w:tc>
          <w:tcPr>
            <w:tcW w:w="580" w:type="dxa"/>
            <w:vAlign w:val="bottom"/>
            <w:gridSpan w:val="8"/>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21"/>
                <w:szCs w:val="21"/>
                <w:color w:val="auto"/>
              </w:rPr>
            </w:pPr>
          </w:p>
        </w:tc>
        <w:tc>
          <w:tcPr>
            <w:tcW w:w="52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9"/>
                <w:szCs w:val="19"/>
                <w:color w:val="auto"/>
              </w:rPr>
            </w:pPr>
          </w:p>
        </w:tc>
        <w:tc>
          <w:tcPr>
            <w:tcW w:w="52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9"/>
                <w:szCs w:val="19"/>
                <w:color w:val="auto"/>
              </w:rPr>
            </w:pPr>
          </w:p>
        </w:tc>
        <w:tc>
          <w:tcPr>
            <w:tcW w:w="52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9"/>
                <w:szCs w:val="19"/>
                <w:color w:val="auto"/>
              </w:rPr>
            </w:pPr>
          </w:p>
        </w:tc>
        <w:tc>
          <w:tcPr>
            <w:tcW w:w="52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9"/>
                <w:szCs w:val="19"/>
                <w:color w:val="auto"/>
              </w:rPr>
            </w:pPr>
          </w:p>
        </w:tc>
        <w:tc>
          <w:tcPr>
            <w:tcW w:w="52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9"/>
                <w:szCs w:val="19"/>
                <w:color w:val="auto"/>
              </w:rPr>
            </w:pPr>
          </w:p>
        </w:tc>
        <w:tc>
          <w:tcPr>
            <w:tcW w:w="52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100" w:right="7180" w:hanging="1081"/>
        <w:spacing w:after="0" w:line="239" w:lineRule="auto"/>
        <w:tabs>
          <w:tab w:leader="none" w:pos="1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104" w:lineRule="exact"/>
        <w:rPr>
          <w:sz w:val="20"/>
          <w:szCs w:val="20"/>
          <w:color w:val="auto"/>
        </w:rPr>
      </w:pPr>
    </w:p>
    <w:p>
      <w:pPr>
        <w:ind w:left="1100" w:hanging="642"/>
        <w:spacing w:after="0"/>
        <w:tabs>
          <w:tab w:leader="none" w:pos="1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23" w:lineRule="exact"/>
        <w:rPr>
          <w:sz w:val="20"/>
          <w:szCs w:val="20"/>
          <w:color w:val="auto"/>
        </w:rPr>
      </w:pPr>
    </w:p>
    <w:p>
      <w:pPr>
        <w:ind w:left="1100" w:right="40" w:hanging="642"/>
        <w:spacing w:after="0" w:line="237" w:lineRule="auto"/>
        <w:tabs>
          <w:tab w:leader="none" w:pos="11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3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28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504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MONGODB, INC.</w:t>
            </w:r>
          </w:p>
        </w:tc>
      </w:tr>
      <w:tr>
        <w:trPr>
          <w:trHeight w:val="71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Date: May 29, 2026</w:t>
            </w:r>
          </w:p>
        </w:tc>
        <w:tc>
          <w:tcPr>
            <w:tcW w:w="18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By:</w:t>
            </w: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 Chirantan J. Desai</w:t>
            </w:r>
          </w:p>
        </w:tc>
      </w:tr>
      <w:tr>
        <w:trPr>
          <w:trHeight w:val="203"/>
        </w:trPr>
        <w:tc>
          <w:tcPr>
            <w:tcW w:w="2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Chirantan J. Desai</w:t>
            </w:r>
          </w:p>
        </w:tc>
      </w:tr>
      <w:tr>
        <w:trPr>
          <w:trHeight w:val="212"/>
        </w:trPr>
        <w:tc>
          <w:tcPr>
            <w:tcW w:w="2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12"/>
        </w:trPr>
        <w:tc>
          <w:tcPr>
            <w:tcW w:w="2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r>
      <w:tr>
        <w:trPr>
          <w:trHeight w:val="807"/>
        </w:trPr>
        <w:tc>
          <w:tcPr>
            <w:tcW w:w="2080" w:type="dxa"/>
            <w:vAlign w:val="bottom"/>
          </w:tcPr>
          <w:p>
            <w:pPr>
              <w:spacing w:after="0"/>
              <w:rPr>
                <w:sz w:val="24"/>
                <w:szCs w:val="24"/>
                <w:color w:val="auto"/>
              </w:rPr>
            </w:pPr>
          </w:p>
        </w:tc>
        <w:tc>
          <w:tcPr>
            <w:tcW w:w="18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By:</w:t>
            </w: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 Michael J. Berry</w:t>
            </w:r>
          </w:p>
        </w:tc>
      </w:tr>
      <w:tr>
        <w:trPr>
          <w:trHeight w:val="203"/>
        </w:trPr>
        <w:tc>
          <w:tcPr>
            <w:tcW w:w="2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Michael J. Berry</w:t>
            </w:r>
          </w:p>
        </w:tc>
      </w:tr>
      <w:tr>
        <w:trPr>
          <w:trHeight w:val="212"/>
        </w:trPr>
        <w:tc>
          <w:tcPr>
            <w:tcW w:w="2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212"/>
        </w:trPr>
        <w:tc>
          <w:tcPr>
            <w:tcW w:w="2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tc>
      </w:tr>
      <w:tr>
        <w:trPr>
          <w:trHeight w:val="849"/>
        </w:trPr>
        <w:tc>
          <w:tcPr>
            <w:tcW w:w="2080" w:type="dxa"/>
            <w:vAlign w:val="bottom"/>
          </w:tcPr>
          <w:p>
            <w:pPr>
              <w:spacing w:after="0"/>
              <w:rPr>
                <w:sz w:val="24"/>
                <w:szCs w:val="24"/>
                <w:color w:val="auto"/>
              </w:rPr>
            </w:pPr>
          </w:p>
        </w:tc>
        <w:tc>
          <w:tcPr>
            <w:tcW w:w="18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By:</w:t>
            </w: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 Kong Phan</w:t>
            </w:r>
          </w:p>
        </w:tc>
      </w:tr>
      <w:tr>
        <w:trPr>
          <w:trHeight w:val="203"/>
        </w:trPr>
        <w:tc>
          <w:tcPr>
            <w:tcW w:w="2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Kong Phan</w:t>
            </w:r>
          </w:p>
        </w:tc>
      </w:tr>
      <w:tr>
        <w:trPr>
          <w:trHeight w:val="212"/>
        </w:trPr>
        <w:tc>
          <w:tcPr>
            <w:tcW w:w="2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Accounting Officer</w:t>
            </w:r>
          </w:p>
        </w:tc>
      </w:tr>
      <w:tr>
        <w:trPr>
          <w:trHeight w:val="212"/>
        </w:trPr>
        <w:tc>
          <w:tcPr>
            <w:tcW w:w="2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Accounting Officer</w:t>
            </w: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680"/>
          </w:cols>
          <w:pgMar w:left="300" w:top="133" w:right="919" w:bottom="1440"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3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Certification by the Chief Executive Officer pursuant to</w:t>
      </w:r>
    </w:p>
    <w:p>
      <w:pPr>
        <w:spacing w:after="0" w:line="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Chirantan J. Desai, certify that:</w:t>
      </w:r>
    </w:p>
    <w:p>
      <w:pPr>
        <w:spacing w:after="0" w:line="200"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MongoDB, Inc. (the “registrant”);</w:t>
      </w:r>
    </w:p>
    <w:p>
      <w:pPr>
        <w:spacing w:after="0" w:line="284"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0"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760" w:right="20" w:hanging="246"/>
        <w:spacing w:after="0" w:line="287" w:lineRule="auto"/>
        <w:tabs>
          <w:tab w:leader="none" w:pos="753"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right="240" w:hanging="246"/>
        <w:spacing w:after="0" w:line="287" w:lineRule="auto"/>
        <w:tabs>
          <w:tab w:leader="none" w:pos="75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60" w:right="440" w:hanging="246"/>
        <w:spacing w:after="0" w:line="287" w:lineRule="auto"/>
        <w:tabs>
          <w:tab w:leader="none" w:pos="753"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3"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2040"/>
        <w:spacing w:after="0"/>
        <w:tabs>
          <w:tab w:leader="none" w:pos="5780" w:val="left"/>
          <w:tab w:leader="none" w:pos="6720" w:val="left"/>
        </w:tabs>
        <w:rPr>
          <w:sz w:val="20"/>
          <w:szCs w:val="20"/>
          <w:color w:val="auto"/>
        </w:rPr>
      </w:pPr>
      <w:r>
        <w:rPr>
          <w:rFonts w:ascii="Times New Roman" w:cs="Times New Roman" w:eastAsia="Times New Roman" w:hAnsi="Times New Roman"/>
          <w:sz w:val="14"/>
          <w:szCs w:val="14"/>
          <w:color w:val="auto"/>
        </w:rPr>
        <w:t>Date: May 29,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Chirantan J.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96024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1960245" cy="6985"/>
                    </a:xfrm>
                    <a:prstGeom prst="rect">
                      <a:avLst/>
                    </a:prstGeom>
                    <a:noFill/>
                  </pic:spPr>
                </pic:pic>
              </a:graphicData>
            </a:graphic>
          </wp:anchor>
        </w:drawing>
      </w:r>
    </w:p>
    <w:p>
      <w:pPr>
        <w:spacing w:after="0" w:line="29" w:lineRule="exact"/>
        <w:rPr>
          <w:sz w:val="20"/>
          <w:szCs w:val="20"/>
          <w:color w:val="auto"/>
        </w:rPr>
      </w:pPr>
    </w:p>
    <w:p>
      <w:pPr>
        <w:ind w:left="6200"/>
        <w:spacing w:after="0"/>
        <w:tabs>
          <w:tab w:leader="none" w:pos="67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color w:val="auto"/>
        </w:rPr>
        <w:t>Chirantan J. Desai</w:t>
      </w:r>
    </w:p>
    <w:p>
      <w:pPr>
        <w:spacing w:after="0" w:line="51" w:lineRule="exact"/>
        <w:rPr>
          <w:sz w:val="20"/>
          <w:szCs w:val="20"/>
          <w:color w:val="auto"/>
        </w:rPr>
      </w:pPr>
    </w:p>
    <w:p>
      <w:pPr>
        <w:ind w:left="6200"/>
        <w:spacing w:after="0"/>
        <w:tabs>
          <w:tab w:leader="none" w:pos="672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color w:val="auto"/>
        </w:rPr>
        <w:t>President and Chief Executive Officer</w:t>
      </w:r>
    </w:p>
    <w:p>
      <w:pPr>
        <w:spacing w:after="0" w:line="5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23" w:right="31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Certification by the Chief Financial Officer pursuant to</w:t>
      </w:r>
    </w:p>
    <w:p>
      <w:pPr>
        <w:spacing w:after="0" w:line="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J. Berry, certify that:</w:t>
      </w:r>
    </w:p>
    <w:p>
      <w:pPr>
        <w:spacing w:after="0" w:line="200"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MongoDB, Inc. (the “registrant”);</w:t>
      </w:r>
    </w:p>
    <w:p>
      <w:pPr>
        <w:spacing w:after="0" w:line="284"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0"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760" w:right="20" w:hanging="246"/>
        <w:spacing w:after="0" w:line="287" w:lineRule="auto"/>
        <w:tabs>
          <w:tab w:leader="none" w:pos="753"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right="240" w:hanging="246"/>
        <w:spacing w:after="0" w:line="287" w:lineRule="auto"/>
        <w:tabs>
          <w:tab w:leader="none" w:pos="75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60" w:right="440" w:hanging="246"/>
        <w:spacing w:after="0" w:line="287" w:lineRule="auto"/>
        <w:tabs>
          <w:tab w:leader="none" w:pos="753"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3"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2040"/>
        <w:spacing w:after="0"/>
        <w:tabs>
          <w:tab w:leader="none" w:pos="5140" w:val="left"/>
          <w:tab w:leader="none" w:pos="6080" w:val="left"/>
        </w:tabs>
        <w:rPr>
          <w:sz w:val="20"/>
          <w:szCs w:val="20"/>
          <w:color w:val="auto"/>
        </w:rPr>
      </w:pPr>
      <w:r>
        <w:rPr>
          <w:rFonts w:ascii="Times New Roman" w:cs="Times New Roman" w:eastAsia="Times New Roman" w:hAnsi="Times New Roman"/>
          <w:sz w:val="14"/>
          <w:szCs w:val="14"/>
          <w:color w:val="auto"/>
        </w:rPr>
        <w:t>Date: May 29,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Michael J.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236474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2364740" cy="6985"/>
                    </a:xfrm>
                    <a:prstGeom prst="rect">
                      <a:avLst/>
                    </a:prstGeom>
                    <a:noFill/>
                  </pic:spPr>
                </pic:pic>
              </a:graphicData>
            </a:graphic>
          </wp:anchor>
        </w:drawing>
      </w:r>
    </w:p>
    <w:p>
      <w:pPr>
        <w:spacing w:after="0" w:line="29" w:lineRule="exact"/>
        <w:rPr>
          <w:sz w:val="20"/>
          <w:szCs w:val="20"/>
          <w:color w:val="auto"/>
        </w:rPr>
      </w:pPr>
    </w:p>
    <w:p>
      <w:pPr>
        <w:ind w:left="556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color w:val="auto"/>
        </w:rPr>
        <w:t>Michael J. Berry</w:t>
      </w:r>
    </w:p>
    <w:p>
      <w:pPr>
        <w:spacing w:after="0" w:line="51" w:lineRule="exact"/>
        <w:rPr>
          <w:sz w:val="20"/>
          <w:szCs w:val="20"/>
          <w:color w:val="auto"/>
        </w:rPr>
      </w:pPr>
    </w:p>
    <w:p>
      <w:pPr>
        <w:ind w:left="556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color w:val="auto"/>
        </w:rPr>
        <w:t>Chief Financial Officer</w:t>
      </w:r>
    </w:p>
    <w:p>
      <w:pPr>
        <w:spacing w:after="0" w:line="5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23" w:right="3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I, Chirantan J. Desai, certify, pursuant to 18 U.S.C. Section 1350, as adopted pursuant to Section 906 of the Sarbanes-Oxley Act of 2002, that the Quarterly Report on Form 10-Q of MongoDB, Inc. for the period ended April 30, 2026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86" w:lineRule="exact"/>
        <w:rPr>
          <w:sz w:val="20"/>
          <w:szCs w:val="20"/>
          <w:color w:val="auto"/>
        </w:rPr>
      </w:pPr>
    </w:p>
    <w:p>
      <w:pPr>
        <w:ind w:left="2060"/>
        <w:spacing w:after="0"/>
        <w:tabs>
          <w:tab w:leader="none" w:pos="5760" w:val="left"/>
          <w:tab w:leader="none" w:pos="6700" w:val="left"/>
        </w:tabs>
        <w:rPr>
          <w:sz w:val="20"/>
          <w:szCs w:val="20"/>
          <w:color w:val="auto"/>
        </w:rPr>
      </w:pPr>
      <w:r>
        <w:rPr>
          <w:rFonts w:ascii="Times New Roman" w:cs="Times New Roman" w:eastAsia="Times New Roman" w:hAnsi="Times New Roman"/>
          <w:sz w:val="14"/>
          <w:szCs w:val="14"/>
          <w:color w:val="auto"/>
        </w:rPr>
        <w:t>Date: May 29,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Chirantan J.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14605</wp:posOffset>
            </wp:positionV>
            <wp:extent cx="196024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1960245" cy="6985"/>
                    </a:xfrm>
                    <a:prstGeom prst="rect">
                      <a:avLst/>
                    </a:prstGeom>
                    <a:noFill/>
                  </pic:spPr>
                </pic:pic>
              </a:graphicData>
            </a:graphic>
          </wp:anchor>
        </w:drawing>
      </w:r>
    </w:p>
    <w:p>
      <w:pPr>
        <w:spacing w:after="0" w:line="29" w:lineRule="exact"/>
        <w:rPr>
          <w:sz w:val="20"/>
          <w:szCs w:val="20"/>
          <w:color w:val="auto"/>
        </w:rPr>
      </w:pPr>
    </w:p>
    <w:p>
      <w:pPr>
        <w:ind w:left="6180"/>
        <w:spacing w:after="0"/>
        <w:tabs>
          <w:tab w:leader="none" w:pos="67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color w:val="auto"/>
        </w:rPr>
        <w:t>Chirantan J. Desai</w:t>
      </w:r>
    </w:p>
    <w:p>
      <w:pPr>
        <w:spacing w:after="0" w:line="51" w:lineRule="exact"/>
        <w:rPr>
          <w:sz w:val="20"/>
          <w:szCs w:val="20"/>
          <w:color w:val="auto"/>
        </w:rPr>
      </w:pPr>
    </w:p>
    <w:p>
      <w:pPr>
        <w:ind w:left="6180"/>
        <w:spacing w:after="0"/>
        <w:tabs>
          <w:tab w:leader="none" w:pos="670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color w:val="auto"/>
        </w:rPr>
        <w:t>President and Chief Executive Officer</w:t>
      </w:r>
    </w:p>
    <w:p>
      <w:pPr>
        <w:spacing w:after="0" w:line="5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pacing w:after="0" w:line="26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80"/>
          </w:cols>
          <w:pgMar w:left="300" w:top="123" w:right="3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5"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I, Michael J. Berry, certify, pursuant to 18 U.S.C. Section 1350, as adopted pursuant to Section 906 of the Sarbanes-Oxley Act of 2002, that the Quarterly Report on Form 10-Q of MongoDB, Inc. for the period ended April 30, 2026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86" w:lineRule="exact"/>
        <w:rPr>
          <w:sz w:val="20"/>
          <w:szCs w:val="20"/>
          <w:color w:val="auto"/>
        </w:rPr>
      </w:pPr>
    </w:p>
    <w:p>
      <w:pPr>
        <w:ind w:left="2040"/>
        <w:spacing w:after="0"/>
        <w:tabs>
          <w:tab w:leader="none" w:pos="5140" w:val="left"/>
          <w:tab w:leader="none" w:pos="6080" w:val="left"/>
        </w:tabs>
        <w:rPr>
          <w:sz w:val="20"/>
          <w:szCs w:val="20"/>
          <w:color w:val="auto"/>
        </w:rPr>
      </w:pPr>
      <w:r>
        <w:rPr>
          <w:rFonts w:ascii="Times New Roman" w:cs="Times New Roman" w:eastAsia="Times New Roman" w:hAnsi="Times New Roman"/>
          <w:sz w:val="14"/>
          <w:szCs w:val="14"/>
          <w:color w:val="auto"/>
        </w:rPr>
        <w:t>Date: May 29,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Michael J.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236474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2364740" cy="6985"/>
                    </a:xfrm>
                    <a:prstGeom prst="rect">
                      <a:avLst/>
                    </a:prstGeom>
                    <a:noFill/>
                  </pic:spPr>
                </pic:pic>
              </a:graphicData>
            </a:graphic>
          </wp:anchor>
        </w:drawing>
      </w:r>
    </w:p>
    <w:p>
      <w:pPr>
        <w:spacing w:after="0" w:line="29" w:lineRule="exact"/>
        <w:rPr>
          <w:sz w:val="20"/>
          <w:szCs w:val="20"/>
          <w:color w:val="auto"/>
        </w:rPr>
      </w:pPr>
    </w:p>
    <w:p>
      <w:pPr>
        <w:ind w:left="556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color w:val="auto"/>
        </w:rPr>
        <w:t>Michael J. Berry</w:t>
      </w:r>
    </w:p>
    <w:p>
      <w:pPr>
        <w:spacing w:after="0" w:line="51" w:lineRule="exact"/>
        <w:rPr>
          <w:sz w:val="20"/>
          <w:szCs w:val="20"/>
          <w:color w:val="auto"/>
        </w:rPr>
      </w:pPr>
    </w:p>
    <w:p>
      <w:pPr>
        <w:ind w:left="556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color w:val="auto"/>
        </w:rPr>
        <w:t>Chief Financial Officer</w:t>
      </w:r>
    </w:p>
    <w:p>
      <w:pPr>
        <w:spacing w:after="0" w:line="5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pacing w:after="0" w:line="26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lowerLetter"/>
      <w:start w:val="1"/>
    </w:lvl>
    <w:lvl w:ilvl="1">
      <w:lvlJc w:val="left"/>
      <w:lvlText w:val="(%2)"/>
      <w:numFmt w:val="lowerLetter"/>
      <w:start w:val="1"/>
    </w:lvl>
  </w:abstractNum>
  <w:abstractNum w:abstractNumId="18">
    <w:nsid w:val="721DA317"/>
    <w:multiLevelType w:val="hybridMultilevel"/>
    <w:lvl w:ilvl="0">
      <w:lvlJc w:val="left"/>
      <w:lvlText w:val="(%1)"/>
      <w:numFmt w:val="lowerLetter"/>
      <w:start w:val="3"/>
    </w:lvl>
    <w:lvl w:ilvl="1">
      <w:lvlJc w:val="left"/>
      <w:lvlText w:val="%2"/>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65" Type="http://schemas.openxmlformats.org/officeDocument/2006/relationships/hyperlink" Target="https://www.sec.gov/Archives/edgar/data/1441816/000110465917063753/a17-24439_1ex3d1.htm" TargetMode="External"/><Relationship Id="rId166" Type="http://schemas.openxmlformats.org/officeDocument/2006/relationships/hyperlink" Target="https://www.sec.gov/Archives/edgar/data/1441816/000144181620000114/mdb-certificateofretir.htm" TargetMode="External"/><Relationship Id="rId167" Type="http://schemas.openxmlformats.org/officeDocument/2006/relationships/hyperlink" Target="https://www.sec.gov/Archives/edgar/data/1441816/000144181625000181/mdb-73125xxex312certificat.htm" TargetMode="External"/><Relationship Id="rId168" Type="http://schemas.openxmlformats.org/officeDocument/2006/relationships/hyperlink" Target="https://www.sec.gov/Archives/edgar/data/1441816/000162828026013199/amendedandrestated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2026-05-29T15:57:53Z</dcterms:created>
  <dcterms:modified xsi:type="dcterms:W3CDTF">2026-05-29T15:57:53Z</dcterms:modified>
</cp:coreProperties>
</file>