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April 30, 2025</w:t>
      </w:r>
    </w:p>
    <w:p>
      <w:pPr>
        <w:spacing w:after="0" w:line="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-12700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26-1463205</w:t>
            </w:r>
          </w:p>
        </w:tc>
      </w:tr>
      <w:tr>
        <w:trPr>
          <w:trHeight w:val="146"/>
        </w:trPr>
        <w:tc>
          <w:tcPr>
            <w:tcW w:w="3880" w:type="dxa"/>
            <w:vAlign w:val="bottom"/>
          </w:tcPr>
          <w:p>
            <w:pPr>
              <w:jc w:val="center"/>
              <w:ind w:right="13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32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1633 Broadway, 38th Floor</w:t>
            </w:r>
          </w:p>
        </w:tc>
        <w:tc>
          <w:tcPr>
            <w:tcW w:w="2560" w:type="dxa"/>
            <w:vAlign w:val="bottom"/>
          </w:tcPr>
          <w:p>
            <w:pPr>
              <w:spacing w:after="0"/>
              <w:rPr>
                <w:sz w:val="24"/>
                <w:szCs w:val="24"/>
                <w:color w:val="auto"/>
              </w:rPr>
            </w:pPr>
          </w:p>
        </w:tc>
      </w:tr>
      <w:tr>
        <w:trPr>
          <w:trHeight w:val="286"/>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56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190"/>
        </w:trPr>
        <w:tc>
          <w:tcPr>
            <w:tcW w:w="38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Common Stock, par value $0.001 per</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7" w:lineRule="exact"/>
        <w:rPr>
          <w:sz w:val="24"/>
          <w:szCs w:val="24"/>
          <w:color w:val="auto"/>
        </w:rPr>
      </w:pPr>
    </w:p>
    <w:p>
      <w:pPr>
        <w:ind w:firstLine="44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tabs>
          <w:tab w:leader="none" w:pos="2140" w:val="left"/>
        </w:tabs>
        <w:rPr>
          <w:sz w:val="20"/>
          <w:szCs w:val="20"/>
          <w:color w:val="auto"/>
        </w:rPr>
      </w:pPr>
      <w:r>
        <w:rPr>
          <w:rFonts w:ascii="Times New Roman" w:cs="Times New Roman" w:eastAsia="Times New Roman" w:hAnsi="Times New Roman"/>
          <w:sz w:val="17"/>
          <w:szCs w:val="17"/>
          <w:color w:val="auto"/>
        </w:rPr>
        <w:t xml:space="preserve">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1"/>
          <w:szCs w:val="21"/>
          <w:color w:val="auto"/>
        </w:rPr>
        <w:t>☐</w:t>
      </w:r>
    </w:p>
    <w:p>
      <w:pPr>
        <w:spacing w:after="0" w:line="61" w:lineRule="exact"/>
        <w:rPr>
          <w:sz w:val="24"/>
          <w:szCs w:val="24"/>
          <w:color w:val="auto"/>
        </w:rPr>
      </w:pPr>
    </w:p>
    <w:p>
      <w:pPr>
        <w:ind w:right="20" w:firstLine="445"/>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220" w:firstLine="445"/>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16" w:lineRule="exact"/>
        <w:rPr>
          <w:sz w:val="24"/>
          <w:szCs w:val="24"/>
          <w:color w:val="auto"/>
        </w:rPr>
      </w:pPr>
    </w:p>
    <w:p>
      <w:pPr>
        <w:ind w:right="20" w:firstLine="445"/>
        <w:spacing w:after="0" w:line="26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left="460" w:right="1740"/>
        <w:spacing w:after="0" w:line="26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June 2, 2025, there were 81,714,313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95885</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121285</wp:posOffset>
            </wp:positionV>
            <wp:extent cx="6652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160"/>
          </w:cols>
          <w:pgMar w:left="320" w:top="1235" w:right="419"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10840"/>
          </w:cols>
          <w:pgMar w:left="540" w:top="12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380" w:lineRule="auto"/>
        <w:rPr>
          <w:sz w:val="20"/>
          <w:szCs w:val="20"/>
          <w:color w:val="auto"/>
        </w:rPr>
      </w:pPr>
      <w:r>
        <w:rPr>
          <w:rFonts w:ascii="Times New Roman" w:cs="Times New Roman" w:eastAsia="Times New Roman" w:hAnsi="Times New Roman"/>
          <w:sz w:val="18"/>
          <w:szCs w:val="18"/>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360" w:type="dxa"/>
            <w:vAlign w:val="bottom"/>
            <w:gridSpan w:val="7"/>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60" w:type="dxa"/>
            <w:vAlign w:val="bottom"/>
            <w:tcBorders>
              <w:bottom w:val="single" w:sz="8" w:color="0000FF"/>
            </w:tcBorders>
            <w:gridSpan w:val="5"/>
            <w:vMerge w:val="continue"/>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April 30, 2025 and January 31, 2025</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8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months ended April 30, 2025 and 2024</w:t>
            </w:r>
          </w:p>
        </w:tc>
        <w:tc>
          <w:tcPr>
            <w:tcW w:w="920" w:type="dxa"/>
            <w:vAlign w:val="bottom"/>
            <w:gridSpan w:val="4"/>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months ended April 30, 2025 and 2024</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89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for the three months ended April 30, 2025 and 2024</w:t>
            </w: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April 30, 2025 and 2024</w:t>
            </w:r>
          </w:p>
        </w:tc>
        <w:tc>
          <w:tcPr>
            <w:tcW w:w="86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4"/>
          </w:tcPr>
          <w:p>
            <w:pPr>
              <w:spacing w:after="0"/>
              <w:rPr>
                <w:sz w:val="24"/>
                <w:szCs w:val="24"/>
                <w:color w:val="auto"/>
              </w:rPr>
            </w:pPr>
          </w:p>
        </w:tc>
        <w:tc>
          <w:tcPr>
            <w:tcW w:w="2860" w:type="dxa"/>
            <w:vAlign w:val="bottom"/>
            <w:gridSpan w:val="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3"/>
          </w:tcPr>
          <w:p>
            <w:pPr>
              <w:spacing w:after="0"/>
              <w:rPr>
                <w:sz w:val="24"/>
                <w:szCs w:val="24"/>
                <w:color w:val="auto"/>
              </w:rPr>
            </w:pPr>
          </w:p>
        </w:tc>
        <w:tc>
          <w:tcPr>
            <w:tcW w:w="3520" w:type="dxa"/>
            <w:vAlign w:val="bottom"/>
            <w:gridSpan w:val="8"/>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7560" w:type="dxa"/>
            <w:vAlign w:val="bottom"/>
            <w:gridSpan w:val="14"/>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-3599815</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-3222625</wp:posOffset>
            </wp:positionV>
            <wp:extent cx="689229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-2931160</wp:posOffset>
            </wp:positionV>
            <wp:extent cx="68922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-1876425</wp:posOffset>
            </wp:positionV>
            <wp:extent cx="689229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256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-1567815</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-1156970</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-744855</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-333375</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56"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ITEM 1.</w:t>
            </w:r>
          </w:p>
        </w:tc>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FINANCIAL STATEMENTS.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160" w:type="dxa"/>
            <w:vAlign w:val="bottom"/>
          </w:tcPr>
          <w:p>
            <w:pPr>
              <w:jc w:val="center"/>
              <w:ind w:left="1866"/>
              <w:spacing w:after="0"/>
              <w:rPr>
                <w:sz w:val="20"/>
                <w:szCs w:val="20"/>
                <w:color w:val="auto"/>
              </w:rPr>
            </w:pPr>
            <w:r>
              <w:rPr>
                <w:rFonts w:ascii="Times New Roman" w:cs="Times New Roman" w:eastAsia="Times New Roman" w:hAnsi="Times New Roman"/>
                <w:sz w:val="18"/>
                <w:szCs w:val="18"/>
                <w:b w:val="1"/>
                <w:bCs w:val="1"/>
                <w:color w:val="auto"/>
              </w:rPr>
              <w:t>MONGODB, INC.</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7160" w:type="dxa"/>
            <w:vAlign w:val="bottom"/>
          </w:tcPr>
          <w:p>
            <w:pPr>
              <w:jc w:val="center"/>
              <w:ind w:left="1866"/>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160" w:type="dxa"/>
            <w:vAlign w:val="bottom"/>
          </w:tcPr>
          <w:p>
            <w:pPr>
              <w:jc w:val="center"/>
              <w:ind w:left="1866"/>
              <w:spacing w:after="0"/>
              <w:rPr>
                <w:sz w:val="20"/>
                <w:szCs w:val="20"/>
                <w:color w:val="auto"/>
              </w:rPr>
            </w:pPr>
            <w:r>
              <w:rPr>
                <w:rFonts w:ascii="Times New Roman" w:cs="Times New Roman" w:eastAsia="Times New Roman" w:hAnsi="Times New Roman"/>
                <w:sz w:val="18"/>
                <w:szCs w:val="18"/>
                <w:i w:val="1"/>
                <w:iCs w:val="1"/>
                <w:color w:val="auto"/>
                <w:w w:val="99"/>
              </w:rPr>
              <w:t>(in thousands of U.S. dollars, except share and per share data)</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160" w:type="dxa"/>
            <w:vAlign w:val="bottom"/>
          </w:tcPr>
          <w:p>
            <w:pPr>
              <w:jc w:val="center"/>
              <w:ind w:left="1866"/>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40" w:type="dxa"/>
            <w:vAlign w:val="bottom"/>
          </w:tcPr>
          <w:p>
            <w:pPr>
              <w:spacing w:after="0"/>
              <w:rPr>
                <w:sz w:val="24"/>
                <w:szCs w:val="24"/>
                <w:color w:val="auto"/>
              </w:rPr>
            </w:pPr>
          </w:p>
        </w:tc>
        <w:tc>
          <w:tcPr>
            <w:tcW w:w="13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23"/>
        </w:trPr>
        <w:tc>
          <w:tcPr>
            <w:tcW w:w="10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657,809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490,133</w:t>
            </w: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1,796,129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1,846,444</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$9,893 and $8,888 as of April 30, 2025 and January 31, 2025,</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393,099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112,632</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81,214</w:t>
            </w:r>
          </w:p>
        </w:tc>
        <w:tc>
          <w:tcPr>
            <w:tcW w:w="0" w:type="dxa"/>
            <w:vAlign w:val="bottom"/>
          </w:tcPr>
          <w:p>
            <w:pPr>
              <w:spacing w:after="0"/>
              <w:rPr>
                <w:sz w:val="1"/>
                <w:szCs w:val="1"/>
                <w:color w:val="auto"/>
              </w:rPr>
            </w:pPr>
          </w:p>
        </w:tc>
      </w:tr>
      <w:tr>
        <w:trPr>
          <w:trHeight w:val="186"/>
        </w:trPr>
        <w:tc>
          <w:tcPr>
            <w:tcW w:w="82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2,972,530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2,923,522</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46,377</w:t>
            </w:r>
          </w:p>
        </w:tc>
        <w:tc>
          <w:tcPr>
            <w:tcW w:w="0" w:type="dxa"/>
            <w:vAlign w:val="bottom"/>
          </w:tcPr>
          <w:p>
            <w:pPr>
              <w:spacing w:after="0"/>
              <w:rPr>
                <w:sz w:val="1"/>
                <w:szCs w:val="1"/>
                <w:color w:val="auto"/>
              </w:rPr>
            </w:pPr>
          </w:p>
        </w:tc>
      </w:tr>
      <w:tr>
        <w:trPr>
          <w:trHeight w:val="206"/>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34,607</w:t>
            </w: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7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189,641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20,810</w:t>
            </w:r>
          </w:p>
        </w:tc>
        <w:tc>
          <w:tcPr>
            <w:tcW w:w="0" w:type="dxa"/>
            <w:vAlign w:val="bottom"/>
          </w:tcPr>
          <w:p>
            <w:pPr>
              <w:spacing w:after="0"/>
              <w:rPr>
                <w:sz w:val="1"/>
                <w:szCs w:val="1"/>
                <w:color w:val="auto"/>
              </w:rPr>
            </w:pPr>
          </w:p>
        </w:tc>
      </w:tr>
      <w:tr>
        <w:trPr>
          <w:trHeight w:val="220"/>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7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310,701</w:t>
            </w:r>
          </w:p>
        </w:tc>
        <w:tc>
          <w:tcPr>
            <w:tcW w:w="0" w:type="dxa"/>
            <w:vAlign w:val="bottom"/>
          </w:tcPr>
          <w:p>
            <w:pPr>
              <w:spacing w:after="0"/>
              <w:rPr>
                <w:sz w:val="1"/>
                <w:szCs w:val="1"/>
                <w:color w:val="auto"/>
              </w:rPr>
            </w:pPr>
          </w:p>
        </w:tc>
      </w:tr>
      <w:tr>
        <w:trPr>
          <w:trHeight w:val="23"/>
        </w:trPr>
        <w:tc>
          <w:tcPr>
            <w:tcW w:w="10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7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3,624,420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3,430,293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10,467</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120,354</w:t>
            </w: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9,126</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87,659</w:t>
            </w:r>
          </w:p>
        </w:tc>
        <w:tc>
          <w:tcPr>
            <w:tcW w:w="0" w:type="dxa"/>
            <w:vAlign w:val="bottom"/>
          </w:tcPr>
          <w:p>
            <w:pPr>
              <w:spacing w:after="0"/>
              <w:rPr>
                <w:sz w:val="1"/>
                <w:szCs w:val="1"/>
                <w:color w:val="auto"/>
              </w:rPr>
            </w:pPr>
          </w:p>
        </w:tc>
      </w:tr>
      <w:tr>
        <w:trPr>
          <w:trHeight w:val="220"/>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334,381</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504,998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561,987</w:t>
            </w:r>
          </w:p>
        </w:tc>
        <w:tc>
          <w:tcPr>
            <w:tcW w:w="0" w:type="dxa"/>
            <w:vAlign w:val="bottom"/>
          </w:tcPr>
          <w:p>
            <w:pPr>
              <w:spacing w:after="0"/>
              <w:rPr>
                <w:sz w:val="1"/>
                <w:szCs w:val="1"/>
                <w:color w:val="auto"/>
              </w:rPr>
            </w:pPr>
          </w:p>
        </w:tc>
      </w:tr>
      <w:tr>
        <w:trPr>
          <w:trHeight w:val="206"/>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27,374</w:t>
            </w:r>
          </w:p>
        </w:tc>
        <w:tc>
          <w:tcPr>
            <w:tcW w:w="0" w:type="dxa"/>
            <w:vAlign w:val="bottom"/>
          </w:tcPr>
          <w:p>
            <w:pPr>
              <w:spacing w:after="0"/>
              <w:rPr>
                <w:sz w:val="1"/>
                <w:szCs w:val="1"/>
                <w:color w:val="auto"/>
              </w:rPr>
            </w:pPr>
          </w:p>
        </w:tc>
      </w:tr>
      <w:tr>
        <w:trPr>
          <w:trHeight w:val="220"/>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25,404</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33,042</w:t>
            </w:r>
          </w:p>
        </w:tc>
        <w:tc>
          <w:tcPr>
            <w:tcW w:w="0" w:type="dxa"/>
            <w:vAlign w:val="bottom"/>
          </w:tcPr>
          <w:p>
            <w:pPr>
              <w:spacing w:after="0"/>
              <w:rPr>
                <w:sz w:val="1"/>
                <w:szCs w:val="1"/>
                <w:color w:val="auto"/>
              </w:rPr>
            </w:pPr>
          </w:p>
        </w:tc>
      </w:tr>
      <w:tr>
        <w:trPr>
          <w:trHeight w:val="200"/>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7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591,470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648,069</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April 30, 2025 and January 31, 2025; 81,813,448</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 issued and 81,715,778 shares outstanding as of April 30, 2025; 80,558,847 shares issued and 80,467,811 shares outstanding as</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of January 31, 2025</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4,899,504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4,625,093</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stock, 99,371 shares (repurchased at an average of $13.27 per share) as of April 30, 2025 and January 31, 2025</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(1,840,704)</w:t>
            </w:r>
          </w:p>
        </w:tc>
        <w:tc>
          <w:tcPr>
            <w:tcW w:w="0" w:type="dxa"/>
            <w:vAlign w:val="bottom"/>
          </w:tcPr>
          <w:p>
            <w:pPr>
              <w:spacing w:after="0"/>
              <w:rPr>
                <w:sz w:val="1"/>
                <w:szCs w:val="1"/>
                <w:color w:val="auto"/>
              </w:rPr>
            </w:pPr>
          </w:p>
        </w:tc>
      </w:tr>
      <w:tr>
        <w:trPr>
          <w:trHeight w:val="213"/>
        </w:trPr>
        <w:tc>
          <w:tcPr>
            <w:tcW w:w="8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3,032,950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2,782,224</w:t>
            </w:r>
          </w:p>
        </w:tc>
        <w:tc>
          <w:tcPr>
            <w:tcW w:w="0" w:type="dxa"/>
            <w:vAlign w:val="bottom"/>
          </w:tcPr>
          <w:p>
            <w:pPr>
              <w:spacing w:after="0"/>
              <w:rPr>
                <w:sz w:val="1"/>
                <w:szCs w:val="1"/>
                <w:color w:val="auto"/>
              </w:rPr>
            </w:pPr>
          </w:p>
        </w:tc>
      </w:tr>
      <w:tr>
        <w:trPr>
          <w:trHeight w:val="24"/>
        </w:trPr>
        <w:tc>
          <w:tcPr>
            <w:tcW w:w="8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3,624,420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3,430,293</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37"/>
        </w:trPr>
        <w:tc>
          <w:tcPr>
            <w:tcW w:w="78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531,455</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436,896</w:t>
            </w:r>
          </w:p>
        </w:tc>
        <w:tc>
          <w:tcPr>
            <w:tcW w:w="0" w:type="dxa"/>
            <w:vAlign w:val="bottom"/>
          </w:tcPr>
          <w:p>
            <w:pPr>
              <w:spacing w:after="0"/>
              <w:rPr>
                <w:sz w:val="1"/>
                <w:szCs w:val="1"/>
                <w:color w:val="auto"/>
              </w:rPr>
            </w:pPr>
          </w:p>
        </w:tc>
      </w:tr>
      <w:tr>
        <w:trPr>
          <w:trHeight w:val="28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450,561</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100,762</w:t>
            </w:r>
          </w:p>
        </w:tc>
        <w:tc>
          <w:tcPr>
            <w:tcW w:w="0" w:type="dxa"/>
            <w:vAlign w:val="bottom"/>
          </w:tcPr>
          <w:p>
            <w:pPr>
              <w:spacing w:after="0"/>
              <w:rPr>
                <w:sz w:val="1"/>
                <w:szCs w:val="1"/>
                <w:color w:val="auto"/>
              </w:rPr>
            </w:pPr>
          </w:p>
        </w:tc>
      </w:tr>
      <w:tr>
        <w:trPr>
          <w:trHeight w:val="284"/>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122,697</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327,864</w:t>
            </w:r>
          </w:p>
        </w:tc>
        <w:tc>
          <w:tcPr>
            <w:tcW w:w="0" w:type="dxa"/>
            <w:vAlign w:val="bottom"/>
          </w:tcPr>
          <w:p>
            <w:pPr>
              <w:spacing w:after="0"/>
              <w:rPr>
                <w:sz w:val="1"/>
                <w:szCs w:val="1"/>
                <w:color w:val="auto"/>
              </w:rPr>
            </w:pP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219,444</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146,060</w:t>
            </w:r>
          </w:p>
        </w:tc>
        <w:tc>
          <w:tcPr>
            <w:tcW w:w="0" w:type="dxa"/>
            <w:vAlign w:val="bottom"/>
          </w:tcPr>
          <w:p>
            <w:pPr>
              <w:spacing w:after="0"/>
              <w:rPr>
                <w:sz w:val="1"/>
                <w:szCs w:val="1"/>
                <w:color w:val="auto"/>
              </w:rPr>
            </w:pPr>
          </w:p>
        </w:tc>
      </w:tr>
      <w:tr>
        <w:trPr>
          <w:trHeight w:val="28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426,050</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(98,186)</w:t>
            </w:r>
          </w:p>
        </w:tc>
        <w:tc>
          <w:tcPr>
            <w:tcW w:w="0" w:type="dxa"/>
            <w:vAlign w:val="bottom"/>
          </w:tcPr>
          <w:p>
            <w:pPr>
              <w:spacing w:after="0"/>
              <w:rPr>
                <w:sz w:val="1"/>
                <w:szCs w:val="1"/>
                <w:color w:val="auto"/>
              </w:rPr>
            </w:pP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0" w:type="dxa"/>
            <w:vAlign w:val="bottom"/>
          </w:tcPr>
          <w:p>
            <w:pPr>
              <w:spacing w:after="0"/>
              <w:rPr>
                <w:sz w:val="1"/>
                <w:szCs w:val="1"/>
                <w:color w:val="auto"/>
              </w:rPr>
            </w:pPr>
          </w:p>
        </w:tc>
      </w:tr>
      <w:tr>
        <w:trPr>
          <w:trHeight w:val="28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8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50"/>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(78,012)</w:t>
            </w:r>
          </w:p>
        </w:tc>
        <w:tc>
          <w:tcPr>
            <w:tcW w:w="0" w:type="dxa"/>
            <w:vAlign w:val="bottom"/>
          </w:tcPr>
          <w:p>
            <w:pPr>
              <w:spacing w:after="0"/>
              <w:rPr>
                <w:sz w:val="1"/>
                <w:szCs w:val="1"/>
                <w:color w:val="auto"/>
              </w:rPr>
            </w:pPr>
          </w:p>
        </w:tc>
      </w:tr>
      <w:tr>
        <w:trPr>
          <w:trHeight w:val="28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64"/>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81,060,822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72,990,141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9"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r>
      <w:tr>
        <w:trPr>
          <w:trHeight w:val="229"/>
        </w:trPr>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0"/>
        </w:trPr>
        <w:tc>
          <w:tcPr>
            <w:tcW w:w="7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r>
      <w:tr>
        <w:trPr>
          <w:trHeight w:val="283"/>
        </w:trPr>
        <w:tc>
          <w:tcPr>
            <w:tcW w:w="7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64"/>
        </w:trPr>
        <w:tc>
          <w:tcPr>
            <w:tcW w:w="7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r>
      <w:tr>
        <w:trPr>
          <w:trHeight w:val="263"/>
        </w:trPr>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(91,141)</w:t>
            </w: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1800" w:type="dxa"/>
            <w:vAlign w:val="bottom"/>
            <w:gridSpan w:val="3"/>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tcPr>
          <w:p>
            <w:pPr>
              <w:jc w:val="center"/>
              <w:ind w:right="140"/>
              <w:spacing w:after="0" w:line="75" w:lineRule="exact"/>
              <w:rPr>
                <w:sz w:val="20"/>
                <w:szCs w:val="20"/>
                <w:color w:val="auto"/>
              </w:rPr>
            </w:pPr>
            <w:r>
              <w:rPr>
                <w:rFonts w:ascii="Times New Roman" w:cs="Times New Roman" w:eastAsia="Times New Roman" w:hAnsi="Times New Roman"/>
                <w:sz w:val="8"/>
                <w:szCs w:val="8"/>
                <w:b w:val="1"/>
                <w:bCs w:val="1"/>
                <w:color w:val="auto"/>
              </w:rPr>
              <w:t>Additional Paid-</w:t>
            </w:r>
          </w:p>
        </w:tc>
        <w:tc>
          <w:tcPr>
            <w:tcW w:w="100" w:type="dxa"/>
            <w:vAlign w:val="bottom"/>
          </w:tcPr>
          <w:p>
            <w:pPr>
              <w:spacing w:after="0"/>
              <w:rPr>
                <w:sz w:val="7"/>
                <w:szCs w:val="7"/>
                <w:color w:val="auto"/>
              </w:rPr>
            </w:pPr>
          </w:p>
        </w:tc>
        <w:tc>
          <w:tcPr>
            <w:tcW w:w="800" w:type="dxa"/>
            <w:vAlign w:val="bottom"/>
            <w:gridSpan w:val="2"/>
          </w:tcPr>
          <w:p>
            <w:pPr>
              <w:jc w:val="center"/>
              <w:ind w:right="220"/>
              <w:spacing w:after="0" w:line="75" w:lineRule="exact"/>
              <w:rPr>
                <w:sz w:val="20"/>
                <w:szCs w:val="20"/>
                <w:color w:val="auto"/>
              </w:rPr>
            </w:pPr>
            <w:r>
              <w:rPr>
                <w:rFonts w:ascii="Times New Roman" w:cs="Times New Roman" w:eastAsia="Times New Roman" w:hAnsi="Times New Roman"/>
                <w:sz w:val="8"/>
                <w:szCs w:val="8"/>
                <w:b w:val="1"/>
                <w:bCs w:val="1"/>
                <w:color w:val="auto"/>
              </w:rPr>
              <w:t>Treasury</w:t>
            </w:r>
          </w:p>
        </w:tc>
        <w:tc>
          <w:tcPr>
            <w:tcW w:w="140" w:type="dxa"/>
            <w:vAlign w:val="bottom"/>
          </w:tcPr>
          <w:p>
            <w:pPr>
              <w:spacing w:after="0"/>
              <w:rPr>
                <w:sz w:val="7"/>
                <w:szCs w:val="7"/>
                <w:color w:val="auto"/>
              </w:rPr>
            </w:pPr>
          </w:p>
        </w:tc>
        <w:tc>
          <w:tcPr>
            <w:tcW w:w="1180" w:type="dxa"/>
            <w:vAlign w:val="bottom"/>
            <w:gridSpan w:val="2"/>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20" w:type="dxa"/>
            <w:vAlign w:val="bottom"/>
          </w:tcPr>
          <w:p>
            <w:pPr>
              <w:spacing w:after="0"/>
              <w:rPr>
                <w:sz w:val="7"/>
                <w:szCs w:val="7"/>
                <w:color w:val="auto"/>
              </w:rPr>
            </w:pPr>
          </w:p>
        </w:tc>
        <w:tc>
          <w:tcPr>
            <w:tcW w:w="106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120" w:type="dxa"/>
            <w:vAlign w:val="bottom"/>
            <w:gridSpan w:val="2"/>
          </w:tcPr>
          <w:p>
            <w:pPr>
              <w:jc w:val="center"/>
              <w:spacing w:after="0" w:line="75" w:lineRule="exact"/>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3"/>
                <w:szCs w:val="13"/>
                <w:color w:val="auto"/>
              </w:rPr>
            </w:pP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36"/>
        </w:trPr>
        <w:tc>
          <w:tcPr>
            <w:tcW w:w="34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January 31, 2025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80,467,811</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4,625,093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(1,840,704)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2,782,224</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381,937</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Issuance of common stock in connection with 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business combination subject to future vesting</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213,023</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in connection with 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business combination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484,169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141,402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132,431</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April 30,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81,715,778</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4,899,504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(1,878,330)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3,032,950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400" w:type="dxa"/>
            <w:vAlign w:val="bottom"/>
          </w:tcPr>
          <w:p>
            <w:pPr>
              <w:spacing w:after="0"/>
              <w:rPr>
                <w:sz w:val="24"/>
                <w:szCs w:val="24"/>
                <w:color w:val="auto"/>
              </w:rPr>
            </w:pPr>
          </w:p>
        </w:tc>
        <w:tc>
          <w:tcPr>
            <w:tcW w:w="1800" w:type="dxa"/>
            <w:vAlign w:val="bottom"/>
            <w:gridSpan w:val="3"/>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0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24"/>
                <w:szCs w:val="24"/>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4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4"/>
                <w:szCs w:val="14"/>
                <w:color w:val="auto"/>
              </w:rPr>
            </w:pP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January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72,741,321</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2,777,322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(1,711,632)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1,068,989</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132,617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399,213</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80"/>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 of derivative related to the Capped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Call associated with the 2024 Notes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(80,593)</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April 30,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73,350,595</w:t>
            </w:r>
          </w:p>
        </w:tc>
        <w:tc>
          <w:tcPr>
            <w:tcW w:w="1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3,068,730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(1,792,225)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1,269,256</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4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r>
      <w:tr>
        <w:trPr>
          <w:trHeight w:val="18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(37,626)</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(80,593)</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132,431</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r>
      <w:tr>
        <w:trPr>
          <w:trHeight w:val="206"/>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0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of finance right-of-use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premium and accretion of discount on short-term investments, net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Realized and unrealized loss (gain) on financial instruments, net</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Unrealized foreign exchange loss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79,895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59,326</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long-term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(19,353)</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w:t>
            </w:r>
          </w:p>
        </w:tc>
      </w:tr>
      <w:tr>
        <w:trPr>
          <w:trHeight w:val="220"/>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(37,431)</w:t>
            </w:r>
          </w:p>
        </w:tc>
      </w:tr>
      <w:tr>
        <w:trPr>
          <w:trHeight w:val="220"/>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3"/>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63,613</w:t>
            </w:r>
          </w:p>
        </w:tc>
      </w:tr>
      <w:tr>
        <w:trPr>
          <w:trHeight w:val="17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216"/>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property, equipment and other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Business combination, net of cash acquired</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in non-marketable securities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198,660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(138,624)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(172,604)</w:t>
            </w:r>
          </w:p>
        </w:tc>
      </w:tr>
      <w:tr>
        <w:trPr>
          <w:trHeight w:val="186"/>
        </w:trPr>
        <w:tc>
          <w:tcPr>
            <w:tcW w:w="7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51,571</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(48,143)</w:t>
            </w:r>
          </w:p>
        </w:tc>
      </w:tr>
      <w:tr>
        <w:trPr>
          <w:trHeight w:val="23"/>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bl>
    <w:p>
      <w:pPr>
        <w:spacing w:after="0" w:line="4" w:lineRule="exact"/>
        <w:rPr>
          <w:sz w:val="20"/>
          <w:szCs w:val="20"/>
          <w:color w:val="auto"/>
        </w:rPr>
      </w:pPr>
    </w:p>
    <w:p>
      <w:pPr>
        <w:sectPr>
          <w:pgSz w:w="11900" w:h="16838" w:orient="portrait"/>
          <w:cols w:equalWidth="0" w:num="1">
            <w:col w:w="11240"/>
          </w:cols>
          <w:pgMar w:left="320" w:top="130" w:right="339" w:bottom="1001" w:gutter="0" w:footer="0" w:header="0"/>
        </w:sectPr>
      </w:pPr>
    </w:p>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Principal payments of finance leases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p>
      <w:pPr>
        <w:spacing w:after="0" w:line="82" w:lineRule="exact"/>
        <w:rPr>
          <w:sz w:val="20"/>
          <w:szCs w:val="20"/>
          <w:color w:val="auto"/>
        </w:rPr>
      </w:pPr>
    </w:p>
    <w:p>
      <w:pPr>
        <w:ind w:left="180"/>
        <w:spacing w:after="0"/>
        <w:tabs>
          <w:tab w:leader="none" w:pos="7780" w:val="left"/>
        </w:tabs>
        <w:rPr>
          <w:sz w:val="20"/>
          <w:szCs w:val="20"/>
          <w:color w:val="auto"/>
        </w:rPr>
      </w:pPr>
      <w:r>
        <w:rPr>
          <w:rFonts w:ascii="Times New Roman" w:cs="Times New Roman" w:eastAsia="Times New Roman" w:hAnsi="Times New Roman"/>
          <w:sz w:val="14"/>
          <w:szCs w:val="14"/>
          <w:color w:val="auto"/>
        </w:rPr>
        <w:t>Cash, cash equivalents and restricted cash, end of period</w:t>
      </w:r>
      <w:r>
        <w:rPr>
          <w:sz w:val="20"/>
          <w:szCs w:val="20"/>
          <w:color w:val="auto"/>
        </w:rPr>
        <w:tab/>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Cash paid during the period for:</w:t>
      </w:r>
    </w:p>
    <w:p>
      <w:pPr>
        <w:spacing w:after="0" w:line="21" w:lineRule="exact"/>
        <w:rPr>
          <w:sz w:val="20"/>
          <w:szCs w:val="20"/>
          <w:color w:val="auto"/>
        </w:rPr>
      </w:pPr>
    </w:p>
    <w:p>
      <w:pPr>
        <w:ind w:left="400"/>
        <w:spacing w:after="0"/>
        <w:tabs>
          <w:tab w:leader="none" w:pos="7780" w:val="left"/>
        </w:tabs>
        <w:rPr>
          <w:sz w:val="20"/>
          <w:szCs w:val="20"/>
          <w:color w:val="auto"/>
        </w:rPr>
      </w:pPr>
      <w:r>
        <w:rPr>
          <w:rFonts w:ascii="Times New Roman" w:cs="Times New Roman" w:eastAsia="Times New Roman" w:hAnsi="Times New Roman"/>
          <w:sz w:val="14"/>
          <w:szCs w:val="14"/>
          <w:color w:val="auto"/>
        </w:rPr>
        <w:t>Income taxes, net of refunds</w:t>
      </w:r>
      <w:r>
        <w:rPr>
          <w:sz w:val="20"/>
          <w:szCs w:val="20"/>
          <w:color w:val="auto"/>
        </w:rPr>
        <w:tab/>
      </w:r>
      <w:r>
        <w:rPr>
          <w:rFonts w:ascii="Times New Roman" w:cs="Times New Roman" w:eastAsia="Times New Roman" w:hAnsi="Times New Roman"/>
          <w:sz w:val="24"/>
          <w:szCs w:val="2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Noncash investing and financing activities: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Issuance of common stock in connection with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p>
      <w:pPr>
        <w:spacing w:after="0" w:line="67" w:lineRule="exact"/>
        <w:rPr>
          <w:sz w:val="20"/>
          <w:szCs w:val="20"/>
          <w:color w:val="auto"/>
        </w:rPr>
      </w:pPr>
    </w:p>
    <w:p>
      <w:pPr>
        <w:ind w:left="180" w:right="540" w:hanging="121"/>
        <w:spacing w:after="0" w:line="244" w:lineRule="auto"/>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end of period, to the amounts shown in the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400" w:type="dxa"/>
            <w:vAlign w:val="bottom"/>
          </w:tcPr>
          <w:p>
            <w:pPr>
              <w:spacing w:after="0"/>
              <w:rPr>
                <w:sz w:val="18"/>
                <w:szCs w:val="18"/>
                <w:color w:val="auto"/>
              </w:rPr>
            </w:pPr>
          </w:p>
        </w:tc>
      </w:tr>
      <w:tr>
        <w:trPr>
          <w:trHeight w:val="270"/>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579</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43"/>
        </w:trPr>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(2,394)</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23"/>
        </w:trPr>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(1,815)</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8,000</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23"/>
        </w:trPr>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167,685</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12,747</w:t>
            </w:r>
          </w:p>
        </w:tc>
        <w:tc>
          <w:tcPr>
            <w:tcW w:w="0" w:type="dxa"/>
            <w:vAlign w:val="bottom"/>
          </w:tcPr>
          <w:p>
            <w:pPr>
              <w:spacing w:after="0"/>
              <w:rPr>
                <w:sz w:val="1"/>
                <w:szCs w:val="1"/>
                <w:color w:val="auto"/>
              </w:rPr>
            </w:pPr>
          </w:p>
        </w:tc>
      </w:tr>
      <w:tr>
        <w:trPr>
          <w:trHeight w:val="243"/>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492,753</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803,643</w:t>
            </w:r>
          </w:p>
        </w:tc>
        <w:tc>
          <w:tcPr>
            <w:tcW w:w="0" w:type="dxa"/>
            <w:vAlign w:val="bottom"/>
          </w:tcPr>
          <w:p>
            <w:pPr>
              <w:spacing w:after="0"/>
              <w:rPr>
                <w:sz w:val="1"/>
                <w:szCs w:val="1"/>
                <w:color w:val="auto"/>
              </w:rPr>
            </w:pPr>
          </w:p>
        </w:tc>
      </w:tr>
      <w:tr>
        <w:trPr>
          <w:trHeight w:val="23"/>
        </w:trPr>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660,438</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 w:type="dxa"/>
            <w:vAlign w:val="bottom"/>
            <w:vMerge w:val="continue"/>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816,390</w:t>
            </w: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1"/>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3,899</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0" w:type="dxa"/>
            <w:vAlign w:val="bottom"/>
          </w:tcPr>
          <w:p>
            <w:pPr>
              <w:spacing w:after="0"/>
              <w:rPr>
                <w:sz w:val="1"/>
                <w:szCs w:val="1"/>
                <w:color w:val="auto"/>
              </w:rPr>
            </w:pPr>
          </w:p>
        </w:tc>
      </w:tr>
      <w:tr>
        <w:trPr>
          <w:trHeight w:val="243"/>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510</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473"/>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141,402</w:t>
            </w:r>
          </w:p>
        </w:tc>
        <w:tc>
          <w:tcPr>
            <w:tcW w:w="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274</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594"/>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657,809</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815,704</w:t>
            </w:r>
          </w:p>
        </w:tc>
        <w:tc>
          <w:tcPr>
            <w:tcW w:w="0" w:type="dxa"/>
            <w:vAlign w:val="bottom"/>
          </w:tcPr>
          <w:p>
            <w:pPr>
              <w:spacing w:after="0"/>
              <w:rPr>
                <w:sz w:val="1"/>
                <w:szCs w:val="1"/>
                <w:color w:val="auto"/>
              </w:rPr>
            </w:pPr>
          </w:p>
        </w:tc>
      </w:tr>
      <w:tr>
        <w:trPr>
          <w:trHeight w:val="25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2,629</w:t>
            </w: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24"/>
        </w:trPr>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660,438</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 w:type="dxa"/>
            <w:vAlign w:val="bottom"/>
            <w:vMerge w:val="continue"/>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816,390</w:t>
            </w:r>
          </w:p>
        </w:tc>
        <w:tc>
          <w:tcPr>
            <w:tcW w:w="0" w:type="dxa"/>
            <w:vAlign w:val="bottom"/>
          </w:tcPr>
          <w:p>
            <w:pPr>
              <w:spacing w:after="0"/>
              <w:rPr>
                <w:sz w:val="1"/>
                <w:szCs w:val="1"/>
                <w:color w:val="auto"/>
              </w:rPr>
            </w:pPr>
          </w:p>
        </w:tc>
      </w:tr>
      <w:tr>
        <w:trPr>
          <w:trHeight w:val="24"/>
        </w:trPr>
        <w:tc>
          <w:tcPr>
            <w:tcW w:w="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-8255</wp:posOffset>
            </wp:positionV>
            <wp:extent cx="1062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-1782445</wp:posOffset>
            </wp:positionV>
            <wp:extent cx="1062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-1927860</wp:posOffset>
            </wp:positionV>
            <wp:extent cx="1062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-2228215</wp:posOffset>
            </wp:positionV>
            <wp:extent cx="1062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-2527935</wp:posOffset>
            </wp:positionV>
            <wp:extent cx="1062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8200" w:space="720"/>
            <w:col w:w="2320"/>
          </w:cols>
          <w:pgMar w:left="320" w:top="130" w:right="339" w:bottom="1001"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001"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01"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Basis of Presentation</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for the fair statement of the Company’s financial position, results of operations and cash flows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2025 (the “2025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Use of Estimates</w:t>
      </w:r>
    </w:p>
    <w:p>
      <w:pPr>
        <w:spacing w:after="0" w:line="17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global macroeconomic conditions, including slower economic growth, persistent inflation and a high interest rate environment, continue to impact demand and supply for a broad variety of goods and services, including demand from the Company’s customers.</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Significant Accounting Policies</w:t>
      </w:r>
    </w:p>
    <w:p>
      <w:pPr>
        <w:spacing w:after="0" w:line="17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With the exception of Business Combinations, as described below, there have been no other changes to the Company’s significant accounting policies as described in the Company’s 2025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Income Taxes </w:t>
      </w:r>
      <w:r>
        <w:rPr>
          <w:rFonts w:ascii="Times New Roman" w:cs="Times New Roman" w:eastAsia="Times New Roman" w:hAnsi="Times New Roman"/>
          <w:sz w:val="18"/>
          <w:szCs w:val="18"/>
          <w:color w:val="auto"/>
        </w:rPr>
        <w:t>(Topic 740): Improvements 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state and foreign taxes and to disaggregate the information by jurisdiction based on a quantitative threshold. The guidance is effective for the Company for the fiscal year ending January 31, 2026, and may be applied on a retrospective or prospective basis, with early adoption permitted. The Company is currently evaluating the impact of ASU 2023-09 on its consolidated financial statements.</w:t>
      </w:r>
    </w:p>
    <w:p>
      <w:pPr>
        <w:spacing w:after="0" w:line="21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Disaggregation—Income Statement Expenses. In November 2024, the FASB issued ASU 2024-03, Income Statement—Reporting Comprehensive Income—Expense Disaggregation Disclosures (Subtopic 220-40): Disaggregation of Income Statement Expenses, which requires disclosures about specific types of expenses included in the expense captions presented on the Statement of Operations as well as disclosures about selling expenses. The guidance is effective for annual filings for the Company's fiscal year beginning February 1, 2027, and interim filings for the fiscal year beginning February 1, 2028, and can be applied either prospectively or retrospectively, with early adoption permitted. The Company is currently evaluating the impact of ASU 2024-03 on its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and January 31, 2025 and indicate the fair value hierarchy of the valuation inputs utilized to determine such fair value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 as of April 30, 2025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9"/>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51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228,559</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228,559</w:t>
            </w:r>
          </w:p>
        </w:tc>
      </w:tr>
      <w:tr>
        <w:trPr>
          <w:trHeight w:val="230"/>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1,796,129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1,796,129</w:t>
            </w:r>
          </w:p>
        </w:tc>
      </w:tr>
      <w:tr>
        <w:trPr>
          <w:trHeight w:val="26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2,024,688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2,024,688</w:t>
            </w:r>
          </w:p>
        </w:tc>
      </w:tr>
      <w:tr>
        <w:trPr>
          <w:trHeight w:val="21"/>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98"/>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7"/>
        </w:trPr>
        <w:tc>
          <w:tcPr>
            <w:tcW w:w="5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Fair Value Measurement as of January 31, 2025</w:t>
            </w:r>
          </w:p>
        </w:tc>
        <w:tc>
          <w:tcPr>
            <w:tcW w:w="1120" w:type="dxa"/>
            <w:vAlign w:val="bottom"/>
            <w:tcBorders>
              <w:bottom w:val="single" w:sz="8" w:color="auto"/>
            </w:tcBorders>
          </w:tcPr>
          <w:p>
            <w:pPr>
              <w:spacing w:after="0"/>
              <w:rPr>
                <w:sz w:val="18"/>
                <w:szCs w:val="18"/>
                <w:color w:val="auto"/>
              </w:rPr>
            </w:pPr>
          </w:p>
        </w:tc>
      </w:tr>
      <w:tr>
        <w:trPr>
          <w:trHeight w:val="220"/>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152,588</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152,588</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1,846,444</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1,846,444</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1,999,032</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1,999,032</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utilized the market approach and Level 1 valuation inputs to value its money market mutual funds and U.S. government treasury securities because published net asset values were readily available.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the Company’s short-term investments by remaining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and January 31, 2025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January 31, 2025</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2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1,028,664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1,030,266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968,748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969,692</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Due after one year and within three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759,066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765,863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876,154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876,752</w:t>
            </w:r>
          </w:p>
        </w:tc>
        <w:tc>
          <w:tcPr>
            <w:tcW w:w="0" w:type="dxa"/>
            <w:vAlign w:val="bottom"/>
          </w:tcPr>
          <w:p>
            <w:pPr>
              <w:spacing w:after="0"/>
              <w:rPr>
                <w:sz w:val="1"/>
                <w:szCs w:val="1"/>
                <w:color w:val="auto"/>
              </w:rPr>
            </w:pPr>
          </w:p>
        </w:tc>
      </w:tr>
      <w:tr>
        <w:trPr>
          <w:trHeight w:val="223"/>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1,787,730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1,796,129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1,846,444</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30, 2025 and January 31, 2025, net unrealized gains on the Company’s U.S. government treasury securities were approximately</w:t>
      </w:r>
    </w:p>
    <w:p>
      <w:pPr>
        <w:spacing w:after="0" w:line="2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$8.4 million and $1.5 million, respectively. These net unrealized gains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April 30, 2025. Gross realized gains and losses were not material for each of the three months ended April 30, 2025 and 2024. There were no material short-term investments in a continuous loss position for greater than twelve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Non-marketable Securities</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of April 30, 2025 and January 31, 2025, the total amount of non-marketable equity securities included in other assets on the Company’s condensed consolidated balance sheets were $28.7 million and $24.2 million, respectively. The Company made an additional investment of $5.0 million of its cash in non-marketable equity securities during the three months ended April 30, 2025. The Company did not make additional investments during the three months ended April 30, 2024. The Company recognized an immaterial net unrealized loss on certain of these non-marketable securities during both of the three months ended April 30, 2025 and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Voyage AI Innovations, Inc.</w:t>
      </w:r>
    </w:p>
    <w:p>
      <w:pPr>
        <w:spacing w:after="0" w:line="17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On February 17, 2025 (the “Acquisition Date”), the Company acquired all outstanding shares of Voyage AI Innovations, Inc. (“Voyage AI”), an AI-powered software company that specializes in embedding and reranking models. The Company acquired Voyage AI for its developed technology and talent.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accounted for the transaction as a business acquisition under the acquisition method of accounting.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acquisition date fair value of the preliminary purchase consideration was $160.9 million, which comprised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48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MONGODB, INC.</w:t>
            </w:r>
          </w:p>
        </w:tc>
        <w:tc>
          <w:tcPr>
            <w:tcW w:w="2400" w:type="dxa"/>
            <w:vAlign w:val="bottom"/>
          </w:tcPr>
          <w:p>
            <w:pPr>
              <w:spacing w:after="0"/>
              <w:rPr>
                <w:sz w:val="17"/>
                <w:szCs w:val="17"/>
                <w:color w:val="auto"/>
              </w:rPr>
            </w:pPr>
          </w:p>
        </w:tc>
      </w:tr>
      <w:tr>
        <w:trPr>
          <w:trHeight w:val="238"/>
        </w:trPr>
        <w:tc>
          <w:tcPr>
            <w:tcW w:w="1360" w:type="dxa"/>
            <w:vAlign w:val="bottom"/>
          </w:tcPr>
          <w:p>
            <w:pPr>
              <w:spacing w:after="0"/>
              <w:rPr>
                <w:sz w:val="20"/>
                <w:szCs w:val="20"/>
                <w:color w:val="auto"/>
              </w:rPr>
            </w:pPr>
          </w:p>
        </w:tc>
        <w:tc>
          <w:tcPr>
            <w:tcW w:w="988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tc>
      </w:tr>
      <w:tr>
        <w:trPr>
          <w:trHeight w:val="702"/>
        </w:trPr>
        <w:tc>
          <w:tcPr>
            <w:tcW w:w="136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2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w:t>
            </w:r>
          </w:p>
        </w:tc>
      </w:tr>
      <w:tr>
        <w:trPr>
          <w:trHeight w:val="230"/>
        </w:trPr>
        <w:tc>
          <w:tcPr>
            <w:tcW w:w="1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23"/>
                <w:szCs w:val="23"/>
                <w:color w:val="auto"/>
                <w:vertAlign w:val="superscript"/>
              </w:rPr>
              <w:t>(1)</w:t>
            </w:r>
          </w:p>
        </w:tc>
        <w:tc>
          <w:tcPr>
            <w:tcW w:w="7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141,402</w:t>
            </w:r>
          </w:p>
        </w:tc>
      </w:tr>
      <w:tr>
        <w:trPr>
          <w:trHeight w:val="248"/>
        </w:trPr>
        <w:tc>
          <w:tcPr>
            <w:tcW w:w="1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160,866</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right="60" w:hanging="166"/>
        <w:spacing w:after="0" w:line="248" w:lineRule="auto"/>
        <w:tabs>
          <w:tab w:leader="none" w:pos="663"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Approximately 484,169 shares of the Company’s common stock were included in the purchase consideration and the fair values of these shares were determined based on the opening market price of $292.05 per share on February 18, 2025. Because the acquisition closed on a market holiday, the Company elected to use the opening market price on the first trading day subsequent to the acquisition date.</w:t>
      </w:r>
    </w:p>
    <w:p>
      <w:pPr>
        <w:spacing w:after="0" w:line="132"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In connection with this business combination, the Company also issued to certain of Voyage AI’s employees a total of 213,023 shares of restricted stock awards and 35,152 shares of restricted stock units in exchange for a portion of their Voyage AI stock. These shares are subject to vesting agreements contingent upon each of these employees’ continued employment with the Company or its affiliates, pursuant to which the shares will vest over the weighted-average requisite service period of 2.7 years. The $62.2 million fair value of these restricted stock awards and $10.3 million fair value of these restricted stock units are accounted for as post-combination stock-based compensation expense over the weighted-average requisite service period.</w:t>
      </w:r>
    </w:p>
    <w:p>
      <w:pPr>
        <w:spacing w:after="0" w:line="11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purchase consideration to assets acquired and liabilities assumed based on their respective estimated fair values as of the date of acquisition: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7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38"/>
        </w:trPr>
        <w:tc>
          <w:tcPr>
            <w:tcW w:w="61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Borders>
              <w:bottom w:val="single" w:sz="8" w:color="auto"/>
            </w:tcBorders>
          </w:tcPr>
          <w:p>
            <w:pPr>
              <w:spacing w:after="0"/>
              <w:rPr>
                <w:sz w:val="20"/>
                <w:szCs w:val="20"/>
                <w:color w:val="auto"/>
              </w:rPr>
            </w:pPr>
          </w:p>
        </w:tc>
        <w:tc>
          <w:tcPr>
            <w:tcW w:w="2420" w:type="dxa"/>
            <w:vAlign w:val="bottom"/>
            <w:tcBorders>
              <w:bottom w:val="single" w:sz="8" w:color="CCEEFF"/>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shd w:val="clear" w:color="auto" w:fill="CCEEFF"/>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2420" w:type="dxa"/>
            <w:vAlign w:val="bottom"/>
            <w:shd w:val="clear" w:color="auto" w:fill="CCEEFF"/>
          </w:tcPr>
          <w:p>
            <w:pPr>
              <w:spacing w:after="0"/>
              <w:rPr>
                <w:sz w:val="19"/>
                <w:szCs w:val="19"/>
                <w:color w:val="auto"/>
              </w:rPr>
            </w:pPr>
          </w:p>
        </w:tc>
      </w:tr>
      <w:tr>
        <w:trPr>
          <w:trHeight w:val="28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420" w:type="dxa"/>
            <w:vAlign w:val="bottom"/>
          </w:tcPr>
          <w:p>
            <w:pPr>
              <w:spacing w:after="0"/>
              <w:rPr>
                <w:sz w:val="24"/>
                <w:szCs w:val="2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119,962</w:t>
            </w:r>
          </w:p>
        </w:tc>
        <w:tc>
          <w:tcPr>
            <w:tcW w:w="242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intangible asset</w:t>
            </w:r>
          </w:p>
        </w:tc>
        <w:tc>
          <w:tcPr>
            <w:tcW w:w="2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20" w:type="dxa"/>
            <w:vAlign w:val="bottom"/>
            <w:shd w:val="clear" w:color="auto" w:fill="CCEEFF"/>
          </w:tcPr>
          <w:p>
            <w:pPr>
              <w:spacing w:after="0"/>
              <w:rPr>
                <w:sz w:val="19"/>
                <w:szCs w:val="19"/>
                <w:color w:val="auto"/>
              </w:rPr>
            </w:pPr>
          </w:p>
        </w:tc>
      </w:tr>
      <w:tr>
        <w:trPr>
          <w:trHeight w:val="229"/>
        </w:trPr>
        <w:tc>
          <w:tcPr>
            <w:tcW w:w="6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tax liabilities, net</w:t>
            </w:r>
            <w:r>
              <w:rPr>
                <w:rFonts w:ascii="Times New Roman" w:cs="Times New Roman" w:eastAsia="Times New Roman" w:hAnsi="Times New Roman"/>
                <w:sz w:val="23"/>
                <w:szCs w:val="23"/>
                <w:color w:val="auto"/>
                <w:vertAlign w:val="superscript"/>
              </w:rPr>
              <w:t>(1)</w:t>
            </w:r>
          </w:p>
        </w:tc>
        <w:tc>
          <w:tcPr>
            <w:tcW w:w="2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20" w:type="dxa"/>
            <w:vAlign w:val="bottom"/>
            <w:tcBorders>
              <w:bottom w:val="single" w:sz="8" w:color="CCEEFF"/>
            </w:tcBorders>
          </w:tcPr>
          <w:p>
            <w:pPr>
              <w:spacing w:after="0"/>
              <w:rPr>
                <w:sz w:val="19"/>
                <w:szCs w:val="19"/>
                <w:color w:val="auto"/>
              </w:rPr>
            </w:pPr>
          </w:p>
        </w:tc>
      </w:tr>
      <w:tr>
        <w:trPr>
          <w:trHeight w:val="248"/>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purchase price</w:t>
            </w:r>
          </w:p>
        </w:tc>
        <w:tc>
          <w:tcPr>
            <w:tcW w:w="2000" w:type="dxa"/>
            <w:vAlign w:val="bottom"/>
            <w:tcBorders>
              <w:bottom w:val="single" w:sz="8" w:color="auto"/>
            </w:tcBorders>
            <w:shd w:val="clear" w:color="auto" w:fill="CCEEFF"/>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160,866</w:t>
            </w:r>
          </w:p>
        </w:tc>
        <w:tc>
          <w:tcPr>
            <w:tcW w:w="2420" w:type="dxa"/>
            <w:vAlign w:val="bottom"/>
            <w:tcBorders>
              <w:bottom w:val="single" w:sz="8" w:color="CCEEFF"/>
            </w:tcBorders>
            <w:shd w:val="clear" w:color="auto" w:fill="CCEEFF"/>
          </w:tcPr>
          <w:p>
            <w:pPr>
              <w:spacing w:after="0"/>
              <w:rPr>
                <w:sz w:val="21"/>
                <w:szCs w:val="2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r>
    </w:tbl>
    <w:p>
      <w:pPr>
        <w:spacing w:after="0" w:line="50" w:lineRule="exact"/>
        <w:rPr>
          <w:sz w:val="20"/>
          <w:szCs w:val="20"/>
          <w:color w:val="auto"/>
        </w:rPr>
      </w:pPr>
    </w:p>
    <w:p>
      <w:pPr>
        <w:ind w:left="660" w:hanging="166"/>
        <w:spacing w:after="0"/>
        <w:tabs>
          <w:tab w:leader="none" w:pos="6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Deferred tax liabilities, net primarily relate to the intangible asset acquired and the amount presented is net of deferred tax assets.</w:t>
      </w:r>
    </w:p>
    <w:p>
      <w:pPr>
        <w:spacing w:after="0" w:line="150"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reproduction cost method (Level 3), which utilized assumptions for the cost to replace, such as the workforce, timing and resources required, as well as a theoretical profit margin and opportunity cost. The Company determined the economic useful life to be two years based on the expected time period that the asset would contribute to the Company’s future cash flows without significant upgrades. The values assigned to the assets acquired and liabilities assumed are based on preliminary estimates of fair value available as of the date of this Quarterly Report on Form 10-Q. The Company continues to collect information with regards to the estimates and assumptions, including identification of potential liabilities, contingencies, and the allocation of the purchase price. Adjustments to the fair value of the net assets acquired, liabilities assumed and goodwill will be recorded within the measurement period, if necessary.</w:t>
      </w:r>
    </w:p>
    <w:p>
      <w:pPr>
        <w:spacing w:after="0" w:line="135"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Goodwill related to the acquisition, which represents the difference between the purchase price and fair values of identifiable net assets, is not tax deductible for U.S. income tax purposes. The Company believes the goodwill balance associated with this business combination is attributable to the assembled workforce as well as synergies expected from expanded market opportunities when integrating the acquired developed technology with the Company’s offerings.</w:t>
      </w:r>
    </w:p>
    <w:p>
      <w:pPr>
        <w:spacing w:after="0" w:line="126" w:lineRule="exact"/>
        <w:rPr>
          <w:sz w:val="20"/>
          <w:szCs w:val="20"/>
          <w:color w:val="auto"/>
        </w:rPr>
      </w:pPr>
    </w:p>
    <w:p>
      <w:pPr>
        <w:jc w:val="both"/>
        <w:ind w:right="120" w:firstLine="486"/>
        <w:spacing w:after="0" w:line="312" w:lineRule="auto"/>
        <w:rPr>
          <w:sz w:val="20"/>
          <w:szCs w:val="20"/>
          <w:color w:val="auto"/>
        </w:rPr>
      </w:pPr>
      <w:r>
        <w:rPr>
          <w:rFonts w:ascii="Times New Roman" w:cs="Times New Roman" w:eastAsia="Times New Roman" w:hAnsi="Times New Roman"/>
          <w:sz w:val="17"/>
          <w:szCs w:val="17"/>
          <w:color w:val="auto"/>
        </w:rPr>
        <w:t>The Company incurred acquisition-related costs for the Voyage AI acquisition of $1.5 million during the three months ended April 30, 2025. These acquisition-related costs were included in general and administrative expenses in the Company’s interim condensed consolidated statements of operations.</w:t>
      </w:r>
    </w:p>
    <w:p>
      <w:pPr>
        <w:spacing w:after="0" w:line="8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From the date of acquisition through April 30, 2025, revenue attributable to Voyage AI, included in the Company’s interim condensed consolidated statements of operations for the three months ended April 30, 2025, was not material.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Grainite, Inc.</w:t>
      </w:r>
    </w:p>
    <w:p>
      <w:pPr>
        <w:spacing w:after="0" w:line="173"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condensed consolidated statements of operations. The business combination did not have a material impact on the Company’s consolidated financial statements for the year ended January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during the periods presented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20" w:type="dxa"/>
            <w:vAlign w:val="bottom"/>
            <w:shd w:val="clear" w:color="auto" w:fill="CCEEFF"/>
          </w:tcPr>
          <w:p>
            <w:pPr>
              <w:jc w:val="right"/>
              <w:ind w:right="18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goodwill related to business combinations</w:t>
            </w:r>
          </w:p>
        </w:tc>
        <w:tc>
          <w:tcPr>
            <w:tcW w:w="2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20" w:type="dxa"/>
            <w:vAlign w:val="bottom"/>
            <w:tcBorders>
              <w:bottom w:val="single" w:sz="8" w:color="auto"/>
            </w:tcBorders>
            <w:shd w:val="clear" w:color="auto" w:fill="CCEEFF"/>
          </w:tcPr>
          <w:p>
            <w:pPr>
              <w:jc w:val="right"/>
              <w:ind w:right="18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the Company’s intangible assets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6"/>
                <w:szCs w:val="16"/>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addresses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w:t>
            </w:r>
          </w:p>
        </w:tc>
      </w:tr>
      <w:tr>
        <w:trPr>
          <w:trHeight w:val="22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45,919</w:t>
            </w:r>
          </w:p>
        </w:tc>
      </w:tr>
      <w:tr>
        <w:trPr>
          <w:trHeight w:val="20"/>
        </w:trPr>
        <w:tc>
          <w:tcPr>
            <w:tcW w:w="6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43"/>
        </w:trPr>
        <w:tc>
          <w:tcPr>
            <w:tcW w:w="6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
        </w:trPr>
        <w:tc>
          <w:tcPr>
            <w:tcW w:w="608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6"/>
                <w:szCs w:val="16"/>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addresses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w:t>
            </w:r>
          </w:p>
        </w:tc>
      </w:tr>
      <w:tr>
        <w:trPr>
          <w:trHeight w:val="223"/>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24,597</w:t>
            </w:r>
          </w:p>
        </w:tc>
      </w:tr>
      <w:tr>
        <w:trPr>
          <w:trHeight w:val="20"/>
        </w:trPr>
        <w:tc>
          <w:tcPr>
            <w:tcW w:w="6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Intangible assets are primarily acquired through business combinations. See Note 4,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 During the year ended January 31, 2025, the Company purchased $24.0 million of intangible assets for IP addresses and the costs are amortized on a straight-line basis over an estimated useful life of ten years.</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Amortization expense of intangible assets was $3.1 million and $2.7 million for the three months ended April 30, 2025 and 2024, respectively. Amortization expense for developed technology is included as cost of subscription revenue and research and development expense in the Company’s interim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condensed consolidated statements of operations. Amortization expense for customer relationships is included as sales and marketing expense in the Company’s interim condensed consolidated statements of operations. Amortization expense for IP addresses is included as cost of subscription revenue in the Company’s interim condensed consolidated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April 30, 2025, future amortization expense related to the intangible assets is as follows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Remainder of 2026</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w:t>
            </w:r>
          </w:p>
        </w:tc>
      </w:tr>
      <w:tr>
        <w:trPr>
          <w:trHeight w:val="229"/>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r>
      <w:tr>
        <w:trPr>
          <w:trHeight w:val="230"/>
        </w:trPr>
        <w:tc>
          <w:tcPr>
            <w:tcW w:w="9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29"/>
        </w:trPr>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9"/>
        </w:trPr>
        <w:tc>
          <w:tcPr>
            <w:tcW w:w="9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9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Convertible Senior Notes</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were senior unsecured obligations of the Company and interest was payable semiannually in arrears on July 15 and January 15 of each year, beginning on July 15, 2020, at a rate of 0.25% per year. The 2026 Notes had an original maturity date of January 15, 2026, unless earlier converted, redeemed or repurchased. The total net proceeds from the offering, after deducting initial purchase discounts and estimated debt issuance costs, were approximately $1.1 billion.</w:t>
      </w:r>
    </w:p>
    <w:p>
      <w:pPr>
        <w:spacing w:after="0" w:line="13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redeemed all 2026 Notes that had not been converted prior to such date at a redemption price in cash equal to 100% of the principal amount of such 2026 Notes, plus accrued and unpaid interest from July 15, 2024 to, but excluding, the Redemption Date (the “Redemption Price”). On the Redemption Date, the Redemption Price was due and payable upon each 2026 Notes redeemed and interest thereon ceased to accrue on and after the Redemption Date.</w:t>
      </w:r>
    </w:p>
    <w:p>
      <w:pPr>
        <w:spacing w:after="0" w:line="13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2026 Notes called for redemption were converted by holders at any time before 5:00 p.m. (New York City time) on December 13, 2024 (the “Conversion Deadline”). The Conversion Rate for 2026 Notes converted after the date of the Redemption Notice and prior to the Conversion Deadline equaled to 4.9260 shares of the Company’s common stock, par value $0.001 per share, per $1,000 principal amount of the 2026 Notes, which included an increase of the conversion rate of 0.1911 additional shares of the Company’s common stock per $1,000 principal amount of the 2026 Notes as a result of the 2026 Notes being called for optional redemption.</w:t>
      </w:r>
    </w:p>
    <w:p>
      <w:pPr>
        <w:spacing w:after="0" w:line="1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 satisfied its conversion obligations with respect to conversions occurring after the date of the Redemption Notice and prior to the Redemption Date by delivering shares of the Company’s common stock, plus cash in lieu of any resulting fractional shares. Pursuant to the Redemption Notice, on the Redemption Date, the Company redeemed the outstanding principal of the 2026 Notes that were not converted prior to such date at a redemption price in cash equal to 100% of the principal amount of the 2026 Notes, plus accrued and unpaid interest. Approximately $1.1 billion aggregate principal amount was converted to 5,662,979 shares of the Company’s common stock with $0.4 million settled in cash. The Company recorded the carrying amount of the converted debt into common stock and additional paid-in-capital with no material gain or loss recognized.</w:t>
      </w:r>
    </w:p>
    <w:p>
      <w:pPr>
        <w:spacing w:after="0" w:line="131"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2025 Form 10-K for further information on the 2026 Notes.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issuance of the Company’s convertible notes due June 15, 2024 which were converted or extinguished in December 2021 (the “2024 Notes”) and the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spacing w:after="0" w:line="1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April 2024, the Company elected cash settlement for the Capped Calls associated with the 2024 Notes. Upon the cash settlement election, the instrument, initially indexed to the Company’s own stock, no longer met the criteria for equity classification and was reclassified from stockholder’s equity to assets on the Company’s condensed consolidated balance sheet. The reclassification resulted in the recognition of a derivative asset, with an estimated fair value at cash settlement election date of $169.7 million, with a corresponding increase in additional paid in capital. In June 2024, the derivative asset was settled and the Company received $170.6 million in cash and recognized a realized gain of $0.9 million three and six months ended July 31, 2024, which was recorded in other income (expense), net, on the Company’s interim condensed consolidated statements of operations.</w:t>
      </w:r>
    </w:p>
    <w:p>
      <w:pPr>
        <w:spacing w:after="0" w:line="13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April 30, 2025.</w:t>
      </w:r>
    </w:p>
    <w:p>
      <w:pPr>
        <w:spacing w:after="0" w:line="120" w:lineRule="exact"/>
        <w:rPr>
          <w:sz w:val="20"/>
          <w:szCs w:val="20"/>
          <w:color w:val="auto"/>
        </w:rPr>
      </w:pPr>
    </w:p>
    <w:p>
      <w:pPr>
        <w:ind w:right="38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2025 Form 10-K for further information on the Capped Calls.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Lease Costs</w:t>
      </w:r>
    </w:p>
    <w:p>
      <w:pPr>
        <w:spacing w:after="0" w:line="173"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the Company’s lease costs included in its interim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38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Balance Sheet Components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the Company’s finance and operating leases were recorded on the condensed consolidated balance sheets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7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6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34,607</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Maturities of Lease Liabilities</w:t>
      </w:r>
    </w:p>
    <w:p>
      <w:pPr>
        <w:spacing w:after="0" w:line="17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April 30, 2025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Remainder of 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30"/>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84"/>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payments</w:t>
            </w: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67"/>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Non-cancelable Material Commitments</w:t>
      </w:r>
    </w:p>
    <w:p>
      <w:pPr>
        <w:spacing w:after="0" w:line="171"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months ended April 30, 2025, other than certain non-cancelable operating leases described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material changes outside the ordinary course of business to the Company’s contractual obligations and commitments from those disclosed in the 2025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Legal Matters</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between June 1, 2023 and May 30, 2024. It seeks unspecified monetary damages, costs and attorneys’ fees, and other unspecified relief. The Company is unable to estimate any reasonably possible loss, or range of loss, with respect to these matters at this time. The Company intends to vigorously defend itself in this matter.</w:t>
      </w:r>
    </w:p>
    <w:p>
      <w:pPr>
        <w:spacing w:after="0" w:line="1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October 7, 2024, a purported shareholder derivative lawsuit was filed in the U.S. District Court for the Southern District of New York, Case. No. 1:24-cv-07594, against the Company, as a nominal defendant, and CEO Dev Ittycheria, former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w:t>
      </w:r>
      <w:r>
        <w:rPr>
          <w:rFonts w:ascii="Times New Roman" w:cs="Times New Roman" w:eastAsia="Times New Roman" w:hAnsi="Times New Roman"/>
          <w:sz w:val="18"/>
          <w:szCs w:val="18"/>
          <w:i w:val="1"/>
          <w:iCs w:val="1"/>
          <w:color w:val="auto"/>
        </w:rPr>
        <w:t>Roy</w:t>
      </w:r>
      <w:r>
        <w:rPr>
          <w:rFonts w:ascii="Times New Roman" w:cs="Times New Roman" w:eastAsia="Times New Roman" w:hAnsi="Times New Roman"/>
          <w:sz w:val="18"/>
          <w:szCs w:val="18"/>
          <w:color w:val="auto"/>
        </w:rPr>
        <w:t xml:space="preserve"> action with the caption </w:t>
      </w:r>
      <w:r>
        <w:rPr>
          <w:rFonts w:ascii="Times New Roman" w:cs="Times New Roman" w:eastAsia="Times New Roman" w:hAnsi="Times New Roman"/>
          <w:sz w:val="18"/>
          <w:szCs w:val="18"/>
          <w:i w:val="1"/>
          <w:iCs w:val="1"/>
          <w:color w:val="auto"/>
        </w:rPr>
        <w:t>In re MongoDB, Inc. Shareholder Litigation</w:t>
      </w:r>
      <w:r>
        <w:rPr>
          <w:rFonts w:ascii="Times New Roman" w:cs="Times New Roman" w:eastAsia="Times New Roman" w:hAnsi="Times New Roman"/>
          <w:sz w:val="18"/>
          <w:szCs w:val="18"/>
          <w:color w:val="auto"/>
        </w:rPr>
        <w:t xml:space="preserve"> (the “Derivative Litigation”). The Derivative Litigation is at an early stage and has been stayed pending the outcome of the Court’s decision on the defendants’ motion to dismiss the Securities Action.</w:t>
      </w:r>
    </w:p>
    <w:p>
      <w:pPr>
        <w:spacing w:after="0" w:line="13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Although claims and litigation are inherently unpredictable, as of April 30, 2025,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Indemnification</w:t>
      </w:r>
    </w:p>
    <w:p>
      <w:pPr>
        <w:spacing w:after="0" w:line="17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35"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Disaggregation of Revenue</w:t>
      </w:r>
    </w:p>
    <w:p>
      <w:pPr>
        <w:spacing w:after="0" w:line="17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14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primary geographical markets, subscription product categories and services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r>
      <w:tr>
        <w:trPr>
          <w:trHeight w:val="211"/>
        </w:trPr>
        <w:tc>
          <w:tcPr>
            <w:tcW w:w="8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332,867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272,093</w:t>
            </w:r>
          </w:p>
        </w:tc>
      </w:tr>
      <w:tr>
        <w:trPr>
          <w:trHeight w:val="27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123,296</w:t>
            </w:r>
          </w:p>
        </w:tc>
      </w:tr>
      <w:tr>
        <w:trPr>
          <w:trHeight w:val="283"/>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55,172</w:t>
            </w:r>
          </w:p>
        </w:tc>
      </w:tr>
      <w:tr>
        <w:trPr>
          <w:trHeight w:val="288"/>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MongoDB Atlas-related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313,855</w:t>
            </w:r>
          </w:p>
        </w:tc>
      </w:tr>
      <w:tr>
        <w:trPr>
          <w:trHeight w:val="27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subscription</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123,041</w:t>
            </w:r>
          </w:p>
        </w:tc>
      </w:tr>
      <w:tr>
        <w:trPr>
          <w:trHeight w:val="283"/>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w:t>
            </w:r>
          </w:p>
        </w:tc>
      </w:tr>
      <w:tr>
        <w:trPr>
          <w:trHeight w:val="288"/>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Contract Liabilities</w:t>
      </w:r>
    </w:p>
    <w:p>
      <w:pPr>
        <w:spacing w:after="0" w:line="17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as of April 30, 2025 and January 31, 2025 was $320.1 million and $359.8 million, respectively. Approximately 24% and 33% of the total revenue recognized for the three months ended April 30, 2025 and 2024, respectively, was from deferred revenue at the beginning of each respective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Remaining Performance Obligations</w:t>
      </w:r>
    </w:p>
    <w:p>
      <w:pPr>
        <w:spacing w:after="0" w:line="17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April 30, 2025, the aggregate transaction price allocated to remaining performance obligations was $774.3 million. Approximately 58% is expected to be recognized as revenue over the next 12 months 38% in 13 to 36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Unbilled Receivables</w:t>
      </w:r>
    </w:p>
    <w:p>
      <w:pPr>
        <w:spacing w:after="0" w:line="173"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April 30, 2025 and January 31, 2025, unbilled receivables were $30.6 million and $22.5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Allowance for Doubtful Accounts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r>
      <w:tr>
        <w:trPr>
          <w:trHeight w:val="23"/>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shd w:val="clear" w:color="auto" w:fill="CCEEFF"/>
          </w:tcPr>
          <w:p>
            <w:pPr>
              <w:jc w:val="center"/>
              <w:ind w:left="2734"/>
              <w:spacing w:after="0"/>
              <w:rPr>
                <w:sz w:val="20"/>
                <w:szCs w:val="20"/>
                <w:color w:val="auto"/>
              </w:rPr>
            </w:pPr>
            <w:r>
              <w:rPr>
                <w:rFonts w:ascii="Times New Roman" w:cs="Times New Roman" w:eastAsia="Times New Roman" w:hAnsi="Times New Roman"/>
                <w:sz w:val="18"/>
                <w:szCs w:val="18"/>
                <w:color w:val="auto"/>
                <w:w w:val="98"/>
              </w:rPr>
              <w:t>8,888</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Times New Roman" w:cs="Times New Roman" w:eastAsia="Times New Roman" w:hAnsi="Times New Roman"/>
                <w:sz w:val="18"/>
                <w:szCs w:val="18"/>
                <w:color w:val="auto"/>
                <w:w w:val="98"/>
              </w:rPr>
              <w:t>3,289</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Times New Roman" w:cs="Times New Roman" w:eastAsia="Times New Roman" w:hAnsi="Times New Roman"/>
                <w:sz w:val="18"/>
                <w:szCs w:val="18"/>
                <w:color w:val="auto"/>
              </w:rPr>
              <w:t>(2,284)</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30, 2025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tcBorders>
              <w:bottom w:val="single" w:sz="8" w:color="auto"/>
            </w:tcBorders>
          </w:tcPr>
          <w:p>
            <w:pPr>
              <w:jc w:val="center"/>
              <w:ind w:left="2734"/>
              <w:spacing w:after="0"/>
              <w:rPr>
                <w:sz w:val="20"/>
                <w:szCs w:val="20"/>
                <w:color w:val="auto"/>
              </w:rPr>
            </w:pPr>
            <w:r>
              <w:rPr>
                <w:rFonts w:ascii="Times New Roman" w:cs="Times New Roman" w:eastAsia="Times New Roman" w:hAnsi="Times New Roman"/>
                <w:sz w:val="18"/>
                <w:szCs w:val="18"/>
                <w:color w:val="auto"/>
                <w:w w:val="98"/>
              </w:rPr>
              <w:t>9,893</w:t>
            </w:r>
          </w:p>
        </w:tc>
      </w:tr>
      <w:tr>
        <w:trPr>
          <w:trHeight w:val="20"/>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Costs Capitalized to Obtain Contracts with Customers</w:t>
      </w:r>
    </w:p>
    <w:p>
      <w:pPr>
        <w:spacing w:after="0" w:line="17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Deferred commissions were $355.6 million and $363.4 million as of April 30, 2025 and January 31, 2025, respectively, of which $239.3 million and $250.7 million comprised the non-current portion and was included in other assets on the Company’s consolidated balance sheets as of April 30, 2025 and January 31, 2025, respectively. Amortization expense with respect to deferred commissions, which is included in sales and marketing expense in the Company’s interim condensed consolidated statements of operations, was $31.2 million and $26.4 million for the three months ended April 30, 2025, and 2024, respectively. There was no impairment loss in relation to the costs capitalized for the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Equity Incentive Plan</w:t>
      </w:r>
    </w:p>
    <w:p>
      <w:pPr>
        <w:spacing w:after="0" w:line="17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restricted stock awards (“RSAs”)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 Options</w:t>
      </w:r>
    </w:p>
    <w:p>
      <w:pPr>
        <w:spacing w:after="0" w:line="17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April 30, 2025 (in thousands, except share and per share data and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20" w:type="dxa"/>
            <w:vAlign w:val="bottom"/>
            <w:gridSpan w:val="2"/>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620" w:type="dxa"/>
            <w:vAlign w:val="bottom"/>
            <w:gridSpan w:val="2"/>
          </w:tcPr>
          <w:p>
            <w:pPr>
              <w:jc w:val="center"/>
              <w:ind w:left="219"/>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 January 31, 2025</w:t>
            </w: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567,425</w:t>
            </w:r>
          </w:p>
        </w:tc>
        <w:tc>
          <w:tcPr>
            <w:tcW w:w="152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150,319</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(77,519)</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 April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489,906</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Vested and exercisable - January 31, 2025</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567,425</w:t>
            </w:r>
          </w:p>
        </w:tc>
        <w:tc>
          <w:tcPr>
            <w:tcW w:w="1520" w:type="dxa"/>
            <w:vAlign w:val="bottom"/>
            <w:gridSpan w:val="2"/>
          </w:tcPr>
          <w:p>
            <w:pPr>
              <w:jc w:val="right"/>
              <w:ind w:right="12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150,319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exercisable - April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489,906</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2C2C2C"/>
              </w:rPr>
              <w:t>Restricted Stock Units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3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three months ended April 30, 2025: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3"/>
        </w:trPr>
        <w:tc>
          <w:tcPr>
            <w:tcW w:w="4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0" w:type="dxa"/>
            <w:vAlign w:val="bottom"/>
          </w:tcPr>
          <w:p>
            <w:pPr>
              <w:spacing w:after="0"/>
              <w:rPr>
                <w:sz w:val="1"/>
                <w:szCs w:val="1"/>
                <w:color w:val="auto"/>
              </w:rPr>
            </w:pPr>
          </w:p>
        </w:tc>
      </w:tr>
      <w:tr>
        <w:trPr>
          <w:trHeight w:val="37"/>
        </w:trPr>
        <w:tc>
          <w:tcPr>
            <w:tcW w:w="4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Unvested - January 31, 2025</w:t>
            </w: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3,533,507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granted</w:t>
            </w: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0" w:type="dxa"/>
            <w:vAlign w:val="bottom"/>
          </w:tcPr>
          <w:p>
            <w:pPr>
              <w:spacing w:after="0"/>
              <w:rPr>
                <w:sz w:val="1"/>
                <w:szCs w:val="1"/>
                <w:color w:val="auto"/>
              </w:rPr>
            </w:pPr>
          </w:p>
        </w:tc>
      </w:tr>
      <w:tr>
        <w:trPr>
          <w:trHeight w:val="27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307.05</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forfeited and canceled</w:t>
            </w: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0" w:type="dxa"/>
            <w:vAlign w:val="bottom"/>
          </w:tcPr>
          <w:p>
            <w:pPr>
              <w:spacing w:after="0"/>
              <w:rPr>
                <w:sz w:val="1"/>
                <w:szCs w:val="1"/>
                <w:color w:val="auto"/>
              </w:rPr>
            </w:pPr>
          </w:p>
        </w:tc>
      </w:tr>
      <w:tr>
        <w:trPr>
          <w:trHeight w:val="223"/>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April 30, 2025</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5,095,686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Restricted Stock Awards</w:t>
      </w:r>
    </w:p>
    <w:p>
      <w:pPr>
        <w:spacing w:after="0" w:line="17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granted restricted common stock outside of the Plans. Restricted common stock is not deemed to be outstanding for accounting purposes until it vests. Refer to Note 4,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 on the issuance of restricted stock awards in connection with the acquisition of Voyage AI.</w:t>
      </w:r>
    </w:p>
    <w:p>
      <w:pPr>
        <w:sectPr>
          <w:pgSz w:w="11900" w:h="16838" w:orient="portrait"/>
          <w:cols w:equalWidth="0" w:num="1">
            <w:col w:w="11240"/>
          </w:cols>
          <w:pgMar w:left="320" w:top="130" w:right="339" w:bottom="1440" w:gutter="0" w:footer="0" w:header="0"/>
        </w:sectPr>
      </w:pP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RSA activity for the three months ended April 30, 2025: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RSAs granted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RSAs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RSAs forfeited and canceled</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 April 30, 2025</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Performance Share Awards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PSU activity for the three months ended April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0"/>
        </w:trPr>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0" w:type="dxa"/>
            <w:vAlign w:val="bottom"/>
          </w:tcPr>
          <w:p>
            <w:pPr>
              <w:spacing w:after="0"/>
              <w:rPr>
                <w:sz w:val="1"/>
                <w:szCs w:val="1"/>
                <w:color w:val="auto"/>
              </w:rPr>
            </w:pPr>
          </w:p>
        </w:tc>
      </w:tr>
      <w:tr>
        <w:trPr>
          <w:trHeight w:val="37"/>
        </w:trPr>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0" w:type="dxa"/>
            <w:vAlign w:val="bottom"/>
          </w:tcPr>
          <w:p>
            <w:pPr>
              <w:spacing w:after="0"/>
              <w:rPr>
                <w:sz w:val="1"/>
                <w:szCs w:val="1"/>
                <w:color w:val="auto"/>
              </w:rPr>
            </w:pPr>
          </w:p>
        </w:tc>
      </w:tr>
      <w:tr>
        <w:trPr>
          <w:trHeight w:val="270"/>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0" w:type="dxa"/>
            <w:vAlign w:val="bottom"/>
          </w:tcPr>
          <w:p>
            <w:pPr>
              <w:spacing w:after="0"/>
              <w:rPr>
                <w:sz w:val="1"/>
                <w:szCs w:val="1"/>
                <w:color w:val="auto"/>
              </w:rPr>
            </w:pPr>
          </w:p>
        </w:tc>
      </w:tr>
      <w:tr>
        <w:trPr>
          <w:trHeight w:val="270"/>
        </w:trPr>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0" w:type="dxa"/>
            <w:vAlign w:val="bottom"/>
          </w:tcPr>
          <w:p>
            <w:pPr>
              <w:spacing w:after="0"/>
              <w:rPr>
                <w:sz w:val="1"/>
                <w:szCs w:val="1"/>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0" w:type="dxa"/>
            <w:vAlign w:val="bottom"/>
          </w:tcPr>
          <w:p>
            <w:pPr>
              <w:spacing w:after="0"/>
              <w:rPr>
                <w:sz w:val="1"/>
                <w:szCs w:val="1"/>
                <w:color w:val="auto"/>
              </w:rPr>
            </w:pPr>
          </w:p>
        </w:tc>
      </w:tr>
      <w:tr>
        <w:trPr>
          <w:trHeight w:val="193"/>
        </w:trPr>
        <w:tc>
          <w:tcPr>
            <w:tcW w:w="860" w:type="dxa"/>
            <w:vAlign w:val="bottom"/>
            <w:vMerge w:val="continue"/>
          </w:tcPr>
          <w:p>
            <w:pPr>
              <w:spacing w:after="0"/>
              <w:rPr>
                <w:sz w:val="16"/>
                <w:szCs w:val="16"/>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Date Fair Value per PSU</w:t>
            </w: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2">
            <w:col w:w="6920" w:space="620"/>
            <w:col w:w="37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January 31, 2025</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146,284</w:t>
            </w:r>
          </w:p>
        </w:tc>
        <w:tc>
          <w:tcPr>
            <w:tcW w:w="100" w:type="dxa"/>
            <w:vAlign w:val="bottom"/>
          </w:tcPr>
          <w:p>
            <w:pPr>
              <w:spacing w:after="0"/>
              <w:rPr>
                <w:sz w:val="23"/>
                <w:szCs w:val="23"/>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287.57</w:t>
            </w: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PSUs 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r>
      <w:tr>
        <w:trPr>
          <w:trHeight w:val="27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PSUs 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w:t>
            </w: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r>
      <w:tr>
        <w:trPr>
          <w:trHeight w:val="27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PSUs forfeited and canceled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352.71</w:t>
            </w:r>
          </w:p>
        </w:tc>
      </w:tr>
      <w:tr>
        <w:trPr>
          <w:trHeight w:val="248"/>
        </w:trPr>
        <w:tc>
          <w:tcPr>
            <w:tcW w:w="7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 April 30,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184,341</w:t>
            </w:r>
          </w:p>
        </w:tc>
        <w:tc>
          <w:tcPr>
            <w:tcW w:w="7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2017 Employee Stock Purchase Plan</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The Company’s current offering period began on December 16, 2024 and is expected to end June 16,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Stock-Based Compensation Expense</w:t>
      </w:r>
    </w:p>
    <w:p>
      <w:pPr>
        <w:spacing w:after="0" w:line="1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Company’s interim condensed consolidated statements of operations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revenue—subscription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r>
      <w:tr>
        <w:trPr>
          <w:trHeight w:val="270"/>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revenue—services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r>
      <w:tr>
        <w:trPr>
          <w:trHeight w:val="270"/>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39,613</w:t>
            </w:r>
          </w:p>
        </w:tc>
      </w:tr>
      <w:tr>
        <w:trPr>
          <w:trHeight w:val="270"/>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55,173</w:t>
            </w:r>
          </w:p>
        </w:tc>
      </w:tr>
      <w:tr>
        <w:trPr>
          <w:trHeight w:val="283"/>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r>
      <w:tr>
        <w:trPr>
          <w:trHeight w:val="263"/>
        </w:trPr>
        <w:tc>
          <w:tcPr>
            <w:tcW w:w="8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120,763</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Share Repurchase Program</w:t>
      </w:r>
    </w:p>
    <w:p>
      <w:pPr>
        <w:spacing w:after="0" w:line="1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February 2025, the Company’s Board of Directors authorized a program to repurchase up to $200.0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 There were no repurchases of shares of our common stock during the three months ended April 30, 2025. On June 3, 2025, the Company’s Board of Directors authorized an additional $800.0 million in repurchases under the Share Repurchase Program, bringing the aggregate authorized repurchase amount to $1.0 billion.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7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restricted stock awards. Basic and diluted net loss per share was the same for each period presented, as the inclusion of all potential common shares outstanding would have been anti-dilutive due to the net loss reported for each period presented.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3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0" w:type="dxa"/>
            <w:vAlign w:val="bottom"/>
          </w:tcPr>
          <w:p>
            <w:pPr>
              <w:spacing w:after="0"/>
              <w:rPr>
                <w:sz w:val="1"/>
                <w:szCs w:val="1"/>
                <w:color w:val="auto"/>
              </w:rPr>
            </w:pPr>
          </w:p>
        </w:tc>
      </w:tr>
      <w:tr>
        <w:trPr>
          <w:trHeight w:val="68"/>
        </w:trPr>
        <w:tc>
          <w:tcPr>
            <w:tcW w:w="83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8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30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81,060,822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72,990,141</w:t>
            </w:r>
          </w:p>
        </w:tc>
        <w:tc>
          <w:tcPr>
            <w:tcW w:w="0" w:type="dxa"/>
            <w:vAlign w:val="bottom"/>
          </w:tcPr>
          <w:p>
            <w:pPr>
              <w:spacing w:after="0"/>
              <w:rPr>
                <w:sz w:val="1"/>
                <w:szCs w:val="1"/>
                <w:color w:val="auto"/>
              </w:rPr>
            </w:pPr>
          </w:p>
        </w:tc>
      </w:tr>
      <w:tr>
        <w:trPr>
          <w:trHeight w:val="68"/>
        </w:trPr>
        <w:tc>
          <w:tcPr>
            <w:tcW w:w="83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8"/>
        </w:trPr>
        <w:tc>
          <w:tcPr>
            <w:tcW w:w="836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issuance of the 2024 Notes and 2026 Notes, the Company entered into Capped Calls, which were not included for the purpose of calculating the number of diluted shares outstanding, as their effect would have been anti-dilutive. The Capped Calls were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for more information.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shares of common stock were excluded from the computation of diluted net loss per share attributable to the Company for the periods presented because including them would have been anti-dilutive as the Company has reported net loss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8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2016 Equity Incentive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250,589</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350,634</w:t>
            </w:r>
          </w:p>
        </w:tc>
      </w:tr>
      <w:tr>
        <w:trPr>
          <w:trHeight w:val="270"/>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2008 Stock Incentive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239,317</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395,055</w:t>
            </w:r>
          </w:p>
        </w:tc>
      </w:tr>
      <w:tr>
        <w:trPr>
          <w:trHeight w:val="270"/>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5,095,686</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3,833,040</w:t>
            </w:r>
          </w:p>
        </w:tc>
      </w:tr>
      <w:tr>
        <w:trPr>
          <w:trHeight w:val="270"/>
        </w:trPr>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195,030</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Unvested executive PSUs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184,341</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201,457</w:t>
            </w:r>
          </w:p>
        </w:tc>
      </w:tr>
      <w:tr>
        <w:trPr>
          <w:trHeight w:val="270"/>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2026 Notes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5,445,002</w:t>
            </w:r>
          </w:p>
        </w:tc>
      </w:tr>
      <w:tr>
        <w:trPr>
          <w:trHeight w:val="248"/>
        </w:trPr>
        <w:tc>
          <w:tcPr>
            <w:tcW w:w="83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10,225,188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7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income taxes of $4.3 million and $2.6 million for the three months ended April 30, 2025 and 2024, respectively. The provisions recorded during the three months ended April 30, 2025 and 2024 were driven by the change in global income by jurisdiction and the associated foreign taxes.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12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and Ireland net deferred tax assets, as it is more likely than not that some or all of the deferred tax assets will not be realized.</w:t>
      </w:r>
    </w:p>
    <w:p>
      <w:pPr>
        <w:spacing w:after="0" w:line="124" w:lineRule="exact"/>
        <w:rPr>
          <w:sz w:val="20"/>
          <w:szCs w:val="20"/>
          <w:color w:val="auto"/>
        </w:rPr>
      </w:pPr>
    </w:p>
    <w:p>
      <w:pPr>
        <w:ind w:right="3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assesses uncertain tax positions in accordance with ASC 740-10, </w:t>
      </w:r>
      <w:r>
        <w:rPr>
          <w:rFonts w:ascii="Times New Roman" w:cs="Times New Roman" w:eastAsia="Times New Roman" w:hAnsi="Times New Roman"/>
          <w:sz w:val="18"/>
          <w:szCs w:val="18"/>
          <w:i w:val="1"/>
          <w:iCs w:val="1"/>
          <w:color w:val="auto"/>
        </w:rPr>
        <w:t>Accounting for Uncertainties in Tax</w:t>
      </w:r>
      <w:r>
        <w:rPr>
          <w:rFonts w:ascii="Times New Roman" w:cs="Times New Roman" w:eastAsia="Times New Roman" w:hAnsi="Times New Roman"/>
          <w:sz w:val="18"/>
          <w:szCs w:val="18"/>
          <w:color w:val="auto"/>
        </w:rPr>
        <w:t>. As of January 31, 2025, the Company’s net unrecognized tax benefits totaled $104.5 million, $1.3 million of which would have an impact on the Company’s effective tax rate if recognized.</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Geographic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73"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the Chief Executive Officer, manages the Company’s business activities as a single operating and reportable segment at the consolidated level. Accordingly, the CODM uses consolidated net loss to make operating decisions, allocate resources and assess performance. The CODM uses consolidated net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revenues, sales and marketing, research and development, and general and administrative) at the consolidated level to manage the Company’s operations. Other segment items included in consolidated net loss are interest income, interest expense, other income (expense), net and the provision for income taxes, which are reflected in the interim condensed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Customers located in the United States accounted for 54% of total revenue for both the three months ended April 30, 2025 and 2024. No other country accounted for 10% or more of revenue for the periods presented.</w:t>
      </w:r>
    </w:p>
    <w:p>
      <w:pPr>
        <w:spacing w:after="0" w:line="10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Long-lived assets located in the United States accounted for 87% and 86% of total long-lived assets for the three months ended April 30, 2025 and 2024, respectively. Long-lived assets located in Ireland accounted for 11% of total long-</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lived assets for the three months ended April 30, 2024. No other countries accounted for 10% or more of long-lived assets for the three months ended April 30, 2025 and 2024.</w:t>
      </w:r>
    </w:p>
    <w:p>
      <w:pPr>
        <w:spacing w:after="0" w:line="189" w:lineRule="exact"/>
        <w:rPr>
          <w:sz w:val="20"/>
          <w:szCs w:val="20"/>
          <w:color w:val="auto"/>
        </w:rPr>
      </w:pPr>
    </w:p>
    <w:p>
      <w:pPr>
        <w:ind w:left="900" w:right="640" w:hanging="85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95"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2025 (the “2025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corporate website is located at </w:t>
      </w:r>
      <w:r>
        <w:rPr>
          <w:rFonts w:ascii="Times New Roman" w:cs="Times New Roman" w:eastAsia="Times New Roman" w:hAnsi="Times New Roman"/>
          <w:sz w:val="18"/>
          <w:szCs w:val="18"/>
          <w:i w:val="1"/>
          <w:iCs w:val="1"/>
          <w:color w:val="auto"/>
        </w:rPr>
        <w:t>www.mongodb.com</w:t>
      </w:r>
      <w:r>
        <w:rPr>
          <w:rFonts w:ascii="Times New Roman" w:cs="Times New Roman" w:eastAsia="Times New Roman" w:hAnsi="Times New Roman"/>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5,686 as of April 30, 2025, from 5,213 as of April 30, 2024.</w:t>
      </w:r>
    </w:p>
    <w:p>
      <w:pPr>
        <w:spacing w:after="0" w:line="13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subscriptions, which accounted for 97% of our total revenue for both of the three months ended April 30, 2025 and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MongoDB Atlas is our hosted multi-cloud database-as-a-service (“DBaaS”) offering, which we run and manage in the cloud, and includes comprehensive infrastructure and management, as well as a host of additional features, such as MongoDB Atlas Search, Vector Search, time series, data lifecycle, application-driven analytics and stream processing. During the three months ended April 30, 2025, MongoDB Atlas revenue represented 72%, as compared to 70% of our total revenue during the three months ended April 30, 2024,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spacing w:after="0" w:line="13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MongoDB Enterprise Advanced is our proprietary commercial database server offering for enterprise customers that can run in the cloud, on-premises or in a hybrid environment. MongoDB Enterprise Advanced revenue represented 22% and 25% of our subscription revenue for the three months ended April 30, 2025 and 2024,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3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also generate revenue from services, which consist primarily of fees associated with consulting and training services. Revenue from services accounted for 3% of our total revenue for both of the three months ended April 30, 2025 and 2024. We expect to continue to invest in our services organization as we believe it plays an important role in accelerating our customers’ realization of the benefits of our platform, which helps drive customer retention and expansion.</w:t>
      </w:r>
    </w:p>
    <w:p>
      <w:pPr>
        <w:spacing w:after="0" w:line="126"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IDC, the worldwide data software market, which it refers to as the Data Management Software market, was $106 billion in 2024 growing to approximately $191 billion in 2029. This represents a 13% compound annual growth rate.</w:t>
      </w:r>
    </w:p>
    <w:p>
      <w:pPr>
        <w:spacing w:after="0" w:line="122"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Other Factors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operational and financial performance is subject to risks including those caused by the adverse macroeconomic environment and the geopolitical landscape.</w:t>
      </w:r>
    </w:p>
    <w:p>
      <w:pPr>
        <w:spacing w:after="0" w:line="10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Adverse macroeconomic conditions include slower or negative economic growth, higher inflation and higher interest rates. During the three months ended April 30, 2025,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1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We continue to monitor the developments of the macroeconomic environment and the geopolitical landscape. As these factors develop and we evaluate their impact on our business, we may adjust our business practices accordingly. For further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discussion of the potential impacts of these factors on our business, operating results, and financial condition, see the section titled “Risk Factors” included in Part II, Item 1A of this Quarterly Report on Form 10-Q. Other factors affecting our performance are discussed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Growing Our Customer Base and Expanding Our Global Reach</w:t>
      </w:r>
    </w:p>
    <w:p>
      <w:pPr>
        <w:spacing w:after="0" w:line="17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are intensely focused on continuing to grow our customer base. We have invested, and expect to continue to invest, in our sales and marketing efforts and developer community outreach, which are critical to driving customer acquisition. As of April 30, 2025, we had over 57,100 customers across a wide range of industries and in over 100 countries, compared to over 49,200 customers as of April 30, 2024. All affiliated entities are counted as a single customer and our definition of “customer” excludes users of our free offerings.</w:t>
      </w:r>
    </w:p>
    <w:p>
      <w:pPr>
        <w:spacing w:after="0" w:line="12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April 30, 2025, we had over 7,500 customers that were sold through our direct sales force and channel partners, as compared to over 7,100 such customers as of April 30, 2024. These customers, which we refer to as our Direct Sales Customers, accounted for 87% of our subscription revenue for the three months ended April 30, 2025 and 2024, respectively. We plan to continue to invest in acquiring new customers and additional workloads from existing customers across all of our channels. We had over 55,800 MongoDB Atlas customers as of April 30, 2025 compared to over 47,700 as of April 30, 2024. The growth in MongoDB Atlas customers included new customers to MongoDB and existing MongoDB Enterprise Advanced customers adding incremental MongoDB Atlas workloads.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Retaining and Expanding Revenue from Existing Customers</w:t>
      </w:r>
    </w:p>
    <w:p>
      <w:pPr>
        <w:spacing w:after="0" w:line="17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months ended April 30, 2025, we believe we experienced a negative impact from the macroeconomic environment on the growth of existing Atlas applications, which affected our revenue growth. We expect the macroeconomic environment to continue to negatively impact our revenue growth.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3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2,506 and 2,137 as of April 30, 2025 and 2024,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3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As of April 30, 2025, our net ARR expansion rate was approximately 119%.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Revenue</w:t>
      </w:r>
    </w:p>
    <w:p>
      <w:pPr>
        <w:spacing w:after="0" w:line="171"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comprised of term licenses and database-as-a-service solutions. Revenue from our MongoDB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Atlas database-as-a-service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28"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is comprised of consulting and training services and is recognized over the period of delivery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w:t>
      </w:r>
    </w:p>
    <w:p>
      <w:pPr>
        <w:spacing w:after="0" w:line="10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 of Revenue</w:t>
      </w:r>
    </w:p>
    <w:p>
      <w:pPr>
        <w:spacing w:after="0" w:line="17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primarily includes third-party cloud infrastructure expenses for our database-as-a-service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91" w:lineRule="exact"/>
        <w:rPr>
          <w:sz w:val="20"/>
          <w:szCs w:val="20"/>
          <w:color w:val="auto"/>
        </w:rPr>
      </w:pPr>
    </w:p>
    <w:p>
      <w:pPr>
        <w:ind w:right="360" w:firstLine="486"/>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primarily includes personnel costs, including salaries, bonuses and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revenue less cost of revenue.</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Expenses</w:t>
      </w:r>
    </w:p>
    <w:p>
      <w:pPr>
        <w:spacing w:after="0" w:line="17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20" w:lineRule="exact"/>
        <w:rPr>
          <w:sz w:val="20"/>
          <w:szCs w:val="20"/>
          <w:color w:val="auto"/>
        </w:rPr>
      </w:pPr>
    </w:p>
    <w:p>
      <w:pPr>
        <w:ind w:right="10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sales commission and benefits,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and developer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ind w:right="140" w:firstLine="486"/>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42" w:lineRule="exact"/>
        <w:rPr>
          <w:sz w:val="20"/>
          <w:szCs w:val="20"/>
          <w:color w:val="auto"/>
        </w:rPr>
      </w:pPr>
    </w:p>
    <w:p>
      <w:pPr>
        <w:ind w:right="8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interest expense, gains and losses on financial instruments, net and gains and losses from foreign currency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Provision for Income Taxes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primarily of state income taxes in the United States and income taxes in certain foreign jurisdictions in which we conduct business.</w:t>
      </w:r>
    </w:p>
    <w:p>
      <w:pPr>
        <w:spacing w:after="0" w:line="10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2"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and Ireland net deferred tax assets, as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84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436,896</w:t>
            </w:r>
          </w:p>
        </w:tc>
      </w:tr>
      <w:tr>
        <w:trPr>
          <w:trHeight w:val="283"/>
        </w:trPr>
        <w:tc>
          <w:tcPr>
            <w:tcW w:w="84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w:t>
            </w:r>
          </w:p>
        </w:tc>
      </w:tr>
      <w:tr>
        <w:trPr>
          <w:trHeight w:val="250"/>
        </w:trPr>
        <w:tc>
          <w:tcPr>
            <w:tcW w:w="8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450,561</w:t>
            </w:r>
          </w:p>
        </w:tc>
      </w:tr>
      <w:tr>
        <w:trPr>
          <w:trHeight w:val="243"/>
        </w:trPr>
        <w:tc>
          <w:tcPr>
            <w:tcW w:w="8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100,762</w:t>
            </w:r>
          </w:p>
        </w:tc>
      </w:tr>
      <w:tr>
        <w:trPr>
          <w:trHeight w:val="283"/>
        </w:trPr>
        <w:tc>
          <w:tcPr>
            <w:tcW w:w="84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21,935</w:t>
            </w:r>
          </w:p>
        </w:tc>
      </w:tr>
      <w:tr>
        <w:trPr>
          <w:trHeight w:val="263"/>
        </w:trPr>
        <w:tc>
          <w:tcPr>
            <w:tcW w:w="8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122,697</w:t>
            </w:r>
          </w:p>
        </w:tc>
      </w:tr>
      <w:tr>
        <w:trPr>
          <w:trHeight w:val="250"/>
        </w:trPr>
        <w:tc>
          <w:tcPr>
            <w:tcW w:w="8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327,864</w:t>
            </w:r>
          </w:p>
        </w:tc>
      </w:tr>
      <w:tr>
        <w:trPr>
          <w:trHeight w:val="230"/>
        </w:trPr>
        <w:tc>
          <w:tcPr>
            <w:tcW w:w="8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8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219,444</w:t>
            </w:r>
          </w:p>
        </w:tc>
      </w:tr>
      <w:tr>
        <w:trPr>
          <w:trHeight w:val="270"/>
        </w:trPr>
        <w:tc>
          <w:tcPr>
            <w:tcW w:w="84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146,060</w:t>
            </w:r>
          </w:p>
        </w:tc>
      </w:tr>
      <w:tr>
        <w:trPr>
          <w:trHeight w:val="283"/>
        </w:trPr>
        <w:tc>
          <w:tcPr>
            <w:tcW w:w="84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60,546</w:t>
            </w:r>
          </w:p>
        </w:tc>
      </w:tr>
      <w:tr>
        <w:trPr>
          <w:trHeight w:val="263"/>
        </w:trPr>
        <w:tc>
          <w:tcPr>
            <w:tcW w:w="8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444,527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426,050</w:t>
            </w:r>
          </w:p>
        </w:tc>
      </w:tr>
      <w:tr>
        <w:trPr>
          <w:trHeight w:val="250"/>
        </w:trPr>
        <w:tc>
          <w:tcPr>
            <w:tcW w:w="8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(98,186)</w:t>
            </w:r>
          </w:p>
        </w:tc>
      </w:tr>
      <w:tr>
        <w:trPr>
          <w:trHeight w:val="270"/>
        </w:trPr>
        <w:tc>
          <w:tcPr>
            <w:tcW w:w="8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r>
      <w:tr>
        <w:trPr>
          <w:trHeight w:val="250"/>
        </w:trPr>
        <w:tc>
          <w:tcPr>
            <w:tcW w:w="8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(78,012)</w:t>
            </w:r>
          </w:p>
        </w:tc>
      </w:tr>
      <w:tr>
        <w:trPr>
          <w:trHeight w:val="270"/>
        </w:trPr>
        <w:tc>
          <w:tcPr>
            <w:tcW w:w="8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63"/>
        </w:trPr>
        <w:tc>
          <w:tcPr>
            <w:tcW w:w="8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(80,593)</w:t>
            </w:r>
          </w:p>
        </w:tc>
      </w:tr>
      <w:tr>
        <w:trPr>
          <w:trHeight w:val="21"/>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36" w:lineRule="exact"/>
        <w:rPr>
          <w:sz w:val="20"/>
          <w:szCs w:val="20"/>
          <w:color w:val="auto"/>
        </w:rPr>
      </w:pPr>
    </w:p>
    <w:p>
      <w:pPr>
        <w:ind w:left="320" w:hanging="312"/>
        <w:spacing w:after="0" w:line="265" w:lineRule="exact"/>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 (unaudited,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w:t>
            </w:r>
          </w:p>
        </w:tc>
      </w:tr>
      <w:tr>
        <w:trPr>
          <w:trHeight w:val="206"/>
        </w:trPr>
        <w:tc>
          <w:tcPr>
            <w:tcW w:w="8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39,613</w:t>
            </w:r>
          </w:p>
        </w:tc>
      </w:tr>
      <w:tr>
        <w:trPr>
          <w:trHeight w:val="206"/>
        </w:trPr>
        <w:tc>
          <w:tcPr>
            <w:tcW w:w="8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55,173</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16,559</w:t>
            </w:r>
          </w:p>
        </w:tc>
      </w:tr>
      <w:tr>
        <w:trPr>
          <w:trHeight w:val="210"/>
        </w:trPr>
        <w:tc>
          <w:tcPr>
            <w:tcW w:w="822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132,431</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120,763</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revenue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cost of revenue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520"/>
        <w:spacing w:after="0" w:line="468" w:lineRule="auto"/>
        <w:rPr>
          <w:sz w:val="20"/>
          <w:szCs w:val="20"/>
          <w:color w:val="auto"/>
        </w:rPr>
      </w:pPr>
      <w:r>
        <w:rPr>
          <w:rFonts w:ascii="Times New Roman" w:cs="Times New Roman" w:eastAsia="Times New Roman" w:hAnsi="Times New Roman"/>
          <w:sz w:val="18"/>
          <w:szCs w:val="18"/>
          <w:b w:val="1"/>
          <w:bCs w:val="1"/>
          <w:color w:val="auto"/>
        </w:rPr>
        <w:t>Comparison of the Three Months Ended April 30, 2025 and 2024 Revenue</w:t>
      </w:r>
    </w:p>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150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74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0" w:lineRule="exact"/>
        <w:rPr>
          <w:sz w:val="20"/>
          <w:szCs w:val="20"/>
          <w:color w:val="auto"/>
        </w:rPr>
      </w:pPr>
    </w:p>
    <w:p>
      <w:pPr>
        <w:spacing w:after="0" w:line="34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100 %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499"/>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499"/>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6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6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10026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-7620</wp:posOffset>
            </wp:positionV>
            <wp:extent cx="1002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-213995</wp:posOffset>
            </wp:positionV>
            <wp:extent cx="10026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-556895</wp:posOffset>
            </wp:positionV>
            <wp:extent cx="1002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-899795</wp:posOffset>
            </wp:positionV>
            <wp:extent cx="1002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-1919605</wp:posOffset>
            </wp:positionV>
            <wp:extent cx="10026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41910</wp:posOffset>
            </wp:positionV>
            <wp:extent cx="1671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49" w:lineRule="exact"/>
        <w:rPr>
          <w:sz w:val="20"/>
          <w:szCs w:val="20"/>
          <w:color w:val="auto"/>
        </w:rPr>
      </w:pPr>
    </w:p>
    <w:p>
      <w:pPr>
        <w:ind w:left="2000" w:hanging="1326"/>
        <w:spacing w:after="0"/>
        <w:tabs>
          <w:tab w:leader="none" w:pos="200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47" w:lineRule="exact"/>
        <w:rPr>
          <w:sz w:val="20"/>
          <w:szCs w:val="20"/>
          <w:color w:val="auto"/>
        </w:rPr>
      </w:pPr>
    </w:p>
    <w:p>
      <w:pPr>
        <w:sectPr>
          <w:pgSz w:w="11900" w:h="16838" w:orient="portrait"/>
          <w:cols w:equalWidth="0" w:num="2">
            <w:col w:w="8500" w:space="120"/>
            <w:col w:w="262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69"/>
        </w:trPr>
        <w:tc>
          <w:tcPr>
            <w:tcW w:w="55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531,455</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436,896</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94,559</w:t>
            </w: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84"/>
        </w:trPr>
        <w:tc>
          <w:tcPr>
            <w:tcW w:w="5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8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549,014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Headcount (at period end)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740" w:type="dxa"/>
            <w:vAlign w:val="bottom"/>
            <w:shd w:val="clear" w:color="auto" w:fill="CCEEFF"/>
          </w:tcPr>
          <w:p>
            <w:pPr>
              <w:spacing w:after="0"/>
              <w:rPr>
                <w:sz w:val="23"/>
                <w:szCs w:val="23"/>
                <w:color w:val="auto"/>
              </w:rPr>
            </w:pPr>
          </w:p>
        </w:tc>
      </w:tr>
      <w:tr>
        <w:trPr>
          <w:trHeight w:val="283"/>
        </w:trPr>
        <w:tc>
          <w:tcPr>
            <w:tcW w:w="5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740" w:type="dxa"/>
            <w:vAlign w:val="bottom"/>
            <w:tcBorders>
              <w:bottom w:val="single" w:sz="8" w:color="CCEEFF"/>
            </w:tcBorders>
          </w:tcPr>
          <w:p>
            <w:pPr>
              <w:spacing w:after="0"/>
              <w:rPr>
                <w:sz w:val="24"/>
                <w:szCs w:val="24"/>
                <w:color w:val="auto"/>
              </w:rPr>
            </w:pPr>
          </w:p>
        </w:tc>
      </w:tr>
      <w:tr>
        <w:trPr>
          <w:trHeight w:val="28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headcount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740" w:type="dxa"/>
            <w:vAlign w:val="bottom"/>
            <w:tcBorders>
              <w:bottom w:val="single" w:sz="8" w:color="CCEEFF"/>
            </w:tcBorders>
            <w:shd w:val="clear" w:color="auto" w:fill="CCEEFF"/>
          </w:tcPr>
          <w:p>
            <w:pPr>
              <w:spacing w:after="0"/>
              <w:rPr>
                <w:sz w:val="24"/>
                <w:szCs w:val="24"/>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$94.6 million primarily due to an increase of $79.2 million from our Direct Sales Customers, inclusive of the impact from Direct Sales Customers who were self-serve customers of MongoDB Atlas in the prior-year 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jc w:val="center"/>
              <w:ind w:right="2694"/>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129,585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100,762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28,456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21,935</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jc w:val="center"/>
              <w:ind w:right="2734"/>
              <w:spacing w:after="0"/>
              <w:rPr>
                <w:sz w:val="20"/>
                <w:szCs w:val="20"/>
                <w:color w:val="auto"/>
              </w:rPr>
            </w:pPr>
            <w:r>
              <w:rPr>
                <w:rFonts w:ascii="Times New Roman" w:cs="Times New Roman" w:eastAsia="Times New Roman" w:hAnsi="Times New Roman"/>
                <w:sz w:val="18"/>
                <w:szCs w:val="18"/>
                <w:color w:val="auto"/>
                <w:w w:val="99"/>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158,041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122,697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390,973</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327,864</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71 %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73 %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76 %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77 %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(62)%</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(61)%</w:t>
            </w:r>
          </w:p>
        </w:tc>
      </w:tr>
    </w:tbl>
    <w:p>
      <w:pPr>
        <w:spacing w:after="0" w:line="184" w:lineRule="exact"/>
        <w:rPr>
          <w:sz w:val="20"/>
          <w:szCs w:val="20"/>
          <w:color w:val="auto"/>
        </w:rPr>
      </w:pPr>
    </w:p>
    <w:p>
      <w:pPr>
        <w:ind w:right="140" w:firstLine="486"/>
        <w:spacing w:after="0" w:line="228"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$20.2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and an increase of $5.1 million personnel costs and stock-based compensation. The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was partially offset by continued cost efficiencies realized as we scale MongoDB Atlas. The increase in services cost of revenue was primarily due to a $3.7 million increase in personnel costs and stock-based compensation and a $2.2 million increase in third-party consultant costs related to the delivery of consulting and training services.</w:t>
      </w:r>
    </w:p>
    <w:p>
      <w:pPr>
        <w:spacing w:after="0" w:line="14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declined to 71%. Our subscription gross margin declined to 76% due to an increase in subscription revenue from MongoDB Atlas as a percentage of our total revenue. Services gross margin declined due to the impact of higher third-party consultant and training costs, services personnel costs and stock-based compensation related to growth in headcount.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7"/>
                <w:szCs w:val="17"/>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220,923</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219,444</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67"/>
        </w:trPr>
        <w:tc>
          <w:tcPr>
            <w:tcW w:w="50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increase in sales and marketing expense was primarily driven by an increase in personnel costs and commissions expense partially offset by a decrease in costs associated with certain in-person events.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7"/>
                <w:szCs w:val="17"/>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168,829</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146,060</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22,769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67"/>
        </w:trPr>
        <w:tc>
          <w:tcPr>
            <w:tcW w:w="50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20" w:firstLine="486"/>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$20.0 million increase in personnel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7"/>
                <w:szCs w:val="17"/>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decrease in general and administrative expense was primarily driven by a $7.1 million release of reserves for value-added tax expense related to our operations in certain non-US jurisdictions, which was partially offset by an increase of $0.9 million in personnel costs and stock-based compensation.</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0" w:type="dxa"/>
            <w:vAlign w:val="bottom"/>
            <w:gridSpan w:val="5"/>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net, remained flat for the three months ended April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jc w:val="center"/>
              <w:ind w:right="2879"/>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jc w:val="center"/>
              <w:ind w:right="2899"/>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the provision for income taxes during the three months ended April 30, 2025 and 2024, was primarily due to an increase in foreign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of April 30, 2025, our principal sources of liquidity were cash, cash equivalents, short-term investments and restricted cash totaling $2.5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2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October 2024, the optional redemption feature of the 2026 Notes was satisfied as the last reported sale price of our common stock was more than or equal to 130% of the conversion price for at least 20 trading days in the period of 30 consecutive trading days. On October 16, 2024, we issued a notice of redemption (the “Redemption Notice”) for all aggregate principal amount outstanding of our 2026 Notes. Approximately $1.1 billion aggregate principal amount of the 2026 Notes was converted to 5,662,979 of the Company’s common stock with $0.4 million settled in cash. Refer to Note 6,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details.</w:t>
      </w:r>
    </w:p>
    <w:p>
      <w:pPr>
        <w:spacing w:after="0" w:line="133"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have generated significant operating losses as reflected in our accumulated deficit of $1.9 billion as of April 30, 2025. While we generated positive cash flows from operations in recent years, we have generated negative cash flows from operations in the past as reflected in our historical consolidated statements of cash flows.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w:t>
            </w:r>
          </w:p>
        </w:tc>
      </w:tr>
      <w:tr>
        <w:trPr>
          <w:trHeight w:val="27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(48,143)</w:t>
            </w:r>
          </w:p>
        </w:tc>
      </w:tr>
      <w:tr>
        <w:trPr>
          <w:trHeight w:val="27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Activities</w:t>
      </w:r>
    </w:p>
    <w:p>
      <w:pPr>
        <w:spacing w:after="0" w:line="173"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8"/>
          <w:szCs w:val="18"/>
          <w:color w:val="auto"/>
        </w:rPr>
        <w:t>Cash provided by operating activities during the three months ended April 30, 2025 was $109.9 million, driven primarily by an increase in our cash collections reflecting the overall growth of our sales and expansion of our customer base. Accordingly, our accounts receivable decreased by $79.9 million. In addition, our net loss of $37.6 million,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$132.4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$5.3 million for depreciation and amortization and other net non-cash charges of $1.5 million. Partially offsetting these benefits to our operating cash flow were a decrease in deferred revenue by $39.6 million, a decrease in accrued liabilities by $19.4 million and an increase in other long-term assets of $12.6 million.</w:t>
      </w:r>
    </w:p>
    <w:p>
      <w:pPr>
        <w:spacing w:after="0" w:line="147"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Cash provided by operating activities during the three months ended April 30, 2024 was $63.6 million, driven primarily by an increase in our cash collections reflecting overall growth of our sales and expansion of our customer base. Accordingly, our accounts receivable decreased by $59.3 million. In addition, our net loss of $80.6 million,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$120.8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$4.8 million for depreciation and amortization. Our accrued liabilities increased by $6.5 million reflecting our increase in expenses and timing of payments and other net non-cash charges increased cash from operating activities by $2.8 million. Partially offsetting these benefits to our operating cash flow were a decrease in deferred revenue of $37.4 million, amortization of premium and accretion of discount on short-term investments, net of $7.8 million and an increase in deferred commissions of $4.8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Investing Activities</w:t>
      </w:r>
    </w:p>
    <w:p>
      <w:pPr>
        <w:spacing w:after="0" w:line="173" w:lineRule="exact"/>
        <w:rPr>
          <w:sz w:val="20"/>
          <w:szCs w:val="20"/>
          <w:color w:val="auto"/>
        </w:rPr>
      </w:pPr>
    </w:p>
    <w:p>
      <w:pPr>
        <w:ind w:right="640"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three months ended April 30, 2025 was $51.6 million, due to proceeds from maturities of marketable securities, net of purchases, of $60.0 million, partially offset by, cash used for investments in non-marketable securities of $4.8 million, payments related to a business combination, net of cash acquired of $2.0 million and purchases of property and equipment of $1.6 million.</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April 30, 2024 was $48.1 million, due to purchases of marketable securities, net of maturities, of $47.6 million and cash used for purchases of property and equipment of $0.5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Financing Activities</w:t>
      </w:r>
    </w:p>
    <w:p>
      <w:pPr>
        <w:spacing w:after="0" w:line="17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April 30, 2025 was $1.8 million, due to principal payments of finance leases of $2.4 million, partially offset by proceeds from the exercises of stock options of $0.6 million.</w:t>
      </w:r>
    </w:p>
    <w:p>
      <w:pPr>
        <w:spacing w:after="0" w:line="108"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April 30, 2024 was $1.1 million, due to principal repayments of finance leases, partly offset by proceeds from exercises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MongoDB Atlas revenue is recorded on a consumption basis and varies with usage, inclusive of seasonal variability. As MongoDB Atlas revenue continues to increase as a percentage of total revenue, these fluctuations may have a greater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April 30, 2025, there were no material changes outside the ordinary course of business to our contractual obligations and commitments from those disclosed in our 2025 Form 10-K. Refer to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With the exception of Business Combinations, as described below, there have been no other changes in our critical accounting estimates from those disclosed in Part II, Item 7, “Management’s Discussion and Analysis of Financial Condition and Results of Operations” of the 2025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3"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Interest Rate Risk</w:t>
      </w:r>
    </w:p>
    <w:p>
      <w:pPr>
        <w:spacing w:after="0" w:line="17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and our short-term investments consist of U.S. government treasury securities. As of April 30, 2025, we had cash, cash equivalents, restricted cash and short-term investments of $2.5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April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Foreign Currency Risk</w:t>
      </w:r>
    </w:p>
    <w:p>
      <w:pPr>
        <w:spacing w:after="0" w:line="17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three months ended April 30, 2025 and 2024.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Market Risk</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April 30, 2025 and January 31, 2025, the total amount of non-marketable securities included in other assets on our balance sheets was $28.7 million and $24.2 million,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3" w:lineRule="exact"/>
        <w:rPr>
          <w:sz w:val="20"/>
          <w:szCs w:val="20"/>
          <w:color w:val="auto"/>
        </w:rPr>
      </w:pPr>
    </w:p>
    <w:p>
      <w:pPr>
        <w:ind w:right="20" w:firstLine="486"/>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April 30, 2025. Based on the evaluation of our disclosure controls and procedures as of April 30, 2025, our Chief Executive Officer and Chief Financial Officer concluded that, as of such date, our disclosure controls and procedures were effective at the reasonable assurance level.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April 30, 2025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3"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Item 1 is incorporated by reference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Form 10-Q.</w:t>
      </w:r>
    </w:p>
    <w:p>
      <w:pPr>
        <w:spacing w:after="0" w:line="10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July 9, 2024, a putative class action lawsuit, captioned Baxter v. MongoDB, Inc., et al., was filed in the United States District Court for the Southern District of New York against MongoDB,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The Company is unable to estimate any reasonably possible loss, or range of loss, with respect to these matters at this time. The Company intends to vigorously defend itself in this matter.</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On October 7, 2024, a purported shareholder derivative lawsuit was filed in the U.S. District Court for the Southern District of New York , Case. No.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1:24-cv-07594, against the Company, as nominal defendant, and CEO Dev Ittycheria, former COO and CFO Michael Gordon, and several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and former directors. The case is captioned Roy v. Ittycheria et al. The lawsuit alleges that the individual defendants breached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duties and committed other alleged misconduct in connection with the statements at issue in the Securities Action and by causing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allegedly false and misleading statements to investors. Another similar case was subsequently filed in the same district and has been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Roy action with the caption In re MongoDB, Inc. Shareholder Litigation (the “Derivative Litigation”). The Derivative Litigation is at an early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stage and has been stayed, pending the outcome of the Court's decision on the defendants' motion to dismiss the Securities Action.</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w:t>
      </w:r>
    </w:p>
    <w:p>
      <w:pPr>
        <w:spacing w:after="0" w:line="17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7"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2"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as our costs increase, we may not be able to generate sufficient revenue to achieve or sustain profitability.</w:t>
      </w:r>
    </w:p>
    <w:p>
      <w:pPr>
        <w:spacing w:after="0" w:line="11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 and expect that intense competition will continue.</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our sales and marketing organization, we may be unable to add new customers or increase sales to our existing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offer Community Server under the Server Side Public License (“SSPL”) may harm the adoption of Community Server.</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model for Community Server could negatively affect our ability to monetize and protect our intellectual property rights.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6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especially among developers, our business and results of operations may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investments, including spending on information technology, disrupt the timing and cadence of key industry and marketing events and otherwise could materially and adversely affect the growth of our business and results of operations.</w:t>
      </w:r>
    </w:p>
    <w:p>
      <w:pPr>
        <w:spacing w:after="0" w:line="200" w:lineRule="exact"/>
        <w:rPr>
          <w:sz w:val="20"/>
          <w:szCs w:val="20"/>
          <w:color w:val="auto"/>
        </w:rPr>
      </w:pPr>
    </w:p>
    <w:p>
      <w:pPr>
        <w:spacing w:after="0" w:line="31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14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13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12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13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results of operations.</w:t>
      </w:r>
    </w:p>
    <w:p>
      <w:pPr>
        <w:spacing w:after="0" w:line="17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may not be able to generate sufficient revenue to achieve or sustain profitability.</w:t>
      </w:r>
    </w:p>
    <w:p>
      <w:pPr>
        <w:spacing w:after="0" w:line="1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incurred net losses in each period since our inception, including net losses of $129.1 million, $176.6 million and $345.4 million for the fiscal years ended January 31, 2025, 2024 and 2023, respectively. We had an accumulated deficit of $1.8 billion as of January 31, 2025.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0"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three months ended April 30, 2025.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3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60" w:firstLine="486"/>
        <w:spacing w:after="0" w:line="253" w:lineRule="auto"/>
        <w:rPr>
          <w:sz w:val="20"/>
          <w:szCs w:val="20"/>
          <w:color w:val="auto"/>
        </w:rPr>
      </w:pPr>
      <w:r>
        <w:rPr>
          <w:rFonts w:ascii="Times New Roman" w:cs="Times New Roman" w:eastAsia="Times New Roman" w:hAnsi="Times New Roman"/>
          <w:sz w:val="18"/>
          <w:szCs w:val="18"/>
          <w:color w:val="auto"/>
        </w:rPr>
        <w:t>Our subscription offerings are term-based and a majority of our subscription contracts are one year in duration.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3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8"/>
          <w:szCs w:val="18"/>
          <w:i w:val="1"/>
          <w:iCs w:val="1"/>
          <w:color w:val="auto"/>
        </w:rPr>
        <w:t>Unfavorable conditions in our industry or the global economy or reductions in information technology spending could limit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 our business and materially and adversely affect our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 and expect that intense competition will continue.</w:t>
      </w:r>
    </w:p>
    <w:p>
      <w:pPr>
        <w:spacing w:after="0" w:line="1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34"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spacing w:after="0" w:line="12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2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our sales and marketing organization, we may be unable to add new customers or increase sales to our existing customers.</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offer Community Server under the SSPL, may harm the adoption of Community Server.</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13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if the AGPL, the SSPL and other open source licenses under which some of our software is licensed are not enforceable.</w:t>
      </w:r>
    </w:p>
    <w:p>
      <w:pPr>
        <w:spacing w:after="0" w:line="105" w:lineRule="exact"/>
        <w:rPr>
          <w:sz w:val="20"/>
          <w:szCs w:val="20"/>
          <w:color w:val="auto"/>
        </w:rPr>
      </w:pPr>
    </w:p>
    <w:p>
      <w:pPr>
        <w:ind w:right="120" w:firstLine="486"/>
        <w:spacing w:after="0" w:line="274" w:lineRule="auto"/>
        <w:rPr>
          <w:sz w:val="20"/>
          <w:szCs w:val="20"/>
          <w:color w:val="auto"/>
        </w:rPr>
      </w:pPr>
      <w:r>
        <w:rPr>
          <w:rFonts w:ascii="Times New Roman" w:cs="Times New Roman" w:eastAsia="Times New Roman" w:hAnsi="Times New Roman"/>
          <w:sz w:val="17"/>
          <w:szCs w:val="17"/>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model for Community Server could negatively affect our ability to monetize and protect our intellectual property rights.</w:t>
      </w:r>
    </w:p>
    <w:p>
      <w:pPr>
        <w:spacing w:after="0" w:line="17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0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source libraries may be subject to inconsistent licensing terms. This could create further uncertainties as to the governing terms for the open source software we incorporate.</w:t>
      </w:r>
    </w:p>
    <w:p>
      <w:pPr>
        <w:spacing w:after="0" w:line="10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3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3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negative effect on our business, results of operations and financial condition.</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(“ML”),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4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and anticipated growth rates of our revenue, customers and other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pricing changes and other actions by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sales where subscriptions are bundled with services versus sold on a standalone basis and sales by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expand our sales and marketing capabilities and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software, particularly for our largest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the AGPL or SSPL;</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attributable to larger transactions as opposed to smaller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budgeting cycles and purchasing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consumption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potential customers opting for alternative products, including developing their own in-house solutions, or opting to use only the free version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other security incidents, technical difficulties, or interruptions with respect to the delivery and use of our software;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the level of service uptime and performance required by our customers;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 from customers and resellers, which may be hindered or delayed if these customers or resellers experience financial distress;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 domestic or international markets;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17"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three months ended April 30, 2025.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 See the section titled “Legal Proceedings” included in Part II, Item 1 of this Quarterly Report on Form 10-Q.</w:t>
      </w:r>
    </w:p>
    <w:p>
      <w:pPr>
        <w:spacing w:after="0" w:line="13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in our business, operations and employee headcount. For fiscal years 2025, 2024 and 2023, our total revenue was $2,006.4 million, $1,683.0 million, and $1,284.0 million, respectively, representing a 19% and 31% growth rate, respectively. We have also significantly increased the size of our customer base from over 3,200 customers as of January 31, 2017 to over 54,500 customers as of January 31, 2025, and we grew from 713 employees as of January 31, 2017 to 5,558 employees as of January 31, 2025. We expect to continue to expand our operations and employee headcount in the near term. Our success will depend in part on our ability to continue to grow and to manage this growth, domestically and internationally, effectively.</w:t>
      </w:r>
    </w:p>
    <w:p>
      <w:pPr>
        <w:spacing w:after="0" w:line="13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2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14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24" w:lineRule="exact"/>
        <w:rPr>
          <w:sz w:val="20"/>
          <w:szCs w:val="20"/>
          <w:color w:val="auto"/>
        </w:rPr>
      </w:pPr>
    </w:p>
    <w:p>
      <w:pPr>
        <w:ind w:right="60" w:firstLine="486"/>
        <w:spacing w:after="0" w:line="236" w:lineRule="auto"/>
        <w:rPr>
          <w:sz w:val="20"/>
          <w:szCs w:val="20"/>
          <w:color w:val="auto"/>
        </w:rPr>
      </w:pPr>
      <w:r>
        <w:rPr>
          <w:rFonts w:ascii="Times New Roman" w:cs="Times New Roman" w:eastAsia="Times New Roman" w:hAnsi="Times New Roman"/>
          <w:sz w:val="18"/>
          <w:szCs w:val="18"/>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126"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spacing w:after="0" w:line="13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breaches and other security incidents.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disclosures are costly, and the disclosures or the failure to comply with such requirements could lead to adverse consequences.</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3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may be long and is unpredictable and our sales efforts require considerable time and expense.</w:t>
      </w:r>
    </w:p>
    <w:p>
      <w:pPr>
        <w:spacing w:after="0" w:line="1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in particular new sales people as we increase the size of our sales 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a customer’s procurement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of our free offerings to paying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of competing products during the purchasing process;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1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forced to reduce prices for our subscription offerings and as a result our revenue and results of operations will be harmed.</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Even if we do attract new customers, the cost of new customer acquisition, product implementation and ongoing customer support may prove so high as to prevent us from achieving or sustaining profitability. For example, in fiscal years 2025, 2024 and 2023, total sales and marketing expense represented 43% , 47%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0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3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3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13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2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Furthermore, from time to time, U.S. presidential administrations have issued, and may in the future issue, Executive Orders related to cybersecurity practices that may affect our business. For example,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4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3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EU Member States have flexibility in identifying the types of entities considered “essential.” The deadline for EU Member States to transpose NIS2 into national law was October 17, 2024. However only a small number of Member States have met that deadline, creating ongoing uncertainty around how NIS2 will impact our business.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w:t>
      </w:r>
    </w:p>
    <w:p>
      <w:pPr>
        <w:spacing w:after="0" w:line="13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spacing w:after="0" w:line="12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1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3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3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0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intellectual property rights. As of January 31, 2025, we had 84 issued patents and 47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5"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1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partners, our business, results of operations and financial condition could be harmed.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3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commitments, our business, results of operations and financial condition could be adversely affected.</w:t>
      </w:r>
    </w:p>
    <w:p>
      <w:pPr>
        <w:spacing w:after="0" w:line="175"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22"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2" w:lineRule="exact"/>
        <w:rPr>
          <w:sz w:val="20"/>
          <w:szCs w:val="20"/>
          <w:color w:val="auto"/>
        </w:rPr>
      </w:pPr>
    </w:p>
    <w:p>
      <w:pPr>
        <w:ind w:right="380" w:firstLine="486"/>
        <w:spacing w:after="0" w:line="312"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3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especially among developers, our business and results of operations may be adversely affected.</w:t>
      </w:r>
    </w:p>
    <w:p>
      <w:pPr>
        <w:spacing w:after="0" w:line="1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2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which could adversely impact our corporate culture. In addition, we may need to adapt our corporate culture and work environments to changing circumstances, such as during times of a natural disaster or pandemic.</w:t>
      </w:r>
    </w:p>
    <w:p>
      <w:pPr>
        <w:spacing w:after="0" w:line="10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0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could expose us to substantial liability for data breaches, intellectual property infringement and other losses.</w:t>
      </w:r>
    </w:p>
    <w:p>
      <w:pPr>
        <w:spacing w:after="0" w:line="10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sales to customers outside the United States, our business is susceptible to risks associated with international operations.</w:t>
      </w:r>
    </w:p>
    <w:p>
      <w:pPr>
        <w:spacing w:after="0" w:line="10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internationally and we are susceptible to risks related to our international operations. In the fiscal years ended January 31, 2025, 2024 and 2023, total revenue generated from customers outside the United States was 46%, 46% and 45%,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privacy and security and the unauthorized use of, or access to, commercial and personal data, particularly in EMEA;</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1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0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3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3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122" w:lineRule="exact"/>
        <w:rPr>
          <w:sz w:val="20"/>
          <w:szCs w:val="20"/>
          <w:color w:val="auto"/>
        </w:rPr>
      </w:pPr>
    </w:p>
    <w:p>
      <w:pPr>
        <w:ind w:right="140" w:firstLine="486"/>
        <w:spacing w:after="0"/>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we face in connection with any acquisitions or strategic investments include:</w:t>
      </w:r>
    </w:p>
    <w:p>
      <w:pPr>
        <w:spacing w:after="0" w:line="171"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strategic investment may disrupt our ongoing business, divert resources, increase our expenses and distract our management;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2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sell any acquired products or increase adoption or usage of acquired products, or increase spend by acquired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or strategic investment would limit other potential uses for our cash;</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including financial maintenance covenants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liability arising from prior or ongoing acts or omissions by the acquired businesses which are not discovered by due diligence during the acquisition process or that prove to have a greater than anticipated adverse 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2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7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reporting, we have expended and anticipate that we will continue to expend, significant resources, including accounting-related costs and significant management oversight.</w:t>
      </w:r>
    </w:p>
    <w:p>
      <w:pPr>
        <w:spacing w:after="0" w:line="10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3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133" w:lineRule="exact"/>
        <w:rPr>
          <w:sz w:val="20"/>
          <w:szCs w:val="20"/>
          <w:color w:val="auto"/>
        </w:rPr>
      </w:pPr>
    </w:p>
    <w:p>
      <w:pPr>
        <w:jc w:val="both"/>
        <w:ind w:right="540" w:firstLine="486"/>
        <w:spacing w:after="0" w:line="266" w:lineRule="auto"/>
        <w:rPr>
          <w:sz w:val="20"/>
          <w:szCs w:val="20"/>
          <w:color w:val="auto"/>
        </w:rPr>
      </w:pPr>
      <w:r>
        <w:rPr>
          <w:rFonts w:ascii="Times New Roman" w:cs="Times New Roman" w:eastAsia="Times New Roman" w:hAnsi="Times New Roman"/>
          <w:sz w:val="18"/>
          <w:szCs w:val="18"/>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As of January 31, 2025,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0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0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26"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As of April 30, 2025,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2"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138"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13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13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Social, ethical, security and regulatory issues relating to the use of new and evolving technologies, such as AI and ML, in our offerings or partnerships may result in reputational harm and liability.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Social, ethical, security and regulatory issues relating to the use of new and evolving technologies such as AI and ML, including generative AI and AI models, in our offerings, internal operations or partnerships, may result in reputational harm and liability, and may cause us to incur additional research and development costs to resolve such issues. As with many innovations, AI and ML presents risks and challenges that could affect its adoption, and therefore our business.</w:t>
      </w:r>
    </w:p>
    <w:p>
      <w:pPr>
        <w:spacing w:after="0" w:line="12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we enable or offer solutions that draw controversy due to their perceived or actual impact on society or if the content, analyses or recommendations that AI and ML-powered solutions assist in producing in our products and services are, or are perceived to be, deficient, inaccurate, biased, unethical or otherwise flawed, we may experience brand or reputational harm, competitive harm or legal liability. Potential government regulation related to AI and ML use and ethics may also increase the burden and cost of research and development in this area, and failure to properly remediate AI and ML usage or ethics issues may cause public confidence in AI and ML to be undermined. The rapid evolution of AI and ML will require the application of resources to develop, test and maintain any potential offerings or partnerships to help ensure that AI and ML are implemented ethically in order to minimize unintended, harmful impact.</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AI and ML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and ML also make it cheaper for attackers to create malware, phishing, code reviews, or other tools at a high volume. AI and ML may change the way our industry identifies and responds to cybersecurity threats, and businesses that are slow to adopt or fail to adopt such new technologies may face a competitive disadvantage.</w:t>
      </w:r>
    </w:p>
    <w:p>
      <w:pPr>
        <w:spacing w:after="0" w:line="1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the regulatory framework for AI, ML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ML or related technologies, our financial condition and our results of operations, including as a result of the cost to comply with such laws or regulations.</w:t>
      </w:r>
    </w:p>
    <w:p>
      <w:pPr>
        <w:spacing w:after="0" w:line="1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AI-or ML-generated works and the potential for security flaws in output code.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and ML-powered software, will depend on our implementation, maintenance, monitoring and enforcement of appropriate technical and administrative safeguards, policies and procedures governing the use of AI and ML in our business.</w:t>
      </w:r>
    </w:p>
    <w:p>
      <w:pPr>
        <w:spacing w:after="0" w:line="13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security breaches or other security incidents that implicate the personal data of users of AI-powered applications. If we experience security breaches or incidents in connection with our use of AI and ML, it could adversely affect our reputation and expose us to legal liability or regulatory risk.</w:t>
      </w:r>
    </w:p>
    <w:p>
      <w:pPr>
        <w:spacing w:after="0" w:line="13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Further, potential government regulation related to AI and ML use and ethics may also increase the burden and cost of research and development in this area, and failure to properly remediate AI and ML usage or ethics issues may cause public confidence in AI and ML to be undermined, which could slow adoption of AI and ML in our products and services. For example, the European Union’s Artificial Intelligence Act (the “EU AI Act”) entered into force on August 1, 2024, with the first set of provisions thereunder becoming effective on February 2, 2025. The EU AI Act establishes, among other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general purpose, which we currently have, or considered high risk. We may not be able to anticipate how to respond to these rapidly evolving frameworks, and we may need to expend resources to adjust our operations or offerings in certain jurisdictions if the legal frameworks are inconsistent across jurisdictions. Furthermore, because AI and ML technology itself is highly complex and rapidly developing, it is not possible to predict all of the legal, operational or technological risks that may arise relating to the use of AI and ML. The cost to comply with such laws or regulations could be significant and would increase our operating expenses, which could adversely affect our business, financial condition and results of operations.</w:t>
      </w:r>
    </w:p>
    <w:p>
      <w:pPr>
        <w:spacing w:after="0" w:line="13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the utilization of AI and ML becomes more prevalent, we anticipate that it will continue to present new or unanticipated ethical, reputational, technical, operational, legal, competitive and regulatory issues, among others. We expect that our incorporation of AI and ML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and ML could adversely affect our business, financial condition and results of operations.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AI and ML technologies in our product offerings and internal operations may not produce the desired benefits, and may result in increased liability, reputational harm, or other adverse consequences.</w:t>
      </w:r>
    </w:p>
    <w:p>
      <w:pPr>
        <w:spacing w:after="0" w:line="172"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We are increasingly utilizing and building AI and ML capabilities into our business, as well as incorporating AI and ML into our internal operations. We expect AI and ML solutions and features to help drive future growth in our business, but there can be no assurance that we will realize the desired or anticipated benefits from AI and ML.</w:t>
      </w:r>
    </w:p>
    <w:p>
      <w:pPr>
        <w:spacing w:after="0" w:line="190"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We may fail to properly implement or market our AI and ML solutions and features. Our competitors or other third parties may incorporate AI and ML into their products, offerings, and solutions more quickly or more successfully than us, which could impair our ability to compete effectively and adversely affect our results of operations. Our ability to effectively implement and market our AI and ML solutions and features will depend, in part, on our ability to attract and retain employees with AI and ML expertise, and we expect significant competition for professionals with the skills and technical knowledge that we will require.</w:t>
      </w:r>
    </w:p>
    <w:p>
      <w:pPr>
        <w:spacing w:after="0" w:line="212"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18"/>
          <w:szCs w:val="18"/>
          <w:color w:val="auto"/>
        </w:rPr>
        <w:t>Additionally, our offerings based on AI and ML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and ML solutions or features assist in producing are or are alleged to be deficient,</w:t>
      </w:r>
    </w:p>
    <w:p>
      <w:pPr>
        <w:spacing w:after="0" w:line="2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insufficient, of poor quality, inaccurate, or biased, or if such content, recommendations, solutions or features or their development or deployment (including the collection, use, or other processing of data used to train or create such AI and ML solutions or features) are found to have or alleged to have infringed upon or misappropriated third-party intellectual property rights or violate applicable laws, regulations, or other actual or asserted legal obligations to which we are or may become subject. Such risks and challenges could undermine public confidence in AI and ML, which could slow or even halt their adoption and negatively affect our business. The legal, regulatory, and policy environments around AI and ML are evolving rapidly, and we may become subject to new and evolving legal and other obligations. These and other developments may require us to make significant changes to our use of AI and ML, including by limiting or restricting our use of AI and ML, and which may require us to make significant changes to our policies and practices, which may necessitate expenditure of significant time, expense, and other resources.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which could cause the value of our common stock to decline.</w:t>
      </w:r>
    </w:p>
    <w:p>
      <w:pPr>
        <w:spacing w:after="0" w:line="1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acquisitions or other events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our product and future product offerings and releases;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 or other security incident involving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in our domestic and foreign markets;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“flash crashes,” “freeze flashes” or other glitches that disrupt trading on the securities exchange on which we are listed.</w:t>
      </w:r>
    </w:p>
    <w:p>
      <w:pPr>
        <w:spacing w:after="0" w:line="11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91" w:lineRule="exact"/>
        <w:rPr>
          <w:sz w:val="20"/>
          <w:szCs w:val="20"/>
          <w:color w:val="auto"/>
        </w:rPr>
      </w:pPr>
    </w:p>
    <w:p>
      <w:pPr>
        <w:ind w:right="160" w:firstLine="486"/>
        <w:spacing w:after="0" w:line="235" w:lineRule="auto"/>
        <w:rPr>
          <w:sz w:val="20"/>
          <w:szCs w:val="20"/>
          <w:color w:val="auto"/>
        </w:rPr>
      </w:pPr>
      <w:r>
        <w:rPr>
          <w:rFonts w:ascii="Times New Roman" w:cs="Times New Roman" w:eastAsia="Times New Roman" w:hAnsi="Times New Roman"/>
          <w:sz w:val="18"/>
          <w:szCs w:val="18"/>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4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8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75"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1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2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8"/>
          <w:szCs w:val="18"/>
          <w:color w:val="212529"/>
        </w:rPr>
        <w:t>While the Delaware courts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05"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22" w:lineRule="exact"/>
        <w:rPr>
          <w:sz w:val="20"/>
          <w:szCs w:val="20"/>
          <w:color w:val="auto"/>
        </w:rPr>
      </w:pPr>
    </w:p>
    <w:p>
      <w:pPr>
        <w:ind w:left="660" w:right="4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jc w:val="both"/>
        <w:ind w:left="660" w:right="560" w:hanging="328"/>
        <w:spacing w:after="0" w:line="312"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right="7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both"/>
        <w:ind w:left="660" w:right="3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0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cause the market price of our common stock to decline.</w:t>
      </w:r>
    </w:p>
    <w:p>
      <w:pPr>
        <w:spacing w:after="0" w:line="10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0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25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a share repurchase program (the “Share Repurchase Program”) pursuant to which we are authorized to repurchase up to $1,000,000,000 of our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2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3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Repurchasing our common stock will reduce the amount of cash we have available to fund working capital, repayment of debt, capital expenditures, strategic acquisitions or business opportunities, and other general corporate purposes, and we may fail to realize the anticipated long-term stockholder value of our share repurchase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past, we incurred significant amounts of debt and may in the future incur additional indebtedness. We may not have sufficient cash flow from our business to make payments on such debt when due.</w:t>
      </w:r>
    </w:p>
    <w:p>
      <w:pPr>
        <w:spacing w:after="0" w:line="10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and our subsidiaries may incur substantial additional debt in the future, subject to the restrictions contained in our future debt agreements, some of which may be secured debt.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33"/>
        <w:spacing w:after="0" w:line="253" w:lineRule="auto"/>
        <w:rPr>
          <w:sz w:val="20"/>
          <w:szCs w:val="20"/>
          <w:color w:val="auto"/>
        </w:rPr>
      </w:pPr>
      <w:r>
        <w:rPr>
          <w:rFonts w:ascii="Times New Roman" w:cs="Times New Roman" w:eastAsia="Times New Roman" w:hAnsi="Times New Roman"/>
          <w:sz w:val="18"/>
          <w:szCs w:val="18"/>
          <w:color w:val="auto"/>
        </w:rPr>
        <w:t>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pacing w:after="0" w:line="13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common stock.</w:t>
      </w:r>
    </w:p>
    <w:p>
      <w:pPr>
        <w:spacing w:after="0" w:line="175" w:lineRule="exact"/>
        <w:rPr>
          <w:sz w:val="20"/>
          <w:szCs w:val="20"/>
          <w:color w:val="auto"/>
        </w:rPr>
      </w:pPr>
    </w:p>
    <w:p>
      <w:pPr>
        <w:ind w:left="33"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2026 Notes, all of which were redeemed in December 2024, we entered into privately negotiated capped call transactions with certain counterparties. The capped call transactions cover, subject to customary adjustments, the number of shares of our common stock initially underlying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w:t>
      </w:r>
    </w:p>
    <w:p>
      <w:pPr>
        <w:spacing w:after="0" w:line="126" w:lineRule="exact"/>
        <w:rPr>
          <w:sz w:val="20"/>
          <w:szCs w:val="20"/>
          <w:color w:val="auto"/>
        </w:rPr>
      </w:pPr>
    </w:p>
    <w:p>
      <w:pPr>
        <w:ind w:left="33" w:right="60" w:firstLine="486"/>
        <w:spacing w:after="0" w:line="256"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expiration of the capped call transactions (and are likely to do so on each exercise date of the capped call transactions, which are scheduled to occur during a 40 day trading day period prior to expiration of the capped call transactions.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134"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5" w:lineRule="exact"/>
        <w:rPr>
          <w:sz w:val="20"/>
          <w:szCs w:val="20"/>
          <w:color w:val="auto"/>
        </w:rPr>
      </w:pPr>
    </w:p>
    <w:p>
      <w:pPr>
        <w:ind w:left="533" w:right="7180" w:hanging="492"/>
        <w:spacing w:after="0" w:line="438" w:lineRule="auto"/>
        <w:tabs>
          <w:tab w:leader="none" w:pos="52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ind w:left="533" w:right="9520" w:hanging="492"/>
        <w:spacing w:after="0" w:line="438" w:lineRule="auto"/>
        <w:tabs>
          <w:tab w:leader="none" w:pos="523"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ind w:left="493" w:hanging="493"/>
        <w:spacing w:after="0"/>
        <w:tabs>
          <w:tab w:leader="none" w:pos="49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533"/>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50"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160" w:lineRule="exact"/>
        <w:rPr>
          <w:sz w:val="20"/>
          <w:szCs w:val="20"/>
          <w:color w:val="auto"/>
        </w:rPr>
      </w:pPr>
    </w:p>
    <w:p>
      <w:pPr>
        <w:ind w:left="33" w:right="420" w:firstLine="405"/>
        <w:spacing w:after="0" w:line="266" w:lineRule="auto"/>
        <w:rPr>
          <w:sz w:val="20"/>
          <w:szCs w:val="20"/>
          <w:color w:val="auto"/>
        </w:rPr>
      </w:pPr>
      <w:r>
        <w:rPr>
          <w:rFonts w:ascii="Times New Roman" w:cs="Times New Roman" w:eastAsia="Times New Roman" w:hAnsi="Times New Roman"/>
          <w:sz w:val="18"/>
          <w:szCs w:val="18"/>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13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none of our executive officers or directors adopted, terminated or modified a 10b5-1 equity trading plan, or adopted, terminated, or modified any “non-Rule 10b5-1 equity trading arrangement”.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June 3, 2025, the Company’s Board of Directors authorized an additional $800.0 million in repurchases under the Company’s existing share repurchase program, bringing the aggregate authorized repurchase amount to $1.0 billion.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172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172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40" w:type="dxa"/>
            <w:vAlign w:val="bottom"/>
            <w:gridSpan w:val="7"/>
            <w:vMerge w:val="continue"/>
          </w:tcPr>
          <w:p>
            <w:pPr>
              <w:spacing w:after="0"/>
              <w:rPr>
                <w:sz w:val="3"/>
                <w:szCs w:val="3"/>
                <w:color w:val="auto"/>
              </w:rPr>
            </w:pPr>
          </w:p>
        </w:tc>
        <w:tc>
          <w:tcPr>
            <w:tcW w:w="5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Amended and Restated Certificate of Incorporation of Registrant</w:t>
              </w:r>
            </w:hyperlink>
          </w:p>
        </w:tc>
        <w:tc>
          <w:tcPr>
            <w:tcW w:w="460" w:type="dxa"/>
            <w:vAlign w:val="bottom"/>
            <w:gridSpan w:val="3"/>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40" w:type="dxa"/>
            <w:vAlign w:val="bottom"/>
            <w:gridSpan w:val="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Certificate of Retirement</w:t>
              </w:r>
            </w:hyperlink>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Amended and Restated Bylaws of Registrant</w:t>
              </w:r>
            </w:hyperlink>
          </w:p>
        </w:tc>
        <w:tc>
          <w:tcPr>
            <w:tcW w:w="1900" w:type="dxa"/>
            <w:vAlign w:val="bottom"/>
            <w:gridSpan w:val="4"/>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11/20/2024</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Offer Letter, dated April 14, 2025, by and between the Registrant</w:t>
            </w: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and Michael Berry</w:t>
            </w:r>
          </w:p>
        </w:tc>
        <w:tc>
          <w:tcPr>
            <w:tcW w:w="3340" w:type="dxa"/>
            <w:vAlign w:val="bottom"/>
            <w:tcBorders>
              <w:top w:val="single" w:sz="8" w:color="0000FF"/>
            </w:tcBorders>
            <w:gridSpan w:val="4"/>
          </w:tcPr>
          <w:p>
            <w:pPr>
              <w:spacing w:after="0"/>
              <w:rPr>
                <w:sz w:val="13"/>
                <w:szCs w:val="13"/>
                <w:color w:val="auto"/>
              </w:rPr>
            </w:pPr>
          </w:p>
        </w:tc>
        <w:tc>
          <w:tcPr>
            <w:tcW w:w="4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2">
            <w:col w:w="740" w:space="340"/>
            <w:col w:w="10160"/>
          </w:cols>
          <w:pgMar w:left="320" w:top="13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2440" w:type="dxa"/>
            <w:vAlign w:val="bottom"/>
          </w:tcPr>
          <w:p>
            <w:pPr>
              <w:ind w:left="2360"/>
              <w:spacing w:after="0"/>
              <w:rPr>
                <w:sz w:val="20"/>
                <w:szCs w:val="20"/>
                <w:color w:val="auto"/>
              </w:rPr>
            </w:pPr>
            <w:r>
              <w:rPr>
                <w:rFonts w:ascii="Times New Roman" w:cs="Times New Roman" w:eastAsia="Times New Roman" w:hAnsi="Times New Roman"/>
                <w:sz w:val="17"/>
                <w:szCs w:val="17"/>
                <w:color w:val="auto"/>
                <w:w w:val="70"/>
              </w:rPr>
              <w:t>x</w:t>
            </w:r>
          </w:p>
        </w:tc>
      </w:tr>
      <w:tr>
        <w:trPr>
          <w:trHeight w:val="155"/>
        </w:trPr>
        <w:tc>
          <w:tcPr>
            <w:tcW w:w="108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730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440" w:type="dxa"/>
            <w:vAlign w:val="bottom"/>
          </w:tcPr>
          <w:p>
            <w:pPr>
              <w:spacing w:after="0"/>
              <w:rPr>
                <w:sz w:val="14"/>
                <w:szCs w:val="14"/>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7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w:t>
            </w:r>
          </w:p>
        </w:tc>
        <w:tc>
          <w:tcPr>
            <w:tcW w:w="180" w:type="dxa"/>
            <w:vAlign w:val="bottom"/>
            <w:tcBorders>
              <w:top w:val="single" w:sz="8" w:color="0000FF"/>
            </w:tcBorders>
            <w:gridSpan w:val="3"/>
          </w:tcPr>
          <w:p>
            <w:pPr>
              <w:spacing w:after="0"/>
              <w:rPr>
                <w:sz w:val="22"/>
                <w:szCs w:val="22"/>
                <w:color w:val="auto"/>
              </w:rPr>
            </w:pPr>
          </w:p>
        </w:tc>
        <w:tc>
          <w:tcPr>
            <w:tcW w:w="2360" w:type="dxa"/>
            <w:vAlign w:val="bottom"/>
          </w:tcPr>
          <w:p>
            <w:pPr>
              <w:spacing w:after="0"/>
              <w:rPr>
                <w:sz w:val="22"/>
                <w:szCs w:val="22"/>
                <w:color w:val="auto"/>
              </w:rPr>
            </w:pPr>
          </w:p>
        </w:tc>
        <w:tc>
          <w:tcPr>
            <w:tcW w:w="2440" w:type="dxa"/>
            <w:vAlign w:val="bottom"/>
          </w:tcPr>
          <w:p>
            <w:pPr>
              <w:ind w:left="2360"/>
              <w:spacing w:after="0"/>
              <w:rPr>
                <w:sz w:val="20"/>
                <w:szCs w:val="20"/>
                <w:color w:val="auto"/>
              </w:rPr>
            </w:pPr>
            <w:r>
              <w:rPr>
                <w:rFonts w:ascii="Times New Roman" w:cs="Times New Roman" w:eastAsia="Times New Roman" w:hAnsi="Times New Roman"/>
                <w:sz w:val="17"/>
                <w:szCs w:val="17"/>
                <w:color w:val="auto"/>
                <w:w w:val="70"/>
              </w:rPr>
              <w:t>x</w:t>
            </w:r>
          </w:p>
        </w:tc>
      </w:tr>
      <w:tr>
        <w:trPr>
          <w:trHeight w:val="156"/>
        </w:trPr>
        <w:tc>
          <w:tcPr>
            <w:tcW w:w="1080" w:type="dxa"/>
            <w:vAlign w:val="bottom"/>
          </w:tcPr>
          <w:p>
            <w:pPr>
              <w:spacing w:after="0"/>
              <w:rPr>
                <w:sz w:val="13"/>
                <w:szCs w:val="13"/>
                <w:color w:val="auto"/>
              </w:rPr>
            </w:pPr>
          </w:p>
        </w:tc>
        <w:tc>
          <w:tcPr>
            <w:tcW w:w="4820" w:type="dxa"/>
            <w:vAlign w:val="bottom"/>
            <w:tcBorders>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480" w:type="dxa"/>
            <w:vAlign w:val="bottom"/>
            <w:gridSpan w:val="2"/>
          </w:tcPr>
          <w:p>
            <w:pPr>
              <w:spacing w:after="0"/>
              <w:rPr>
                <w:sz w:val="13"/>
                <w:szCs w:val="13"/>
                <w:color w:val="auto"/>
              </w:rPr>
            </w:pPr>
          </w:p>
        </w:tc>
        <w:tc>
          <w:tcPr>
            <w:tcW w:w="244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730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440" w:type="dxa"/>
            <w:vAlign w:val="bottom"/>
          </w:tcPr>
          <w:p>
            <w:pPr>
              <w:spacing w:after="0"/>
              <w:rPr>
                <w:sz w:val="14"/>
                <w:szCs w:val="14"/>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360" w:type="dxa"/>
            <w:vAlign w:val="bottom"/>
          </w:tcPr>
          <w:p>
            <w:pPr>
              <w:spacing w:after="0"/>
              <w:rPr>
                <w:sz w:val="22"/>
                <w:szCs w:val="22"/>
                <w:color w:val="auto"/>
              </w:rPr>
            </w:pPr>
          </w:p>
        </w:tc>
        <w:tc>
          <w:tcPr>
            <w:tcW w:w="2440" w:type="dxa"/>
            <w:vAlign w:val="bottom"/>
          </w:tcPr>
          <w:p>
            <w:pPr>
              <w:ind w:left="2360"/>
              <w:spacing w:after="0"/>
              <w:rPr>
                <w:sz w:val="20"/>
                <w:szCs w:val="20"/>
                <w:color w:val="auto"/>
              </w:rPr>
            </w:pPr>
            <w:r>
              <w:rPr>
                <w:rFonts w:ascii="Times New Roman" w:cs="Times New Roman" w:eastAsia="Times New Roman" w:hAnsi="Times New Roman"/>
                <w:sz w:val="17"/>
                <w:szCs w:val="17"/>
                <w:color w:val="auto"/>
                <w:w w:val="70"/>
              </w:rPr>
              <w:t>x</w:t>
            </w:r>
          </w:p>
        </w:tc>
      </w:tr>
      <w:tr>
        <w:trPr>
          <w:trHeight w:val="156"/>
        </w:trPr>
        <w:tc>
          <w:tcPr>
            <w:tcW w:w="1080" w:type="dxa"/>
            <w:vAlign w:val="bottom"/>
          </w:tcPr>
          <w:p>
            <w:pPr>
              <w:spacing w:after="0"/>
              <w:rPr>
                <w:sz w:val="13"/>
                <w:szCs w:val="13"/>
                <w:color w:val="auto"/>
              </w:rPr>
            </w:pPr>
          </w:p>
        </w:tc>
        <w:tc>
          <w:tcPr>
            <w:tcW w:w="474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2560" w:type="dxa"/>
            <w:vAlign w:val="bottom"/>
            <w:gridSpan w:val="5"/>
          </w:tcPr>
          <w:p>
            <w:pPr>
              <w:jc w:val="right"/>
              <w:ind w:right="2480"/>
              <w:spacing w:after="0" w:line="156" w:lineRule="exact"/>
              <w:rPr>
                <w:sz w:val="20"/>
                <w:szCs w:val="20"/>
                <w:color w:val="auto"/>
              </w:rPr>
            </w:pPr>
            <w:r>
              <w:rPr>
                <w:rFonts w:ascii="Times New Roman" w:cs="Times New Roman" w:eastAsia="Times New Roman" w:hAnsi="Times New Roman"/>
                <w:sz w:val="18"/>
                <w:szCs w:val="18"/>
                <w:color w:val="0000FF"/>
                <w:w w:val="99"/>
              </w:rPr>
              <w:t>-</w:t>
            </w:r>
          </w:p>
        </w:tc>
        <w:tc>
          <w:tcPr>
            <w:tcW w:w="244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5"/>
          </w:tcPr>
          <w:p>
            <w:pPr>
              <w:spacing w:after="0"/>
              <w:rPr>
                <w:sz w:val="14"/>
                <w:szCs w:val="14"/>
                <w:color w:val="auto"/>
              </w:rPr>
            </w:pPr>
          </w:p>
        </w:tc>
        <w:tc>
          <w:tcPr>
            <w:tcW w:w="24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2440" w:type="dxa"/>
            <w:vAlign w:val="bottom"/>
          </w:tcPr>
          <w:p>
            <w:pPr>
              <w:ind w:left="2360"/>
              <w:spacing w:after="0"/>
              <w:rPr>
                <w:sz w:val="20"/>
                <w:szCs w:val="20"/>
                <w:color w:val="auto"/>
              </w:rPr>
            </w:pPr>
            <w:r>
              <w:rPr>
                <w:rFonts w:ascii="Times New Roman" w:cs="Times New Roman" w:eastAsia="Times New Roman" w:hAnsi="Times New Roman"/>
                <w:sz w:val="17"/>
                <w:szCs w:val="17"/>
                <w:color w:val="auto"/>
                <w:w w:val="70"/>
              </w:rPr>
              <w:t>x</w:t>
            </w:r>
          </w:p>
        </w:tc>
      </w:tr>
      <w:tr>
        <w:trPr>
          <w:trHeight w:val="156"/>
        </w:trPr>
        <w:tc>
          <w:tcPr>
            <w:tcW w:w="1080" w:type="dxa"/>
            <w:vAlign w:val="bottom"/>
          </w:tcPr>
          <w:p>
            <w:pPr>
              <w:spacing w:after="0"/>
              <w:rPr>
                <w:sz w:val="13"/>
                <w:szCs w:val="13"/>
                <w:color w:val="auto"/>
              </w:rPr>
            </w:pPr>
          </w:p>
        </w:tc>
        <w:tc>
          <w:tcPr>
            <w:tcW w:w="470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 of the Sarbanes</w:t>
            </w:r>
          </w:p>
        </w:tc>
        <w:tc>
          <w:tcPr>
            <w:tcW w:w="2600" w:type="dxa"/>
            <w:vAlign w:val="bottom"/>
            <w:gridSpan w:val="6"/>
          </w:tcPr>
          <w:p>
            <w:pPr>
              <w:jc w:val="right"/>
              <w:ind w:right="2480"/>
              <w:spacing w:after="0" w:line="156" w:lineRule="exact"/>
              <w:rPr>
                <w:sz w:val="20"/>
                <w:szCs w:val="20"/>
                <w:color w:val="auto"/>
              </w:rPr>
            </w:pPr>
            <w:r>
              <w:rPr>
                <w:rFonts w:ascii="Times New Roman" w:cs="Times New Roman" w:eastAsia="Times New Roman" w:hAnsi="Times New Roman"/>
                <w:sz w:val="18"/>
                <w:szCs w:val="18"/>
                <w:color w:val="0000FF"/>
              </w:rPr>
              <w:t>-</w:t>
            </w:r>
          </w:p>
        </w:tc>
        <w:tc>
          <w:tcPr>
            <w:tcW w:w="244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5"/>
          </w:tcPr>
          <w:p>
            <w:pPr>
              <w:spacing w:after="0"/>
              <w:rPr>
                <w:sz w:val="14"/>
                <w:szCs w:val="14"/>
                <w:color w:val="auto"/>
              </w:rPr>
            </w:pPr>
          </w:p>
        </w:tc>
        <w:tc>
          <w:tcPr>
            <w:tcW w:w="24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440" w:type="dxa"/>
            <w:vAlign w:val="bottom"/>
          </w:tcPr>
          <w:p>
            <w:pPr>
              <w:spacing w:after="0"/>
              <w:rPr>
                <w:sz w:val="24"/>
                <w:szCs w:val="24"/>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440" w:type="dxa"/>
            <w:vAlign w:val="bottom"/>
          </w:tcPr>
          <w:p>
            <w:pPr>
              <w:spacing w:after="0"/>
              <w:rPr>
                <w:sz w:val="24"/>
                <w:szCs w:val="24"/>
                <w:color w:val="auto"/>
              </w:rPr>
            </w:pP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440" w:type="dxa"/>
            <w:vAlign w:val="bottom"/>
          </w:tcPr>
          <w:p>
            <w:pPr>
              <w:spacing w:after="0"/>
              <w:rPr>
                <w:sz w:val="24"/>
                <w:szCs w:val="24"/>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440" w:type="dxa"/>
            <w:vAlign w:val="bottom"/>
          </w:tcPr>
          <w:p>
            <w:pPr>
              <w:spacing w:after="0"/>
              <w:rPr>
                <w:sz w:val="24"/>
                <w:szCs w:val="24"/>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440" w:type="dxa"/>
            <w:vAlign w:val="bottom"/>
          </w:tcPr>
          <w:p>
            <w:pPr>
              <w:spacing w:after="0"/>
              <w:rPr>
                <w:sz w:val="24"/>
                <w:szCs w:val="24"/>
                <w:color w:val="auto"/>
              </w:rPr>
            </w:pP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440" w:type="dxa"/>
            <w:vAlign w:val="bottom"/>
          </w:tcPr>
          <w:p>
            <w:pPr>
              <w:spacing w:after="0"/>
              <w:rPr>
                <w:sz w:val="24"/>
                <w:szCs w:val="24"/>
                <w:color w:val="auto"/>
              </w:rPr>
            </w:pPr>
          </w:p>
        </w:tc>
      </w:tr>
    </w:tbl>
    <w:p>
      <w:pPr>
        <w:spacing w:after="0" w:line="49" w:lineRule="exact"/>
        <w:rPr>
          <w:sz w:val="20"/>
          <w:szCs w:val="20"/>
          <w:color w:val="auto"/>
        </w:rPr>
      </w:pPr>
    </w:p>
    <w:p>
      <w:pPr>
        <w:ind w:left="1100" w:right="6320" w:hanging="1074"/>
        <w:spacing w:after="0" w:line="237"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ind w:left="1100" w:hanging="651"/>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1100" w:right="60" w:hanging="651"/>
        <w:spacing w:after="0" w:line="224" w:lineRule="auto"/>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644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9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2025</w:t>
            </w:r>
          </w:p>
        </w:tc>
        <w:tc>
          <w:tcPr>
            <w:tcW w:w="23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Dev Ittycheria</w:t>
            </w:r>
          </w:p>
        </w:tc>
      </w:tr>
      <w:tr>
        <w:trPr>
          <w:trHeight w:val="263"/>
        </w:trPr>
        <w:tc>
          <w:tcPr>
            <w:tcW w:w="2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 Ittycheria</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026"/>
        </w:trPr>
        <w:tc>
          <w:tcPr>
            <w:tcW w:w="2620" w:type="dxa"/>
            <w:vAlign w:val="bottom"/>
          </w:tcPr>
          <w:p>
            <w:pPr>
              <w:spacing w:after="0"/>
              <w:rPr>
                <w:sz w:val="24"/>
                <w:szCs w:val="24"/>
                <w:color w:val="auto"/>
              </w:rPr>
            </w:pPr>
          </w:p>
        </w:tc>
        <w:tc>
          <w:tcPr>
            <w:tcW w:w="23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Michael J. Berry</w:t>
            </w:r>
          </w:p>
        </w:tc>
      </w:tr>
      <w:tr>
        <w:trPr>
          <w:trHeight w:val="263"/>
        </w:trPr>
        <w:tc>
          <w:tcPr>
            <w:tcW w:w="2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J. Berry</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April 14, 2025</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Mike Berry [via email]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Dear Mike,</w:t>
      </w:r>
    </w:p>
    <w:p>
      <w:pPr>
        <w:spacing w:after="0" w:line="343" w:lineRule="exact"/>
        <w:rPr>
          <w:sz w:val="20"/>
          <w:szCs w:val="20"/>
          <w:color w:val="auto"/>
        </w:rPr>
      </w:pPr>
    </w:p>
    <w:p>
      <w:pPr>
        <w:jc w:val="both"/>
        <w:ind w:right="380"/>
        <w:spacing w:after="0" w:line="265" w:lineRule="auto"/>
        <w:rPr>
          <w:sz w:val="20"/>
          <w:szCs w:val="20"/>
          <w:color w:val="auto"/>
        </w:rPr>
      </w:pPr>
      <w:r>
        <w:rPr>
          <w:rFonts w:ascii="Arial" w:cs="Arial" w:eastAsia="Arial" w:hAnsi="Arial"/>
          <w:sz w:val="16"/>
          <w:szCs w:val="16"/>
          <w:color w:val="auto"/>
        </w:rPr>
        <w:t>MongoDB, Inc. (the “Company”) is delighted to confirm our employment offer for the position of Chief Financial Officer to be based from your Texas home office (with travel to our headquarters and other locations from time to time at the Company’s expense (including but not limited to expenses related to airfare, ground transportation, hotel accommodations, and meals), reporting to the Chief Executive Officer. If you accept our offer, the terms and conditions set forth in this offer letter agreement (the “Agreement”) will become effective as of May 27, 2025 or later date mutually agreed with the Company (the “Effective Date”).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343" w:lineRule="exact"/>
        <w:rPr>
          <w:sz w:val="20"/>
          <w:szCs w:val="20"/>
          <w:color w:val="auto"/>
        </w:rPr>
      </w:pPr>
    </w:p>
    <w:p>
      <w:pPr>
        <w:jc w:val="both"/>
        <w:ind w:right="380"/>
        <w:spacing w:after="0" w:line="265" w:lineRule="auto"/>
        <w:rPr>
          <w:sz w:val="20"/>
          <w:szCs w:val="20"/>
          <w:color w:val="auto"/>
        </w:rPr>
      </w:pPr>
      <w:r>
        <w:rPr>
          <w:rFonts w:ascii="Arial" w:cs="Arial" w:eastAsia="Arial" w:hAnsi="Arial"/>
          <w:sz w:val="16"/>
          <w:szCs w:val="16"/>
          <w:color w:val="auto"/>
        </w:rPr>
        <w:t>You will remain employed as a full-time salaried employee, compensated at the rate of $14,583.33 per semi-monthly pay period ($350,000 annually). Currently, the Company’s regular pay dates are the 15th and last day of each calendar month. If a pay date falls on a weekend or Federal/bank holiday, then the pay date will be on the previous business day. Said salary will be paid in accordance with the Company’s normal payroll practices as may exist from time to time and is subject to required and voluntary withholdings.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Bonus</w:t>
      </w:r>
    </w:p>
    <w:p>
      <w:pPr>
        <w:spacing w:after="0" w:line="289" w:lineRule="exact"/>
        <w:rPr>
          <w:sz w:val="20"/>
          <w:szCs w:val="20"/>
          <w:color w:val="auto"/>
        </w:rPr>
      </w:pPr>
    </w:p>
    <w:p>
      <w:pPr>
        <w:jc w:val="both"/>
        <w:ind w:right="380"/>
        <w:spacing w:after="0" w:line="265" w:lineRule="auto"/>
        <w:rPr>
          <w:sz w:val="20"/>
          <w:szCs w:val="20"/>
          <w:color w:val="auto"/>
        </w:rPr>
      </w:pPr>
      <w:r>
        <w:rPr>
          <w:rFonts w:ascii="Arial" w:cs="Arial" w:eastAsia="Arial" w:hAnsi="Arial"/>
          <w:sz w:val="16"/>
          <w:szCs w:val="16"/>
          <w:color w:val="auto"/>
        </w:rPr>
        <w:t>In addition to your base salary, during your employment as Chief Financial Officer, you will continue to be eligible for an annual bonus with a target of 65% of your base salary (which would be $227,500 as of the Effective Date) per annum paid semi-annually, and which will be based on achievement of Company performance goals to be determined by the Company in its sole discretion. Bonus is subject to required and voluntary withholdings and paid according to Company payroll practices. You must be employed on the bonus payment date to be eligible for the bonus payment, except as otherwise provided below.</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343" w:lineRule="exact"/>
        <w:rPr>
          <w:sz w:val="20"/>
          <w:szCs w:val="20"/>
          <w:color w:val="auto"/>
        </w:rPr>
      </w:pPr>
    </w:p>
    <w:p>
      <w:pPr>
        <w:jc w:val="both"/>
        <w:ind w:right="380"/>
        <w:spacing w:after="0" w:line="259" w:lineRule="auto"/>
        <w:rPr>
          <w:sz w:val="20"/>
          <w:szCs w:val="20"/>
          <w:color w:val="auto"/>
        </w:rPr>
      </w:pPr>
      <w:r>
        <w:rPr>
          <w:rFonts w:ascii="Arial" w:cs="Arial" w:eastAsia="Arial" w:hAnsi="Arial"/>
          <w:sz w:val="16"/>
          <w:szCs w:val="16"/>
          <w:color w:val="auto"/>
        </w:rPr>
        <w:t>You will be entitled to receive two Restricted Stock Unit awards for shares of the Company’s Class A Common Stock (“RSUs”): one new hire grant with a value as of the grant date of nine million US Dollars ($9,000,000); and the other as a sign-on bonus with a value as of the grant date of three million US Dollars ($3,000,000). Both grants will be as determined by the Compensation Committee of the Board of Directors of the Company (the “Committee”), subject to Committee approval and other terms and conditions of the Company’s 2016 Equity Incentive Plan and the related Restricted Stock Unit Award Grant Notice and Restricted Stock Unit Agreement. Both grants will vest over four (4) years. 25% of the RSUs will vest after 12 months of continuous service from the vesting start date, and the balance will vest in equal quarterly installments over the next 12 quarters of continuous service. You will be eligible to receive annual refresh grants based on performance.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w:t>
      </w:r>
    </w:p>
    <w:p>
      <w:pPr>
        <w:spacing w:after="0" w:line="3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auto"/>
        </w:rPr>
        <w:t>As a regular full-time employee, you will continue to be eligible to participate in Company-sponsored medical, dental, vision, life insurance, short and long-term disability plans. The Company may discontinue or modify any such plans, programs or practices at any time, with or without notice.</w:t>
      </w:r>
    </w:p>
    <w:p>
      <w:pPr>
        <w:sectPr>
          <w:pgSz w:w="11900" w:h="16838" w:orient="portrait"/>
          <w:cols w:equalWidth="0" w:num="1">
            <w:col w:w="10900"/>
          </w:cols>
          <w:pgMar w:left="660" w:top="7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Arbitration</w:t>
      </w:r>
    </w:p>
    <w:p>
      <w:pPr>
        <w:spacing w:after="0" w:line="302" w:lineRule="exact"/>
        <w:rPr>
          <w:sz w:val="20"/>
          <w:szCs w:val="20"/>
          <w:color w:val="auto"/>
        </w:rPr>
      </w:pPr>
    </w:p>
    <w:p>
      <w:pPr>
        <w:jc w:val="both"/>
        <w:ind w:right="400"/>
        <w:spacing w:after="0" w:line="265" w:lineRule="auto"/>
        <w:rPr>
          <w:sz w:val="20"/>
          <w:szCs w:val="20"/>
          <w:color w:val="auto"/>
        </w:rPr>
      </w:pPr>
      <w:r>
        <w:rPr>
          <w:rFonts w:ascii="Arial" w:cs="Arial" w:eastAsia="Arial" w:hAnsi="Arial"/>
          <w:sz w:val="16"/>
          <w:szCs w:val="16"/>
          <w:color w:val="auto"/>
        </w:rPr>
        <w:t>You and the Company have previously executed the Company’s standard arbitration agreement that is contained in your Employee Invention Assignment, Confidentiality and Arbitration Agreement (the “Arbitration Agreement”), which agreement remains in full force and effect. You acknowledge and agree to all of the Company’s policies in effect during your employment with Company, including, but not limited to, the policies found in the MongoDB Employee Handbook and the Arbitration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Will Employment</w:t>
      </w:r>
    </w:p>
    <w:p>
      <w:pPr>
        <w:spacing w:after="0" w:line="194"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Your employment relationship with the Company is “at-will.” That means you are free, at any time, for any reason, to end your employment with the Company and that the Company may do the same. Our agreement regarding employment-at-will may not be changed, except specifically in writing signed by the Chief Executive Officer and you.</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302" w:lineRule="exact"/>
        <w:rPr>
          <w:sz w:val="20"/>
          <w:szCs w:val="20"/>
          <w:color w:val="auto"/>
        </w:rPr>
      </w:pPr>
    </w:p>
    <w:p>
      <w:pPr>
        <w:jc w:val="both"/>
        <w:ind w:right="380"/>
        <w:spacing w:after="0" w:line="265" w:lineRule="auto"/>
        <w:rPr>
          <w:sz w:val="20"/>
          <w:szCs w:val="20"/>
          <w:color w:val="auto"/>
        </w:rPr>
      </w:pPr>
      <w:r>
        <w:rPr>
          <w:rFonts w:ascii="Arial" w:cs="Arial" w:eastAsia="Arial" w:hAnsi="Arial"/>
          <w:sz w:val="16"/>
          <w:szCs w:val="16"/>
          <w:color w:val="auto"/>
        </w:rPr>
        <w:t>Except as provided below, if you resign or the Company terminates your employment, or upon your death or disability, then (i) you will no longer vest in any equity awards, (ii) all payments of compensation by the Company to you hereunder will terminate immediately (except as to amounts already earned), and (iii) you will not be entitled to any severance benefits. In addition, you will resign from all positions and terminate any relationships as an employee, advisor, officer or director with the Company and any of its affiliates, each effective on the date of termination.</w:t>
      </w:r>
    </w:p>
    <w:p>
      <w:pPr>
        <w:spacing w:after="0" w:line="227" w:lineRule="exact"/>
        <w:rPr>
          <w:sz w:val="20"/>
          <w:szCs w:val="20"/>
          <w:color w:val="auto"/>
        </w:rPr>
      </w:pPr>
    </w:p>
    <w:p>
      <w:pPr>
        <w:jc w:val="both"/>
        <w:ind w:right="380"/>
        <w:spacing w:after="0" w:line="255" w:lineRule="auto"/>
        <w:rPr>
          <w:sz w:val="20"/>
          <w:szCs w:val="20"/>
          <w:color w:val="auto"/>
        </w:rPr>
      </w:pPr>
      <w:r>
        <w:rPr>
          <w:rFonts w:ascii="Arial" w:cs="Arial" w:eastAsia="Arial" w:hAnsi="Arial"/>
          <w:sz w:val="16"/>
          <w:szCs w:val="16"/>
          <w:color w:val="auto"/>
        </w:rPr>
        <w:t>In the event your employment with the Company is terminated by the Company without Cause (and other than as result of death or disability) or due to your resignation for Good Reason (collectively, an “Involuntary Termination”), then provided such Involuntary Termination constitutes a “separation from service” (as defined under Treasury Regulation Section 1.409A-1(h), without regard to any alternative definition thereunder, a “Separation from Service”), and provided that you remain in compliance with the terms of this Agreement, the Company will provide you with the following severance benefits (collectively, the “Severance Benefits”): (a) an amount equal to six (6) months of your then-current base salary to be paid in equal installments on the Company’s normal payroll schedule over the six (6) month period immediately following the date of Separation from Service; and (b) provided that you timely elect continued coverage under COBRA, the Company will pay your COBRA premiums to continue your coverage (including coverage for eligible dependents, if applicable) (“COBRA Premiums”) through the period (the “COBRA Premium Period”) starting on your Separation from Service date and ending on the earliest to occur of: (i) six (6) months following your Separation from Service;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will in lieu thereof provide to you a taxable monthly payment in an amount equal to the monthly COBRA premium that you would be required to pay to continue your group health coverage in effect on the date of your employment termination (which amount will be based on the premium for the first month of COBRA coverage), which payments will be made on the last day of each month regardless of whether you elect COBRA continuation coverage and will end on the earlier of (x) the date upon which you obtain other employment or (y) the last day of the 6th calendar month following your Separation from Service date.</w:t>
      </w:r>
    </w:p>
    <w:p>
      <w:pPr>
        <w:spacing w:after="0" w:line="200" w:lineRule="exact"/>
        <w:rPr>
          <w:sz w:val="20"/>
          <w:szCs w:val="20"/>
          <w:color w:val="auto"/>
        </w:rPr>
      </w:pPr>
    </w:p>
    <w:p>
      <w:pPr>
        <w:spacing w:after="0" w:line="237" w:lineRule="exact"/>
        <w:rPr>
          <w:sz w:val="20"/>
          <w:szCs w:val="20"/>
          <w:color w:val="auto"/>
        </w:rPr>
      </w:pPr>
    </w:p>
    <w:p>
      <w:pPr>
        <w:jc w:val="both"/>
        <w:ind w:right="380"/>
        <w:spacing w:after="0" w:line="257" w:lineRule="auto"/>
        <w:rPr>
          <w:sz w:val="20"/>
          <w:szCs w:val="20"/>
          <w:color w:val="auto"/>
        </w:rPr>
      </w:pPr>
      <w:r>
        <w:rPr>
          <w:rFonts w:ascii="Arial" w:cs="Arial" w:eastAsia="Arial" w:hAnsi="Arial"/>
          <w:sz w:val="16"/>
          <w:szCs w:val="16"/>
          <w:color w:val="auto"/>
        </w:rPr>
        <w:t>If your Involuntary Termination occurs either in connection with a Change in Control (as defined in the Company’s 2016 Equity Incentive Plan), or within three (3) months prior to or within twelve (12) months following the closing of a Change in Control, and such termination qualifies as a Separation from Service, and provided that you remain in compliance with the terms of this Agreement, then you will be entitled to the Severance Benefits provided for above, and the following additional benefits: (a) an amount equal to six (6) months of your then-current “cash-eligible” annual target bonus to be paid in equal installments on the Company’s normal payroll schedule over the six (6) month period immediately following the date of Separation from Service, which, for the avoidance of doubt, shall be in addition to payment of (i) any earned but unpaid annual bonus for the fiscal year preceding the fiscal year in which such Separation from Service occurs based on actual performance, as determined by the Compensation Committee and (ii) an annual bonus for the fiscal year in which the Separation from Service occurs, prorated to your date of Separation from Service and determined based on the greater of target performance or actual performance as of your date of Separation from Service, as determined by the Compensation Committee; (b) 100% of all of your then-outstanding time-based unvested Company equity awards will accelerate and will be deemed vested and</w:t>
      </w:r>
    </w:p>
    <w:p>
      <w:pPr>
        <w:sectPr>
          <w:pgSz w:w="11900" w:h="16838" w:orient="portrait"/>
          <w:cols w:equalWidth="0" w:num="1">
            <w:col w:w="10900"/>
          </w:cols>
          <w:pgMar w:left="660" w:top="7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380"/>
        <w:spacing w:after="0" w:line="258" w:lineRule="auto"/>
        <w:rPr>
          <w:sz w:val="20"/>
          <w:szCs w:val="20"/>
          <w:color w:val="auto"/>
        </w:rPr>
      </w:pPr>
      <w:r>
        <w:rPr>
          <w:rFonts w:ascii="Arial" w:cs="Arial" w:eastAsia="Arial" w:hAnsi="Arial"/>
          <w:sz w:val="16"/>
          <w:szCs w:val="16"/>
          <w:color w:val="auto"/>
        </w:rPr>
        <w:t>exercisable (if applicable) as of your date of Separation from Service; and (c) 100% of all of your then-outstanding performance-based unvested Company equity awards will accelerate and will be deemed vested and exercisable (if applicable) based on the greater of your target performance rate or actual performance as of your date of Separation from Service (collectively, the “Change in Control Severance Benefits”), including any performance-based unvested awards granted pursuant to the Company’s Senior Leadership Equity Bonus Program (or similar annual bonus program that may be adopted in the future) (an “Equity Bonus Program”). For the avoidance of doubt, if you have elected to receive your annual bonus in equity in lieu of cash pursuant to an Equity Bonus Program, and have received an equity grant as a result of this election, your annual bonus for the performance period for which you made the election will no longer be considered “cash-eligible” for purposes of subsection (a) of this paragraph; provided however, that for any period for which you have elected to receive your annual bonus in equity in lieu of cash pursuant to an Equity Bonus Program, and for which the Company has not yet granted an equity award to you as of the date of Separation of Service, then such election shall be void, and your annual bonus for such period shall be “cash-eligible” in accordance with subsection (a) of this paragraph.</w:t>
      </w:r>
    </w:p>
    <w:p>
      <w:pPr>
        <w:spacing w:after="0" w:line="236" w:lineRule="exact"/>
        <w:rPr>
          <w:sz w:val="20"/>
          <w:szCs w:val="20"/>
          <w:color w:val="auto"/>
        </w:rPr>
      </w:pPr>
    </w:p>
    <w:p>
      <w:pPr>
        <w:jc w:val="both"/>
        <w:ind w:right="380"/>
        <w:spacing w:after="0" w:line="257" w:lineRule="auto"/>
        <w:rPr>
          <w:sz w:val="20"/>
          <w:szCs w:val="20"/>
          <w:color w:val="auto"/>
        </w:rPr>
      </w:pPr>
      <w:r>
        <w:rPr>
          <w:rFonts w:ascii="Arial" w:cs="Arial" w:eastAsia="Arial" w:hAnsi="Arial"/>
          <w:sz w:val="16"/>
          <w:szCs w:val="16"/>
          <w:color w:val="auto"/>
        </w:rPr>
        <w:t>The receipt of the Severance Benefits or the Change in Control Severance Benefits, as applicable, provided above will be subject to you signing and not revoking a separation agreement and release of claims in a form similar to that attached hereto as Exhibit A (as amended to reflect the reason for the separation and any changes to the law) (the “Separation Agreement”) within the time period set forth therein, which will not exceed 50 days from the date of your Separation from Service (the “Release Period”). No Severance Benefits or Change in Control Severance Benefits, as applicable, will be paid or provided until the Separation Agreement becomes effective. If the Release Period described in the preceding sentence spans two calendar years, then payment of the Severance Benefits or the Change in Control Severance Benefits, as applicable, will in any event commence in the second calendar year. You will also resign from all positions and terminate any relationships as an employee, advisor, officer or director with the Company and any of its affiliates, each effective on the date of termination.</w:t>
      </w:r>
    </w:p>
    <w:p>
      <w:pPr>
        <w:spacing w:after="0" w:line="219" w:lineRule="exact"/>
        <w:rPr>
          <w:sz w:val="20"/>
          <w:szCs w:val="20"/>
          <w:color w:val="auto"/>
        </w:rPr>
      </w:pPr>
    </w:p>
    <w:p>
      <w:pPr>
        <w:jc w:val="both"/>
        <w:ind w:right="380"/>
        <w:spacing w:after="0" w:line="256" w:lineRule="auto"/>
        <w:rPr>
          <w:sz w:val="20"/>
          <w:szCs w:val="20"/>
          <w:color w:val="auto"/>
        </w:rPr>
      </w:pPr>
      <w:r>
        <w:rPr>
          <w:rFonts w:ascii="Arial" w:cs="Arial" w:eastAsia="Arial" w:hAnsi="Arial"/>
          <w:sz w:val="16"/>
          <w:szCs w:val="16"/>
          <w:color w:val="auto"/>
        </w:rPr>
        <w:t>For purposes of this Agreement, “Cause” will mean termination based upon (i) your willful failure to follow lawful directions communicated to you by the Chief Executive Officer or otherwise to perform your duties to the Company (other than any such failure resulting from incapacity due to physical or mental illness); (ii) the willful or intentional engaging by you in conduct which is injurious to the Company or its reputation, business or business relationships, monetarily or otherwise; (iii) your commission of an act of fraud, misappropriation or embezzlement with respect to the Company or the Company’s business; (iv) your conviction of, or a plea of guilty or nolo contendere to, a felony or a crime of moral turpitude (meaning an extreme departure from ordinary standards of honesty, good morals, justice or ethics as to be shocking in the moral sense of community); (v) your habitual drunkenness or use of illegal substances; (vi) a material breach by you of your obligations under this Agreement, including (without limitation) your obligations specified in your Employee Invention Assignment Agreement, Confidentiality and Arbitration Agreement that is not cured (to the extent curable) within 15 days of the Company providing written notice of such material breach; or (vii) your commission of an act of gross neglect or gross misconduct in connection with the performance of your duties.</w:t>
      </w:r>
    </w:p>
    <w:p>
      <w:pPr>
        <w:spacing w:after="0" w:line="238" w:lineRule="exact"/>
        <w:rPr>
          <w:sz w:val="20"/>
          <w:szCs w:val="20"/>
          <w:color w:val="auto"/>
        </w:rPr>
      </w:pPr>
    </w:p>
    <w:p>
      <w:pPr>
        <w:jc w:val="both"/>
        <w:ind w:right="380"/>
        <w:spacing w:after="0" w:line="257" w:lineRule="auto"/>
        <w:rPr>
          <w:sz w:val="20"/>
          <w:szCs w:val="20"/>
          <w:color w:val="auto"/>
        </w:rPr>
      </w:pPr>
      <w:r>
        <w:rPr>
          <w:rFonts w:ascii="Arial" w:cs="Arial" w:eastAsia="Arial" w:hAnsi="Arial"/>
          <w:sz w:val="16"/>
          <w:szCs w:val="16"/>
          <w:color w:val="auto"/>
        </w:rPr>
        <w:t>For purposes of this Agreement, “Good Reason” means the occurrence of one of the following events without your written consent: (i) a material diminution by the Company in your title or the nature or scope of your responsibilities, duties or authority with the Company, it being specified that no longer holding the office of Chief Financial Officer of a publicly traded company will be considered a material diminution in responsibilities under this clause (i), (ii) a material reduction of your base salary, (iii) a relocation of your principal place of employment away from your home that increases your one-way commute by more than 50 miles as compared to your then-current home prior to such relocation (it being understood that you are expected to spend material amounts of time in the Company’s other offices as part of your duties hereunder), or (iv) failure by the Company to ensure that a successor entity assumes this Agreement; provided, however, that to resign for Good Reason, you must (1) provide written notice to the Company’s General Counsel within 30 days after the first occurrence of the event giving rise to Good Reason setting forth the basis for your resignation, (2) allow the Company at least 30 days from receipt of such written notice to cure such event, and (3) if such event is not reasonably cured with such period, your resignation from all positions you then hold with the Company is effective not later than 60 days after the expiration of the cure period.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280G</w:t>
      </w:r>
    </w:p>
    <w:p>
      <w:pPr>
        <w:spacing w:after="0" w:line="302" w:lineRule="exact"/>
        <w:rPr>
          <w:sz w:val="20"/>
          <w:szCs w:val="20"/>
          <w:color w:val="auto"/>
        </w:rPr>
      </w:pPr>
    </w:p>
    <w:p>
      <w:pPr>
        <w:jc w:val="both"/>
        <w:ind w:right="380"/>
        <w:spacing w:after="0" w:line="261" w:lineRule="auto"/>
        <w:rPr>
          <w:sz w:val="20"/>
          <w:szCs w:val="20"/>
          <w:color w:val="auto"/>
        </w:rPr>
      </w:pPr>
      <w:r>
        <w:rPr>
          <w:rFonts w:ascii="Arial" w:cs="Arial" w:eastAsia="Arial" w:hAnsi="Arial"/>
          <w:sz w:val="16"/>
          <w:szCs w:val="16"/>
          <w:color w:val="auto"/>
        </w:rPr>
        <w:t>If any payment or benefit (including payments and benefits pursuant to this Agreement) that you would receive from the Company or otherwise in connection with a Change in Control (the “Transaction Payment”) would (i) constitute a “parachute payment” within the meaning of Section 280G of the Internal Revenue Code of 1986, as amended (the “Code”) and (ii) but for this sentence, be subject to the excise tax imposed by Section 4999 of the Code (the “Excise Tax”), then the Company will cause to be determined, before any amounts of the Transaction Payment are paid to you, which of the following two alternative forms of payment would result in your receipt, on an after-tax basis, of the greater amount of the Transaction Payment notwithstanding that all or some portion of the Transaction Payment may</w:t>
      </w:r>
    </w:p>
    <w:p>
      <w:pPr>
        <w:sectPr>
          <w:pgSz w:w="11900" w:h="16838" w:orient="portrait"/>
          <w:cols w:equalWidth="0" w:num="1">
            <w:col w:w="10900"/>
          </w:cols>
          <w:pgMar w:left="660" w:top="7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20" w:right="380"/>
        <w:spacing w:after="0" w:line="256" w:lineRule="auto"/>
        <w:rPr>
          <w:sz w:val="20"/>
          <w:szCs w:val="20"/>
          <w:color w:val="auto"/>
        </w:rPr>
      </w:pPr>
      <w:r>
        <w:rPr>
          <w:rFonts w:ascii="Arial" w:cs="Arial" w:eastAsia="Arial" w:hAnsi="Arial"/>
          <w:sz w:val="16"/>
          <w:szCs w:val="16"/>
          <w:color w:val="auto"/>
        </w:rPr>
        <w:t>be subject to the Excise Tax: (1) payment in full of the entire amount of the Transaction Payment (a “Full Payment”), or (2) payment of only a part of the Transaction Payment so that you receive the largest payment possible without the imposition of the Excise Tax (a “Reduced Payment”). For purposes of determining whether to make a Full Payment or a Reduced Payment, the Company will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you will have no rights to any additional payments and/or benefits constituting the Transaction Payment, and (y) reduction in payments and/or benefits will occur in the manner that results in the greatest economic benefit to you as determined in this paragraph. If more than one method of reduction will result in the same economic benefit, the portions of the Transaction Payment will be reduced pro rata. Unless you and the Company otherwise agree in writing, any determination required under this section will be made in writing by the Company’s independent public accountants (the “Accountants”), whose determination will be conclusive and binding upon you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You and the Company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as well as any costs incurred by you with the Accountants for tax planning under Sections 280G and 4999 of the Code.</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Section 409A</w:t>
      </w:r>
    </w:p>
    <w:p>
      <w:pPr>
        <w:spacing w:after="0" w:line="302" w:lineRule="exact"/>
        <w:rPr>
          <w:sz w:val="20"/>
          <w:szCs w:val="20"/>
          <w:color w:val="auto"/>
        </w:rPr>
      </w:pPr>
    </w:p>
    <w:p>
      <w:pPr>
        <w:jc w:val="both"/>
        <w:ind w:left="20" w:right="380"/>
        <w:spacing w:after="0" w:line="265" w:lineRule="auto"/>
        <w:rPr>
          <w:sz w:val="20"/>
          <w:szCs w:val="20"/>
          <w:color w:val="auto"/>
        </w:rPr>
      </w:pPr>
      <w:r>
        <w:rPr>
          <w:rFonts w:ascii="Arial" w:cs="Arial" w:eastAsia="Arial" w:hAnsi="Arial"/>
          <w:sz w:val="16"/>
          <w:szCs w:val="16"/>
          <w:color w:val="auto"/>
        </w:rPr>
        <w:t>It is intended that all of the severance benefits and other payments payable under this Agreement satisfy, to the greatest extent possible, the exemptions from the application of Section 409A of the Code (“Section 409A”) provided under Treasury Regulations 1.409A-1(b)(4), 1.409A-1(b)</w:t>
      </w:r>
    </w:p>
    <w:p>
      <w:pPr>
        <w:spacing w:after="0" w:line="1" w:lineRule="exact"/>
        <w:rPr>
          <w:sz w:val="20"/>
          <w:szCs w:val="20"/>
          <w:color w:val="auto"/>
        </w:rPr>
      </w:pPr>
    </w:p>
    <w:p>
      <w:pPr>
        <w:jc w:val="both"/>
        <w:ind w:left="20" w:right="380" w:hanging="8"/>
        <w:spacing w:after="0" w:line="254" w:lineRule="auto"/>
        <w:tabs>
          <w:tab w:leader="none" w:pos="2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and 1.409A-1(b)(9),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 Section 1.409A-2(b)(2)(iii)), your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you are deemed by the Company at the time of your Separation from Service to be a “specified employee” for purposes of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will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time period, all payments deferred pursuant to this section will be paid in a lump sum to you, and any remaining payments due will be paid as otherwise provided herein or in the applicable agreement. No interest will be due on any amounts so deferred.</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look forward to your continued contributions to the growth and success of MongoDB over the coming years. Sincerely,</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260" w:type="dxa"/>
            <w:vAlign w:val="bottom"/>
            <w:gridSpan w:val="3"/>
          </w:tcPr>
          <w:p>
            <w:pPr>
              <w:spacing w:after="0"/>
              <w:rPr>
                <w:sz w:val="20"/>
                <w:szCs w:val="20"/>
                <w:color w:val="auto"/>
              </w:rPr>
            </w:pPr>
            <w:r>
              <w:rPr>
                <w:rFonts w:ascii="Arial" w:cs="Arial" w:eastAsia="Arial" w:hAnsi="Arial"/>
                <w:sz w:val="16"/>
                <w:szCs w:val="16"/>
                <w:color w:val="auto"/>
              </w:rPr>
              <w:t>MongoDB, Inc.</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260" w:type="dxa"/>
            <w:vAlign w:val="bottom"/>
          </w:tcPr>
          <w:p>
            <w:pPr>
              <w:ind w:left="1340"/>
              <w:spacing w:after="0"/>
              <w:rPr>
                <w:sz w:val="20"/>
                <w:szCs w:val="20"/>
                <w:color w:val="auto"/>
              </w:rPr>
            </w:pPr>
            <w:r>
              <w:rPr>
                <w:rFonts w:ascii="Arial" w:cs="Arial" w:eastAsia="Arial" w:hAnsi="Arial"/>
                <w:sz w:val="16"/>
                <w:szCs w:val="16"/>
                <w:color w:val="auto"/>
                <w:w w:val="98"/>
              </w:rPr>
              <w:t>Apr 16, 2025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00" w:type="dxa"/>
            <w:vAlign w:val="bottom"/>
            <w:tcBorders>
              <w:bottom w:val="single" w:sz="8" w:color="auto"/>
            </w:tcBorders>
          </w:tcPr>
          <w:p>
            <w:pPr>
              <w:spacing w:after="0" w:line="178" w:lineRule="exact"/>
              <w:rPr>
                <w:sz w:val="20"/>
                <w:szCs w:val="20"/>
                <w:color w:val="auto"/>
              </w:rPr>
            </w:pPr>
            <w:r>
              <w:rPr>
                <w:rFonts w:ascii="Arial" w:cs="Arial" w:eastAsia="Arial" w:hAnsi="Arial"/>
                <w:sz w:val="16"/>
                <w:szCs w:val="16"/>
                <w:color w:val="auto"/>
              </w:rPr>
              <w:t>/s/ Andrew Stephens</w:t>
            </w:r>
          </w:p>
        </w:tc>
        <w:tc>
          <w:tcPr>
            <w:tcW w:w="1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Andrew Stephens General</w:t>
            </w:r>
          </w:p>
        </w:tc>
        <w:tc>
          <w:tcPr>
            <w:tcW w:w="2260" w:type="dxa"/>
            <w:vAlign w:val="bottom"/>
            <w:vMerge w:val="restart"/>
          </w:tcPr>
          <w:p>
            <w:pPr>
              <w:ind w:left="142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Counsel</w:t>
            </w: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I hereby acknowledge my acceptance of continued employment with MongoDB pursuant to the terms and conditions contained in this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00" w:type="dxa"/>
            <w:vAlign w:val="bottom"/>
          </w:tcPr>
          <w:p>
            <w:pPr>
              <w:ind w:left="1580"/>
              <w:spacing w:after="0"/>
              <w:rPr>
                <w:sz w:val="20"/>
                <w:szCs w:val="20"/>
                <w:color w:val="auto"/>
              </w:rPr>
            </w:pPr>
            <w:r>
              <w:rPr>
                <w:rFonts w:ascii="Arial" w:cs="Arial" w:eastAsia="Arial" w:hAnsi="Arial"/>
                <w:sz w:val="16"/>
                <w:szCs w:val="16"/>
                <w:color w:val="auto"/>
                <w:w w:val="98"/>
              </w:rPr>
              <w:t>Apr 16, 2025</w:t>
            </w:r>
          </w:p>
        </w:tc>
      </w:tr>
      <w:tr>
        <w:trPr>
          <w:trHeight w:val="232"/>
        </w:trPr>
        <w:tc>
          <w:tcPr>
            <w:tcW w:w="2760" w:type="dxa"/>
            <w:vAlign w:val="bottom"/>
            <w:gridSpan w:val="2"/>
          </w:tcPr>
          <w:p>
            <w:pPr>
              <w:spacing w:after="0"/>
              <w:rPr>
                <w:sz w:val="20"/>
                <w:szCs w:val="20"/>
                <w:color w:val="auto"/>
              </w:rPr>
            </w:pPr>
            <w:r>
              <w:rPr>
                <w:rFonts w:ascii="Arial" w:cs="Arial" w:eastAsia="Arial" w:hAnsi="Arial"/>
                <w:sz w:val="16"/>
                <w:szCs w:val="16"/>
                <w:color w:val="auto"/>
              </w:rPr>
              <w:t>/s/ Michael Berry</w:t>
            </w:r>
          </w:p>
        </w:tc>
        <w:tc>
          <w:tcPr>
            <w:tcW w:w="2500" w:type="dxa"/>
            <w:vAlign w:val="bottom"/>
          </w:tcPr>
          <w:p>
            <w:pPr>
              <w:spacing w:after="0"/>
              <w:rPr>
                <w:sz w:val="20"/>
                <w:szCs w:val="20"/>
                <w:color w:val="auto"/>
              </w:rPr>
            </w:pPr>
          </w:p>
        </w:tc>
      </w:tr>
      <w:tr>
        <w:trPr>
          <w:trHeight w:val="221"/>
        </w:trPr>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Mike Berry</w:t>
            </w:r>
          </w:p>
        </w:tc>
        <w:tc>
          <w:tcPr>
            <w:tcW w:w="1560" w:type="dxa"/>
            <w:vAlign w:val="bottom"/>
          </w:tcPr>
          <w:p>
            <w:pPr>
              <w:spacing w:after="0"/>
              <w:rPr>
                <w:sz w:val="19"/>
                <w:szCs w:val="19"/>
                <w:color w:val="auto"/>
              </w:rPr>
            </w:pPr>
          </w:p>
        </w:tc>
        <w:tc>
          <w:tcPr>
            <w:tcW w:w="2500" w:type="dxa"/>
            <w:vAlign w:val="bottom"/>
          </w:tcPr>
          <w:p>
            <w:pPr>
              <w:ind w:left="1940"/>
              <w:spacing w:after="0"/>
              <w:rPr>
                <w:sz w:val="20"/>
                <w:szCs w:val="20"/>
                <w:color w:val="auto"/>
              </w:rPr>
            </w:pPr>
            <w:r>
              <w:rPr>
                <w:rFonts w:ascii="Arial" w:cs="Arial" w:eastAsia="Arial" w:hAnsi="Arial"/>
                <w:sz w:val="16"/>
                <w:szCs w:val="16"/>
                <w:color w:val="auto"/>
              </w:rPr>
              <w:t>Date</w:t>
            </w:r>
          </w:p>
        </w:tc>
      </w:tr>
    </w:tbl>
    <w:p>
      <w:pPr>
        <w:sectPr>
          <w:pgSz w:w="11900" w:h="16838" w:orient="portrait"/>
          <w:cols w:equalWidth="0" w:num="1">
            <w:col w:w="10920"/>
          </w:cols>
          <w:pgMar w:left="640" w:top="7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u w:val="single" w:color="auto"/>
          <w:color w:val="auto"/>
        </w:rPr>
        <w:t>Exhibit A</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[Month] , 202_</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Mike Berry</w:t>
      </w:r>
    </w:p>
    <w:p>
      <w:pPr>
        <w:spacing w:after="0" w:line="3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 xml:space="preserve">Terms of </w:t>
      </w:r>
      <w:r>
        <w:rPr>
          <w:rFonts w:ascii="Arial" w:cs="Arial" w:eastAsia="Arial" w:hAnsi="Arial"/>
          <w:sz w:val="16"/>
          <w:szCs w:val="16"/>
          <w:b w:val="1"/>
          <w:bCs w:val="1"/>
          <w:u w:val="single" w:color="auto"/>
          <w:color w:val="auto"/>
        </w:rPr>
        <w:t>[Resignation or Separation]</w:t>
      </w:r>
    </w:p>
    <w:p>
      <w:pPr>
        <w:spacing w:after="0" w:line="370" w:lineRule="exact"/>
        <w:rPr>
          <w:sz w:val="20"/>
          <w:szCs w:val="20"/>
          <w:color w:val="auto"/>
        </w:rPr>
      </w:pPr>
    </w:p>
    <w:p>
      <w:pPr>
        <w:ind w:right="340"/>
        <w:spacing w:after="0" w:line="367" w:lineRule="auto"/>
        <w:rPr>
          <w:sz w:val="20"/>
          <w:szCs w:val="20"/>
          <w:color w:val="auto"/>
        </w:rPr>
      </w:pPr>
      <w:r>
        <w:rPr>
          <w:rFonts w:ascii="Arial" w:cs="Arial" w:eastAsia="Arial" w:hAnsi="Arial"/>
          <w:sz w:val="16"/>
          <w:szCs w:val="16"/>
          <w:color w:val="auto"/>
        </w:rPr>
        <w:t xml:space="preserve">This letter confirms the agreement (“Agreement”) between you and MongoDB, Inc. (the “Company”) concerning the terms of your </w:t>
      </w:r>
      <w:r>
        <w:rPr>
          <w:rFonts w:ascii="Arial" w:cs="Arial" w:eastAsia="Arial" w:hAnsi="Arial"/>
          <w:sz w:val="16"/>
          <w:szCs w:val="16"/>
          <w:b w:val="1"/>
          <w:bCs w:val="1"/>
          <w:color w:val="auto"/>
        </w:rPr>
        <w:t>[resignation 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separation] </w:t>
      </w:r>
      <w:r>
        <w:rPr>
          <w:rFonts w:ascii="Arial" w:cs="Arial" w:eastAsia="Arial" w:hAnsi="Arial"/>
          <w:sz w:val="16"/>
          <w:szCs w:val="16"/>
          <w:color w:val="auto"/>
        </w:rPr>
        <w:t>and offers you the separation compensation we discussed in exchange for a general release of claims and covenant not to sue.</w:t>
      </w:r>
    </w:p>
    <w:p>
      <w:pPr>
        <w:spacing w:after="0" w:line="193" w:lineRule="exact"/>
        <w:rPr>
          <w:sz w:val="20"/>
          <w:szCs w:val="20"/>
          <w:color w:val="auto"/>
        </w:rPr>
      </w:pPr>
    </w:p>
    <w:p>
      <w:pPr>
        <w:ind w:left="640"/>
        <w:spacing w:after="0"/>
        <w:tabs>
          <w:tab w:leader="none" w:pos="940" w:val="left"/>
          <w:tab w:leader="none" w:pos="37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Resignation or Separation]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is your last day of employment with the Company (the “</w:t>
      </w:r>
      <w:r>
        <w:rPr>
          <w:rFonts w:ascii="Arial" w:cs="Arial" w:eastAsia="Arial" w:hAnsi="Arial"/>
          <w:sz w:val="16"/>
          <w:szCs w:val="16"/>
          <w:b w:val="1"/>
          <w:bCs w:val="1"/>
          <w:color w:val="auto"/>
        </w:rPr>
        <w:t>[Resignation or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-4445</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349" w:lineRule="exact"/>
        <w:rPr>
          <w:sz w:val="20"/>
          <w:szCs w:val="20"/>
          <w:color w:val="auto"/>
        </w:rPr>
      </w:pPr>
    </w:p>
    <w:p>
      <w:pPr>
        <w:jc w:val="both"/>
        <w:ind w:right="320" w:firstLine="639"/>
        <w:spacing w:after="0" w:line="335" w:lineRule="auto"/>
        <w:tabs>
          <w:tab w:leader="none" w:pos="97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Acknowledgment of Payment of Wages</w:t>
      </w:r>
      <w:r>
        <w:rPr>
          <w:rFonts w:ascii="Arial" w:cs="Arial" w:eastAsia="Arial" w:hAnsi="Arial"/>
          <w:sz w:val="16"/>
          <w:szCs w:val="16"/>
          <w:color w:val="auto"/>
        </w:rPr>
        <w:t>: On the next regularly scheduled pay day following the Separation Date, the Company will pay you an amount that represents all of your salary earned through the Separation Date. Per the Company’s flexible time off program, paid time off is not accrued and is therefore not paid out upon separation from the Company. You acknowledge that, prior to the execution of this Agreement, you were not entitled to receive any additional money from the Company, and that the only payments and benefits that you are entitled to receive from the Company in the future are those specified in this Agreement.</w:t>
      </w:r>
    </w:p>
    <w:p>
      <w:pPr>
        <w:spacing w:after="0" w:line="241" w:lineRule="exact"/>
        <w:rPr>
          <w:rFonts w:ascii="Arial" w:cs="Arial" w:eastAsia="Arial" w:hAnsi="Arial"/>
          <w:sz w:val="16"/>
          <w:szCs w:val="16"/>
          <w:color w:val="auto"/>
        </w:rPr>
      </w:pPr>
    </w:p>
    <w:p>
      <w:pPr>
        <w:jc w:val="both"/>
        <w:ind w:right="320" w:firstLine="639"/>
        <w:spacing w:after="0" w:line="325" w:lineRule="auto"/>
        <w:tabs>
          <w:tab w:leader="none" w:pos="97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Separation Compensation</w:t>
      </w:r>
      <w:r>
        <w:rPr>
          <w:rFonts w:ascii="Arial" w:cs="Arial" w:eastAsia="Arial" w:hAnsi="Arial"/>
          <w:sz w:val="16"/>
          <w:szCs w:val="16"/>
          <w:color w:val="auto"/>
        </w:rPr>
        <w:t xml:space="preserve">: In exchange for your agreement to the general release and waiver of claims and covenant not to sue set forth below and your other promises herein, the Company agrees to provide you with the </w:t>
      </w:r>
      <w:r>
        <w:rPr>
          <w:rFonts w:ascii="Arial" w:cs="Arial" w:eastAsia="Arial" w:hAnsi="Arial"/>
          <w:sz w:val="16"/>
          <w:szCs w:val="16"/>
          <w:b w:val="1"/>
          <w:bCs w:val="1"/>
          <w:color w:val="auto"/>
        </w:rPr>
        <w:t>[Severance Benefits / Change in Control Severance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Benefits] </w:t>
      </w:r>
      <w:r>
        <w:rPr>
          <w:rFonts w:ascii="Arial" w:cs="Arial" w:eastAsia="Arial" w:hAnsi="Arial"/>
          <w:sz w:val="16"/>
          <w:szCs w:val="16"/>
          <w:color w:val="auto"/>
        </w:rPr>
        <w:t>(as defined in the Offer Letter, dated as of [</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(“Offer Letter”), between you and the Company).</w:t>
      </w:r>
    </w:p>
    <w:p>
      <w:pPr>
        <w:spacing w:after="0" w:line="200" w:lineRule="exact"/>
        <w:rPr>
          <w:sz w:val="20"/>
          <w:szCs w:val="20"/>
          <w:color w:val="auto"/>
        </w:rPr>
      </w:pPr>
    </w:p>
    <w:p>
      <w:pPr>
        <w:spacing w:after="0" w:line="203"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auto"/>
        </w:rPr>
        <w:t>By signing below, you acknowledge that you are receiving the separation compensation outlined in this paragraph in consideration for waiving your rights to claims referred to in this Agreement and that you would not otherwise be entitled to the separation compensation.</w:t>
      </w:r>
    </w:p>
    <w:p>
      <w:pPr>
        <w:spacing w:after="0" w:line="196" w:lineRule="exact"/>
        <w:rPr>
          <w:sz w:val="20"/>
          <w:szCs w:val="20"/>
          <w:color w:val="auto"/>
        </w:rPr>
      </w:pPr>
    </w:p>
    <w:p>
      <w:pPr>
        <w:ind w:right="340" w:firstLine="639"/>
        <w:spacing w:after="0" w:line="374" w:lineRule="auto"/>
        <w:tabs>
          <w:tab w:leader="none" w:pos="97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w:t>
      </w:r>
      <w:r>
        <w:rPr>
          <w:rFonts w:ascii="Arial" w:cs="Arial" w:eastAsia="Arial" w:hAnsi="Arial"/>
          <w:sz w:val="16"/>
          <w:szCs w:val="16"/>
          <w:color w:val="auto"/>
        </w:rPr>
        <w:t>: You hereby warrant to the Company that you have returned to the Company all property or data of the Company of any type whatsoever that has been in your possession or control.</w:t>
      </w:r>
    </w:p>
    <w:p>
      <w:pPr>
        <w:spacing w:after="0" w:line="196" w:lineRule="exact"/>
        <w:rPr>
          <w:rFonts w:ascii="Arial" w:cs="Arial" w:eastAsia="Arial" w:hAnsi="Arial"/>
          <w:sz w:val="16"/>
          <w:szCs w:val="16"/>
          <w:color w:val="auto"/>
        </w:rPr>
      </w:pPr>
    </w:p>
    <w:p>
      <w:pPr>
        <w:jc w:val="both"/>
        <w:ind w:right="320" w:firstLine="639"/>
        <w:spacing w:after="0" w:line="335" w:lineRule="auto"/>
        <w:tabs>
          <w:tab w:leader="none" w:pos="97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You hereby acknowledge that you are bound by the attached Employee Invention Assignment, Confidentiality and Arbitration Agreement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spacing w:after="0" w:line="227" w:lineRule="exact"/>
        <w:rPr>
          <w:rFonts w:ascii="Arial" w:cs="Arial" w:eastAsia="Arial" w:hAnsi="Arial"/>
          <w:sz w:val="16"/>
          <w:szCs w:val="16"/>
          <w:color w:val="auto"/>
        </w:rPr>
      </w:pPr>
    </w:p>
    <w:p>
      <w:pPr>
        <w:jc w:val="both"/>
        <w:ind w:right="320" w:firstLine="639"/>
        <w:spacing w:after="0" w:line="345" w:lineRule="auto"/>
        <w:tabs>
          <w:tab w:leader="none" w:pos="97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Your rights concerning any unvested Restricted Stock Units will be governed by the applicable Restricted Stock Unit Agreements, except as otherwise set forth in your Offer Letter. Your rights concerning any vested Restricted Stock Units will not be affected by this Agreement.</w:t>
      </w:r>
    </w:p>
    <w:p>
      <w:pPr>
        <w:sectPr>
          <w:pgSz w:w="11900" w:h="16838" w:orient="portrait"/>
          <w:cols w:equalWidth="0" w:num="1">
            <w:col w:w="10900"/>
          </w:cols>
          <w:pgMar w:left="660" w:top="7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80" w:hanging="640"/>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General Release and Waiver of Claims</w:t>
      </w:r>
      <w:r>
        <w:rPr>
          <w:rFonts w:ascii="Arial" w:cs="Arial" w:eastAsia="Arial" w:hAnsi="Arial"/>
          <w:sz w:val="16"/>
          <w:szCs w:val="16"/>
          <w:color w:val="auto"/>
        </w:rPr>
        <w:t>:</w:t>
      </w:r>
    </w:p>
    <w:p>
      <w:pPr>
        <w:spacing w:after="0" w:line="329" w:lineRule="exact"/>
        <w:rPr>
          <w:rFonts w:ascii="Arial" w:cs="Arial" w:eastAsia="Arial" w:hAnsi="Arial"/>
          <w:sz w:val="16"/>
          <w:szCs w:val="16"/>
          <w:color w:val="auto"/>
        </w:rPr>
      </w:pPr>
    </w:p>
    <w:p>
      <w:pPr>
        <w:jc w:val="both"/>
        <w:ind w:right="320" w:firstLine="1287"/>
        <w:spacing w:after="0" w:line="328" w:lineRule="auto"/>
        <w:tabs>
          <w:tab w:leader="none" w:pos="16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payments and promises set forth in this Agreement are in full satisfaction of all accrued salary, vacation pay, bonus and commission pay, profit-sharing, stock, stock options, restricted stock units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“Releasees”),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New York Human Rights Law and any other applicable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not constitute a waiver of any rights or claims with respect to indemnification that you may have under or pursuant to any contracts, agreements, formation or organizational documents of the Company, including the Company’s Articles of Incorporation or Certificate of Incorporation, Bylaws, or any Shareholders’ Agreement or Indemnity Agreement to which you are a party.</w:t>
      </w:r>
    </w:p>
    <w:p>
      <w:pPr>
        <w:spacing w:after="0" w:line="246" w:lineRule="exact"/>
        <w:rPr>
          <w:rFonts w:ascii="Arial" w:cs="Arial" w:eastAsia="Arial" w:hAnsi="Arial"/>
          <w:sz w:val="16"/>
          <w:szCs w:val="16"/>
          <w:color w:val="auto"/>
        </w:rPr>
      </w:pPr>
    </w:p>
    <w:p>
      <w:pPr>
        <w:jc w:val="both"/>
        <w:ind w:right="320" w:firstLine="1287"/>
        <w:spacing w:after="0" w:line="348" w:lineRule="auto"/>
        <w:tabs>
          <w:tab w:leader="none" w:pos="16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jc w:val="both"/>
        <w:ind w:right="340" w:firstLine="1287"/>
        <w:spacing w:after="0" w:line="336" w:lineRule="auto"/>
        <w:tabs>
          <w:tab w:leader="none" w:pos="16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You and the Company do not intend to release claims that you may not release as a matter of law, including but not limited to claims for indemnity, and any claims for enforcement of this Agreement. To the fullest extent permitted by law, any dispute regarding the scope of this general release shall be determined by an arbitrator under the procedures set forth in the arbitration clause below.</w:t>
      </w:r>
    </w:p>
    <w:p>
      <w:pPr>
        <w:spacing w:after="0" w:line="212" w:lineRule="exact"/>
        <w:rPr>
          <w:rFonts w:ascii="Arial" w:cs="Arial" w:eastAsia="Arial" w:hAnsi="Arial"/>
          <w:sz w:val="16"/>
          <w:szCs w:val="16"/>
          <w:color w:val="auto"/>
        </w:rPr>
      </w:pPr>
    </w:p>
    <w:p>
      <w:pPr>
        <w:ind w:left="1280" w:hanging="640"/>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Covenant Not to Sue</w:t>
      </w:r>
      <w:r>
        <w:rPr>
          <w:rFonts w:ascii="Arial" w:cs="Arial" w:eastAsia="Arial" w:hAnsi="Arial"/>
          <w:sz w:val="16"/>
          <w:szCs w:val="16"/>
          <w:color w:val="auto"/>
        </w:rPr>
        <w:t>:</w:t>
      </w:r>
    </w:p>
    <w:p>
      <w:pPr>
        <w:spacing w:after="0" w:line="329" w:lineRule="exact"/>
        <w:rPr>
          <w:rFonts w:ascii="Arial" w:cs="Arial" w:eastAsia="Arial" w:hAnsi="Arial"/>
          <w:sz w:val="16"/>
          <w:szCs w:val="16"/>
          <w:color w:val="auto"/>
        </w:rPr>
      </w:pPr>
    </w:p>
    <w:p>
      <w:pPr>
        <w:jc w:val="both"/>
        <w:ind w:right="320" w:firstLine="1287"/>
        <w:spacing w:after="0" w:line="342" w:lineRule="auto"/>
        <w:tabs>
          <w:tab w:leader="none" w:pos="16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any charge, claim or action of any kind, nature and character whatsoever, known or unknown, which you may now have, have ever had, or may in the future have against Releasees, which is based in whole or in part on any matter covered by this Agreement.</w:t>
      </w:r>
    </w:p>
    <w:p>
      <w:pPr>
        <w:spacing w:after="0" w:line="220" w:lineRule="exact"/>
        <w:rPr>
          <w:rFonts w:ascii="Arial" w:cs="Arial" w:eastAsia="Arial" w:hAnsi="Arial"/>
          <w:sz w:val="16"/>
          <w:szCs w:val="16"/>
          <w:color w:val="auto"/>
        </w:rPr>
      </w:pPr>
    </w:p>
    <w:p>
      <w:pPr>
        <w:jc w:val="both"/>
        <w:ind w:right="320" w:firstLine="1287"/>
        <w:spacing w:after="0" w:line="342" w:lineRule="auto"/>
        <w:tabs>
          <w:tab w:leader="none" w:pos="16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Nothing in this section shall prohibit you from filing a charge or complaint with a government agency where, as a matter of law, the parties may not restrict your ability to file such administrative complaints. However, you understand and agree that, by entering into this Agreement, you are releasing any and all individual claims for relief, and that any and all subsequent disputes between you and the Company shall be resolved through arbitration as provided below.</w:t>
      </w:r>
    </w:p>
    <w:p>
      <w:pPr>
        <w:spacing w:after="0" w:line="220" w:lineRule="exact"/>
        <w:rPr>
          <w:rFonts w:ascii="Arial" w:cs="Arial" w:eastAsia="Arial" w:hAnsi="Arial"/>
          <w:sz w:val="16"/>
          <w:szCs w:val="16"/>
          <w:color w:val="auto"/>
        </w:rPr>
      </w:pPr>
    </w:p>
    <w:p>
      <w:pPr>
        <w:ind w:right="320" w:firstLine="1287"/>
        <w:spacing w:after="0" w:line="374" w:lineRule="auto"/>
        <w:tabs>
          <w:tab w:leader="none" w:pos="16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Nothing in this section shall prohibit or impair you or the Company from complying with all applicable laws, nor shall this Agreement be construed to obligate either party to commit (or aid or abet in the commission of) any unlawful act.</w:t>
      </w:r>
    </w:p>
    <w:p>
      <w:pPr>
        <w:sectPr>
          <w:pgSz w:w="11900" w:h="16838" w:orient="portrait"/>
          <w:cols w:equalWidth="0" w:num="1">
            <w:col w:w="10900"/>
          </w:cols>
          <w:pgMar w:left="660" w:top="7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340" w:firstLine="639"/>
        <w:spacing w:after="0" w:line="336" w:lineRule="auto"/>
        <w:tabs>
          <w:tab w:leader="none" w:pos="97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paragraph shall prohibit you from providing truthful information in response to a subpoena or other legal process.</w:t>
      </w:r>
    </w:p>
    <w:p>
      <w:pPr>
        <w:spacing w:after="0" w:line="279" w:lineRule="exact"/>
        <w:rPr>
          <w:rFonts w:ascii="Arial" w:cs="Arial" w:eastAsia="Arial" w:hAnsi="Arial"/>
          <w:sz w:val="16"/>
          <w:szCs w:val="16"/>
          <w:color w:val="auto"/>
        </w:rPr>
      </w:pPr>
    </w:p>
    <w:p>
      <w:pPr>
        <w:jc w:val="both"/>
        <w:ind w:right="320" w:firstLine="639"/>
        <w:spacing w:after="0" w:line="329" w:lineRule="auto"/>
        <w:tabs>
          <w:tab w:leader="none" w:pos="96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Except for any claim for injunctive relief out of a breach of a party’s obligations to protect the other’s proprietary information, the parties agree to arbitrate, in County, New York, any and all disputes or claims arising out of or related to the validity, enforceability, interpretation, performance or breach of this Agreement, whether sounding in tort,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246" w:lineRule="exact"/>
        <w:rPr>
          <w:rFonts w:ascii="Arial" w:cs="Arial" w:eastAsia="Arial" w:hAnsi="Arial"/>
          <w:sz w:val="16"/>
          <w:szCs w:val="16"/>
          <w:color w:val="auto"/>
        </w:rPr>
      </w:pPr>
    </w:p>
    <w:p>
      <w:pPr>
        <w:ind w:right="320" w:firstLine="639"/>
        <w:spacing w:after="0" w:line="356" w:lineRule="auto"/>
        <w:tabs>
          <w:tab w:leader="none" w:pos="954"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223" w:lineRule="exact"/>
        <w:rPr>
          <w:rFonts w:ascii="Arial" w:cs="Arial" w:eastAsia="Arial" w:hAnsi="Arial"/>
          <w:sz w:val="16"/>
          <w:szCs w:val="16"/>
          <w:color w:val="auto"/>
        </w:rPr>
      </w:pPr>
    </w:p>
    <w:p>
      <w:pPr>
        <w:jc w:val="both"/>
        <w:ind w:right="320" w:firstLine="639"/>
        <w:spacing w:after="0" w:line="336" w:lineRule="auto"/>
        <w:tabs>
          <w:tab w:leader="none" w:pos="96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contents, terms and conditions of this Agreement must be kept confidential by you and may not be disclosed except to your immediate family, accountant, attorneys or tax advisors,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238" w:lineRule="exact"/>
        <w:rPr>
          <w:rFonts w:ascii="Arial" w:cs="Arial" w:eastAsia="Arial" w:hAnsi="Arial"/>
          <w:sz w:val="16"/>
          <w:szCs w:val="16"/>
          <w:color w:val="auto"/>
        </w:rPr>
      </w:pPr>
    </w:p>
    <w:p>
      <w:pPr>
        <w:jc w:val="both"/>
        <w:ind w:right="320" w:firstLine="639"/>
        <w:spacing w:after="0" w:line="336" w:lineRule="auto"/>
        <w:tabs>
          <w:tab w:leader="none" w:pos="96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238" w:lineRule="exact"/>
        <w:rPr>
          <w:rFonts w:ascii="Arial" w:cs="Arial" w:eastAsia="Arial" w:hAnsi="Arial"/>
          <w:sz w:val="16"/>
          <w:szCs w:val="16"/>
          <w:color w:val="auto"/>
        </w:rPr>
      </w:pPr>
    </w:p>
    <w:p>
      <w:pPr>
        <w:jc w:val="both"/>
        <w:ind w:right="320" w:firstLine="639"/>
        <w:spacing w:after="0" w:line="332" w:lineRule="auto"/>
        <w:tabs>
          <w:tab w:leader="none" w:pos="96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Complete and Voluntary Agreement</w:t>
      </w:r>
      <w:r>
        <w:rPr>
          <w:rFonts w:ascii="Arial" w:cs="Arial" w:eastAsia="Arial" w:hAnsi="Arial"/>
          <w:sz w:val="16"/>
          <w:szCs w:val="16"/>
          <w:color w:val="auto"/>
        </w:rPr>
        <w:t>: This Agreement, together with Exhibit A hereto, any Stock Option Agreements and any RSU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229" w:lineRule="exact"/>
        <w:rPr>
          <w:rFonts w:ascii="Arial" w:cs="Arial" w:eastAsia="Arial" w:hAnsi="Arial"/>
          <w:sz w:val="16"/>
          <w:szCs w:val="16"/>
          <w:color w:val="auto"/>
        </w:rPr>
      </w:pPr>
    </w:p>
    <w:p>
      <w:pPr>
        <w:jc w:val="both"/>
        <w:ind w:right="340" w:firstLine="639"/>
        <w:spacing w:after="0" w:line="336" w:lineRule="auto"/>
        <w:tabs>
          <w:tab w:leader="none" w:pos="96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ectPr>
          <w:pgSz w:w="11900" w:h="16838" w:orient="portrait"/>
          <w:cols w:equalWidth="0" w:num="1">
            <w:col w:w="10900"/>
          </w:cols>
          <w:pgMar w:left="660" w:top="7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320" w:firstLine="639"/>
        <w:spacing w:after="0" w:line="335" w:lineRule="auto"/>
        <w:tabs>
          <w:tab w:leader="none" w:pos="96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Modification; Counterparts; Facsimile/PDF Signatures</w:t>
      </w:r>
      <w:r>
        <w:rPr>
          <w:rFonts w:ascii="Arial" w:cs="Arial" w:eastAsia="Arial" w:hAnsi="Arial"/>
          <w:sz w:val="16"/>
          <w:szCs w:val="16"/>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227" w:lineRule="exact"/>
        <w:rPr>
          <w:rFonts w:ascii="Arial" w:cs="Arial" w:eastAsia="Arial" w:hAnsi="Arial"/>
          <w:sz w:val="16"/>
          <w:szCs w:val="16"/>
          <w:color w:val="auto"/>
        </w:rPr>
      </w:pPr>
    </w:p>
    <w:p>
      <w:pPr>
        <w:jc w:val="both"/>
        <w:ind w:right="320" w:firstLine="639"/>
        <w:spacing w:after="0" w:line="342" w:lineRule="auto"/>
        <w:tabs>
          <w:tab w:leader="none" w:pos="96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Review of Separation Agreement</w:t>
      </w:r>
      <w:r>
        <w:rPr>
          <w:rFonts w:ascii="Arial" w:cs="Arial" w:eastAsia="Arial" w:hAnsi="Arial"/>
          <w:sz w:val="16"/>
          <w:szCs w:val="16"/>
          <w:color w:val="auto"/>
        </w:rPr>
        <w:t>: You understand that you may take up to twenty-one (21) days to consider this Agreement and, by signing below, affirm that you were advised to consult with an attorney prior to signing this agreement. You also understand you may revoke this Agreement within seven (7) days of signing this document and that the compensation to be paid to you pursuant to Paragraph 3 will be paid only at the end of that seven (7) day revocation period.</w:t>
      </w:r>
    </w:p>
    <w:p>
      <w:pPr>
        <w:spacing w:after="0" w:line="112" w:lineRule="exact"/>
        <w:rPr>
          <w:rFonts w:ascii="Arial" w:cs="Arial" w:eastAsia="Arial" w:hAnsi="Arial"/>
          <w:sz w:val="16"/>
          <w:szCs w:val="16"/>
          <w:color w:val="auto"/>
        </w:rPr>
      </w:pPr>
    </w:p>
    <w:p>
      <w:pPr>
        <w:ind w:left="960" w:hanging="32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is effective on the eighth (8th) day after you sign it and without revocation by you.</w:t>
      </w:r>
    </w:p>
    <w:p>
      <w:pPr>
        <w:spacing w:after="0" w:line="342" w:lineRule="exact"/>
        <w:rPr>
          <w:rFonts w:ascii="Arial" w:cs="Arial" w:eastAsia="Arial" w:hAnsi="Arial"/>
          <w:sz w:val="16"/>
          <w:szCs w:val="16"/>
          <w:color w:val="auto"/>
        </w:rPr>
      </w:pPr>
    </w:p>
    <w:p>
      <w:pPr>
        <w:ind w:left="960" w:hanging="32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302" w:lineRule="exact"/>
        <w:rPr>
          <w:sz w:val="20"/>
          <w:szCs w:val="20"/>
          <w:color w:val="auto"/>
        </w:rPr>
      </w:pPr>
    </w:p>
    <w:p>
      <w:pPr>
        <w:ind w:right="480" w:firstLine="647"/>
        <w:spacing w:after="0" w:line="286" w:lineRule="auto"/>
        <w:rPr>
          <w:sz w:val="20"/>
          <w:szCs w:val="20"/>
          <w:color w:val="auto"/>
        </w:rPr>
      </w:pPr>
      <w:r>
        <w:rPr>
          <w:rFonts w:ascii="Arial" w:cs="Arial" w:eastAsia="Arial" w:hAnsi="Arial"/>
          <w:sz w:val="16"/>
          <w:szCs w:val="16"/>
          <w:color w:val="auto"/>
        </w:rPr>
        <w:t>If you agree to abide by the terms outlined in this letter, please sign this letter below and also sign the attached copy and return it to me. I wish you the best in your future endeavors.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Sincerely, MongoDB, Inc.</w:t>
      </w:r>
    </w:p>
    <w:p>
      <w:pPr>
        <w:spacing w:after="0" w:line="20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-4445</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[Name and title of person signing on behalf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READ, UNDERSTOOD AND AGREED</w:t>
      </w:r>
    </w:p>
    <w:p>
      <w:pPr>
        <w:spacing w:after="0" w:line="200" w:lineRule="exact"/>
        <w:rPr>
          <w:sz w:val="20"/>
          <w:szCs w:val="20"/>
          <w:color w:val="auto"/>
        </w:rPr>
      </w:pPr>
    </w:p>
    <w:p>
      <w:pPr>
        <w:spacing w:after="0" w:line="33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Mike Berry:</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-4445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-4445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0900"/>
          </w:cols>
          <w:pgMar w:left="660" w:top="7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5800" w:val="left"/>
          <w:tab w:leader="none" w:pos="700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4942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Berry, certify that:</w:t>
      </w:r>
    </w:p>
    <w:p>
      <w:pPr>
        <w:spacing w:after="0" w:line="25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J.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J. Berry</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 Dev Ittycheria, certify, pursuant to 18 U.S.C. Section 1350, as adopted pursuant to Section 906 of the Sarbanes-Oxley Act of 2002, that the Quarterly Report on Form 10-Q of MongoDB, Inc. for the period ended April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tabs>
          <w:tab w:leader="none" w:pos="5780" w:val="left"/>
          <w:tab w:leader="none" w:pos="698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24942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630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0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 Michael J. Berry, certify, pursuant to 18 U.S.C. Section 1350, as adopted pursuant to Section 906 of the Sarbanes-Oxley Act of 2002, that the Quarterly Report on Form 10-Q of MongoDB, Inc. for the period ended April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J.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J. Berry</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lowerLetter"/>
      <w:start w:val="1"/>
    </w:lvl>
    <w:lvl w:ilvl="1">
      <w:lvlJc w:val="left"/>
      <w:lvlText w:val="(%2)"/>
      <w:numFmt w:val="lowerLetter"/>
      <w:start w:val="1"/>
    </w:lvl>
  </w:abstractNum>
  <w:abstractNum w:abstractNumId="21">
    <w:nsid w:val="71F32454"/>
    <w:multiLevelType w:val="hybridMultilevel"/>
    <w:lvl w:ilvl="0">
      <w:lvlJc w:val="left"/>
      <w:lvlText w:val="(%1)"/>
      <w:numFmt w:val="lowerLetter"/>
      <w:start w:val="3"/>
    </w:lvl>
    <w:lvl w:ilvl="1">
      <w:lvlJc w:val="left"/>
      <w:lvlText w:val="%2"/>
      <w:numFmt w:val="lowerLetter"/>
      <w:start w:val="1"/>
    </w:lvl>
  </w:abstractNum>
  <w:abstractNum w:abstractNumId="22">
    <w:nsid w:val="2CA88611"/>
    <w:multiLevelType w:val="hybridMultilevel"/>
    <w:lvl w:ilvl="0">
      <w:lvlJc w:val="left"/>
      <w:lvlText w:val="%1"/>
      <w:numFmt w:val="decimal"/>
      <w:start w:val="104"/>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decimal"/>
      <w:start w:val="2"/>
    </w:lvl>
  </w:abstractNum>
  <w:abstractNum w:abstractNumId="27">
    <w:nsid w:val="1E7FF521"/>
    <w:multiLevelType w:val="hybridMultilevel"/>
    <w:lvl w:ilvl="0">
      <w:lvlJc w:val="left"/>
      <w:lvlText w:val="%1."/>
      <w:numFmt w:val="decimal"/>
      <w:start w:val="4"/>
    </w:lvl>
  </w:abstractNum>
  <w:abstractNum w:abstractNumId="28">
    <w:nsid w:val="7C3DBD3D"/>
    <w:multiLevelType w:val="hybridMultilevel"/>
    <w:lvl w:ilvl="0">
      <w:lvlJc w:val="left"/>
      <w:lvlText w:val="%1."/>
      <w:numFmt w:val="decimal"/>
      <w:start w:val="7"/>
    </w:lvl>
    <w:lvl w:ilvl="1">
      <w:lvlJc w:val="left"/>
      <w:lvlText w:val="%2."/>
      <w:numFmt w:val="lowerLetter"/>
      <w:start w:val="1"/>
    </w:lvl>
  </w:abstractNum>
  <w:abstractNum w:abstractNumId="29">
    <w:nsid w:val="737B8DDC"/>
    <w:multiLevelType w:val="hybridMultilevel"/>
    <w:lvl w:ilvl="0">
      <w:lvlJc w:val="left"/>
      <w:lvlText w:val="%1."/>
      <w:numFmt w:val="decimal"/>
      <w:start w:val="9"/>
    </w:lvl>
  </w:abstractNum>
  <w:abstractNum w:abstractNumId="30">
    <w:nsid w:val="6CEAF087"/>
    <w:multiLevelType w:val="hybridMultilevel"/>
    <w:lvl w:ilvl="0">
      <w:lvlJc w:val="left"/>
      <w:lvlText w:val="%1."/>
      <w:numFmt w:val="decimal"/>
      <w:start w:val="16"/>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32" Type="http://schemas.openxmlformats.org/officeDocument/2006/relationships/hyperlink" Target="https://www.sec.gov/Archives/edgar/data/1441816/000110465917063753/a17-24439_1ex3d1.htm" TargetMode="External"/><Relationship Id="rId133" Type="http://schemas.openxmlformats.org/officeDocument/2006/relationships/hyperlink" Target="https://www.sec.gov/Archives/edgar/data/1441816/000144181620000114/mdb-certificateofretir.htm" TargetMode="External"/><Relationship Id="rId134" Type="http://schemas.openxmlformats.org/officeDocument/2006/relationships/hyperlink" Target="https://www.sec.gov/Archives/edgar/data/1441816/000144181624000247/amendedandrestatedbylaws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2025-06-04T16:23:49Z</dcterms:created>
  <dcterms:modified xsi:type="dcterms:W3CDTF">2025-06-04T16:23:49Z</dcterms:modified>
</cp:coreProperties>
</file>