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90" w:lineRule="exact"/>
        <w:rPr>
          <w:sz w:val="24"/>
          <w:szCs w:val="24"/>
          <w:color w:val="auto"/>
        </w:rPr>
      </w:pPr>
    </w:p>
    <w:p>
      <w:pPr>
        <w:ind w:left="4960"/>
        <w:spacing w:after="0"/>
        <w:rPr>
          <w:sz w:val="20"/>
          <w:szCs w:val="20"/>
          <w:color w:val="auto"/>
        </w:rPr>
      </w:pPr>
      <w:r>
        <w:rPr>
          <w:rFonts w:ascii="Arial" w:cs="Arial" w:eastAsia="Arial" w:hAnsi="Arial"/>
          <w:sz w:val="14"/>
          <w:szCs w:val="14"/>
          <w:color w:val="auto"/>
        </w:rPr>
        <w:t>_____________________</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ind w:left="4960"/>
        <w:spacing w:after="0"/>
        <w:rPr>
          <w:sz w:val="20"/>
          <w:szCs w:val="20"/>
          <w:color w:val="auto"/>
        </w:rPr>
      </w:pPr>
      <w:r>
        <w:rPr>
          <w:rFonts w:ascii="Arial" w:cs="Arial" w:eastAsia="Arial" w:hAnsi="Arial"/>
          <w:sz w:val="14"/>
          <w:szCs w:val="14"/>
          <w:color w:val="auto"/>
        </w:rPr>
        <w:t>_____________________</w:t>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2" w:lineRule="exact"/>
        <w:rPr>
          <w:sz w:val="24"/>
          <w:szCs w:val="24"/>
          <w:color w:val="auto"/>
        </w:rPr>
      </w:pPr>
    </w:p>
    <w:p>
      <w:pPr>
        <w:ind w:left="1060" w:hanging="404"/>
        <w:spacing w:after="0"/>
        <w:tabs>
          <w:tab w:leader="none" w:pos="106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28" w:lineRule="exact"/>
        <w:rPr>
          <w:rFonts w:ascii="MS PGothic" w:cs="MS PGothic" w:eastAsia="MS PGothic" w:hAnsi="MS PGothic"/>
          <w:sz w:val="22"/>
          <w:szCs w:val="22"/>
          <w:color w:val="auto"/>
        </w:rPr>
      </w:pPr>
    </w:p>
    <w:p>
      <w:pPr>
        <w:ind w:left="4180"/>
        <w:spacing w:after="0"/>
        <w:rPr>
          <w:rFonts w:ascii="MS PGothic" w:cs="MS PGothic" w:eastAsia="MS PGothic" w:hAnsi="MS PGothic"/>
          <w:sz w:val="22"/>
          <w:szCs w:val="22"/>
          <w:color w:val="auto"/>
        </w:rPr>
      </w:pPr>
      <w:r>
        <w:rPr>
          <w:rFonts w:ascii="Arial" w:cs="Arial" w:eastAsia="Arial" w:hAnsi="Arial"/>
          <w:sz w:val="18"/>
          <w:szCs w:val="18"/>
          <w:color w:val="auto"/>
        </w:rPr>
        <w:t>For the fiscal year ended January 31, 2019</w:t>
      </w:r>
    </w:p>
    <w:p>
      <w:pPr>
        <w:spacing w:after="0" w:line="117" w:lineRule="exact"/>
        <w:rPr>
          <w:rFonts w:ascii="MS PGothic" w:cs="MS PGothic" w:eastAsia="MS PGothic" w:hAnsi="MS PGothic"/>
          <w:sz w:val="22"/>
          <w:szCs w:val="22"/>
          <w:color w:val="auto"/>
        </w:rPr>
      </w:pPr>
    </w:p>
    <w:p>
      <w:pPr>
        <w:ind w:left="5580"/>
        <w:spacing w:after="0"/>
        <w:rPr>
          <w:rFonts w:ascii="MS PGothic" w:cs="MS PGothic" w:eastAsia="MS PGothic" w:hAnsi="MS PGothic"/>
          <w:sz w:val="22"/>
          <w:szCs w:val="22"/>
          <w:color w:val="auto"/>
        </w:rPr>
      </w:pPr>
      <w:r>
        <w:rPr>
          <w:rFonts w:ascii="Arial" w:cs="Arial" w:eastAsia="Arial" w:hAnsi="Arial"/>
          <w:sz w:val="18"/>
          <w:szCs w:val="18"/>
          <w:color w:val="auto"/>
        </w:rPr>
        <w:t>OR</w:t>
      </w:r>
    </w:p>
    <w:p>
      <w:pPr>
        <w:spacing w:after="0" w:line="136" w:lineRule="exact"/>
        <w:rPr>
          <w:sz w:val="24"/>
          <w:szCs w:val="24"/>
          <w:color w:val="auto"/>
        </w:rPr>
      </w:pPr>
    </w:p>
    <w:p>
      <w:pPr>
        <w:ind w:left="1040" w:hanging="384"/>
        <w:spacing w:after="0"/>
        <w:tabs>
          <w:tab w:leader="none" w:pos="104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39" w:lineRule="exact"/>
        <w:rPr>
          <w:sz w:val="24"/>
          <w:szCs w:val="24"/>
          <w:color w:val="auto"/>
        </w:rPr>
      </w:pPr>
    </w:p>
    <w:p>
      <w:pPr>
        <w:ind w:left="414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4020185</wp:posOffset>
            </wp:positionH>
            <wp:positionV relativeFrom="paragraph">
              <wp:posOffset>-10160</wp:posOffset>
            </wp:positionV>
            <wp:extent cx="603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3250" cy="8890"/>
                    </a:xfrm>
                    <a:prstGeom prst="rect">
                      <a:avLst/>
                    </a:prstGeom>
                    <a:noFill/>
                  </pic:spPr>
                </pic:pic>
              </a:graphicData>
            </a:graphic>
          </wp:anchor>
        </w:drawing>
      </w:r>
    </w:p>
    <w:p>
      <w:pPr>
        <w:spacing w:after="0" w:line="9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001-38240</w:t>
      </w:r>
    </w:p>
    <w:p>
      <w:pPr>
        <w:spacing w:after="0" w:line="117" w:lineRule="exact"/>
        <w:rPr>
          <w:sz w:val="24"/>
          <w:szCs w:val="24"/>
          <w:color w:val="auto"/>
        </w:rPr>
      </w:pPr>
    </w:p>
    <w:p>
      <w:pPr>
        <w:ind w:left="4960"/>
        <w:spacing w:after="0"/>
        <w:rPr>
          <w:sz w:val="20"/>
          <w:szCs w:val="20"/>
          <w:color w:val="auto"/>
        </w:rPr>
      </w:pPr>
      <w:r>
        <w:rPr>
          <w:rFonts w:ascii="Arial" w:cs="Arial" w:eastAsia="Arial" w:hAnsi="Arial"/>
          <w:sz w:val="14"/>
          <w:szCs w:val="14"/>
          <w:color w:val="auto"/>
        </w:rPr>
        <w:t>_____________________</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MONGODB, INC.</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8" w:lineRule="exact"/>
        <w:rPr>
          <w:sz w:val="24"/>
          <w:szCs w:val="24"/>
          <w:color w:val="auto"/>
        </w:rPr>
      </w:pPr>
    </w:p>
    <w:p>
      <w:pPr>
        <w:ind w:left="4960"/>
        <w:spacing w:after="0"/>
        <w:rPr>
          <w:sz w:val="20"/>
          <w:szCs w:val="20"/>
          <w:color w:val="auto"/>
        </w:rPr>
      </w:pPr>
      <w:r>
        <w:rPr>
          <w:rFonts w:ascii="Arial" w:cs="Arial" w:eastAsia="Arial" w:hAnsi="Arial"/>
          <w:sz w:val="14"/>
          <w:szCs w:val="14"/>
          <w:color w:val="auto"/>
        </w:rPr>
        <w:t>_____________________</w:t>
      </w:r>
    </w:p>
    <w:p>
      <w:pPr>
        <w:spacing w:after="0" w:line="272" w:lineRule="exact"/>
        <w:rPr>
          <w:sz w:val="24"/>
          <w:szCs w:val="24"/>
          <w:color w:val="auto"/>
        </w:rPr>
      </w:pPr>
    </w:p>
    <w:tbl>
      <w:tblPr>
        <w:tblLayout w:type="fixed"/>
        <w:tblInd w:w="1280" w:type="dxa"/>
        <w:tblCellMar>
          <w:top w:w="0" w:type="dxa"/>
          <w:left w:w="0" w:type="dxa"/>
          <w:bottom w:w="0" w:type="dxa"/>
          <w:right w:w="0" w:type="dxa"/>
        </w:tblCellMar>
      </w:tblPr>
      <w:tr>
        <w:trPr>
          <w:trHeight w:val="234"/>
        </w:trPr>
        <w:tc>
          <w:tcPr>
            <w:tcW w:w="4780" w:type="dxa"/>
            <w:vAlign w:val="bottom"/>
          </w:tcPr>
          <w:p>
            <w:pPr>
              <w:jc w:val="center"/>
              <w:ind w:right="1257"/>
              <w:spacing w:after="0"/>
              <w:rPr>
                <w:sz w:val="20"/>
                <w:szCs w:val="20"/>
                <w:color w:val="auto"/>
              </w:rPr>
            </w:pPr>
            <w:r>
              <w:rPr>
                <w:rFonts w:ascii="Arial" w:cs="Arial" w:eastAsia="Arial" w:hAnsi="Arial"/>
                <w:sz w:val="18"/>
                <w:szCs w:val="18"/>
                <w:b w:val="1"/>
                <w:bCs w:val="1"/>
                <w:color w:val="auto"/>
                <w:w w:val="91"/>
              </w:rPr>
              <w:t>Delaware</w:t>
            </w:r>
          </w:p>
        </w:tc>
        <w:tc>
          <w:tcPr>
            <w:tcW w:w="3420" w:type="dxa"/>
            <w:vAlign w:val="bottom"/>
          </w:tcPr>
          <w:p>
            <w:pPr>
              <w:jc w:val="right"/>
              <w:ind w:right="539"/>
              <w:spacing w:after="0"/>
              <w:rPr>
                <w:sz w:val="20"/>
                <w:szCs w:val="20"/>
                <w:color w:val="auto"/>
              </w:rPr>
            </w:pPr>
            <w:r>
              <w:rPr>
                <w:rFonts w:ascii="Arial" w:cs="Arial" w:eastAsia="Arial" w:hAnsi="Arial"/>
                <w:sz w:val="18"/>
                <w:szCs w:val="18"/>
                <w:b w:val="1"/>
                <w:bCs w:val="1"/>
                <w:color w:val="auto"/>
              </w:rPr>
              <w:t>26-1463205</w:t>
            </w:r>
          </w:p>
        </w:tc>
      </w:tr>
      <w:tr>
        <w:trPr>
          <w:trHeight w:val="218"/>
        </w:trPr>
        <w:tc>
          <w:tcPr>
            <w:tcW w:w="4780" w:type="dxa"/>
            <w:vAlign w:val="bottom"/>
          </w:tcPr>
          <w:p>
            <w:pPr>
              <w:jc w:val="center"/>
              <w:ind w:right="125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420" w:type="dxa"/>
            <w:vAlign w:val="bottom"/>
          </w:tcPr>
          <w:p>
            <w:pPr>
              <w:jc w:val="center"/>
              <w:ind w:left="1239"/>
              <w:spacing w:after="0"/>
              <w:rPr>
                <w:sz w:val="20"/>
                <w:szCs w:val="20"/>
                <w:color w:val="auto"/>
              </w:rPr>
            </w:pPr>
            <w:r>
              <w:rPr>
                <w:rFonts w:ascii="Arial" w:cs="Arial" w:eastAsia="Arial" w:hAnsi="Arial"/>
                <w:sz w:val="14"/>
                <w:szCs w:val="14"/>
                <w:color w:val="auto"/>
                <w:w w:val="97"/>
              </w:rPr>
              <w:t>(I.R.S. Employer Identification No.)</w:t>
            </w:r>
          </w:p>
        </w:tc>
      </w:tr>
      <w:tr>
        <w:trPr>
          <w:trHeight w:val="426"/>
        </w:trPr>
        <w:tc>
          <w:tcPr>
            <w:tcW w:w="4780" w:type="dxa"/>
            <w:vAlign w:val="bottom"/>
          </w:tcPr>
          <w:p>
            <w:pPr>
              <w:jc w:val="center"/>
              <w:ind w:right="1257"/>
              <w:spacing w:after="0"/>
              <w:rPr>
                <w:sz w:val="20"/>
                <w:szCs w:val="20"/>
                <w:color w:val="auto"/>
              </w:rPr>
            </w:pPr>
            <w:r>
              <w:rPr>
                <w:rFonts w:ascii="Arial" w:cs="Arial" w:eastAsia="Arial" w:hAnsi="Arial"/>
                <w:sz w:val="18"/>
                <w:szCs w:val="18"/>
                <w:b w:val="1"/>
                <w:bCs w:val="1"/>
                <w:color w:val="auto"/>
                <w:w w:val="91"/>
              </w:rPr>
              <w:t>1633 Broadway, 38th Floor</w:t>
            </w:r>
          </w:p>
        </w:tc>
        <w:tc>
          <w:tcPr>
            <w:tcW w:w="3420" w:type="dxa"/>
            <w:vAlign w:val="bottom"/>
          </w:tcPr>
          <w:p>
            <w:pPr>
              <w:spacing w:after="0"/>
              <w:rPr>
                <w:sz w:val="24"/>
                <w:szCs w:val="24"/>
                <w:color w:val="auto"/>
              </w:rPr>
            </w:pPr>
          </w:p>
        </w:tc>
      </w:tr>
      <w:tr>
        <w:trPr>
          <w:trHeight w:val="234"/>
        </w:trPr>
        <w:tc>
          <w:tcPr>
            <w:tcW w:w="4780" w:type="dxa"/>
            <w:vAlign w:val="bottom"/>
          </w:tcPr>
          <w:p>
            <w:pPr>
              <w:jc w:val="center"/>
              <w:ind w:right="1237"/>
              <w:spacing w:after="0"/>
              <w:rPr>
                <w:sz w:val="20"/>
                <w:szCs w:val="20"/>
                <w:color w:val="auto"/>
              </w:rPr>
            </w:pPr>
            <w:r>
              <w:rPr>
                <w:rFonts w:ascii="Arial" w:cs="Arial" w:eastAsia="Arial" w:hAnsi="Arial"/>
                <w:sz w:val="18"/>
                <w:szCs w:val="18"/>
                <w:b w:val="1"/>
                <w:bCs w:val="1"/>
                <w:color w:val="auto"/>
                <w:w w:val="93"/>
              </w:rPr>
              <w:t>New York, New York</w:t>
            </w:r>
          </w:p>
        </w:tc>
        <w:tc>
          <w:tcPr>
            <w:tcW w:w="3420" w:type="dxa"/>
            <w:vAlign w:val="bottom"/>
          </w:tcPr>
          <w:p>
            <w:pPr>
              <w:jc w:val="right"/>
              <w:ind w:right="739"/>
              <w:spacing w:after="0"/>
              <w:rPr>
                <w:sz w:val="20"/>
                <w:szCs w:val="20"/>
                <w:color w:val="auto"/>
              </w:rPr>
            </w:pPr>
            <w:r>
              <w:rPr>
                <w:rFonts w:ascii="Arial" w:cs="Arial" w:eastAsia="Arial" w:hAnsi="Arial"/>
                <w:sz w:val="18"/>
                <w:szCs w:val="18"/>
                <w:b w:val="1"/>
                <w:bCs w:val="1"/>
                <w:color w:val="auto"/>
              </w:rPr>
              <w:t>10019</w:t>
            </w:r>
          </w:p>
        </w:tc>
      </w:tr>
      <w:tr>
        <w:trPr>
          <w:trHeight w:val="218"/>
        </w:trPr>
        <w:tc>
          <w:tcPr>
            <w:tcW w:w="4780" w:type="dxa"/>
            <w:vAlign w:val="bottom"/>
          </w:tcPr>
          <w:p>
            <w:pPr>
              <w:jc w:val="center"/>
              <w:ind w:right="1257"/>
              <w:spacing w:after="0"/>
              <w:rPr>
                <w:sz w:val="20"/>
                <w:szCs w:val="20"/>
                <w:color w:val="auto"/>
              </w:rPr>
            </w:pPr>
            <w:r>
              <w:rPr>
                <w:rFonts w:ascii="Arial" w:cs="Arial" w:eastAsia="Arial" w:hAnsi="Arial"/>
                <w:sz w:val="14"/>
                <w:szCs w:val="14"/>
                <w:color w:val="auto"/>
                <w:w w:val="95"/>
              </w:rPr>
              <w:t>(Address of principal executive offices)</w:t>
            </w:r>
          </w:p>
        </w:tc>
        <w:tc>
          <w:tcPr>
            <w:tcW w:w="3420" w:type="dxa"/>
            <w:vAlign w:val="bottom"/>
          </w:tcPr>
          <w:p>
            <w:pPr>
              <w:jc w:val="center"/>
              <w:ind w:left="1239"/>
              <w:spacing w:after="0"/>
              <w:rPr>
                <w:sz w:val="20"/>
                <w:szCs w:val="20"/>
                <w:color w:val="auto"/>
              </w:rPr>
            </w:pPr>
            <w:r>
              <w:rPr>
                <w:rFonts w:ascii="Arial" w:cs="Arial" w:eastAsia="Arial" w:hAnsi="Arial"/>
                <w:sz w:val="14"/>
                <w:szCs w:val="14"/>
                <w:color w:val="auto"/>
                <w:w w:val="93"/>
              </w:rPr>
              <w:t>(Zip Code)</w:t>
            </w:r>
          </w:p>
        </w:tc>
      </w:tr>
    </w:tbl>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646-727-4092</w:t>
      </w:r>
    </w:p>
    <w:p>
      <w:pPr>
        <w:spacing w:after="0" w:line="21" w:lineRule="exact"/>
        <w:rPr>
          <w:sz w:val="24"/>
          <w:szCs w:val="24"/>
          <w:color w:val="auto"/>
        </w:rPr>
      </w:pPr>
    </w:p>
    <w:p>
      <w:pPr>
        <w:ind w:left="4960"/>
        <w:spacing w:after="0"/>
        <w:rPr>
          <w:sz w:val="20"/>
          <w:szCs w:val="20"/>
          <w:color w:val="auto"/>
        </w:rPr>
      </w:pPr>
      <w:r>
        <w:rPr>
          <w:rFonts w:ascii="Arial" w:cs="Arial" w:eastAsia="Arial" w:hAnsi="Arial"/>
          <w:sz w:val="14"/>
          <w:szCs w:val="14"/>
          <w:color w:val="auto"/>
        </w:rPr>
        <w:t>_____________________</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00"/>
          </w:cols>
          <w:pgMar w:left="240" w:top="621" w:right="259" w:bottom="1440" w:gutter="0" w:footer="0" w:header="0"/>
        </w:sectPr>
      </w:pPr>
    </w:p>
    <w:p>
      <w:pPr>
        <w:spacing w:after="0" w:line="171"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2" w:lineRule="exact"/>
        <w:rPr>
          <w:sz w:val="24"/>
          <w:szCs w:val="24"/>
          <w:color w:val="auto"/>
        </w:rPr>
      </w:pPr>
    </w:p>
    <w:p>
      <w:pPr>
        <w:sectPr>
          <w:pgSz w:w="11900" w:h="16838" w:orient="portrait"/>
          <w:cols w:equalWidth="0" w:num="2">
            <w:col w:w="6120" w:space="720"/>
            <w:col w:w="4560"/>
          </w:cols>
          <w:pgMar w:left="240" w:top="621" w:right="259" w:bottom="1440" w:gutter="0" w:footer="0" w:header="0"/>
          <w:type w:val="continuous"/>
        </w:sectPr>
      </w:pPr>
    </w:p>
    <w:p>
      <w:pPr>
        <w:ind w:left="1420"/>
        <w:spacing w:after="0"/>
        <w:rPr>
          <w:sz w:val="20"/>
          <w:szCs w:val="20"/>
          <w:color w:val="auto"/>
        </w:rPr>
      </w:pPr>
      <w:r>
        <w:rPr>
          <w:rFonts w:ascii="Arial" w:cs="Arial" w:eastAsia="Arial" w:hAnsi="Arial"/>
          <w:sz w:val="16"/>
          <w:szCs w:val="16"/>
          <w:b w:val="1"/>
          <w:bCs w:val="1"/>
          <w:color w:val="auto"/>
        </w:rPr>
        <w:t>Class A Common Stock, $0.001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The Nasdaq Stock Market LLC</w:t>
      </w:r>
    </w:p>
    <w:p>
      <w:pPr>
        <w:spacing w:after="0" w:line="171" w:lineRule="exact"/>
        <w:rPr>
          <w:sz w:val="24"/>
          <w:szCs w:val="24"/>
          <w:color w:val="auto"/>
        </w:rPr>
      </w:pPr>
    </w:p>
    <w:p>
      <w:pPr>
        <w:sectPr>
          <w:pgSz w:w="11900" w:h="16838" w:orient="portrait"/>
          <w:cols w:equalWidth="0" w:num="2">
            <w:col w:w="6480" w:space="720"/>
            <w:col w:w="4200"/>
          </w:cols>
          <w:pgMar w:left="240" w:top="621" w:right="259" w:bottom="1440" w:gutter="0" w:footer="0" w:header="0"/>
          <w:type w:val="continuous"/>
        </w:sectPr>
      </w:pPr>
    </w:p>
    <w:p>
      <w:pPr>
        <w:ind w:left="3640"/>
        <w:spacing w:after="0"/>
        <w:rPr>
          <w:sz w:val="20"/>
          <w:szCs w:val="20"/>
          <w:color w:val="auto"/>
        </w:rPr>
      </w:pPr>
      <w:r>
        <w:rPr>
          <w:rFonts w:ascii="Arial" w:cs="Arial" w:eastAsia="Arial" w:hAnsi="Arial"/>
          <w:sz w:val="16"/>
          <w:szCs w:val="16"/>
          <w:color w:val="auto"/>
        </w:rPr>
        <w:t>Securities registered pursuant to Section 12(g) of the Act:</w:t>
      </w:r>
    </w:p>
    <w:p>
      <w:pPr>
        <w:spacing w:after="0" w:line="46" w:lineRule="exact"/>
        <w:rPr>
          <w:sz w:val="24"/>
          <w:szCs w:val="24"/>
          <w:color w:val="auto"/>
        </w:rPr>
      </w:pPr>
    </w:p>
    <w:p>
      <w:pPr>
        <w:ind w:left="5520"/>
        <w:spacing w:after="0"/>
        <w:rPr>
          <w:sz w:val="20"/>
          <w:szCs w:val="20"/>
          <w:color w:val="auto"/>
        </w:rPr>
      </w:pPr>
      <w:r>
        <w:rPr>
          <w:rFonts w:ascii="Arial" w:cs="Arial" w:eastAsia="Arial" w:hAnsi="Arial"/>
          <w:sz w:val="18"/>
          <w:szCs w:val="18"/>
          <w:b w:val="1"/>
          <w:bCs w:val="1"/>
          <w:color w:val="auto"/>
        </w:rPr>
        <w:t>None</w:t>
      </w:r>
    </w:p>
    <w:p>
      <w:pPr>
        <w:spacing w:after="0" w:line="9"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(Title of class)</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ectPr>
          <w:pgSz w:w="11900" w:h="16838" w:orient="portrait"/>
          <w:cols w:equalWidth="0" w:num="1">
            <w:col w:w="11400"/>
          </w:cols>
          <w:pgMar w:left="240" w:top="621" w:right="259" w:bottom="1440" w:gutter="0" w:footer="0" w:header="0"/>
          <w:type w:val="continuous"/>
        </w:sectPr>
      </w:pPr>
    </w:p>
    <w:p>
      <w:pPr>
        <w:spacing w:after="0" w:line="10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8760" w:space="100"/>
            <w:col w:w="160" w:space="180"/>
            <w:col w:w="220" w:space="80"/>
            <w:col w:w="1900"/>
          </w:cols>
          <w:pgMar w:left="240" w:top="621" w:right="25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77" w:lineRule="exact"/>
        <w:rPr>
          <w:sz w:val="24"/>
          <w:szCs w:val="24"/>
          <w:color w:val="auto"/>
        </w:rPr>
      </w:pPr>
    </w:p>
    <w:p>
      <w:pPr>
        <w:sectPr>
          <w:pgSz w:w="11900" w:h="16838" w:orient="portrait"/>
          <w:cols w:equalWidth="0" w:num="4">
            <w:col w:w="8920" w:space="100"/>
            <w:col w:w="160" w:space="180"/>
            <w:col w:w="220" w:space="80"/>
            <w:col w:w="1740"/>
          </w:cols>
          <w:pgMar w:left="240" w:top="621" w:right="259" w:bottom="1440" w:gutter="0" w:footer="0" w:header="0"/>
          <w:type w:val="continuous"/>
        </w:sect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5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ectPr>
          <w:pgSz w:w="11900" w:h="16838" w:orient="portrait"/>
          <w:cols w:equalWidth="0" w:num="1">
            <w:col w:w="11400"/>
          </w:cols>
          <w:pgMar w:left="240" w:top="621" w:right="259" w:bottom="1440" w:gutter="0" w:footer="0" w:header="0"/>
          <w:type w:val="continuous"/>
        </w:sectPr>
      </w:pPr>
    </w:p>
    <w:bookmarkStart w:id="1" w:name="page2"/>
    <w:bookmarkEnd w:id="1"/>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0"/>
          <w:szCs w:val="20"/>
          <w:color w:val="auto"/>
        </w:rPr>
      </w:pPr>
    </w:p>
    <w:tbl>
      <w:tblPr>
        <w:tblLayout w:type="fixed"/>
        <w:tblInd w:w="420" w:type="dxa"/>
        <w:tblCellMar>
          <w:top w:w="0" w:type="dxa"/>
          <w:left w:w="0" w:type="dxa"/>
          <w:bottom w:w="0" w:type="dxa"/>
          <w:right w:w="0" w:type="dxa"/>
        </w:tblCellMar>
      </w:tblPr>
      <w:tr>
        <w:trPr>
          <w:trHeight w:val="283"/>
        </w:trPr>
        <w:tc>
          <w:tcPr>
            <w:tcW w:w="232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45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vMerge w:val="restart"/>
          </w:tcPr>
          <w:p>
            <w:pPr>
              <w:ind w:left="6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8"/>
        </w:trPr>
        <w:tc>
          <w:tcPr>
            <w:tcW w:w="2320" w:type="dxa"/>
            <w:vAlign w:val="bottom"/>
            <w:vMerge w:val="continue"/>
          </w:tcPr>
          <w:p>
            <w:pPr>
              <w:spacing w:after="0"/>
              <w:rPr>
                <w:sz w:val="7"/>
                <w:szCs w:val="7"/>
                <w:color w:val="auto"/>
              </w:rPr>
            </w:pPr>
          </w:p>
        </w:tc>
        <w:tc>
          <w:tcPr>
            <w:tcW w:w="450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232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4500" w:type="dxa"/>
            <w:vAlign w:val="bottom"/>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 reporting company)</w:t>
            </w:r>
          </w:p>
        </w:tc>
        <w:tc>
          <w:tcPr>
            <w:tcW w:w="2880" w:type="dxa"/>
            <w:vAlign w:val="bottom"/>
            <w:vMerge w:val="restart"/>
          </w:tcPr>
          <w:p>
            <w:pPr>
              <w:ind w:left="640"/>
              <w:spacing w:after="0"/>
              <w:rPr>
                <w:sz w:val="20"/>
                <w:szCs w:val="20"/>
                <w:color w:val="auto"/>
              </w:rPr>
            </w:pPr>
            <w:r>
              <w:rPr>
                <w:rFonts w:ascii="Arial" w:cs="Arial" w:eastAsia="Arial" w:hAnsi="Arial"/>
                <w:sz w:val="18"/>
                <w:szCs w:val="18"/>
                <w:color w:val="auto"/>
              </w:rPr>
              <w:t>Small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8"/>
        </w:trPr>
        <w:tc>
          <w:tcPr>
            <w:tcW w:w="2320" w:type="dxa"/>
            <w:vAlign w:val="bottom"/>
            <w:vMerge w:val="continue"/>
          </w:tcPr>
          <w:p>
            <w:pPr>
              <w:spacing w:after="0"/>
              <w:rPr>
                <w:sz w:val="7"/>
                <w:szCs w:val="7"/>
                <w:color w:val="auto"/>
              </w:rPr>
            </w:pPr>
          </w:p>
        </w:tc>
        <w:tc>
          <w:tcPr>
            <w:tcW w:w="450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2320" w:type="dxa"/>
            <w:vAlign w:val="bottom"/>
            <w:vMerge w:val="restart"/>
          </w:tcPr>
          <w:p>
            <w:pPr>
              <w:spacing w:after="0"/>
              <w:rPr>
                <w:sz w:val="20"/>
                <w:szCs w:val="20"/>
                <w:color w:val="auto"/>
              </w:rPr>
            </w:pPr>
            <w:r>
              <w:rPr>
                <w:rFonts w:ascii="Arial" w:cs="Arial" w:eastAsia="Arial" w:hAnsi="Arial"/>
                <w:sz w:val="18"/>
                <w:szCs w:val="18"/>
                <w:color w:val="auto"/>
              </w:rPr>
              <w:t>Emerging growth company</w:t>
            </w:r>
          </w:p>
        </w:tc>
        <w:tc>
          <w:tcPr>
            <w:tcW w:w="45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320" w:type="dxa"/>
            <w:vAlign w:val="bottom"/>
            <w:vMerge w:val="continue"/>
          </w:tcPr>
          <w:p>
            <w:pPr>
              <w:spacing w:after="0"/>
              <w:rPr>
                <w:sz w:val="7"/>
                <w:szCs w:val="7"/>
                <w:color w:val="auto"/>
              </w:rPr>
            </w:pPr>
          </w:p>
        </w:tc>
        <w:tc>
          <w:tcPr>
            <w:tcW w:w="45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0"/>
          <w:szCs w:val="20"/>
          <w:color w:val="auto"/>
        </w:r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5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based on the closing price of the registrant’s shares of Class A common stock as reported by The Nasdaq Global Market on July 31, 2018 (the last business day of the registrant’s second fiscal quarter), was approximately $1.6 billion.</w:t>
      </w:r>
    </w:p>
    <w:p>
      <w:pPr>
        <w:spacing w:after="0" w:line="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March 25, 2019, there were 37,179,261 shares of the registrant’s Class A common stock and 17,812,236 shares of the registrant’s Class B common stock outstanding.</w:t>
      </w:r>
    </w:p>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Portions of the registrant’s definitive proxy statement relating to its 2019 annual meeting of shareholders (the “2019 Proxy Statement”) are incorporated by reference into Part III of this Annual Report on Form 10-K where indicated. The 2019 Proxy Statement will be filed with the U.S. Securities and Exchange Commission within 120 days after the end of the registrant’s fiscal year ended January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w:t>
        </w:r>
      </w:hyperlink>
    </w:p>
    <w:p>
      <w:pPr>
        <w:spacing w:after="0" w:line="144" w:lineRule="exact"/>
        <w:rPr>
          <w:sz w:val="20"/>
          <w:szCs w:val="20"/>
          <w:color w:val="auto"/>
        </w:rPr>
      </w:pPr>
    </w:p>
    <w:p>
      <w:pPr>
        <w:ind w:left="20"/>
        <w:spacing w:after="0"/>
        <w:rPr>
          <w:rFonts w:ascii="Arial" w:cs="Arial" w:eastAsia="Arial" w:hAnsi="Arial"/>
          <w:sz w:val="17"/>
          <w:szCs w:val="17"/>
          <w:u w:val="single" w:color="auto"/>
          <w:color w:val="0000EE"/>
        </w:rPr>
      </w:pPr>
      <w:hyperlink w:anchor="page14">
        <w:r>
          <w:rPr>
            <w:rFonts w:ascii="Arial" w:cs="Arial" w:eastAsia="Arial" w:hAnsi="Arial"/>
            <w:sz w:val="17"/>
            <w:szCs w:val="17"/>
            <w:u w:val="single" w:color="auto"/>
            <w:color w:val="0000EE"/>
          </w:rPr>
          <w:t>Item 1A.</w:t>
        </w:r>
      </w:hyperlink>
    </w:p>
    <w:p>
      <w:pPr>
        <w:spacing w:after="0" w:line="75" w:lineRule="exact"/>
        <w:rPr>
          <w:sz w:val="20"/>
          <w:szCs w:val="20"/>
          <w:color w:val="auto"/>
        </w:rPr>
      </w:pPr>
    </w:p>
    <w:p>
      <w:pPr>
        <w:ind w:left="20"/>
        <w:spacing w:after="0"/>
        <w:rPr>
          <w:rFonts w:ascii="Arial" w:cs="Arial" w:eastAsia="Arial" w:hAnsi="Arial"/>
          <w:sz w:val="17"/>
          <w:szCs w:val="17"/>
          <w:u w:val="single" w:color="auto"/>
          <w:color w:val="0000EE"/>
        </w:rPr>
      </w:pPr>
      <w:hyperlink w:anchor="page40">
        <w:r>
          <w:rPr>
            <w:rFonts w:ascii="Arial" w:cs="Arial" w:eastAsia="Arial" w:hAnsi="Arial"/>
            <w:sz w:val="17"/>
            <w:szCs w:val="17"/>
            <w:u w:val="single" w:color="auto"/>
            <w:color w:val="0000EE"/>
          </w:rPr>
          <w:t>Item 1B.</w:t>
        </w:r>
      </w:hyperlink>
    </w:p>
    <w:p>
      <w:pPr>
        <w:spacing w:after="0" w:line="75" w:lineRule="exact"/>
        <w:rPr>
          <w:sz w:val="20"/>
          <w:szCs w:val="20"/>
          <w:color w:val="auto"/>
        </w:rPr>
      </w:pPr>
    </w:p>
    <w:p>
      <w:pPr>
        <w:ind w:left="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2.</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3.</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4.</w:t>
        </w:r>
      </w:hyperlink>
    </w:p>
    <w:p>
      <w:pPr>
        <w:spacing w:after="0" w:line="200" w:lineRule="exact"/>
        <w:rPr>
          <w:sz w:val="20"/>
          <w:szCs w:val="20"/>
          <w:color w:val="auto"/>
        </w:rPr>
      </w:pPr>
    </w:p>
    <w:p>
      <w:pPr>
        <w:spacing w:after="0" w:line="214"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5.</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6.</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7.</w:t>
        </w:r>
      </w:hyperlink>
    </w:p>
    <w:p>
      <w:pPr>
        <w:spacing w:after="0" w:line="144" w:lineRule="exact"/>
        <w:rPr>
          <w:sz w:val="20"/>
          <w:szCs w:val="20"/>
          <w:color w:val="auto"/>
        </w:rPr>
      </w:pPr>
    </w:p>
    <w:p>
      <w:pPr>
        <w:spacing w:after="0"/>
        <w:rPr>
          <w:rFonts w:ascii="Arial" w:cs="Arial" w:eastAsia="Arial" w:hAnsi="Arial"/>
          <w:sz w:val="17"/>
          <w:szCs w:val="17"/>
          <w:u w:val="single" w:color="auto"/>
          <w:color w:val="0000EE"/>
        </w:rPr>
      </w:pPr>
      <w:hyperlink w:anchor="page62">
        <w:r>
          <w:rPr>
            <w:rFonts w:ascii="Arial" w:cs="Arial" w:eastAsia="Arial" w:hAnsi="Arial"/>
            <w:sz w:val="17"/>
            <w:szCs w:val="17"/>
            <w:u w:val="single" w:color="auto"/>
            <w:color w:val="0000EE"/>
          </w:rPr>
          <w:t>Item 7A.</w:t>
        </w:r>
      </w:hyperlink>
    </w:p>
    <w:p>
      <w:pPr>
        <w:spacing w:after="0" w:line="156" w:lineRule="exact"/>
        <w:rPr>
          <w:sz w:val="20"/>
          <w:szCs w:val="20"/>
          <w:color w:val="auto"/>
        </w:rPr>
      </w:pPr>
    </w:p>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Item 8.</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Item 9.</w:t>
        </w:r>
      </w:hyperlink>
    </w:p>
    <w:p>
      <w:pPr>
        <w:spacing w:after="0" w:line="144" w:lineRule="exact"/>
        <w:rPr>
          <w:sz w:val="20"/>
          <w:szCs w:val="20"/>
          <w:color w:val="auto"/>
        </w:rPr>
      </w:pPr>
    </w:p>
    <w:p>
      <w:pPr>
        <w:spacing w:after="0"/>
        <w:rPr>
          <w:rFonts w:ascii="Arial" w:cs="Arial" w:eastAsia="Arial" w:hAnsi="Arial"/>
          <w:sz w:val="17"/>
          <w:szCs w:val="17"/>
          <w:u w:val="single" w:color="auto"/>
          <w:color w:val="0000EE"/>
        </w:rPr>
      </w:pPr>
      <w:hyperlink w:anchor="page102">
        <w:r>
          <w:rPr>
            <w:rFonts w:ascii="Arial" w:cs="Arial" w:eastAsia="Arial" w:hAnsi="Arial"/>
            <w:sz w:val="17"/>
            <w:szCs w:val="17"/>
            <w:u w:val="single" w:color="auto"/>
            <w:color w:val="0000EE"/>
          </w:rPr>
          <w:t>Item 9A.</w:t>
        </w:r>
      </w:hyperlink>
    </w:p>
    <w:p>
      <w:pPr>
        <w:spacing w:after="0" w:line="156" w:lineRule="exact"/>
        <w:rPr>
          <w:sz w:val="20"/>
          <w:szCs w:val="20"/>
          <w:color w:val="auto"/>
        </w:rPr>
      </w:pPr>
    </w:p>
    <w:p>
      <w:pPr>
        <w:spacing w:after="0"/>
        <w:rPr>
          <w:rFonts w:ascii="Arial" w:cs="Arial" w:eastAsia="Arial" w:hAnsi="Arial"/>
          <w:sz w:val="17"/>
          <w:szCs w:val="17"/>
          <w:u w:val="single" w:color="auto"/>
          <w:color w:val="0000EE"/>
        </w:rPr>
      </w:pPr>
      <w:hyperlink w:anchor="page103">
        <w:r>
          <w:rPr>
            <w:rFonts w:ascii="Arial" w:cs="Arial" w:eastAsia="Arial" w:hAnsi="Arial"/>
            <w:sz w:val="17"/>
            <w:szCs w:val="17"/>
            <w:u w:val="single" w:color="auto"/>
            <w:color w:val="0000EE"/>
          </w:rPr>
          <w:t>Item 9B.</w:t>
        </w:r>
      </w:hyperlink>
    </w:p>
    <w:p>
      <w:pPr>
        <w:spacing w:after="0" w:line="200" w:lineRule="exact"/>
        <w:rPr>
          <w:sz w:val="20"/>
          <w:szCs w:val="20"/>
          <w:color w:val="auto"/>
        </w:rPr>
      </w:pPr>
    </w:p>
    <w:p>
      <w:pPr>
        <w:spacing w:after="0" w:line="307" w:lineRule="exact"/>
        <w:rPr>
          <w:sz w:val="20"/>
          <w:szCs w:val="20"/>
          <w:color w:val="auto"/>
        </w:rPr>
      </w:pPr>
    </w:p>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Item 10.</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Item 11.</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Item 12.</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Item 13.</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Item 14.</w:t>
        </w:r>
      </w:hyperlink>
    </w:p>
    <w:p>
      <w:pPr>
        <w:spacing w:after="0" w:line="200" w:lineRule="exact"/>
        <w:rPr>
          <w:sz w:val="20"/>
          <w:szCs w:val="20"/>
          <w:color w:val="auto"/>
        </w:rPr>
      </w:pPr>
    </w:p>
    <w:p>
      <w:pPr>
        <w:spacing w:after="0" w:line="295" w:lineRule="exact"/>
        <w:rPr>
          <w:sz w:val="20"/>
          <w:szCs w:val="20"/>
          <w:color w:val="auto"/>
        </w:rPr>
      </w:pPr>
    </w:p>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Item 15.</w:t>
        </w:r>
      </w:hyperlink>
    </w:p>
    <w:p>
      <w:pPr>
        <w:spacing w:after="0" w:line="144" w:lineRule="exact"/>
        <w:rPr>
          <w:sz w:val="20"/>
          <w:szCs w:val="20"/>
          <w:color w:val="auto"/>
        </w:rPr>
      </w:pPr>
    </w:p>
    <w:p>
      <w:pPr>
        <w:ind w:left="20"/>
        <w:spacing w:after="0"/>
        <w:rPr>
          <w:rFonts w:ascii="Arial" w:cs="Arial" w:eastAsia="Arial" w:hAnsi="Arial"/>
          <w:sz w:val="17"/>
          <w:szCs w:val="17"/>
          <w:u w:val="single" w:color="auto"/>
          <w:color w:val="0000EE"/>
        </w:rPr>
      </w:pPr>
      <w:hyperlink w:anchor="page107">
        <w:r>
          <w:rPr>
            <w:rFonts w:ascii="Arial" w:cs="Arial" w:eastAsia="Arial" w:hAnsi="Arial"/>
            <w:sz w:val="17"/>
            <w:szCs w:val="17"/>
            <w:u w:val="single" w:color="auto"/>
            <w:color w:val="0000EE"/>
          </w:rPr>
          <w:t>Item 16.</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120" w:type="dxa"/>
            <w:vAlign w:val="bottom"/>
            <w:gridSpan w:val="16"/>
          </w:tcPr>
          <w:p>
            <w:pPr>
              <w:jc w:val="center"/>
              <w:ind w:right="4180"/>
              <w:spacing w:after="0"/>
              <w:rPr>
                <w:sz w:val="20"/>
                <w:szCs w:val="20"/>
                <w:color w:val="auto"/>
              </w:rPr>
            </w:pPr>
            <w:r>
              <w:rPr>
                <w:rFonts w:ascii="Arial" w:cs="Arial" w:eastAsia="Arial" w:hAnsi="Arial"/>
                <w:sz w:val="18"/>
                <w:szCs w:val="18"/>
                <w:b w:val="1"/>
                <w:bCs w:val="1"/>
                <w:color w:val="auto"/>
                <w:w w:val="93"/>
              </w:rPr>
              <w:t>MongoDB, Inc.</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120" w:type="dxa"/>
            <w:vAlign w:val="bottom"/>
            <w:gridSpan w:val="16"/>
          </w:tcPr>
          <w:p>
            <w:pPr>
              <w:jc w:val="center"/>
              <w:ind w:right="4180"/>
              <w:spacing w:after="0"/>
              <w:rPr>
                <w:sz w:val="20"/>
                <w:szCs w:val="20"/>
                <w:color w:val="auto"/>
              </w:rPr>
            </w:pPr>
            <w:r>
              <w:rPr>
                <w:rFonts w:ascii="Arial" w:cs="Arial" w:eastAsia="Arial" w:hAnsi="Arial"/>
                <w:sz w:val="18"/>
                <w:szCs w:val="18"/>
                <w:b w:val="1"/>
                <w:bCs w:val="1"/>
                <w:color w:val="auto"/>
                <w:w w:val="96"/>
              </w:rPr>
              <w:t>Form 10-K</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0" w:type="dxa"/>
            <w:vAlign w:val="bottom"/>
            <w:gridSpan w:val="19"/>
          </w:tcPr>
          <w:p>
            <w:pPr>
              <w:jc w:val="center"/>
              <w:ind w:right="2900"/>
              <w:spacing w:after="0"/>
              <w:rPr>
                <w:sz w:val="20"/>
                <w:szCs w:val="20"/>
                <w:color w:val="auto"/>
              </w:rPr>
            </w:pPr>
            <w:r>
              <w:rPr>
                <w:rFonts w:ascii="Arial" w:cs="Arial" w:eastAsia="Arial" w:hAnsi="Arial"/>
                <w:sz w:val="18"/>
                <w:szCs w:val="18"/>
                <w:b w:val="1"/>
                <w:bCs w:val="1"/>
                <w:color w:val="auto"/>
                <w:w w:val="91"/>
              </w:rPr>
              <w:t>For the Fiscal Year Ended January 31, 2019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9"/>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540" w:type="dxa"/>
            <w:vAlign w:val="bottom"/>
            <w:gridSpan w:val="17"/>
          </w:tcPr>
          <w:p>
            <w:pPr>
              <w:jc w:val="center"/>
              <w:ind w:right="3740"/>
              <w:spacing w:after="0"/>
              <w:rPr>
                <w:sz w:val="20"/>
                <w:szCs w:val="20"/>
                <w:color w:val="auto"/>
              </w:rPr>
            </w:pPr>
            <w:r>
              <w:rPr>
                <w:rFonts w:ascii="Arial" w:cs="Arial" w:eastAsia="Arial" w:hAnsi="Arial"/>
                <w:sz w:val="22"/>
                <w:szCs w:val="22"/>
                <w:b w:val="1"/>
                <w:bCs w:val="1"/>
                <w:color w:val="auto"/>
                <w:w w:val="97"/>
              </w:rPr>
              <w:t>TABLE OF CONTENTS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51"/>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Page</w:t>
            </w:r>
          </w:p>
        </w:tc>
      </w:tr>
      <w:tr>
        <w:trPr>
          <w:trHeight w:val="189"/>
        </w:trPr>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Borders>
              <w:bottom w:val="single" w:sz="8" w:color="0000EE"/>
            </w:tcBorders>
            <w:gridSpan w:val="3"/>
          </w:tcPr>
          <w:p>
            <w:pPr>
              <w:jc w:val="center"/>
              <w:spacing w:after="0" w:line="189" w:lineRule="exact"/>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860" w:type="dxa"/>
            <w:vAlign w:val="bottom"/>
            <w:gridSpan w:val="9"/>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12"/>
        </w:trPr>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800" w:type="dxa"/>
            <w:vAlign w:val="bottom"/>
            <w:gridSpan w:val="27"/>
          </w:tcPr>
          <w:p>
            <w:pPr>
              <w:spacing w:after="0"/>
              <w:rPr>
                <w:sz w:val="24"/>
                <w:szCs w:val="24"/>
                <w:color w:val="auto"/>
              </w:rPr>
            </w:pPr>
          </w:p>
        </w:tc>
        <w:tc>
          <w:tcPr>
            <w:tcW w:w="44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20" w:type="dxa"/>
            <w:vAlign w:val="bottom"/>
          </w:tcPr>
          <w:p>
            <w:pPr>
              <w:spacing w:after="0"/>
              <w:rPr>
                <w:sz w:val="24"/>
                <w:szCs w:val="24"/>
                <w:color w:val="auto"/>
              </w:rPr>
            </w:pPr>
          </w:p>
        </w:tc>
      </w:tr>
      <w:tr>
        <w:trPr>
          <w:trHeight w:val="250"/>
        </w:trPr>
        <w:tc>
          <w:tcPr>
            <w:tcW w:w="900" w:type="dxa"/>
            <w:vAlign w:val="bottom"/>
            <w:gridSpan w:val="3"/>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8540" w:type="dxa"/>
            <w:vAlign w:val="bottom"/>
            <w:gridSpan w:val="25"/>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20"/>
        </w:trPr>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40" w:type="dxa"/>
            <w:vAlign w:val="bottom"/>
            <w:gridSpan w:val="9"/>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Unresolved Staff Comments</w:t>
              </w:r>
            </w:hyperlink>
          </w:p>
        </w:tc>
        <w:tc>
          <w:tcPr>
            <w:tcW w:w="7400" w:type="dxa"/>
            <w:vAlign w:val="bottom"/>
            <w:gridSpan w:val="19"/>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0"/>
        </w:trPr>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40" w:type="dxa"/>
            <w:vAlign w:val="bottom"/>
            <w:gridSpan w:val="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Properties</w:t>
              </w:r>
            </w:hyperlink>
          </w:p>
        </w:tc>
        <w:tc>
          <w:tcPr>
            <w:tcW w:w="7400" w:type="dxa"/>
            <w:vAlign w:val="bottom"/>
            <w:gridSpan w:val="19"/>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0"/>
        </w:trPr>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40" w:type="dxa"/>
            <w:vAlign w:val="bottom"/>
            <w:gridSpan w:val="2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0"/>
        </w:trPr>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40" w:type="dxa"/>
            <w:vAlign w:val="bottom"/>
            <w:gridSpan w:val="2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250"/>
        </w:trPr>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w:t>
              </w:r>
            </w:hyperlink>
          </w:p>
        </w:tc>
        <w:tc>
          <w:tcPr>
            <w:tcW w:w="4820" w:type="dxa"/>
            <w:vAlign w:val="bottom"/>
            <w:gridSpan w:val="8"/>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412"/>
        </w:trPr>
        <w:tc>
          <w:tcPr>
            <w:tcW w:w="9440" w:type="dxa"/>
            <w:vAlign w:val="bottom"/>
            <w:gridSpan w:val="2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Market for Registrant’s Common Equity, Related Stockholder Matters and Issuer Purchases of Equity Securities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0"/>
        </w:trPr>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8060" w:type="dxa"/>
            <w:vAlign w:val="bottom"/>
            <w:gridSpan w:val="2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Selected Financial Data</w:t>
              </w:r>
            </w:hyperlink>
          </w:p>
        </w:tc>
        <w:tc>
          <w:tcPr>
            <w:tcW w:w="1380" w:type="dxa"/>
            <w:vAlign w:val="bottom"/>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r>
      <w:tr>
        <w:trPr>
          <w:trHeight w:val="20"/>
        </w:trPr>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6460" w:type="dxa"/>
            <w:vAlign w:val="bottom"/>
            <w:gridSpan w:val="24"/>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4"/>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r>
      <w:tr>
        <w:trPr>
          <w:trHeight w:val="20"/>
        </w:trPr>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4360" w:type="dxa"/>
            <w:vAlign w:val="bottom"/>
            <w:gridSpan w:val="18"/>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Quantitative and Qualitative Disclosures About Market Risk</w:t>
              </w:r>
            </w:hyperlink>
          </w:p>
        </w:tc>
        <w:tc>
          <w:tcPr>
            <w:tcW w:w="2100" w:type="dxa"/>
            <w:vAlign w:val="bottom"/>
            <w:gridSpan w:val="6"/>
          </w:tcPr>
          <w:p>
            <w:pPr>
              <w:spacing w:after="0"/>
              <w:rPr>
                <w:sz w:val="24"/>
                <w:szCs w:val="24"/>
                <w:color w:val="auto"/>
              </w:rPr>
            </w:pPr>
          </w:p>
        </w:tc>
        <w:tc>
          <w:tcPr>
            <w:tcW w:w="2980" w:type="dxa"/>
            <w:vAlign w:val="bottom"/>
            <w:gridSpan w:val="4"/>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20"/>
        </w:trPr>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4360" w:type="dxa"/>
            <w:vAlign w:val="bottom"/>
            <w:gridSpan w:val="1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Financial Statements and Supplementary Data</w:t>
              </w:r>
            </w:hyperlink>
          </w:p>
        </w:tc>
        <w:tc>
          <w:tcPr>
            <w:tcW w:w="5080" w:type="dxa"/>
            <w:vAlign w:val="bottom"/>
            <w:gridSpan w:val="10"/>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0"/>
        </w:trPr>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6480" w:type="dxa"/>
            <w:vAlign w:val="bottom"/>
            <w:gridSpan w:val="25"/>
          </w:tcPr>
          <w:p>
            <w:pPr>
              <w:spacing w:after="0"/>
              <w:rPr>
                <w:rFonts w:ascii="Arial" w:cs="Arial" w:eastAsia="Arial" w:hAnsi="Arial"/>
                <w:sz w:val="18"/>
                <w:szCs w:val="18"/>
                <w:color w:val="0000EE"/>
                <w:w w:val="90"/>
              </w:rPr>
            </w:pPr>
            <w:hyperlink w:anchor="page102">
              <w:r>
                <w:rPr>
                  <w:rFonts w:ascii="Arial" w:cs="Arial" w:eastAsia="Arial" w:hAnsi="Arial"/>
                  <w:sz w:val="18"/>
                  <w:szCs w:val="18"/>
                  <w:color w:val="0000EE"/>
                  <w:w w:val="90"/>
                </w:rPr>
                <w:t>Changes in and Disagreements with Accountants on Accounting and Financial Disclosure</w:t>
              </w:r>
            </w:hyperlink>
          </w:p>
        </w:tc>
        <w:tc>
          <w:tcPr>
            <w:tcW w:w="2960" w:type="dxa"/>
            <w:vAlign w:val="bottom"/>
            <w:gridSpan w:val="3"/>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102">
              <w:r>
                <w:rPr>
                  <w:rFonts w:ascii="Arial" w:cs="Arial" w:eastAsia="Arial" w:hAnsi="Arial"/>
                  <w:sz w:val="18"/>
                  <w:szCs w:val="18"/>
                  <w:color w:val="0000EE"/>
                </w:rPr>
                <w:t>99</w:t>
              </w:r>
            </w:hyperlink>
          </w:p>
        </w:tc>
      </w:tr>
      <w:tr>
        <w:trPr>
          <w:trHeight w:val="20"/>
        </w:trPr>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6480" w:type="dxa"/>
            <w:vAlign w:val="bottom"/>
            <w:gridSpan w:val="25"/>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Controls and Procedures</w:t>
              </w:r>
            </w:hyperlink>
          </w:p>
        </w:tc>
        <w:tc>
          <w:tcPr>
            <w:tcW w:w="2960" w:type="dxa"/>
            <w:vAlign w:val="bottom"/>
            <w:gridSpan w:val="3"/>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102">
              <w:r>
                <w:rPr>
                  <w:rFonts w:ascii="Arial" w:cs="Arial" w:eastAsia="Arial" w:hAnsi="Arial"/>
                  <w:sz w:val="18"/>
                  <w:szCs w:val="18"/>
                  <w:color w:val="0000EE"/>
                </w:rPr>
                <w:t>99</w:t>
              </w:r>
            </w:hyperlink>
          </w:p>
        </w:tc>
      </w:tr>
      <w:tr>
        <w:trPr>
          <w:trHeight w:val="20"/>
        </w:trPr>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760" w:type="dxa"/>
            <w:vAlign w:val="bottom"/>
            <w:gridSpan w:val="7"/>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Other Information</w:t>
              </w:r>
            </w:hyperlink>
          </w:p>
        </w:tc>
        <w:tc>
          <w:tcPr>
            <w:tcW w:w="7680" w:type="dxa"/>
            <w:vAlign w:val="bottom"/>
            <w:gridSpan w:val="21"/>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103">
              <w:r>
                <w:rPr>
                  <w:rFonts w:ascii="Arial" w:cs="Arial" w:eastAsia="Arial" w:hAnsi="Arial"/>
                  <w:sz w:val="18"/>
                  <w:szCs w:val="18"/>
                  <w:color w:val="0000EE"/>
                </w:rPr>
                <w:t>100</w:t>
              </w:r>
            </w:hyperlink>
          </w:p>
        </w:tc>
      </w:tr>
      <w:tr>
        <w:trPr>
          <w:trHeight w:val="250"/>
        </w:trPr>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Borders>
              <w:bottom w:val="single" w:sz="8" w:color="0000EE"/>
            </w:tcBorders>
            <w:gridSpan w:val="9"/>
          </w:tcPr>
          <w:p>
            <w:pPr>
              <w:jc w:val="center"/>
              <w:spacing w:after="0"/>
              <w:rPr>
                <w:rFonts w:ascii="Arial" w:cs="Arial" w:eastAsia="Arial" w:hAnsi="Arial"/>
                <w:sz w:val="18"/>
                <w:szCs w:val="18"/>
                <w:b w:val="1"/>
                <w:bCs w:val="1"/>
                <w:color w:val="0000EE"/>
              </w:rPr>
            </w:pPr>
            <w:hyperlink w:anchor="page104">
              <w:r>
                <w:rPr>
                  <w:rFonts w:ascii="Arial" w:cs="Arial" w:eastAsia="Arial" w:hAnsi="Arial"/>
                  <w:sz w:val="18"/>
                  <w:szCs w:val="18"/>
                  <w:b w:val="1"/>
                  <w:bCs w:val="1"/>
                  <w:color w:val="0000EE"/>
                </w:rPr>
                <w:t>PART III</w:t>
              </w:r>
            </w:hyperlink>
          </w:p>
        </w:tc>
        <w:tc>
          <w:tcPr>
            <w:tcW w:w="4780" w:type="dxa"/>
            <w:vAlign w:val="bottom"/>
            <w:gridSpan w:val="6"/>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412"/>
        </w:trPr>
        <w:tc>
          <w:tcPr>
            <w:tcW w:w="9440" w:type="dxa"/>
            <w:vAlign w:val="bottom"/>
            <w:gridSpan w:val="28"/>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Directors, Executive Officers and Corporate Governance</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04">
              <w:r>
                <w:rPr>
                  <w:rFonts w:ascii="Arial" w:cs="Arial" w:eastAsia="Arial" w:hAnsi="Arial"/>
                  <w:sz w:val="18"/>
                  <w:szCs w:val="18"/>
                  <w:color w:val="0000EE"/>
                </w:rPr>
                <w:t>101</w:t>
              </w:r>
            </w:hyperlink>
          </w:p>
        </w:tc>
      </w:tr>
      <w:tr>
        <w:trPr>
          <w:trHeight w:val="331"/>
        </w:trPr>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104">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9"/>
          </w:tcPr>
          <w:p>
            <w:pPr>
              <w:spacing w:after="0"/>
              <w:rPr>
                <w:sz w:val="24"/>
                <w:szCs w:val="24"/>
                <w:color w:val="auto"/>
              </w:rPr>
            </w:pPr>
          </w:p>
        </w:tc>
        <w:tc>
          <w:tcPr>
            <w:tcW w:w="5360" w:type="dxa"/>
            <w:vAlign w:val="bottom"/>
            <w:gridSpan w:val="11"/>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101</w:t>
              </w:r>
            </w:hyperlink>
          </w:p>
        </w:tc>
        <w:tc>
          <w:tcPr>
            <w:tcW w:w="20" w:type="dxa"/>
            <w:vAlign w:val="bottom"/>
          </w:tcPr>
          <w:p>
            <w:pPr>
              <w:spacing w:after="0"/>
              <w:rPr>
                <w:sz w:val="24"/>
                <w:szCs w:val="24"/>
                <w:color w:val="auto"/>
              </w:rPr>
            </w:pPr>
          </w:p>
        </w:tc>
      </w:tr>
      <w:tr>
        <w:trPr>
          <w:trHeight w:val="331"/>
        </w:trPr>
        <w:tc>
          <w:tcPr>
            <w:tcW w:w="9440" w:type="dxa"/>
            <w:vAlign w:val="bottom"/>
            <w:gridSpan w:val="28"/>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04">
              <w:r>
                <w:rPr>
                  <w:rFonts w:ascii="Arial" w:cs="Arial" w:eastAsia="Arial" w:hAnsi="Arial"/>
                  <w:sz w:val="18"/>
                  <w:szCs w:val="18"/>
                  <w:color w:val="0000EE"/>
                </w:rPr>
                <w:t>101</w:t>
              </w:r>
            </w:hyperlink>
          </w:p>
        </w:tc>
      </w:tr>
      <w:tr>
        <w:trPr>
          <w:trHeight w:val="331"/>
        </w:trPr>
        <w:tc>
          <w:tcPr>
            <w:tcW w:w="7280" w:type="dxa"/>
            <w:vAlign w:val="bottom"/>
            <w:tcBorders>
              <w:top w:val="single" w:sz="8" w:color="0000EE"/>
            </w:tcBorders>
            <w:gridSpan w:val="26"/>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Certain Relationships and Related Transactions, and Director Independence</w:t>
              </w:r>
            </w:hyperlink>
          </w:p>
        </w:tc>
        <w:tc>
          <w:tcPr>
            <w:tcW w:w="216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101</w:t>
              </w:r>
            </w:hyperlink>
          </w:p>
        </w:tc>
        <w:tc>
          <w:tcPr>
            <w:tcW w:w="20" w:type="dxa"/>
            <w:vAlign w:val="bottom"/>
          </w:tcPr>
          <w:p>
            <w:pPr>
              <w:spacing w:after="0"/>
              <w:rPr>
                <w:sz w:val="24"/>
                <w:szCs w:val="24"/>
                <w:color w:val="auto"/>
              </w:rPr>
            </w:pPr>
          </w:p>
        </w:tc>
      </w:tr>
      <w:tr>
        <w:trPr>
          <w:trHeight w:val="331"/>
        </w:trPr>
        <w:tc>
          <w:tcPr>
            <w:tcW w:w="5440" w:type="dxa"/>
            <w:vAlign w:val="bottom"/>
            <w:tcBorders>
              <w:top w:val="single" w:sz="8" w:color="0000EE"/>
            </w:tcBorders>
            <w:gridSpan w:val="23"/>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Principal Accounting Fees and Services</w:t>
              </w:r>
            </w:hyperlink>
          </w:p>
        </w:tc>
        <w:tc>
          <w:tcPr>
            <w:tcW w:w="400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101</w:t>
              </w:r>
            </w:hyperlink>
          </w:p>
        </w:tc>
        <w:tc>
          <w:tcPr>
            <w:tcW w:w="20" w:type="dxa"/>
            <w:vAlign w:val="bottom"/>
          </w:tcPr>
          <w:p>
            <w:pPr>
              <w:spacing w:after="0"/>
              <w:rPr>
                <w:sz w:val="24"/>
                <w:szCs w:val="24"/>
                <w:color w:val="auto"/>
              </w:rPr>
            </w:pPr>
          </w:p>
        </w:tc>
      </w:tr>
      <w:tr>
        <w:trPr>
          <w:trHeight w:val="250"/>
        </w:trPr>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00" w:type="dxa"/>
            <w:vAlign w:val="bottom"/>
            <w:gridSpan w:val="14"/>
          </w:tcPr>
          <w:p>
            <w:pPr>
              <w:jc w:val="center"/>
              <w:ind w:right="4800"/>
              <w:spacing w:after="0"/>
              <w:rPr>
                <w:rFonts w:ascii="Arial" w:cs="Arial" w:eastAsia="Arial" w:hAnsi="Arial"/>
                <w:sz w:val="18"/>
                <w:szCs w:val="18"/>
                <w:b w:val="1"/>
                <w:bCs w:val="1"/>
                <w:color w:val="0000EE"/>
                <w:w w:val="98"/>
              </w:rPr>
            </w:pPr>
            <w:hyperlink w:anchor="page105">
              <w:r>
                <w:rPr>
                  <w:rFonts w:ascii="Arial" w:cs="Arial" w:eastAsia="Arial" w:hAnsi="Arial"/>
                  <w:sz w:val="18"/>
                  <w:szCs w:val="18"/>
                  <w:b w:val="1"/>
                  <w:bCs w:val="1"/>
                  <w:color w:val="0000EE"/>
                  <w:w w:val="98"/>
                </w:rPr>
                <w:t>PART IV</w:t>
              </w:r>
            </w:hyperlink>
          </w:p>
        </w:tc>
        <w:tc>
          <w:tcPr>
            <w:tcW w:w="26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412"/>
        </w:trPr>
        <w:tc>
          <w:tcPr>
            <w:tcW w:w="29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Exhibits, Financial Statement Schedules</w:t>
              </w:r>
            </w:hyperlink>
          </w:p>
        </w:tc>
        <w:tc>
          <w:tcPr>
            <w:tcW w:w="1040" w:type="dxa"/>
            <w:vAlign w:val="bottom"/>
            <w:gridSpan w:val="3"/>
          </w:tcPr>
          <w:p>
            <w:pPr>
              <w:spacing w:after="0"/>
              <w:rPr>
                <w:sz w:val="24"/>
                <w:szCs w:val="24"/>
                <w:color w:val="auto"/>
              </w:rPr>
            </w:pPr>
          </w:p>
        </w:tc>
        <w:tc>
          <w:tcPr>
            <w:tcW w:w="700" w:type="dxa"/>
            <w:vAlign w:val="bottom"/>
            <w:tcBorders>
              <w:top w:val="single" w:sz="8" w:color="0000EE"/>
            </w:tcBorders>
            <w:gridSpan w:val="7"/>
          </w:tcPr>
          <w:p>
            <w:pPr>
              <w:spacing w:after="0"/>
              <w:rPr>
                <w:sz w:val="24"/>
                <w:szCs w:val="24"/>
                <w:color w:val="auto"/>
              </w:rPr>
            </w:pPr>
          </w:p>
        </w:tc>
        <w:tc>
          <w:tcPr>
            <w:tcW w:w="4800" w:type="dxa"/>
            <w:vAlign w:val="bottom"/>
            <w:gridSpan w:val="7"/>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102</w:t>
              </w:r>
            </w:hyperlink>
          </w:p>
        </w:tc>
        <w:tc>
          <w:tcPr>
            <w:tcW w:w="20" w:type="dxa"/>
            <w:vAlign w:val="bottom"/>
          </w:tcPr>
          <w:p>
            <w:pPr>
              <w:spacing w:after="0"/>
              <w:rPr>
                <w:sz w:val="24"/>
                <w:szCs w:val="24"/>
                <w:color w:val="auto"/>
              </w:rPr>
            </w:pPr>
          </w:p>
        </w:tc>
      </w:tr>
      <w:tr>
        <w:trPr>
          <w:trHeight w:val="250"/>
        </w:trPr>
        <w:tc>
          <w:tcPr>
            <w:tcW w:w="9440" w:type="dxa"/>
            <w:vAlign w:val="bottom"/>
            <w:gridSpan w:val="28"/>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Form 10-K Summary</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07">
              <w:r>
                <w:rPr>
                  <w:rFonts w:ascii="Arial" w:cs="Arial" w:eastAsia="Arial" w:hAnsi="Arial"/>
                  <w:sz w:val="18"/>
                  <w:szCs w:val="18"/>
                  <w:color w:val="0000EE"/>
                </w:rPr>
                <w:t>104</w:t>
              </w:r>
            </w:hyperlink>
          </w:p>
        </w:tc>
      </w:tr>
      <w:tr>
        <w:trPr>
          <w:trHeight w:val="20"/>
        </w:trPr>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680" w:space="720"/>
            <w:col w:w="10000"/>
          </w:cols>
          <w:pgMar w:left="260" w:top="36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 xml:space="preserve">Unless the context otherwise indicates, references in this report to the terms “MongoDB,” “the Company,” “we,” “our” and “us” refer to MongoDB, Inc., its divisions and its subsidiaries. All information presented herein is based on our fiscal calendar. Unless otherwise stated, references to particular years, quarters, months or periods refer to the Company’s fiscal years ended January 31 and the associated quarters, months and periods of those fiscal years. As a result of the Company’s loss of its emerging growth company status as of January 31, 2019, the Company was required to adopt Accounting Standards Update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effective February 1, 2018, as discussed further in Note 2, </w:t>
      </w:r>
      <w:r>
        <w:rPr>
          <w:rFonts w:ascii="Arial" w:cs="Arial" w:eastAsia="Arial" w:hAnsi="Arial"/>
          <w:sz w:val="17"/>
          <w:szCs w:val="17"/>
          <w:i w:val="1"/>
          <w:iCs w:val="1"/>
          <w:color w:val="auto"/>
        </w:rPr>
        <w:t>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Polices </w:t>
      </w:r>
      <w:r>
        <w:rPr>
          <w:rFonts w:ascii="Arial" w:cs="Arial" w:eastAsia="Arial" w:hAnsi="Arial"/>
          <w:sz w:val="17"/>
          <w:szCs w:val="17"/>
          <w:color w:val="auto"/>
        </w:rPr>
        <w:t>included in Part II, Item 8,</w:t>
      </w:r>
      <w:r>
        <w:rPr>
          <w:rFonts w:ascii="Arial" w:cs="Arial" w:eastAsia="Arial" w:hAnsi="Arial"/>
          <w:sz w:val="17"/>
          <w:szCs w:val="17"/>
          <w:i w:val="1"/>
          <w:iCs w:val="1"/>
          <w:color w:val="auto"/>
        </w:rPr>
        <w:t xml:space="preserve"> Financial Statements and Supplementary Data, </w:t>
      </w:r>
      <w:r>
        <w:rPr>
          <w:rFonts w:ascii="Arial" w:cs="Arial" w:eastAsia="Arial" w:hAnsi="Arial"/>
          <w:sz w:val="17"/>
          <w:szCs w:val="17"/>
          <w:color w:val="auto"/>
        </w:rPr>
        <w:t>of this Annual Report on Form 10-K (this “Form 10-K”). All</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and disclosures in this Form 10-K have been updated to comply with the new revenue standard, as indicated by the “As Adjusted” reference in these consolidated financial statements and related notes.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w:t>
      </w:r>
    </w:p>
    <w:p>
      <w:pPr>
        <w:spacing w:after="0" w:line="175" w:lineRule="exact"/>
        <w:rPr>
          <w:sz w:val="20"/>
          <w:szCs w:val="20"/>
          <w:color w:val="auto"/>
        </w:rPr>
      </w:pPr>
    </w:p>
    <w:p>
      <w:pPr>
        <w:jc w:val="both"/>
        <w:ind w:right="140" w:firstLine="486"/>
        <w:spacing w:after="0" w:line="286" w:lineRule="auto"/>
        <w:rPr>
          <w:sz w:val="20"/>
          <w:szCs w:val="20"/>
          <w:color w:val="auto"/>
        </w:rPr>
      </w:pPr>
      <w:r>
        <w:rPr>
          <w:rFonts w:ascii="Arial" w:cs="Arial" w:eastAsia="Arial" w:hAnsi="Arial"/>
          <w:sz w:val="17"/>
          <w:szCs w:val="17"/>
          <w:color w:val="auto"/>
        </w:rPr>
        <w:t>“MongoDB” and the MongoDB leaf logo, and other trademarks or service marks of MongoDB, Inc. appearing in this Form 10-K are the property of MongoDB, Inc. This Form 10-K contains additional trade names, trademarks and service marks of others, which are the property of their respective owners. Solely for convenience, trademarks and trade names referred to in this Form 10-K may appear without the ® or ™ symbols.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This Form 10-K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Forward-looking statements are inherently subject to risks and uncertainties, some of which cannot be predicted or quantified. All statements other than present and historical facts and conditions contained in this Form 10-K, including statements regarding our future results of operations and financial position, business strategy, plans and our objectives for future operations, are forward-looking statements. In some cases, you can identify forward-looking statements by terminology such as “anticipate,” “believe,” “can,” “continue,” “could,” “estimate,” “expect,” “intend,” “may,” “might,” “objective,” “ongoing,” “plan,” “potential,” “predict,” “project,” “should,” “will,” or “would,” or the negative of these terms or other comparable terminology. Actual events or results may differ from those expressed in these forward-looking statements, and these differences may be material and adverse. Forward-looking statements include, but are not limited to, statements about:</w:t>
      </w:r>
    </w:p>
    <w:p>
      <w:pPr>
        <w:spacing w:after="0" w:line="12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and financial performance, ability to generate positive cash flow and ability to achieve and sustain profitability;</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anticipate and satisfy customer demands, including through the introduction of new features, products or services and the provision of professional services;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w:t>
      </w:r>
    </w:p>
    <w:p>
      <w:pPr>
        <w:spacing w:after="0" w:line="171"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sales and marketing organization and to scale our business, including entering into new markets and managing our international expansion;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build and maintain credibility with the developer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customers to use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enforce and enhance our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and expansion of the market for database products, and our ability to penetrate such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security of our software and adequately address privacy concerns;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our sales cycle and make changes to our pricing model;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form new and expand existing strategic partnerships;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attraction and retention of highly skilled and key personnel;</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2" w:right="25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enhance our brand;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growth and future expenses and maintain our corporate culture;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modified or new laws and regulations applying to our business.</w:t>
      </w:r>
    </w:p>
    <w:p>
      <w:pPr>
        <w:spacing w:after="0" w:line="17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have based the forward-looking statements contained in this Form 10-K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titled “Risk Factors” and elsewhere in this Form 10-K. These risks are not exhaustive. Other sections of this Form 10-K include additional factors that could adversely affect our business and financial performance.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10-K. We cannot assure you that the results, events and circumstances reflected in the forward-looking statements will be achieved or occur, and actual results, events or circumstances could differ materially from those described in the forward-looking statements.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24" w:lineRule="exact"/>
        <w:rPr>
          <w:sz w:val="20"/>
          <w:szCs w:val="20"/>
          <w:color w:val="auto"/>
        </w:rPr>
      </w:pPr>
    </w:p>
    <w:p>
      <w:pPr>
        <w:ind w:right="100" w:firstLine="486"/>
        <w:spacing w:after="0" w:line="302"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00"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The forward-looking statements made in this Form 10-K relate only to events as of the date on which such statements are made. We undertake no obligation to update any forward-looking statements after the date of this Form 10-K or to conform such statements to actual results or revised expectations, except as required by law.</w:t>
      </w:r>
    </w:p>
    <w:p>
      <w:pPr>
        <w:spacing w:after="0" w:line="12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This Form 10-K contains market data and industry forecasts that were obtained from industry publications. These data and forecasts involve a number of assumptions and limitations, and you are cautioned not to give undue weight to such information. We have not independently verified any third-party information. While we believe the market position, market opportunity and market size information included in this Form 10-K is generally reliable, such information is inherently imprecise.</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MongoDB is the leading modern, general purpose database platform. Our robust platform enables developers to build and modernize applications rapidly and cost-effectively across a broad range of use cases. Organizations can deploy our platform at scale in the cloud, on-premise or in a hybrid environment. Through our unique document-based database architecture, we are able to address the needs of organizations for performance, scalability, flexibility and reliability while maintaining the strengths of legacy databases. Our business model combines the developer mindshare and adoption benefits of open source with the economic benefits of a proprietary software subscription business model.</w:t>
      </w:r>
    </w:p>
    <w:p>
      <w:pPr>
        <w:spacing w:after="0" w:line="119"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Software applications are redefining how organizations across industries engage with their customers, operate their businesses and compete with each other. To compete effectively in today’s global, data-driven market environment, organizations must provide their end-users with applications that capture and leverage the vast volumes and varieties of available data. As a result, the software developers who build and maintain these applications are increasingly influential in organizations and demand for their talent has grown substantially. Consequently, organizations of all sizes and industries and across geographies have significantly increased investment in developers with the strategic goal of improving the organization’s pace of innovation and competitive position.</w:t>
      </w:r>
    </w:p>
    <w:p>
      <w:pPr>
        <w:spacing w:after="0" w:line="104"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A database is at the heart of every software application. Every software application requires a database to store, organize and process data. Large organizations can have tens of thousands of applications and associated databases. A</w:t>
      </w:r>
    </w:p>
    <w:p>
      <w:pPr>
        <w:spacing w:after="0" w:line="200" w:lineRule="exact"/>
        <w:rPr>
          <w:sz w:val="20"/>
          <w:szCs w:val="20"/>
          <w:color w:val="auto"/>
        </w:rPr>
      </w:pPr>
    </w:p>
    <w:p>
      <w:pPr>
        <w:spacing w:after="0" w:line="38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2" w:right="25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database directly impacts an application's performance, scalability, flexibility and reliability. As a result, selecting a database is a highly strategic decision that directly affects developer productivity, application performance and organizational competitiveness.</w:t>
      </w:r>
    </w:p>
    <w:p>
      <w:pPr>
        <w:spacing w:after="0" w:line="116" w:lineRule="exact"/>
        <w:rPr>
          <w:sz w:val="20"/>
          <w:szCs w:val="20"/>
          <w:color w:val="auto"/>
        </w:rPr>
      </w:pPr>
    </w:p>
    <w:p>
      <w:pPr>
        <w:ind w:right="140" w:firstLine="486"/>
        <w:spacing w:after="0" w:line="269" w:lineRule="auto"/>
        <w:rPr>
          <w:sz w:val="20"/>
          <w:szCs w:val="20"/>
          <w:color w:val="auto"/>
        </w:rPr>
      </w:pPr>
      <w:r>
        <w:rPr>
          <w:rFonts w:ascii="Arial" w:cs="Arial" w:eastAsia="Arial" w:hAnsi="Arial"/>
          <w:sz w:val="17"/>
          <w:szCs w:val="17"/>
          <w:color w:val="auto"/>
        </w:rPr>
        <w:t>Legacy relational databases were first developed in the 1970s and their underlying architecture remains largely unchanged even though the nature of applications, how they are deployed and their role in business have evolved dramatically. Modern software development is highly iterative and requires flexibility. Relational databases were not built to support the volume, variety and velocity of data being generated today, hindering application performance and developer productivity. In a relational database environment, developers are often required to spend significant time fixing and maintaining the linkages between modern applications and the rigid database structures that are inherent in relational offerings. Further, relational databases were built before cloud computing was popularized and were not designed for “always-on” globally distributed deployments. These factors have left developers and their organizations in need of more agile and effective database alternatives. A number of non-relational database alternatives, sometimes called NoSQL, have attempted to address the limitations of relational databases, but they have not achieved widespread developer mindshare and marketplace adoption due to technical trade-offs in their product architectures and the resulting compromises developers are required to make in application development. When we refer to a modern database, we are referring to a database that was originally commercialized after the year 2000 and that is designed for globally distributed deployments.</w:t>
      </w:r>
    </w:p>
    <w:p>
      <w:pPr>
        <w:spacing w:after="0" w:line="129"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Our unique platform architecture combines the best of both relational and non-relational databases. We believe our core platform differentiation is driven by our ability to address the needs of organizations for performance, scalability, flexibility and reliability while maintaining the strengths of relational databases. Our document-based architecture enables developers to manage data in a more natural way, making it easy and intuitive for developers to rapidly and cost-effectively build, modernize, deploy and maintain applications, thereby increasing the pace of innovation within an organization. Customers can run our platform in any environment, depending on their operational requirements: fully managed as a service or self-managed in the cloud, on-premise or in a hybrid environment.</w:t>
      </w:r>
    </w:p>
    <w:p>
      <w:pPr>
        <w:spacing w:after="0" w:line="139"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The database market is one of the largest in the software industry. According to IDC, the worldwide database software market, which it refers to as the data management software market, is forecast to be $64 billion in 2019 growing to approximately $84 billion in 2022, representing a 9.5% compound annual growth rate. Legacy database vendors have historically dominated this market. We believe this market is one of the few within the enterprise technology stack that has yet to be disrupted by a modern alternative, creating our opportunity.</w:t>
      </w:r>
    </w:p>
    <w:p>
      <w:pPr>
        <w:spacing w:after="0" w:line="13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To encourage developer usage, familiarity and adoption of our platform, we offer Community Server, a free-to-download version of our database that is analogous to a “freemium” offering. This allows developers to evaluate our platform in a frictionless manner, which we believe has contributed to our platform's popularity among developers and driven enterprise adoption of our subscription offering. Prior to October 2018, we offered Community Server under the GNU Affero General Public License version 3 (the “AGPL”). In October 2018, we issued a new software license, the Server Side Public License (the “SSPL”), for all versions of Community Server released after that date. Both the SSPL and the AGPL grant licensees broad freedom to view, use, copy, modify and redistribute the source code of Community Server provided certain conditions are met. The SSPL is based on the AGPL but includes an explicit condition that any organization using Community Server to offer MongoDB as a third-party service must open source the software that it uses to offer such service.</w:t>
      </w:r>
    </w:p>
    <w:p>
      <w:pPr>
        <w:spacing w:after="0" w:line="138"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The economic attractiveness of our subscription-based model is driven by customer renewals and increasing existing customer subscriptions over time, referred to as land-and-expand. Unlike software companies built around third-party open source projects, we own the intellectual property of our offerings since we are the creators of the software, enabling our proprietary software subscription business model. Owning the intellectual property of our offering also allows us to retain control over our future product roadmap, including the determination of which features are included in our free or paid offerings.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key differentiators of our platform include: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 Built a Modern Platform for Applications.</w:t>
      </w:r>
    </w:p>
    <w:p>
      <w:pPr>
        <w:spacing w:after="0" w:line="17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Our founders were frustrated by the challenges of working with legacy database offerings. Our platform was built to address these challenges while maintaining the best aspects of relational databases, allowing developers both to build new, modern applications that could not be built on relational databases and to more quickly and easily modernize existing applications. While the percentage varies from quarter to quarter, over the course of the past fiscal year, approximately one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quarter of our business from new customers resulted from the migration of applications from legacy databases. Core features and capabilities of our platform include:</w:t>
      </w:r>
    </w:p>
    <w:p>
      <w:pPr>
        <w:spacing w:after="0" w:line="112" w:lineRule="exact"/>
        <w:rPr>
          <w:sz w:val="20"/>
          <w:szCs w:val="20"/>
          <w:color w:val="auto"/>
        </w:rPr>
      </w:pPr>
    </w:p>
    <w:p>
      <w:pPr>
        <w:ind w:left="660" w:right="20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Performance. </w:t>
      </w:r>
      <w:r>
        <w:rPr>
          <w:rFonts w:ascii="Arial" w:cs="Arial" w:eastAsia="Arial" w:hAnsi="Arial"/>
          <w:sz w:val="18"/>
          <w:szCs w:val="18"/>
          <w:color w:val="auto"/>
        </w:rPr>
        <w:t>We deliver the extreme throughput and predictable low-latency required by the most demanding applications and leverage modern</w:t>
      </w:r>
      <w:r>
        <w:rPr>
          <w:rFonts w:ascii="Arial" w:cs="Arial" w:eastAsia="Arial" w:hAnsi="Arial"/>
          <w:sz w:val="18"/>
          <w:szCs w:val="18"/>
          <w:b w:val="1"/>
          <w:bCs w:val="1"/>
          <w:color w:val="auto"/>
        </w:rPr>
        <w:t xml:space="preserve"> </w:t>
      </w:r>
      <w:r>
        <w:rPr>
          <w:rFonts w:ascii="Arial" w:cs="Arial" w:eastAsia="Arial" w:hAnsi="Arial"/>
          <w:sz w:val="18"/>
          <w:szCs w:val="18"/>
          <w:color w:val="auto"/>
        </w:rPr>
        <w:t>server architectures, delivering millions of operations per second.</w:t>
      </w:r>
    </w:p>
    <w:p>
      <w:pPr>
        <w:spacing w:after="0" w:line="107" w:lineRule="exact"/>
        <w:rPr>
          <w:rFonts w:ascii="Arial" w:cs="Arial" w:eastAsia="Arial" w:hAnsi="Arial"/>
          <w:sz w:val="18"/>
          <w:szCs w:val="18"/>
          <w:color w:val="auto"/>
        </w:rPr>
      </w:pPr>
    </w:p>
    <w:p>
      <w:pPr>
        <w:ind w:left="660" w:right="600" w:hanging="328"/>
        <w:spacing w:after="0" w:line="313"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Scalability. </w:t>
      </w:r>
      <w:r>
        <w:rPr>
          <w:rFonts w:ascii="Arial" w:cs="Arial" w:eastAsia="Arial" w:hAnsi="Arial"/>
          <w:sz w:val="17"/>
          <w:szCs w:val="17"/>
          <w:color w:val="auto"/>
        </w:rPr>
        <w:t>Our architecture scales horizontally across thousands of servers, supporting petabytes of data and millions of users in a globally</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distributed environment. It is easy to add capacity to our platform in a modular, predictable and cost-efficient manner.</w:t>
      </w:r>
    </w:p>
    <w:p>
      <w:pPr>
        <w:spacing w:after="0" w:line="84" w:lineRule="exact"/>
        <w:rPr>
          <w:rFonts w:ascii="Arial" w:cs="Arial" w:eastAsia="Arial" w:hAnsi="Arial"/>
          <w:sz w:val="17"/>
          <w:szCs w:val="17"/>
          <w:color w:val="auto"/>
        </w:rPr>
      </w:pPr>
    </w:p>
    <w:p>
      <w:pPr>
        <w:ind w:left="660" w:right="36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Flexibility and Control. </w:t>
      </w:r>
      <w:r>
        <w:rPr>
          <w:rFonts w:ascii="Arial" w:cs="Arial" w:eastAsia="Arial" w:hAnsi="Arial"/>
          <w:sz w:val="18"/>
          <w:szCs w:val="18"/>
          <w:color w:val="auto"/>
        </w:rPr>
        <w:t>MongoDB's intelligent distributed systems architecture enables users to easily place data where their applications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users need it. MongoDB can be run within and across geographically distributed data centers and cloud regions, providing levels of scalability, workload isolation, and data locality to meet today's modern application requirements.</w:t>
      </w:r>
    </w:p>
    <w:p>
      <w:pPr>
        <w:spacing w:after="0" w:line="122" w:lineRule="exact"/>
        <w:rPr>
          <w:rFonts w:ascii="Arial" w:cs="Arial" w:eastAsia="Arial" w:hAnsi="Arial"/>
          <w:sz w:val="18"/>
          <w:szCs w:val="18"/>
          <w:color w:val="auto"/>
        </w:rPr>
      </w:pPr>
    </w:p>
    <w:p>
      <w:pPr>
        <w:ind w:left="660" w:right="28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Reliability. </w:t>
      </w:r>
      <w:r>
        <w:rPr>
          <w:rFonts w:ascii="Arial" w:cs="Arial" w:eastAsia="Arial" w:hAnsi="Arial"/>
          <w:sz w:val="18"/>
          <w:szCs w:val="18"/>
          <w:color w:val="auto"/>
        </w:rPr>
        <w:t>Our platform includes the critical, advanced security features and fault-tolerance that enterprises demand. It was built to operate in a</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distributed environment for “always-on” applications.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 Built Our Platform for Developers.</w:t>
      </w:r>
    </w:p>
    <w:p>
      <w:pPr>
        <w:spacing w:after="0" w:line="17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MongoDB was built by developers for developers. We architected our platform with robust functionality and made it easy and intuitive for developers to build, modernize, deploy and maintain applications rapidly and cost-effectively, thereby increasing developer productivity. Our document-based architecture enables developers to manage and interact with data in a more natural way than legacy alternatives. As a result, developers can focus on the application and end-user experience, as they do not have to spend significant time fixing and maintaining the linkages between the application and a rigid relational database structure. We also develop and maintain drivers in all leading programming languages, allowing developers to interact with our platform using the programming language of their choice, further increasing developer productivity. According to The Stack Overflow Developer Survey, in both 2017 and 2018, more developers wanted to work with MongoDB than any other database.</w:t>
      </w:r>
    </w:p>
    <w:p>
      <w:pPr>
        <w:spacing w:after="0" w:line="124"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Customers of MongoDB Atlas, our cloud hosted database-as-a-service (“DBaaS”) offering, enjoy the benefits of consuming MongoDB as a service in the public cloud, further enabling developers to focus on their application performance and end-user experience, rather than the back-end infrastructure lifecycle management. With MongoDB Atlas, organizations only have to manage how their applications use the database and are freed from the tasks of infrastructure provisioning, operating system configuration, upgrades and more. As a result, MongoDB Atlas unlocks higher levels of developer productivity, allowing organizations to innovate more quickly to better serve their own customers and to capitalize on new business opportunities.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 Allow Customers to Run Any Application Anywhere.</w:t>
      </w:r>
    </w:p>
    <w:p>
      <w:pPr>
        <w:spacing w:after="0" w:line="171"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As a general purpose database, we support applications across a wide range of use cases. Our software is easily configurable, allowing customers to adjust settings and parameters to optimize performance for a specific application and use case. Customers can run our platform in any environment, depending on their operational requirements: fully managed as a service or self-managed in the cloud, on-premise or in a hybrid environment. Customers can deploy our platform in any of the major public cloud alternatives, providing them with increased flexibility and cost-optimization opportunities by preventing public cloud vendor lock-in. Customers have a consistent experience regardless of infrastructure, providing optionality, flexibility and efficiency.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Customer Benefits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platform delivers the following key business benefits for our customers:</w:t>
      </w:r>
    </w:p>
    <w:p>
      <w:pPr>
        <w:spacing w:after="0" w:line="167" w:lineRule="exact"/>
        <w:rPr>
          <w:sz w:val="20"/>
          <w:szCs w:val="20"/>
          <w:color w:val="auto"/>
        </w:rPr>
      </w:pPr>
    </w:p>
    <w:p>
      <w:pPr>
        <w:ind w:left="660" w:right="4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Maximize Competitive Advantage through Software and Data. </w:t>
      </w:r>
      <w:r>
        <w:rPr>
          <w:rFonts w:ascii="Arial" w:cs="Arial" w:eastAsia="Arial" w:hAnsi="Arial"/>
          <w:sz w:val="18"/>
          <w:szCs w:val="18"/>
          <w:color w:val="auto"/>
        </w:rPr>
        <w:t>Our platform is built to support modern applications, allowing organizations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harness the full power of software and data to drive competitive advantage. Developers use our platform to build new, operational and customer-facing applications, including applications that cannot be built on legacy databases. As a result, our platform can help drive our customers’ ability to compete, improve end-user satisfaction, increase their revenue and gain market share.</w:t>
      </w:r>
    </w:p>
    <w:p>
      <w:pPr>
        <w:spacing w:after="0" w:line="126" w:lineRule="exact"/>
        <w:rPr>
          <w:rFonts w:ascii="Arial" w:cs="Arial" w:eastAsia="Arial" w:hAnsi="Arial"/>
          <w:sz w:val="18"/>
          <w:szCs w:val="18"/>
          <w:color w:val="auto"/>
        </w:rPr>
      </w:pPr>
    </w:p>
    <w:p>
      <w:pPr>
        <w:ind w:left="660" w:right="70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Increase Developer Productivity. </w:t>
      </w:r>
      <w:r>
        <w:rPr>
          <w:rFonts w:ascii="Arial" w:cs="Arial" w:eastAsia="Arial" w:hAnsi="Arial"/>
          <w:sz w:val="18"/>
          <w:szCs w:val="18"/>
          <w:color w:val="auto"/>
        </w:rPr>
        <w:t>By empowering developers to build and modernize applications quickly and cost-efficiently, we enable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developers’ agility, accelerating the time-to-revenue for new products. Our platform’s</w:t>
      </w:r>
    </w:p>
    <w:p>
      <w:pPr>
        <w:spacing w:after="0" w:line="200" w:lineRule="exact"/>
        <w:rPr>
          <w:sz w:val="20"/>
          <w:szCs w:val="20"/>
          <w:color w:val="auto"/>
        </w:rPr>
      </w:pPr>
    </w:p>
    <w:p>
      <w:pPr>
        <w:spacing w:after="0" w:line="38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1" w:right="27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right="40"/>
        <w:spacing w:after="0" w:line="306" w:lineRule="auto"/>
        <w:rPr>
          <w:sz w:val="20"/>
          <w:szCs w:val="20"/>
          <w:color w:val="auto"/>
        </w:rPr>
      </w:pPr>
      <w:r>
        <w:rPr>
          <w:rFonts w:ascii="Arial" w:cs="Arial" w:eastAsia="Arial" w:hAnsi="Arial"/>
          <w:sz w:val="18"/>
          <w:szCs w:val="18"/>
          <w:color w:val="auto"/>
        </w:rPr>
        <w:t>document-based architecture and intuitive drivers make developing and iterating on applications very efficient on our platform, increasing developer productivity. MongoDB Atlas allows developers to focus on how their applications use the database, application performance and end-user experience, rather than the database infrastructure management including provisioning, operating system configuration, upgrades, monitoring and backups.</w:t>
      </w:r>
    </w:p>
    <w:p>
      <w:pPr>
        <w:spacing w:after="0" w:line="102" w:lineRule="exact"/>
        <w:rPr>
          <w:sz w:val="20"/>
          <w:szCs w:val="20"/>
          <w:color w:val="auto"/>
        </w:rPr>
      </w:pPr>
    </w:p>
    <w:p>
      <w:pPr>
        <w:jc w:val="both"/>
        <w:ind w:left="660" w:right="420" w:hanging="328"/>
        <w:spacing w:after="0" w:line="26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Deliver High Reliability for Mission-Critical Deployments. </w:t>
      </w:r>
      <w:r>
        <w:rPr>
          <w:rFonts w:ascii="Arial" w:cs="Arial" w:eastAsia="Arial" w:hAnsi="Arial"/>
          <w:sz w:val="18"/>
          <w:szCs w:val="18"/>
          <w:color w:val="auto"/>
        </w:rPr>
        <w:t>Our platform is designed to support mission-critical applications by being fault-tolerant and always-on, reducing downtime for our customers and minimizing the risk of lost revenue. Also, given the competitive criticality of applications today, we designed our platform to enable better end-user experiences.</w:t>
      </w:r>
    </w:p>
    <w:p>
      <w:pPr>
        <w:spacing w:after="0" w:line="122"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Reduce Total Cost of Ownership. </w:t>
      </w:r>
      <w:r>
        <w:rPr>
          <w:rFonts w:ascii="Arial" w:cs="Arial" w:eastAsia="Arial" w:hAnsi="Arial"/>
          <w:sz w:val="16"/>
          <w:szCs w:val="16"/>
          <w:color w:val="auto"/>
        </w:rPr>
        <w:t>The speed and efficiency of application development using our platform, coupled with decreased developer</w:t>
      </w:r>
      <w:r>
        <w:rPr>
          <w:rFonts w:ascii="Arial" w:cs="Arial" w:eastAsia="Arial" w:hAnsi="Arial"/>
          <w:sz w:val="16"/>
          <w:szCs w:val="16"/>
          <w:b w:val="1"/>
          <w:bCs w:val="1"/>
          <w:color w:val="auto"/>
        </w:rPr>
        <w:t xml:space="preserve"> </w:t>
      </w:r>
      <w:r>
        <w:rPr>
          <w:rFonts w:ascii="Arial" w:cs="Arial" w:eastAsia="Arial" w:hAnsi="Arial"/>
          <w:sz w:val="16"/>
          <w:szCs w:val="16"/>
          <w:color w:val="auto"/>
        </w:rPr>
        <w:t>resources required for application maintenance, can result in a dramatic reduction in the total cost of ownership for enterprises. In addition, our platform runs on commodity hardware, requires less oversight and management from operations personnel and can operate in the cloud or other low-cost environments, leading to reduced application-related overhead costs for our customers. By allowing customers to remove themselves from the complexity of managing the database and related underlying infrastructure, MongoDB Atlas can further reduce total cost of ownership.</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pursuing our large market opportunity with growth strategies that include:</w:t>
      </w:r>
    </w:p>
    <w:p>
      <w:pPr>
        <w:spacing w:after="0" w:line="167" w:lineRule="exact"/>
        <w:rPr>
          <w:sz w:val="20"/>
          <w:szCs w:val="20"/>
          <w:color w:val="auto"/>
        </w:rPr>
      </w:pPr>
    </w:p>
    <w:p>
      <w:pPr>
        <w:ind w:left="660" w:right="16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Acquiring New Customers. </w:t>
      </w:r>
      <w:r>
        <w:rPr>
          <w:rFonts w:ascii="Arial" w:cs="Arial" w:eastAsia="Arial" w:hAnsi="Arial"/>
          <w:sz w:val="18"/>
          <w:szCs w:val="18"/>
          <w:color w:val="auto"/>
        </w:rPr>
        <w:t>We believe there is a substantial opportunity to continue to grow our customer base. We benefit from word-of-mouth</w:t>
      </w:r>
      <w:r>
        <w:rPr>
          <w:rFonts w:ascii="Arial" w:cs="Arial" w:eastAsia="Arial" w:hAnsi="Arial"/>
          <w:sz w:val="18"/>
          <w:szCs w:val="18"/>
          <w:b w:val="1"/>
          <w:bCs w:val="1"/>
          <w:color w:val="auto"/>
        </w:rPr>
        <w:t xml:space="preserve"> </w:t>
      </w:r>
      <w:r>
        <w:rPr>
          <w:rFonts w:ascii="Arial" w:cs="Arial" w:eastAsia="Arial" w:hAnsi="Arial"/>
          <w:sz w:val="18"/>
          <w:szCs w:val="18"/>
          <w:color w:val="auto"/>
        </w:rPr>
        <w:t>awareness and frictionless experimentation by the developer community through our Community Server offering. As a result, our self-serve and direct sales prospects are often familiar with our platform and may have already built applications using our technology. While we sell to organizations of all sizes across a broad range of industries, our key sales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spacing w:after="0" w:line="135" w:lineRule="exact"/>
        <w:rPr>
          <w:rFonts w:ascii="Arial" w:cs="Arial" w:eastAsia="Arial" w:hAnsi="Arial"/>
          <w:sz w:val="18"/>
          <w:szCs w:val="18"/>
          <w:color w:val="auto"/>
        </w:rPr>
      </w:pPr>
    </w:p>
    <w:p>
      <w:pPr>
        <w:ind w:left="660" w:right="40" w:hanging="328"/>
        <w:spacing w:after="0" w:line="29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Driving Usage of MongoDB Atlas. </w:t>
      </w:r>
      <w:r>
        <w:rPr>
          <w:rFonts w:ascii="Arial" w:cs="Arial" w:eastAsia="Arial" w:hAnsi="Arial"/>
          <w:sz w:val="16"/>
          <w:szCs w:val="16"/>
          <w:color w:val="auto"/>
        </w:rPr>
        <w:t>In June 2016, we introduced MongoDB Atlas, our cloud hosted DBaaS offering, which enables customers to</w:t>
      </w:r>
      <w:r>
        <w:rPr>
          <w:rFonts w:ascii="Arial" w:cs="Arial" w:eastAsia="Arial" w:hAnsi="Arial"/>
          <w:sz w:val="16"/>
          <w:szCs w:val="16"/>
          <w:b w:val="1"/>
          <w:bCs w:val="1"/>
          <w:color w:val="auto"/>
        </w:rPr>
        <w:t xml:space="preserve"> </w:t>
      </w:r>
      <w:r>
        <w:rPr>
          <w:rFonts w:ascii="Arial" w:cs="Arial" w:eastAsia="Arial" w:hAnsi="Arial"/>
          <w:sz w:val="16"/>
          <w:szCs w:val="16"/>
          <w:color w:val="auto"/>
        </w:rPr>
        <w:t>consume MongoDB as a service in the public cloud, without having to manage the infrastructure supporting the database. This hosted cloud offering is an important part of our run-anywhere solution and has allowed us to generate revenue from our Community Server offering. To accelerate adoption of this DBaaS offering, in early 2017, we introduced tools to easily migrate existing users of our Community Server offering to become customers of MongoDB Atlas. Our introductory offerings for MongoDB Atlas include a free tier, which provides limited processing power and storage, in order to drive usage and adoption of MongoDB Atlas among developers. MongoDB Atlas serves as both a self-serve solution that can attract new customers, as well as a solution that enterprise customers can deploy and quickly scale over time. In 2018, we introduced additional enterprise functionality, such as advanced security and auditing, to MongoDB Atlas to support mission-critical enterprise workloads.</w:t>
      </w:r>
    </w:p>
    <w:p>
      <w:pPr>
        <w:spacing w:after="0" w:line="106" w:lineRule="exact"/>
        <w:rPr>
          <w:rFonts w:ascii="Arial" w:cs="Arial" w:eastAsia="Arial" w:hAnsi="Arial"/>
          <w:sz w:val="16"/>
          <w:szCs w:val="16"/>
          <w:color w:val="auto"/>
        </w:rPr>
      </w:pPr>
    </w:p>
    <w:p>
      <w:pPr>
        <w:ind w:left="660" w:hanging="328"/>
        <w:spacing w:after="0" w:line="270"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Expanding Sales Within Our Customer Base. </w:t>
      </w:r>
      <w:r>
        <w:rPr>
          <w:rFonts w:ascii="Arial" w:cs="Arial" w:eastAsia="Arial" w:hAnsi="Arial"/>
          <w:sz w:val="17"/>
          <w:szCs w:val="17"/>
          <w:color w:val="auto"/>
        </w:rPr>
        <w:t>We seek to grow our sales with our customers in several ways. As an application grows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requires additional capacity, our customers increase their spending on our platform. In addition, our customers may expand their subscriptions to our platform as they migrate additional existing applications or build new applications, either within the same department or in other lines of business or geographies. Also, as customers modernize their IT infrastructure and move to the cloud, they may migrate applications from legacy databases. Even within our largest customers, we believe we typically represent a small percentage of their overall spend on databases, reflecting our small market penetration. Our goal is to increase the number of customers that standardize on our database platform within their organization, which can include offering centralized internal support for developers within the organization or the deployment of an internal MongoDB-as-a-service offering. Our net ARR expansion rate, which has been over 120% for each of the last 16 fiscal quarters, demonstrates our ability to expand within existing customers. See Item 7,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included in Part II of this Form 10-K for a description of ARR and a discussion of our net ARR expansion rate.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660" w:right="14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Extending Product Leadership and Introducing New Products. </w:t>
      </w:r>
      <w:r>
        <w:rPr>
          <w:rFonts w:ascii="Arial" w:cs="Arial" w:eastAsia="Arial" w:hAnsi="Arial"/>
          <w:sz w:val="18"/>
          <w:szCs w:val="18"/>
          <w:color w:val="auto"/>
        </w:rPr>
        <w:t>We intend to continue to invest in our product offerings with the goal of</w:t>
      </w:r>
      <w:r>
        <w:rPr>
          <w:rFonts w:ascii="Arial" w:cs="Arial" w:eastAsia="Arial" w:hAnsi="Arial"/>
          <w:sz w:val="18"/>
          <w:szCs w:val="18"/>
          <w:b w:val="1"/>
          <w:bCs w:val="1"/>
          <w:color w:val="auto"/>
        </w:rPr>
        <w:t xml:space="preserve"> </w:t>
      </w:r>
      <w:r>
        <w:rPr>
          <w:rFonts w:ascii="Arial" w:cs="Arial" w:eastAsia="Arial" w:hAnsi="Arial"/>
          <w:sz w:val="18"/>
          <w:szCs w:val="18"/>
          <w:color w:val="auto"/>
        </w:rPr>
        <w:t>becoming the most widely deployed database in the world. We direct our product innovation toward initiatives intended to drive customer adoption and expansion and increase developer productivity. For example, in 2018, we released MongoDB 4.0, which extended ACID support to multi-document transactions and we have recently announced that we will be expanding multi-document ACID guarantees for sharded clusters. We have also expanded the functionality available in MongoDB Atlas beyond that of our Community Server offering, including advanced security features, enterprise-standard authentication and database auditing.</w:t>
      </w:r>
    </w:p>
    <w:p>
      <w:pPr>
        <w:spacing w:after="0" w:line="133" w:lineRule="exact"/>
        <w:rPr>
          <w:rFonts w:ascii="Arial" w:cs="Arial" w:eastAsia="Arial" w:hAnsi="Arial"/>
          <w:sz w:val="18"/>
          <w:szCs w:val="18"/>
          <w:color w:val="auto"/>
        </w:rPr>
      </w:pPr>
    </w:p>
    <w:p>
      <w:pPr>
        <w:ind w:left="660" w:right="40" w:hanging="328"/>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Fostering the MongoDB Developer Community. </w:t>
      </w:r>
      <w:r>
        <w:rPr>
          <w:rFonts w:ascii="Arial" w:cs="Arial" w:eastAsia="Arial" w:hAnsi="Arial"/>
          <w:sz w:val="18"/>
          <w:szCs w:val="18"/>
          <w:color w:val="auto"/>
        </w:rPr>
        <w:t>We have attracted a large and growing community of highly engaged developers, who have</w:t>
      </w:r>
      <w:r>
        <w:rPr>
          <w:rFonts w:ascii="Arial" w:cs="Arial" w:eastAsia="Arial" w:hAnsi="Arial"/>
          <w:sz w:val="18"/>
          <w:szCs w:val="18"/>
          <w:b w:val="1"/>
          <w:bCs w:val="1"/>
          <w:color w:val="auto"/>
        </w:rPr>
        <w:t xml:space="preserve"> </w:t>
      </w:r>
      <w:r>
        <w:rPr>
          <w:rFonts w:ascii="Arial" w:cs="Arial" w:eastAsia="Arial" w:hAnsi="Arial"/>
          <w:sz w:val="18"/>
          <w:szCs w:val="18"/>
          <w:color w:val="auto"/>
        </w:rPr>
        <w:t>downloaded our Community Server offering over 60 million times from our website since February 2009 and over 20 million times in the last 12 months alone. We believe that the engagement of developers increases our brand awareness. Many of these developers become proponents of MongoDB within their organizations, which may result in new customers selecting our platform as well as expansion opportunities within existing customers. Historically, we have invested in our community through active sponsorship of user groups, our annual MongoDB World user conference, MongoDB University and other community-centered events. As of January 31, 2019, there were approximately 120 meetup groups dedicated to MongoDB with over 60,000 members worldwide, and over one million registrations for MongoDB University courses, which help members of our community increase their familiarity and productivity with our platform. We intend to continue to invest in the MongoDB developer community.</w:t>
      </w:r>
    </w:p>
    <w:p>
      <w:pPr>
        <w:spacing w:after="0" w:line="135" w:lineRule="exact"/>
        <w:rPr>
          <w:rFonts w:ascii="Arial" w:cs="Arial" w:eastAsia="Arial" w:hAnsi="Arial"/>
          <w:sz w:val="18"/>
          <w:szCs w:val="18"/>
          <w:color w:val="auto"/>
        </w:rPr>
      </w:pPr>
    </w:p>
    <w:p>
      <w:pPr>
        <w:ind w:left="660" w:hanging="328"/>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Growing and Cultivating Our Partner Ecosystem. </w:t>
      </w:r>
      <w:r>
        <w:rPr>
          <w:rFonts w:ascii="Arial" w:cs="Arial" w:eastAsia="Arial" w:hAnsi="Arial"/>
          <w:sz w:val="18"/>
          <w:szCs w:val="18"/>
          <w:color w:val="auto"/>
        </w:rPr>
        <w:t>We have built a partner ecosystem of independent software vendors, systems integrators, value</w:t>
      </w:r>
      <w:r>
        <w:rPr>
          <w:rFonts w:ascii="Arial" w:cs="Arial" w:eastAsia="Arial" w:hAnsi="Arial"/>
          <w:sz w:val="18"/>
          <w:szCs w:val="18"/>
          <w:b w:val="1"/>
          <w:bCs w:val="1"/>
          <w:color w:val="auto"/>
        </w:rPr>
        <w:t xml:space="preserve"> </w:t>
      </w:r>
      <w:r>
        <w:rPr>
          <w:rFonts w:ascii="Arial" w:cs="Arial" w:eastAsia="Arial" w:hAnsi="Arial"/>
          <w:sz w:val="18"/>
          <w:szCs w:val="18"/>
          <w:color w:val="auto"/>
        </w:rPr>
        <w:t>added resellers, cloud and technology partners. For example, in fiscal year 2019, we entered into partnerships with IBM and SAP to allow their salesforce to sell MongoDB, further increasing our reach to customers. We have further expanded our current partnerships with global systems integrators including Accenture, Infosys and Tata Consultancy Services. Our system integrator partners have also been valuable in working with organizations to migrate and modernize applications to our platform, including leveraging the cloud with MongoDB Atlas. Our technology partnerships with companies such as Datadog, New Relic, Google Cloud Platform, Microsoft Azure, Amazon Web Services (“AWS”), Red Hat, Pivotal and Tableau provide us with significant benefits, including lead generation, new customer acquisition, marketplace fulfillment, accelerated deployment and additional customer support. We intend to continue to expand and enhance our partner relationships to grow our market presence and drive greater sales efficiency.</w:t>
      </w:r>
    </w:p>
    <w:p>
      <w:pPr>
        <w:spacing w:after="0" w:line="135" w:lineRule="exact"/>
        <w:rPr>
          <w:rFonts w:ascii="Arial" w:cs="Arial" w:eastAsia="Arial" w:hAnsi="Arial"/>
          <w:sz w:val="18"/>
          <w:szCs w:val="18"/>
          <w:color w:val="auto"/>
        </w:rPr>
      </w:pPr>
    </w:p>
    <w:p>
      <w:pPr>
        <w:ind w:left="660" w:right="120" w:hanging="328"/>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Expanding Internationally. </w:t>
      </w:r>
      <w:r>
        <w:rPr>
          <w:rFonts w:ascii="Arial" w:cs="Arial" w:eastAsia="Arial" w:hAnsi="Arial"/>
          <w:sz w:val="18"/>
          <w:szCs w:val="18"/>
          <w:color w:val="auto"/>
        </w:rPr>
        <w:t>We believe there is significant opportunity to continue to expand the use of our platform outside the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fiscal years ended January 31, 2019, 2018 and 2017, total revenue generated outside of the United States was 39%, 37% and 34% of our total revenue. We intend to continue to expand our sales and drive adoption of our platform globally.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Culture</w:t>
      </w:r>
    </w:p>
    <w:p>
      <w:pPr>
        <w:spacing w:after="0" w:line="175"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We believe our culture is critical to our success and has delivered tangible financial and operational benefits for our customers, our employees and our stockholders. Our values guide our business, our product development, our practices and our brand. They are what we look for in every employee. As our company continues to evolve and grow, these six values remain constant:</w:t>
      </w:r>
    </w:p>
    <w:p>
      <w:pPr>
        <w:spacing w:after="0" w:line="123" w:lineRule="exact"/>
        <w:rPr>
          <w:sz w:val="20"/>
          <w:szCs w:val="20"/>
          <w:color w:val="auto"/>
        </w:rPr>
      </w:pPr>
    </w:p>
    <w:p>
      <w:pPr>
        <w:ind w:left="660" w:right="280" w:hanging="328"/>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Think Big, Go Far. </w:t>
      </w:r>
      <w:r>
        <w:rPr>
          <w:rFonts w:ascii="Arial" w:cs="Arial" w:eastAsia="Arial" w:hAnsi="Arial"/>
          <w:sz w:val="18"/>
          <w:szCs w:val="18"/>
          <w:color w:val="auto"/>
        </w:rPr>
        <w:t>We are big dreamers with a passion for creativity. We eagerly pursue new opportunities and markets through innovation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disruption. We have a pioneering spirit—always ready to forge new paths and take smart risks.</w:t>
      </w:r>
    </w:p>
    <w:p>
      <w:pPr>
        <w:spacing w:after="0" w:line="107" w:lineRule="exact"/>
        <w:rPr>
          <w:rFonts w:ascii="Arial" w:cs="Arial" w:eastAsia="Arial" w:hAnsi="Arial"/>
          <w:sz w:val="18"/>
          <w:szCs w:val="18"/>
          <w:color w:val="auto"/>
        </w:rPr>
      </w:pPr>
    </w:p>
    <w:p>
      <w:pPr>
        <w:ind w:left="660" w:right="60" w:hanging="328"/>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Make It Matter. </w:t>
      </w:r>
      <w:r>
        <w:rPr>
          <w:rFonts w:ascii="Arial" w:cs="Arial" w:eastAsia="Arial" w:hAnsi="Arial"/>
          <w:sz w:val="18"/>
          <w:szCs w:val="18"/>
          <w:color w:val="auto"/>
        </w:rPr>
        <w:t>We are relentless in our pursuit of meaningful impact. We think strategically and are clear on what we are and are not trying to do.</w:t>
      </w:r>
      <w:r>
        <w:rPr>
          <w:rFonts w:ascii="Arial" w:cs="Arial" w:eastAsia="Arial" w:hAnsi="Arial"/>
          <w:sz w:val="18"/>
          <w:szCs w:val="18"/>
          <w:b w:val="1"/>
          <w:bCs w:val="1"/>
          <w:color w:val="auto"/>
        </w:rPr>
        <w:t xml:space="preserve"> </w:t>
      </w:r>
      <w:r>
        <w:rPr>
          <w:rFonts w:ascii="Arial" w:cs="Arial" w:eastAsia="Arial" w:hAnsi="Arial"/>
          <w:sz w:val="18"/>
          <w:szCs w:val="18"/>
          <w:color w:val="auto"/>
        </w:rPr>
        <w:t>We accomplish an amazing amount of important work, and we are obsessed with follow through.</w:t>
      </w:r>
    </w:p>
    <w:p>
      <w:pPr>
        <w:spacing w:after="0" w:line="107" w:lineRule="exact"/>
        <w:rPr>
          <w:rFonts w:ascii="Arial" w:cs="Arial" w:eastAsia="Arial" w:hAnsi="Arial"/>
          <w:sz w:val="18"/>
          <w:szCs w:val="18"/>
          <w:color w:val="auto"/>
        </w:rPr>
      </w:pPr>
    </w:p>
    <w:p>
      <w:pPr>
        <w:ind w:left="660" w:right="240" w:hanging="328"/>
        <w:spacing w:after="0" w:line="303"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Embrace the Power of Differences. </w:t>
      </w:r>
      <w:r>
        <w:rPr>
          <w:rFonts w:ascii="Arial" w:cs="Arial" w:eastAsia="Arial" w:hAnsi="Arial"/>
          <w:sz w:val="16"/>
          <w:szCs w:val="16"/>
          <w:color w:val="auto"/>
        </w:rPr>
        <w:t>We commit to creating a culture of inclusion by seeking and valuing employees from different backgrounds</w:t>
      </w:r>
      <w:r>
        <w:rPr>
          <w:rFonts w:ascii="Arial" w:cs="Arial" w:eastAsia="Arial" w:hAnsi="Arial"/>
          <w:sz w:val="16"/>
          <w:szCs w:val="16"/>
          <w:b w:val="1"/>
          <w:bCs w:val="1"/>
          <w:color w:val="auto"/>
        </w:rPr>
        <w:t xml:space="preserve"> </w:t>
      </w:r>
      <w:r>
        <w:rPr>
          <w:rFonts w:ascii="Arial" w:cs="Arial" w:eastAsia="Arial" w:hAnsi="Arial"/>
          <w:sz w:val="16"/>
          <w:szCs w:val="16"/>
          <w:color w:val="auto"/>
        </w:rPr>
        <w:t>and circumstances. This is cultivated by learning from and respecting each other’s differences. We firmly believe that everyone deserves to feel valued and safe in the workplace, and we acknowledge that underrepresented groups may not always feel this way. We recognize that a diverse workforce is the best way to broaden our perspectives, foster innovation and enable a sustainable competitive advantage.</w:t>
      </w:r>
    </w:p>
    <w:p>
      <w:pPr>
        <w:spacing w:after="0" w:line="200" w:lineRule="exact"/>
        <w:rPr>
          <w:sz w:val="20"/>
          <w:szCs w:val="20"/>
          <w:color w:val="auto"/>
        </w:rPr>
      </w:pPr>
    </w:p>
    <w:p>
      <w:pPr>
        <w:spacing w:after="0" w:line="37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660" w:right="160" w:hanging="328"/>
        <w:spacing w:after="0" w:line="26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Build Together. </w:t>
      </w:r>
      <w:r>
        <w:rPr>
          <w:rFonts w:ascii="Arial" w:cs="Arial" w:eastAsia="Arial" w:hAnsi="Arial"/>
          <w:sz w:val="18"/>
          <w:szCs w:val="18"/>
          <w:color w:val="auto"/>
        </w:rPr>
        <w:t>We achieve amazing things by connecting and leveraging the diversity of skills, experiences and backgrounds of our entire</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We discuss things thoroughly, but prioritize commitment over consensus. We are good listeners and always communicate with clarity and respect. We create and support a positive, inclusive and accepting environment.</w:t>
      </w:r>
    </w:p>
    <w:p>
      <w:pPr>
        <w:spacing w:after="0" w:line="122" w:lineRule="exact"/>
        <w:rPr>
          <w:rFonts w:ascii="Arial" w:cs="Arial" w:eastAsia="Arial" w:hAnsi="Arial"/>
          <w:sz w:val="18"/>
          <w:szCs w:val="18"/>
          <w:color w:val="auto"/>
        </w:rPr>
      </w:pPr>
    </w:p>
    <w:p>
      <w:pPr>
        <w:ind w:left="660" w:right="440" w:hanging="328"/>
        <w:spacing w:after="0" w:line="28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Be Intellectually Honest. </w:t>
      </w:r>
      <w:r>
        <w:rPr>
          <w:rFonts w:ascii="Arial" w:cs="Arial" w:eastAsia="Arial" w:hAnsi="Arial"/>
          <w:sz w:val="18"/>
          <w:szCs w:val="18"/>
          <w:color w:val="auto"/>
        </w:rPr>
        <w:t>We embrace reality. We apply high-quality thinking and rigor. We have courage in our convictions but work hard to</w:t>
      </w:r>
      <w:r>
        <w:rPr>
          <w:rFonts w:ascii="Arial" w:cs="Arial" w:eastAsia="Arial" w:hAnsi="Arial"/>
          <w:sz w:val="18"/>
          <w:szCs w:val="18"/>
          <w:b w:val="1"/>
          <w:bCs w:val="1"/>
          <w:color w:val="auto"/>
        </w:rPr>
        <w:t xml:space="preserve"> </w:t>
      </w:r>
      <w:r>
        <w:rPr>
          <w:rFonts w:ascii="Arial" w:cs="Arial" w:eastAsia="Arial" w:hAnsi="Arial"/>
          <w:sz w:val="18"/>
          <w:szCs w:val="18"/>
          <w:color w:val="auto"/>
        </w:rPr>
        <w:t>ensure biases or personal beliefs do not get in the way of finding the best solutions.</w:t>
      </w:r>
    </w:p>
    <w:p>
      <w:pPr>
        <w:spacing w:after="0" w:line="107" w:lineRule="exact"/>
        <w:rPr>
          <w:rFonts w:ascii="Arial" w:cs="Arial" w:eastAsia="Arial" w:hAnsi="Arial"/>
          <w:sz w:val="18"/>
          <w:szCs w:val="18"/>
          <w:color w:val="auto"/>
        </w:rPr>
      </w:pPr>
    </w:p>
    <w:p>
      <w:pPr>
        <w:ind w:left="660" w:right="60" w:hanging="328"/>
        <w:spacing w:after="0" w:line="26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Own What You Do. </w:t>
      </w:r>
      <w:r>
        <w:rPr>
          <w:rFonts w:ascii="Arial" w:cs="Arial" w:eastAsia="Arial" w:hAnsi="Arial"/>
          <w:sz w:val="18"/>
          <w:szCs w:val="18"/>
          <w:color w:val="auto"/>
        </w:rPr>
        <w:t>We take ownership and are accountable for everything that we do. We empower and we are empowered to make things</w:t>
      </w:r>
      <w:r>
        <w:rPr>
          <w:rFonts w:ascii="Arial" w:cs="Arial" w:eastAsia="Arial" w:hAnsi="Arial"/>
          <w:sz w:val="18"/>
          <w:szCs w:val="18"/>
          <w:b w:val="1"/>
          <w:bCs w:val="1"/>
          <w:color w:val="auto"/>
        </w:rPr>
        <w:t xml:space="preserve"> </w:t>
      </w:r>
      <w:r>
        <w:rPr>
          <w:rFonts w:ascii="Arial" w:cs="Arial" w:eastAsia="Arial" w:hAnsi="Arial"/>
          <w:sz w:val="18"/>
          <w:szCs w:val="18"/>
          <w:color w:val="auto"/>
        </w:rPr>
        <w:t>happen, and balance independence with interdependence. We demand excellence from ourselves. We each play our own part in making MongoDB a great place to work.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75" w:lineRule="exact"/>
        <w:rPr>
          <w:sz w:val="20"/>
          <w:szCs w:val="20"/>
          <w:color w:val="auto"/>
        </w:rPr>
      </w:pPr>
    </w:p>
    <w:p>
      <w:pPr>
        <w:jc w:val="both"/>
        <w:ind w:right="240" w:firstLine="486"/>
        <w:spacing w:after="0" w:line="264" w:lineRule="auto"/>
        <w:rPr>
          <w:sz w:val="20"/>
          <w:szCs w:val="20"/>
          <w:color w:val="auto"/>
        </w:rPr>
      </w:pPr>
      <w:r>
        <w:rPr>
          <w:rFonts w:ascii="Arial" w:cs="Arial" w:eastAsia="Arial" w:hAnsi="Arial"/>
          <w:sz w:val="18"/>
          <w:szCs w:val="18"/>
          <w:color w:val="auto"/>
        </w:rPr>
        <w:t>As of January 31, 2019, we had a total of 1,212 employees, including 458 employees located outside the United States. None of our employees are represented by a labor union or covered by a collective bargaining agreement. We have not experienced any work stoppages, and we consider our relations with our employees to be good.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75"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We built MongoDB to be a modern, general purpose database platform. We believe that organizations should be able to run our platform anywhere: from a developer’s laptop, to an enterprise data center, in the public cloud or in a hybrid environment. Our core offerings are MongoDB Enterprise Advanced, MongoDB Atlas and Community Server. MongoDB Enterprise Advanced is our comprehensive offering for enterprise customers that can be run in the cloud, on-premise or in a hybrid environment, and includes our proprietary commercial database server, enterprise management capabilities, our graphical user interface, analytics integrations, technical support and a commercial license to our platform. To encourage developer usage, familiarity and adoption of our platform, we offer Community Server as a “freemium” offering. Community Server is a free-to-download version of our database that does not include all of the features of our commercial platform. MongoDB Atlas is our cloud-hosted DBaaS offering that includes comprehensive infrastructure and management of our database and can also be purchased with additional enterprise features. To support our database platform and increase customer retention, we provide professional services to our customers with the goal of making customers’ applications on our platform successful.</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MongoDB Enterprise Advanced</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primary subscription package, MongoDB Enterprise Advanced, includes a commercial license to our platform and the following:</w:t>
      </w:r>
    </w:p>
    <w:p>
      <w:pPr>
        <w:spacing w:after="0" w:line="171" w:lineRule="exact"/>
        <w:rPr>
          <w:sz w:val="20"/>
          <w:szCs w:val="20"/>
          <w:color w:val="auto"/>
        </w:rPr>
      </w:pPr>
    </w:p>
    <w:p>
      <w:pPr>
        <w:jc w:val="both"/>
        <w:ind w:left="660" w:right="8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MongoDB Enterprise Database Server. </w:t>
      </w:r>
      <w:r>
        <w:rPr>
          <w:rFonts w:ascii="Arial" w:cs="Arial" w:eastAsia="Arial" w:hAnsi="Arial"/>
          <w:sz w:val="18"/>
          <w:szCs w:val="18"/>
          <w:color w:val="auto"/>
        </w:rPr>
        <w:t>The MongoDB enterprise database server, called Enterprise Server, is our proprietary commercial database.</w:t>
      </w:r>
      <w:r>
        <w:rPr>
          <w:rFonts w:ascii="Arial" w:cs="Arial" w:eastAsia="Arial" w:hAnsi="Arial"/>
          <w:sz w:val="18"/>
          <w:szCs w:val="18"/>
          <w:i w:val="1"/>
          <w:iCs w:val="1"/>
          <w:color w:val="auto"/>
        </w:rPr>
        <w:t xml:space="preserve"> </w:t>
      </w:r>
      <w:r>
        <w:rPr>
          <w:rFonts w:ascii="Arial" w:cs="Arial" w:eastAsia="Arial" w:hAnsi="Arial"/>
          <w:sz w:val="18"/>
          <w:szCs w:val="18"/>
          <w:color w:val="auto"/>
        </w:rPr>
        <w:t>It stores, organizes and processes data and facilitates access and changes to the data. Enterprise Server includes advanced security features, auditing functionality and enterprise-standard authentication and authorization. Enterprise Server also includes encrypted and in-memory storage engines to enable a wide range of workloads.</w:t>
      </w:r>
    </w:p>
    <w:p>
      <w:pPr>
        <w:spacing w:after="0" w:line="132" w:lineRule="exact"/>
        <w:rPr>
          <w:rFonts w:ascii="Arial" w:cs="Arial" w:eastAsia="Arial" w:hAnsi="Arial"/>
          <w:sz w:val="18"/>
          <w:szCs w:val="18"/>
          <w:color w:val="auto"/>
        </w:rPr>
      </w:pPr>
    </w:p>
    <w:p>
      <w:pPr>
        <w:ind w:left="660" w:right="20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Enterprise Management Capabilities. </w:t>
      </w:r>
      <w:r>
        <w:rPr>
          <w:rFonts w:ascii="Arial" w:cs="Arial" w:eastAsia="Arial" w:hAnsi="Arial"/>
          <w:sz w:val="18"/>
          <w:szCs w:val="18"/>
          <w:color w:val="auto"/>
        </w:rPr>
        <w:t>MongoDB Enterprise Advanced provides access to Cloud Manager Premium and Ops Manager, our</w:t>
      </w:r>
      <w:r>
        <w:rPr>
          <w:rFonts w:ascii="Arial" w:cs="Arial" w:eastAsia="Arial" w:hAnsi="Arial"/>
          <w:sz w:val="18"/>
          <w:szCs w:val="18"/>
          <w:i w:val="1"/>
          <w:iCs w:val="1"/>
          <w:color w:val="auto"/>
        </w:rPr>
        <w:t xml:space="preserve"> </w:t>
      </w:r>
      <w:r>
        <w:rPr>
          <w:rFonts w:ascii="Arial" w:cs="Arial" w:eastAsia="Arial" w:hAnsi="Arial"/>
          <w:sz w:val="18"/>
          <w:szCs w:val="18"/>
          <w:color w:val="auto"/>
        </w:rPr>
        <w:t>sophisticated suite of management tools that allows operations teams to run, manage and configure MongoDB according to their needs. This includes the ability to monitor and alert on over 100 system metrics, to back up data and restore it to any point in time for disaster recovery, and to automate common operational tasks such as upgrades, scaling and configuration changes. MongoDB Enterprise Advance customers can choose either our Cloud Manager Premium product (for customers who want to manage our platform via the cloud) or Ops Manager (generally for those with on-premise deployments).</w:t>
      </w:r>
    </w:p>
    <w:p>
      <w:pPr>
        <w:spacing w:after="0" w:line="139"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Graphical User Interface. </w:t>
      </w:r>
      <w:r>
        <w:rPr>
          <w:rFonts w:ascii="Arial" w:cs="Arial" w:eastAsia="Arial" w:hAnsi="Arial"/>
          <w:sz w:val="18"/>
          <w:szCs w:val="18"/>
          <w:color w:val="auto"/>
        </w:rPr>
        <w:t>We have developed a graphical user interface product, called MongoDB Compass, to help developers and database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administrators work with the database visually and to provide a familiar experience for those accustomed to working with relational databases. Users of MongoDB Compass can interact with data more easily, and it allows them to visualize the schema of data and to construct </w:t>
      </w:r>
      <w:r>
        <w:rPr>
          <w:rFonts w:ascii="Arial" w:cs="Arial" w:eastAsia="Arial" w:hAnsi="Arial"/>
          <w:sz w:val="18"/>
          <w:szCs w:val="18"/>
          <w:i w:val="1"/>
          <w:iCs w:val="1"/>
          <w:color w:val="auto"/>
        </w:rPr>
        <w:t>ad hoc</w:t>
      </w:r>
      <w:r>
        <w:rPr>
          <w:rFonts w:ascii="Arial" w:cs="Arial" w:eastAsia="Arial" w:hAnsi="Arial"/>
          <w:sz w:val="18"/>
          <w:szCs w:val="18"/>
          <w:color w:val="auto"/>
        </w:rPr>
        <w:t xml:space="preserve"> queries, which can be useful for performance tuning and debugging. For example, MongoDB Compass users can view and optimize query performance, helping them make better decisions about indexing and document validation.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120" w:hanging="328"/>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Analytics Integrations. </w:t>
      </w:r>
      <w:r>
        <w:rPr>
          <w:rFonts w:ascii="Arial" w:cs="Arial" w:eastAsia="Arial" w:hAnsi="Arial"/>
          <w:sz w:val="18"/>
          <w:szCs w:val="18"/>
          <w:color w:val="auto"/>
        </w:rPr>
        <w:t>We provide integrations to allow data and business analysts to analyze data in applications running on our platform using</w:t>
      </w:r>
      <w:r>
        <w:rPr>
          <w:rFonts w:ascii="Arial" w:cs="Arial" w:eastAsia="Arial" w:hAnsi="Arial"/>
          <w:sz w:val="18"/>
          <w:szCs w:val="18"/>
          <w:i w:val="1"/>
          <w:iCs w:val="1"/>
          <w:color w:val="auto"/>
        </w:rPr>
        <w:t xml:space="preserve"> </w:t>
      </w:r>
      <w:r>
        <w:rPr>
          <w:rFonts w:ascii="Arial" w:cs="Arial" w:eastAsia="Arial" w:hAnsi="Arial"/>
          <w:sz w:val="18"/>
          <w:szCs w:val="18"/>
          <w:color w:val="auto"/>
        </w:rPr>
        <w:t>their existing business intelligence and analytics tools. For integration with business intelligence products like Tableau, analysts can use our MongoDB Connector for BI product, which includes our newly-released ODBC driver to support a connection with Microsoft Excel. We also provide open source connectors for Spark and Hadoop, which are often used for data analysis. Our analytics integrations ensure that enterprises can efficiently extract significant value from applications built on our platform.</w:t>
      </w:r>
    </w:p>
    <w:p>
      <w:pPr>
        <w:spacing w:after="0" w:line="134" w:lineRule="exact"/>
        <w:rPr>
          <w:rFonts w:ascii="Arial" w:cs="Arial" w:eastAsia="Arial" w:hAnsi="Arial"/>
          <w:sz w:val="18"/>
          <w:szCs w:val="18"/>
          <w:color w:val="auto"/>
        </w:rPr>
      </w:pPr>
    </w:p>
    <w:p>
      <w:pPr>
        <w:ind w:left="660" w:right="60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Technical Support. </w:t>
      </w:r>
      <w:r>
        <w:rPr>
          <w:rFonts w:ascii="Arial" w:cs="Arial" w:eastAsia="Arial" w:hAnsi="Arial"/>
          <w:sz w:val="18"/>
          <w:szCs w:val="18"/>
          <w:color w:val="auto"/>
        </w:rPr>
        <w:t>As part of our MongoDB Enterprise Advanced subscription, we also provide technical support to customers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period. Our technical support is designed to maximize customer success. We provide customers with around-the-clock (24x365) technical support with an enterprise-grade service level agreement.</w:t>
      </w:r>
    </w:p>
    <w:p>
      <w:pPr>
        <w:spacing w:after="0" w:line="127"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MongoDB Enterprise Advanced represented 56%, 63% and 65% of our total revenue for the fiscal years ended January 31, 2019, 2018 and 2017, respectively.</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MongoDB Atlas</w:t>
      </w:r>
    </w:p>
    <w:p>
      <w:pPr>
        <w:spacing w:after="0" w:line="171"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In June 2016, we introduced MongoDB Atlas, our hosted DBaaS offering which we run and manage in the public cloud. MongoDB Atlas provides customers with an elastic, managed offering that includes automated provisioning and healing, comprehensive system monitoring, managed backup and restore, default security and other features that reduce operational complexity and increase application resiliency. MongoDB Atlas allows customers to remove themselves from the complexity of managing the database and related underlying infrastructure, so they can instead focus on the application and end-user experience and innovate more quickly to better serve their own customers and capitalize on new business opportunities.</w:t>
      </w:r>
    </w:p>
    <w:p>
      <w:pPr>
        <w:spacing w:after="0" w:line="119"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In 2018, we introduced additional enterprise functionality, such as advanced security and auditing, to MongoDB Atlas to allow Atlas to support mission-critical enterprise workloads. MongoDB Atlas is available on all three major cloud providers (Amazon Web Services, Google Cloud Platform and Microsoft Azure) in North America, Europe and Asia Pacific, providing customers broad geographic coverage across more than 60 regions globally, enabling them to leverage the benefits of different cloud platforms for different use cases and helping them avoid infrastructure vendor lock-in. To drive usage and experimentation by developers, our introductory offerings for MongoDB Atlas include a free tier, which provides limited processing power and storage.</w:t>
      </w:r>
    </w:p>
    <w:p>
      <w:pPr>
        <w:spacing w:after="0" w:line="104" w:lineRule="exact"/>
        <w:rPr>
          <w:sz w:val="20"/>
          <w:szCs w:val="20"/>
          <w:color w:val="auto"/>
        </w:rPr>
      </w:pPr>
    </w:p>
    <w:p>
      <w:pPr>
        <w:ind w:left="500" w:right="800"/>
        <w:spacing w:after="0" w:line="438" w:lineRule="auto"/>
        <w:rPr>
          <w:sz w:val="20"/>
          <w:szCs w:val="20"/>
          <w:color w:val="auto"/>
        </w:rPr>
      </w:pPr>
      <w:r>
        <w:rPr>
          <w:rFonts w:ascii="Arial" w:cs="Arial" w:eastAsia="Arial" w:hAnsi="Arial"/>
          <w:sz w:val="18"/>
          <w:szCs w:val="18"/>
          <w:color w:val="auto"/>
        </w:rPr>
        <w:t xml:space="preserve">MongoDB Atlas represented 23%, 7% and 1% of our total revenue for the fiscal years ended January 31, 2019, 2018 and 2017, respectively. </w:t>
      </w:r>
      <w:r>
        <w:rPr>
          <w:rFonts w:ascii="Arial" w:cs="Arial" w:eastAsia="Arial" w:hAnsi="Arial"/>
          <w:sz w:val="18"/>
          <w:szCs w:val="18"/>
          <w:u w:val="single" w:color="auto"/>
          <w:color w:val="auto"/>
        </w:rPr>
        <w:t>Community Server</w:t>
      </w:r>
    </w:p>
    <w:p>
      <w:pPr>
        <w:spacing w:after="0" w:line="1"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Community Server is a free-to-download version of our database that includes the core functionality that developers need to get started with MongoDB but not all of the features of our commercial platform. Community Server is available under a license that protects our intellectual property and supports our subscription business model. Our goal is to convert Community Server users to paying customers of our commercial offerings. Our Community Server has been downloaded over 60 million times from our website alone since February 2009. We directly generate revenue from our Community Server through usage of MongoDB Atlas and indirectly through upselling users to our Enterprise Advanced subscription package.</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Professional Services</w:t>
      </w:r>
    </w:p>
    <w:p>
      <w:pPr>
        <w:spacing w:after="0" w:line="171" w:lineRule="exact"/>
        <w:rPr>
          <w:sz w:val="20"/>
          <w:szCs w:val="20"/>
          <w:color w:val="auto"/>
        </w:rPr>
      </w:pPr>
    </w:p>
    <w:p>
      <w:pPr>
        <w:ind w:right="180" w:firstLine="486"/>
        <w:spacing w:after="0" w:line="297" w:lineRule="auto"/>
        <w:rPr>
          <w:sz w:val="20"/>
          <w:szCs w:val="20"/>
          <w:color w:val="auto"/>
        </w:rPr>
      </w:pPr>
      <w:r>
        <w:rPr>
          <w:rFonts w:ascii="Arial" w:cs="Arial" w:eastAsia="Arial" w:hAnsi="Arial"/>
          <w:sz w:val="16"/>
          <w:szCs w:val="16"/>
          <w:color w:val="auto"/>
        </w:rPr>
        <w:t>We provide professional services to our customers, including consulting and training, with the goal of making customer deployments of our platform successful, thereby increasing customer retention and driving customer revenue expansion. Given that we have designed our platform to be easy to deploy, our services typically do not involve implementation and are designed to facilitate a more rapid and successful deployment of MongoDB by our customers. Professional services is an important part of our customer retention and expansion strategy. Customers who purchase professional services have typically increased their subscription with us to higher levels and done so more quickly than customers who have not engaged our professional services.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Professional services represented 7%, 9% and 9% of our total revenue for the fiscal years ended January 31, 2019,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75" w:lineRule="exact"/>
        <w:rPr>
          <w:sz w:val="20"/>
          <w:szCs w:val="20"/>
          <w:color w:val="auto"/>
        </w:rPr>
      </w:pPr>
    </w:p>
    <w:p>
      <w:pPr>
        <w:ind w:right="100" w:firstLine="486"/>
        <w:spacing w:after="0" w:line="308" w:lineRule="auto"/>
        <w:rPr>
          <w:sz w:val="20"/>
          <w:szCs w:val="20"/>
          <w:color w:val="auto"/>
        </w:rPr>
      </w:pPr>
      <w:r>
        <w:rPr>
          <w:rFonts w:ascii="Arial" w:cs="Arial" w:eastAsia="Arial" w:hAnsi="Arial"/>
          <w:sz w:val="17"/>
          <w:szCs w:val="17"/>
          <w:color w:val="auto"/>
        </w:rPr>
        <w:t>As of January 31, 2019, we had over 13,400 customers spanning a wide range of industries in more than 100 countries around the world. All affiliated entities are counted as a single customer. No single customer represented more than 10% of our revenue in fiscal year 2019.</w:t>
      </w:r>
    </w:p>
    <w:p>
      <w:pPr>
        <w:spacing w:after="0" w:line="93"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On November 1, 2018, we acquired all of the issued and outstanding capital stock of ObjectLabs Corporation (“mLab”). mLab, based in San Francisco, California, offers a fully-managed cloud database service featuring automated provisioning and scaling, backup and recovery, 24/7 monitoring and alerting, web-based management tools, and support. Our customer count as of January 31, 2019 includes approximately 4,200 customers acquired from mLab.</w:t>
      </w:r>
    </w:p>
    <w:p>
      <w:pPr>
        <w:spacing w:after="0" w:line="93"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Our definition of “customer” excludes (i) users of our free offerings and (ii) users acquired from mLab who spend less than $20 per month with us, which users collectively represent an immaterial portion of the revenue associated with users acquired from mLab.</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Our sales and marketing teams work together closely to drive awareness and adoption of our platform, accelerate customer acquisition and generate and increase revenue from customers. While we sell to organizations of all sizes across a broad range of industries, our key sales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spacing w:after="0" w:line="134"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Our go-to-market model is primarily focused on driving awareness and usage of our platform among software developers with the goal of converting that usage into paid consumption of our platform. We are a pioneer of developer evangelism and education and have cultivated a large, highly engaged global developer community. We foster developer engagement through community events and conferences to demonstrate how developers can create or modernize applications quickly and intuitively using our platform. We intend to continue to cultivate our relationships with developers through continued investment in and growth of our MongoDB Advocacy Hub, User Groups and MongoDB University. We also have a partner ecosystem of global system integrators, value-added resellers and independent software vendors, which we collectively refer to as strategic partners.</w:t>
      </w:r>
    </w:p>
    <w:p>
      <w:pPr>
        <w:spacing w:after="0" w:line="111"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To drive developer awareness of, engagement with and adoption of our platform, we created our Community Server offering. This lets developers use, experiment and evaluate our platform frictionlessly, which we believe has contributed to our platform’s popularity. We believe that developers are often advocates for us because of our developer-focused approach. As a result, our self-serve and direct sales prospects are often familiar with our platform and may have already built applications using our technology. In order to assess the most likely commercial prospects, we employ a process-oriented and data-driven approach to customer acquisition. We also utilize advanced marketing technologies and processes to drive awareness and engagement, educate and convert prospects into customers. As customers expand their usage of our platform, our relationships with them often evolve to include technology and business leaders within their organizations and our goal is to get organizations to standardize on our platform. Once our customers reach a certain spending level with us, we support them with customer success advocates to ensure their satisfaction and expand their usage of our platform.</w:t>
      </w:r>
    </w:p>
    <w:p>
      <w:pPr>
        <w:spacing w:after="0" w:line="112" w:lineRule="exact"/>
        <w:rPr>
          <w:sz w:val="20"/>
          <w:szCs w:val="20"/>
          <w:color w:val="auto"/>
        </w:rPr>
      </w:pPr>
    </w:p>
    <w:p>
      <w:pPr>
        <w:ind w:right="840" w:firstLine="486"/>
        <w:spacing w:after="0" w:line="277" w:lineRule="auto"/>
        <w:rPr>
          <w:sz w:val="20"/>
          <w:szCs w:val="20"/>
          <w:color w:val="auto"/>
        </w:rPr>
      </w:pPr>
      <w:r>
        <w:rPr>
          <w:rFonts w:ascii="Arial" w:cs="Arial" w:eastAsia="Arial" w:hAnsi="Arial"/>
          <w:sz w:val="18"/>
          <w:szCs w:val="18"/>
          <w:color w:val="auto"/>
        </w:rPr>
        <w:t>Our sales and marketing organization includes sales development, inside sales, field sales, sales engineering and marketing personnel. As of January 31, 2019, we had 466 employees in our sales and marketing organization.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Our research and development efforts are focused on enhancing our existing products and developing new products to extend our product leadership, increase our market penetration and deepen our relationships with our customers. Our research and development organization is built around small development teams. Our small development teams foster greater agility, which enables us to develop new, innovative products and make rapid changes to our infrastructure that increase resiliency and operational efficiency.</w:t>
      </w:r>
    </w:p>
    <w:p>
      <w:pPr>
        <w:spacing w:after="0" w:line="133"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As of January 31, 2019, we had 335 employees in our research and development organization. We intend to continue to invest in our research and development capabilities to extend our platform.</w:t>
      </w:r>
    </w:p>
    <w:p>
      <w:pPr>
        <w:spacing w:after="0" w:line="200" w:lineRule="exact"/>
        <w:rPr>
          <w:sz w:val="20"/>
          <w:szCs w:val="20"/>
          <w:color w:val="auto"/>
        </w:rPr>
      </w:pPr>
    </w:p>
    <w:p>
      <w:pPr>
        <w:spacing w:after="0" w:line="38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worldwide database software market is rapidly evolving and highly competitive. We believe that the principal competitive factors in our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15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mindshare with software developers and IT executives;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capabilities, including flexibility, scalability, performance, security and reliability;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flexible deployment model, including fully managed as a service or self-managed in the cloud, on-premise or in a hybrid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ease of deployment;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breadth of use cases supported;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ease of integration with existing IT infrastructure;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robustness of professional services and customer support;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and total cost of ownership;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adherence to industry standards and certifications;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size of customer base and level of user adoption;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strength of sales and marketing efforts;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that we compete favorably on the basis of the factors listed above.</w:t>
      </w:r>
    </w:p>
    <w:p>
      <w:pPr>
        <w:spacing w:after="0" w:line="171"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We primarily compete with established legacy database software providers such as IBM, Microsoft, Oracle and other similar companies. We also compete with public cloud providers such as AWS, Google Cloud Platform (“GCP”) and Microsoft Azure that offer database functionality and non-relational database software providers.</w:t>
      </w:r>
    </w:p>
    <w:p>
      <w:pPr>
        <w:spacing w:after="0" w:line="127"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Some of our actual and potential competitors, in particular the legacy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In addition, some of our larger competitors have substantially broader offerings and can bundle competing products with hardware or other software offerings, including their cloud computing and customer relationship management platforms. Other large software and internet companies may also seek to enter our market. With the introduction of new technologies and new market entrants, we expect competition to intensify in the future.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right="80" w:firstLine="486"/>
        <w:spacing w:after="0" w:line="219" w:lineRule="exact"/>
        <w:rPr>
          <w:sz w:val="20"/>
          <w:szCs w:val="20"/>
          <w:color w:val="auto"/>
        </w:rPr>
      </w:pPr>
      <w:r>
        <w:rPr>
          <w:rFonts w:ascii="Arial" w:cs="Arial" w:eastAsia="Arial" w:hAnsi="Arial"/>
          <w:sz w:val="18"/>
          <w:szCs w:val="18"/>
          <w:color w:val="auto"/>
        </w:rPr>
        <w:t>We have in the past and expect in the future to experience seasonal fluctuations in our revenue and results from time to time. In addition, as a result of the adoption of Accounting Standards Update No. 2014</w:t>
      </w:r>
      <w:r>
        <w:rPr>
          <w:rFonts w:ascii="MS PGothic" w:cs="MS PGothic" w:eastAsia="MS PGothic" w:hAnsi="MS PGothic"/>
          <w:sz w:val="18"/>
          <w:szCs w:val="18"/>
          <w:color w:val="auto"/>
        </w:rPr>
        <w:t>‑</w:t>
      </w:r>
      <w:r>
        <w:rPr>
          <w:rFonts w:ascii="Arial" w:cs="Arial" w:eastAsia="Arial" w:hAnsi="Arial"/>
          <w:sz w:val="18"/>
          <w:szCs w:val="18"/>
          <w:color w:val="auto"/>
        </w:rPr>
        <w:t xml:space="preserve">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we may experience greater variability and reduced comparability of our quarterly revenue and results with respect to the timing and nature of certain of our contracts, particularly multi-year contracts that contain a term license. See Notes 2 and 10 in our Notes to Consolidated Financial Statements in Part II, Item 8, </w:t>
      </w:r>
      <w:r>
        <w:rPr>
          <w:rFonts w:ascii="Arial" w:cs="Arial" w:eastAsia="Arial" w:hAnsi="Arial"/>
          <w:sz w:val="18"/>
          <w:szCs w:val="18"/>
          <w:i w:val="1"/>
          <w:iCs w:val="1"/>
          <w:color w:val="auto"/>
        </w:rPr>
        <w:t>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Data, </w:t>
      </w:r>
      <w:r>
        <w:rPr>
          <w:rFonts w:ascii="Arial" w:cs="Arial" w:eastAsia="Arial" w:hAnsi="Arial"/>
          <w:sz w:val="18"/>
          <w:szCs w:val="18"/>
          <w:color w:val="auto"/>
        </w:rPr>
        <w:t>of this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auto"/>
        </w:rPr>
        <w:t>We rely on a combination of patent, copyright, trademark and trade secret laws in the United States and other jurisdictions, as well as license agreements and other contractual protections, to protect our proprietary technology. We also rely on a number of registered and unregistered trademarks to protect our brand.</w:t>
      </w:r>
    </w:p>
    <w:p>
      <w:pPr>
        <w:spacing w:after="0" w:line="200" w:lineRule="exact"/>
        <w:rPr>
          <w:sz w:val="20"/>
          <w:szCs w:val="20"/>
          <w:color w:val="auto"/>
        </w:rPr>
      </w:pPr>
    </w:p>
    <w:p>
      <w:pPr>
        <w:spacing w:after="0" w:line="40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As of January 31, 2019, in the United States, we had been issued 15 patents, which expire between 2030 and 2036, and had 45 patent applications pending, of which four are provisional applications. In addition, as of January 31, 2019, we had 12 registered trademarks in the United States and one pending trademark application in the United States.</w:t>
      </w:r>
    </w:p>
    <w:p>
      <w:pPr>
        <w:spacing w:after="0" w:line="127"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Unlike software companies built around open source projects, we own the intellectual property of our offerings, allowing us to retain control over our future product roadmap, including the determination of which features are included in our free or paid offerings. All versions of Community Server released after October 16, 2018 are offered under the Server Side Public License (the “SSPL”). Versions of Community Server released prior to October 16, 2018 are offered under the GNU Affero General Public License version 3 (the “AGPL”). Both the SSPL and the AGPL permit users to run the database without charge but subject to certain terms and conditions. The SSPL explicitly requires Community Server users that offer MongoDB as a third-party service to make publicly available the source code for all the programs used to offer such service. The AGPL requires users to make publicly available the source code for any modified version of the database that they distribute, run as a service or otherwise make available to end users. By contrast, we offer our Enterprise Server database under a commercial license that does not have this requirement and this is one of the reasons some organizations elect to buy a subscription including a commercial license to our platform. In addition, by offering Community Server under the SSPL and AGPL, we limit the appeal to other parties, including public cloud vendors, of monetizing our software without licensing it from us, further supporting our software subscription business model.</w:t>
      </w:r>
    </w:p>
    <w:p>
      <w:pPr>
        <w:spacing w:after="0" w:line="11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In addition, we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were originally incorporated in the state of Delaware in November 2007 under the name 10Gen, Inc. In August 2013, we changed our name to MongoDB, Inc. In October 2017, we completed our initial public offering and our Class A common stock is listed on The Nasdaq Global Market (“Nasdaq”) under the symbol “MDB.” Our principal executive offices are located at 1633 Broadway, 38th Floor, New York, New York 10019, and our telephone number is (646) 727-4092.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Our Annual Report on Form 10-K, Quarterly Reports on Form 10-Q, Current Reports on Form 8-K, and amendments to reports filed pursuant to Sections 13(a) and 15(d) of the Exchange Act are filed with the U.S. Securities and Exchange Commission (“SEC”). We are subject to the informational requirements of the Exchange Act and file or furnish reports, proxy statements and other information with the SEC. Such reports and other information filed by us with the SEC are available free of charge on our website at www.mongodb.com/ir when such reports are available on the SEC’s website. The SEC maintains an internet site that contains reports, proxy and information statements and other information regarding issuers that file electronically with the SEC at www.sec.gov. The information contained on the websites referenced in this Form 10-K is not incorporated by reference into this filing. Further, our references to website URLs are intended to be inactive textual references only.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predict our future results of operations.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were incorporated in 2007 and introduced MongoDB Community Server in 2009, MongoDB Enterprise Advanced in 2013 and MongoDB Atlas in</w:t>
      </w:r>
    </w:p>
    <w:p>
      <w:pPr>
        <w:spacing w:after="0" w:line="4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2016. As a result of our limited operating history, our ability to forecast our future results of operations is limited and subject to a number of uncertainties, including our ability to accurately predict future growth. Our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historical revenue growth has been inconsistent and should not be considered indicative of our future performance. Further, in future periods, our revenue growth could slow or our revenue could decline for a number of reasons, including slowing adoption of MongoDB or demand for our subscription offerings and related services, reduced conversion of users of our free offerings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losses, and as our costs increase, we may not be able to generate sufficient revenue to achieve or sustain profitability.</w:t>
      </w:r>
    </w:p>
    <w:p>
      <w:pPr>
        <w:spacing w:after="0" w:line="183"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have incurred net losses in each period since our inception, including net losses of $99.0 million, $84.0 million and $70.1 million for the fiscal years ended January 31, 2019, 2018 and 2017, respectively. We had an accumulated deficit of $488.6 million as of January 31, 2019. We expect our operating expenses to increase significantly as we increase our sales and marketing efforts, continue to invest in research and development, and expand our operations and infrastructure, both domestically and internationally. In particular, we have entered into non-cancelable multi-year capacity commitments with respect to cloud infrastructure services with certain third-party cloud providers, which require us to pay for such capacity irrespective of actual usage. In addition, we have incurred and expect to continue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and maintain profitability in future periods. As a result, we expect to continue to generate losses. We cannot assure you that we will achieve profitability in the future or that, if we do become profitable, we will be able to sustain profitability.</w:t>
      </w:r>
    </w:p>
    <w:p>
      <w:pPr>
        <w:spacing w:after="0" w:line="12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Because we derive substantially all of our revenue from our database platform, failure of this platform to satisfy customer demands could adversely affect our business, results of operations, financial condition and growth prospects.</w:t>
      </w:r>
    </w:p>
    <w:p>
      <w:pPr>
        <w:spacing w:after="0" w:line="11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derive and expect to continue to derive substantially all of our revenue from our database platform. As such, market adoption of our database platform is critical to our continued success. Demand for our platform is affected by a number of factors beyond our control, including continued market acceptance by developers, the availability of our Community Server offering, the continued volume, variety and velocity of data that is generated, timing of development and release of new offerings by our competitors, technological change, and the rate of growth in our market. If we are unable to continue to meet the demands of our customers and the developer community, our business operations, financial results and growth prospects will be materially and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face significant competition.</w:t>
      </w:r>
    </w:p>
    <w:p>
      <w:pPr>
        <w:spacing w:after="0" w:line="171" w:lineRule="exact"/>
        <w:rPr>
          <w:sz w:val="20"/>
          <w:szCs w:val="20"/>
          <w:color w:val="auto"/>
        </w:rPr>
      </w:pPr>
    </w:p>
    <w:p>
      <w:pPr>
        <w:ind w:right="20" w:firstLine="486"/>
        <w:spacing w:after="0" w:line="218" w:lineRule="exact"/>
        <w:rPr>
          <w:sz w:val="20"/>
          <w:szCs w:val="20"/>
          <w:color w:val="auto"/>
        </w:rPr>
      </w:pPr>
      <w:r>
        <w:rPr>
          <w:rFonts w:ascii="Arial" w:cs="Arial" w:eastAsia="Arial" w:hAnsi="Arial"/>
          <w:sz w:val="16"/>
          <w:szCs w:val="16"/>
          <w:color w:val="auto"/>
        </w:rPr>
        <w:t>The database software market, for both relational and non</w:t>
      </w:r>
      <w:r>
        <w:rPr>
          <w:rFonts w:ascii="MS PGothic" w:cs="MS PGothic" w:eastAsia="MS PGothic" w:hAnsi="MS PGothic"/>
          <w:sz w:val="16"/>
          <w:szCs w:val="16"/>
          <w:color w:val="auto"/>
        </w:rPr>
        <w:t>‑</w:t>
      </w:r>
      <w:r>
        <w:rPr>
          <w:rFonts w:ascii="Arial" w:cs="Arial" w:eastAsia="Arial" w:hAnsi="Arial"/>
          <w:sz w:val="16"/>
          <w:szCs w:val="16"/>
          <w:color w:val="auto"/>
        </w:rPr>
        <w:t>relational database products, is highly competitive, rapidly evolving and others may put out competing databases or sell services in connection with existing open source or source available databases, including ours. The principal competitive factors in our market include: mindshare with software developers and IT executives; product capabilities, including flexibility, scalability, performance, security and reliability; flexible deployment options, including fully managed as a service or self-managed in the cloud, on</w:t>
      </w:r>
      <w:r>
        <w:rPr>
          <w:rFonts w:ascii="MS PGothic" w:cs="MS PGothic" w:eastAsia="MS PGothic" w:hAnsi="MS PGothic"/>
          <w:sz w:val="16"/>
          <w:szCs w:val="16"/>
          <w:color w:val="auto"/>
        </w:rPr>
        <w:t>‑</w:t>
      </w:r>
      <w:r>
        <w:rPr>
          <w:rFonts w:ascii="Arial" w:cs="Arial" w:eastAsia="Arial" w:hAnsi="Arial"/>
          <w:sz w:val="16"/>
          <w:szCs w:val="16"/>
          <w:color w:val="auto"/>
        </w:rPr>
        <w:t>premise or in a hybrid environment, and ease of deployment; breadth of use cases supported; ease of integration with existing IT infrastructure; robustness of professional services and customer support; price and total cost of ownership; adherence to industry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business and results of operations to suffer.</w:t>
      </w:r>
    </w:p>
    <w:p>
      <w:pPr>
        <w:spacing w:after="0" w:line="149" w:lineRule="exact"/>
        <w:rPr>
          <w:sz w:val="20"/>
          <w:szCs w:val="20"/>
          <w:color w:val="auto"/>
        </w:rPr>
      </w:pPr>
    </w:p>
    <w:p>
      <w:pPr>
        <w:ind w:right="480" w:firstLine="486"/>
        <w:spacing w:after="0" w:line="221" w:lineRule="exact"/>
        <w:rPr>
          <w:sz w:val="20"/>
          <w:szCs w:val="20"/>
          <w:color w:val="auto"/>
        </w:rPr>
      </w:pPr>
      <w:r>
        <w:rPr>
          <w:rFonts w:ascii="Arial" w:cs="Arial" w:eastAsia="Arial" w:hAnsi="Arial"/>
          <w:sz w:val="18"/>
          <w:szCs w:val="18"/>
          <w:color w:val="auto"/>
        </w:rPr>
        <w:t>We primarily compete with established legacy database software providers such as IBM, Microsoft, Oracle and other similar companies. We also compete with public cloud providers such as AWS, GCP, and Microsoft Azure that offer database functionality and non</w:t>
      </w:r>
      <w:r>
        <w:rPr>
          <w:rFonts w:ascii="MS PGothic" w:cs="MS PGothic" w:eastAsia="MS PGothic" w:hAnsi="MS PGothic"/>
          <w:sz w:val="18"/>
          <w:szCs w:val="18"/>
          <w:color w:val="auto"/>
        </w:rPr>
        <w:t>‑</w:t>
      </w:r>
      <w:r>
        <w:rPr>
          <w:rFonts w:ascii="Arial" w:cs="Arial" w:eastAsia="Arial" w:hAnsi="Arial"/>
          <w:sz w:val="18"/>
          <w:szCs w:val="18"/>
          <w:color w:val="auto"/>
        </w:rPr>
        <w:t>relational database software providers. In addition, other large software and internet companies may seek to enter our market.</w:t>
      </w:r>
    </w:p>
    <w:p>
      <w:pPr>
        <w:spacing w:after="0" w:line="148"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Some of our actual and potential competitors, in particular the legacy relational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With the introduction of new technologies and new market entrants,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spacing w:after="0" w:line="143"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 not effectively expand our sales and marketing organization, we may be unable to add new customers or increase sales to our existing customers.</w:t>
      </w:r>
    </w:p>
    <w:p>
      <w:pPr>
        <w:spacing w:after="0" w:line="206"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color w:val="auto"/>
        </w:rPr>
        <w:t>Increasing our customer base and achieving broader market acceptance of our subscription offerings and related services will depend, to a significant extent, on our ability to effectively expand our sales and marketing operations and activities. We are substantially dependent on our direct sales force and our marketing efforts to obtain new customers. We plan to continue to expand our sales and marketing organization both domestically and internationally.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large markets like New York, the San Francisco Bay Area and London, England. New hires require significant training and time before they achieve full productivity, particularly in new or developing sales territories. We recently promoted Cedric Pech to Chief Revenue Officer. Our recent hires and planned hires, including our newly promoted Chief Revenue Officer, may not become as productive as quickly as we expect, and we may be unable to hire or retain sufficient numbers of qualified individuals in the future in the markets where we do business. Because of our limited operating history, we cannot predict whether, or to what extent, our sales will increase as we expand our sales and marketing organization or how long it will take for sales personnel to become productive. Our business and results of operations will be harmed if the expansion of our sales and marketing organization does not generate a significant increase in revenue.</w:t>
      </w:r>
    </w:p>
    <w:p>
      <w:pPr>
        <w:spacing w:after="0" w:line="11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adoption strategies include offering Community Server and a free tier of MongoDB Atlas, and we may not be able to realize the benefits of these strategies.</w:t>
      </w:r>
    </w:p>
    <w:p>
      <w:pPr>
        <w:spacing w:after="0" w:line="116" w:lineRule="exact"/>
        <w:rPr>
          <w:sz w:val="20"/>
          <w:szCs w:val="20"/>
          <w:color w:val="auto"/>
        </w:rPr>
      </w:pPr>
    </w:p>
    <w:p>
      <w:pPr>
        <w:ind w:right="60" w:firstLine="486"/>
        <w:spacing w:after="0" w:line="218" w:lineRule="exact"/>
        <w:rPr>
          <w:sz w:val="20"/>
          <w:szCs w:val="20"/>
          <w:color w:val="auto"/>
        </w:rPr>
      </w:pPr>
      <w:r>
        <w:rPr>
          <w:rFonts w:ascii="Arial" w:cs="Arial" w:eastAsia="Arial" w:hAnsi="Arial"/>
          <w:sz w:val="18"/>
          <w:szCs w:val="18"/>
          <w:color w:val="auto"/>
        </w:rPr>
        <w:t>To encourage developer usage, familiarity and adoption of our platform, we offer Community Server as a “freemium” offering. Community Server is a free</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download version of our database that does not include all of the features of our commercial platform. We also offer a free tier of MongoDB Atlas in order to accelerate adoption, promote usage and drive brand and product awareness. We do not know if we will be able to convert these users to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decision to offer Community Server under a new license, the Server Side Public License, may harm adoption of Community Server.</w:t>
      </w:r>
    </w:p>
    <w:p>
      <w:pPr>
        <w:spacing w:after="0" w:line="23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On October 16, 2018, we announced that we were changing the license for Community Server from the GNU Affero General Public License Version 3 (the “AGPL”) to a new software license, the Server Side Public License (the “SSPL”). The SSPL builds on the spirit of the AGPL, but includes an explicit condition that any organization attempting to exploit MongoDB as a service must open source the software that it uses to offer such service. Since the SSPL is a new license 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has not been interpreted by any court, developers and the companies they work for may be hesitant to adopt Community Server because of uncertainty around the provisions of the SSPL and how it will be interpreted and enforced. In addition, the SSPL has not been approved by the Open Source Initiative, nor has it been included in the Free Software Foundation’s list of free software licenses. This may negatively impact adoption of Community Server, which in turn could lead to reduced brand and product awareness, ultimately leading to a decline in paying customers, and our ability to grow our business or achieve profitability may be harmed.</w:t>
      </w:r>
    </w:p>
    <w:p>
      <w:pPr>
        <w:spacing w:after="0" w:line="13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invested significantly in our MongoDB Atlas offering and if it fails to achieve market adoption our business, results of operations and financial condition could be harmed.</w:t>
      </w:r>
    </w:p>
    <w:p>
      <w:pPr>
        <w:spacing w:after="0" w:line="11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introduced MongoDB Atlas in June 2016. We have less experience marketing, determining pricing for and selling MongoDB Atlas, and we are continuing to refine our approach to selling, marketing, pricing and supporting adoption of this offering. We have directed, and intend to continue to direct, a significant portion of our financial and operating resources to develop and grow MongoDB Atlas, including offering a free tier of MongoDB Atlas to generate developer usage and awareness. Although MongoDB Atlas has seen rapid adoption since its commercial launch, we cannot guarantee that rate of adoption will continue at the same pace or at all. If we are unsuccessful in our efforts to drive customer adoption of MongoDB Atlas, or if we do so in a way that is not profitable or fails to compete successfully against our current or future competitors, our business, results of operations and financial condition could be harmed.</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could be negatively impacted if the AGPL, the SSPL and other open source licenses under which some of our software is licensed are not enforceable.</w:t>
      </w:r>
    </w:p>
    <w:p>
      <w:pPr>
        <w:spacing w:after="0" w:line="206"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 versions of Community Server released prior to October 16, 2018 are licensed under the AGPL. This license states that any program licensed under it may be copied, modified and distributed provided certain conditions are met. On October 16, 2018, we issued a new software license, the SSPL, for all versions of Community Server released after that date. The SSPL builds on the spirit of the AGPL, but includes an explicit condition that any organization using Community Server to offer MongoDB as a third-party service must open source the software that it uses to offer such service. It is possible that a court would hold the SSPL or AGPL to be unenforceable. If a court held either license or certain aspects of this license to be unenforceable, others may be able to use our software to compete with us in the marketplace in a manner not subject to the restrictions set forth in the SSPL or AGPL.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licensing model for Community Server could negatively affect our ability to monetize and protect our intellectual property rights.</w:t>
      </w:r>
    </w:p>
    <w:p>
      <w:pPr>
        <w:spacing w:after="0" w:line="171" w:lineRule="exact"/>
        <w:rPr>
          <w:sz w:val="20"/>
          <w:szCs w:val="20"/>
          <w:color w:val="auto"/>
        </w:rPr>
      </w:pPr>
    </w:p>
    <w:p>
      <w:pPr>
        <w:ind w:firstLine="486"/>
        <w:spacing w:after="0" w:line="217" w:lineRule="exact"/>
        <w:rPr>
          <w:sz w:val="20"/>
          <w:szCs w:val="20"/>
          <w:color w:val="auto"/>
        </w:rPr>
      </w:pPr>
      <w:r>
        <w:rPr>
          <w:rFonts w:ascii="Arial" w:cs="Arial" w:eastAsia="Arial" w:hAnsi="Arial"/>
          <w:sz w:val="16"/>
          <w:szCs w:val="16"/>
          <w:color w:val="auto"/>
        </w:rPr>
        <w:t>We make our Community Server offering available under either the SSPL (for versions released after October 16, 2018) or the AGPL (for versions released prior to October 16, 2018). Community Server is a free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download version of our database that includes the core functionality developers need to get started with MongoDB but not all of the features of our commercial platform. Both the SSPL and the AGPL grant licensees broad freedom to view, use, copy, modify and redistribute the source code of Community Server provided certain conditions are met. Some commercial enterprises consider SSPL- or AGPL</w:t>
      </w:r>
      <w:r>
        <w:rPr>
          <w:rFonts w:ascii="MS PGothic" w:cs="MS PGothic" w:eastAsia="MS PGothic" w:hAnsi="MS PGothic"/>
          <w:sz w:val="16"/>
          <w:szCs w:val="16"/>
          <w:color w:val="auto"/>
        </w:rPr>
        <w:t>‑</w:t>
      </w:r>
      <w:r>
        <w:rPr>
          <w:rFonts w:ascii="Arial" w:cs="Arial" w:eastAsia="Arial" w:hAnsi="Arial"/>
          <w:sz w:val="16"/>
          <w:szCs w:val="16"/>
          <w:color w:val="auto"/>
        </w:rPr>
        <w:t>licensed software to be unsuitable for commercial use because of the “copyleft” requirements of those licenses. However, some of those same commercial enterprises do not have the same concerns regarding using the software under the SSPL or AGPL for internal purposes. As a result, these commercial enterprises may never convert to paying customers of our platform. Anyone can obtain a free copy of Community Server from the Internet, and we do not know who all of our SSPL or AGPL licensees are. Competitors could develop modifications of our software to compete with us in the marketplace. We do not have visibility into how our software is being used by licensees, so our ability to detect violations of the SSPL or AGPL is extremely limited.</w:t>
      </w:r>
    </w:p>
    <w:p>
      <w:pPr>
        <w:spacing w:after="0" w:line="154"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spacing w:after="0" w:line="133" w:lineRule="exact"/>
        <w:rPr>
          <w:sz w:val="20"/>
          <w:szCs w:val="20"/>
          <w:color w:val="auto"/>
        </w:rPr>
      </w:pPr>
    </w:p>
    <w:p>
      <w:pPr>
        <w:ind w:right="520"/>
        <w:spacing w:after="0" w:line="223" w:lineRule="exact"/>
        <w:rPr>
          <w:sz w:val="20"/>
          <w:szCs w:val="20"/>
          <w:color w:val="auto"/>
        </w:rPr>
      </w:pPr>
      <w:r>
        <w:rPr>
          <w:rFonts w:ascii="Arial" w:cs="Arial" w:eastAsia="Arial" w:hAnsi="Arial"/>
          <w:sz w:val="18"/>
          <w:szCs w:val="18"/>
          <w:b w:val="1"/>
          <w:bCs w:val="1"/>
          <w:i w:val="1"/>
          <w:iCs w:val="1"/>
          <w:color w:val="auto"/>
        </w:rPr>
        <w:t>Our software incorporates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open source software, which could negatively affect our ability to sell our products and subject us to possible litigation.</w:t>
      </w:r>
    </w:p>
    <w:p>
      <w:pPr>
        <w:spacing w:after="0" w:line="149" w:lineRule="exact"/>
        <w:rPr>
          <w:sz w:val="20"/>
          <w:szCs w:val="20"/>
          <w:color w:val="auto"/>
        </w:rPr>
      </w:pPr>
    </w:p>
    <w:p>
      <w:pPr>
        <w:jc w:val="both"/>
        <w:ind w:right="220" w:firstLine="486"/>
        <w:spacing w:after="0" w:line="221" w:lineRule="exact"/>
        <w:rPr>
          <w:sz w:val="20"/>
          <w:szCs w:val="20"/>
          <w:color w:val="auto"/>
        </w:rPr>
      </w:pPr>
      <w:r>
        <w:rPr>
          <w:rFonts w:ascii="Arial" w:cs="Arial" w:eastAsia="Arial" w:hAnsi="Arial"/>
          <w:sz w:val="18"/>
          <w:szCs w:val="18"/>
          <w:color w:val="auto"/>
        </w:rPr>
        <w:t>Our software includes third</w:t>
      </w:r>
      <w:r>
        <w:rPr>
          <w:rFonts w:ascii="MS PGothic" w:cs="MS PGothic" w:eastAsia="MS PGothic" w:hAnsi="MS PGothic"/>
          <w:sz w:val="18"/>
          <w:szCs w:val="18"/>
          <w:color w:val="auto"/>
        </w:rPr>
        <w:t>‑</w:t>
      </w:r>
      <w:r>
        <w:rPr>
          <w:rFonts w:ascii="Arial" w:cs="Arial" w:eastAsia="Arial" w:hAnsi="Arial"/>
          <w:sz w:val="18"/>
          <w:szCs w:val="18"/>
          <w:color w:val="auto"/>
        </w:rPr>
        <w:t>party open source software, and we intend to continue to incorporate third</w:t>
      </w:r>
      <w:r>
        <w:rPr>
          <w:rFonts w:ascii="MS PGothic" w:cs="MS PGothic" w:eastAsia="MS PGothic" w:hAnsi="MS PGothic"/>
          <w:sz w:val="18"/>
          <w:szCs w:val="18"/>
          <w:color w:val="auto"/>
        </w:rPr>
        <w:t>‑</w:t>
      </w:r>
      <w:r>
        <w:rPr>
          <w:rFonts w:ascii="Arial" w:cs="Arial" w:eastAsia="Arial" w:hAnsi="Arial"/>
          <w:sz w:val="18"/>
          <w:szCs w:val="18"/>
          <w:color w:val="auto"/>
        </w:rPr>
        <w:t>party open source software in our products in the future. There is a risk that the use of third</w:t>
      </w:r>
      <w:r>
        <w:rPr>
          <w:rFonts w:ascii="MS PGothic" w:cs="MS PGothic" w:eastAsia="MS PGothic" w:hAnsi="MS PGothic"/>
          <w:sz w:val="18"/>
          <w:szCs w:val="18"/>
          <w:color w:val="auto"/>
        </w:rPr>
        <w:t>‑</w:t>
      </w:r>
      <w:r>
        <w:rPr>
          <w:rFonts w:ascii="Arial" w:cs="Arial" w:eastAsia="Arial" w:hAnsi="Arial"/>
          <w:sz w:val="18"/>
          <w:szCs w:val="18"/>
          <w:color w:val="auto"/>
        </w:rPr>
        <w:t>party open source software in our software could impose conditions or restrictions on our ability to monetize our software. Although we monitor the incorporation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open source software into our products to avoid such restrictions, we cannot be certain that we have not incorporated open source software in our products or platform in a manner that is inconsistent with our licensing model.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spacing w:after="0" w:line="133" w:lineRule="exact"/>
        <w:rPr>
          <w:sz w:val="20"/>
          <w:szCs w:val="20"/>
          <w:color w:val="auto"/>
        </w:rPr>
      </w:pPr>
    </w:p>
    <w:p>
      <w:pPr>
        <w:ind w:firstLine="486"/>
        <w:spacing w:after="0" w:line="218" w:lineRule="exact"/>
        <w:rPr>
          <w:sz w:val="20"/>
          <w:szCs w:val="20"/>
          <w:color w:val="auto"/>
        </w:rPr>
      </w:pPr>
      <w:r>
        <w:rPr>
          <w:rFonts w:ascii="Arial" w:cs="Arial" w:eastAsia="Arial" w:hAnsi="Arial"/>
          <w:sz w:val="16"/>
          <w:szCs w:val="16"/>
          <w:color w:val="auto"/>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 the terms of the open source licenses. These claims could result in litigation and could require us to make those proprietary portions of our source code freely available, purchase a costly license or cease offering the implicated software or services unless and until we can re</w:t>
      </w:r>
      <w:r>
        <w:rPr>
          <w:rFonts w:ascii="MS PGothic" w:cs="MS PGothic" w:eastAsia="MS PGothic" w:hAnsi="MS PGothic"/>
          <w:sz w:val="16"/>
          <w:szCs w:val="16"/>
          <w:color w:val="auto"/>
        </w:rPr>
        <w:t>‑</w:t>
      </w:r>
      <w:r>
        <w:rPr>
          <w:rFonts w:ascii="Arial" w:cs="Arial" w:eastAsia="Arial" w:hAnsi="Arial"/>
          <w:sz w:val="16"/>
          <w:szCs w:val="16"/>
          <w:color w:val="auto"/>
        </w:rPr>
        <w:t>engineer them to avoid infringement. This re</w:t>
      </w:r>
      <w:r>
        <w:rPr>
          <w:rFonts w:ascii="MS PGothic" w:cs="MS PGothic" w:eastAsia="MS PGothic" w:hAnsi="MS PGothic"/>
          <w:sz w:val="16"/>
          <w:szCs w:val="16"/>
          <w:color w:val="auto"/>
        </w:rPr>
        <w:t>‑</w:t>
      </w:r>
      <w:r>
        <w:rPr>
          <w:rFonts w:ascii="Arial" w:cs="Arial" w:eastAsia="Arial" w:hAnsi="Arial"/>
          <w:sz w:val="16"/>
          <w:szCs w:val="16"/>
          <w:color w:val="auto"/>
        </w:rPr>
        <w:t>engineering process could require significant additional research and development resources, and we may not be able to complete it successfully.</w:t>
      </w:r>
    </w:p>
    <w:p>
      <w:pPr>
        <w:spacing w:after="0" w:line="151" w:lineRule="exact"/>
        <w:rPr>
          <w:sz w:val="20"/>
          <w:szCs w:val="20"/>
          <w:color w:val="auto"/>
        </w:rPr>
      </w:pPr>
    </w:p>
    <w:p>
      <w:pPr>
        <w:ind w:firstLine="486"/>
        <w:spacing w:after="0" w:line="220" w:lineRule="exact"/>
        <w:rPr>
          <w:sz w:val="20"/>
          <w:szCs w:val="20"/>
          <w:color w:val="auto"/>
        </w:rPr>
      </w:pPr>
      <w:r>
        <w:rPr>
          <w:rFonts w:ascii="Arial" w:cs="Arial" w:eastAsia="Arial" w:hAnsi="Arial"/>
          <w:sz w:val="17"/>
          <w:szCs w:val="17"/>
          <w:color w:val="auto"/>
        </w:rPr>
        <w:t>In addition to risks related to license requirements, use of third</w:t>
      </w:r>
      <w:r>
        <w:rPr>
          <w:rFonts w:ascii="MS PGothic" w:cs="MS PGothic" w:eastAsia="MS PGothic" w:hAnsi="MS PGothic"/>
          <w:sz w:val="17"/>
          <w:szCs w:val="17"/>
          <w:color w:val="auto"/>
        </w:rPr>
        <w:t>‑</w:t>
      </w:r>
      <w:r>
        <w:rPr>
          <w:rFonts w:ascii="Arial" w:cs="Arial" w:eastAsia="Arial" w:hAnsi="Arial"/>
          <w:sz w:val="17"/>
          <w:szCs w:val="17"/>
          <w:color w:val="auto"/>
        </w:rPr>
        <w:t>party open source software can lead to greater risks than use of third</w:t>
      </w:r>
      <w:r>
        <w:rPr>
          <w:rFonts w:ascii="MS PGothic" w:cs="MS PGothic" w:eastAsia="MS PGothic" w:hAnsi="MS PGothic"/>
          <w:sz w:val="17"/>
          <w:szCs w:val="17"/>
          <w:color w:val="auto"/>
        </w:rPr>
        <w:t>‑</w:t>
      </w:r>
      <w:r>
        <w:rPr>
          <w:rFonts w:ascii="Arial" w:cs="Arial" w:eastAsia="Arial" w:hAnsi="Arial"/>
          <w:sz w:val="17"/>
          <w:szCs w:val="17"/>
          <w:color w:val="auto"/>
        </w:rPr>
        <w:t>party commercial software, as open source licensors generally do not provide warranties.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spacing w:after="0" w:line="150"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Any of these risks could be difficult to eliminate or manage, and if not addressed, could have a negative effect on our business, results of operations and financial condition.</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are not able to introduce new features or services successfully and to make enhancements to our software or services, our business and results of operations could be adversely affected.</w:t>
      </w:r>
    </w:p>
    <w:p>
      <w:pPr>
        <w:spacing w:after="0" w:line="116" w:lineRule="exact"/>
        <w:rPr>
          <w:sz w:val="20"/>
          <w:szCs w:val="20"/>
          <w:color w:val="auto"/>
        </w:rPr>
      </w:pPr>
    </w:p>
    <w:p>
      <w:pPr>
        <w:ind w:right="20" w:firstLine="486"/>
        <w:spacing w:after="0" w:line="217" w:lineRule="exact"/>
        <w:rPr>
          <w:sz w:val="20"/>
          <w:szCs w:val="20"/>
          <w:color w:val="auto"/>
        </w:rPr>
      </w:pPr>
      <w:r>
        <w:rPr>
          <w:rFonts w:ascii="Arial" w:cs="Arial" w:eastAsia="Arial" w:hAnsi="Arial"/>
          <w:sz w:val="17"/>
          <w:szCs w:val="17"/>
          <w:color w:val="auto"/>
        </w:rPr>
        <w:t>Our ability to attract new customers and increase revenue from existing customers depends in part on our ability to enhance and improve our software and to introduce new features and services. For example, we introduced MongoDB Atlas in June 2016. To grow our business and remain competitive, we must continue to enhance our software and develop features that reflect the constantly evolving nature of technology and our customers’ needs. The success of new products, enhancements and developments depends on several factors: our anticipation of market changes and demands for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w:t>
      </w:r>
      <w:r>
        <w:rPr>
          <w:rFonts w:ascii="MS PGothic" w:cs="MS PGothic" w:eastAsia="MS PGothic" w:hAnsi="MS PGothic"/>
          <w:sz w:val="17"/>
          <w:szCs w:val="17"/>
          <w:color w:val="auto"/>
        </w:rPr>
        <w:t>‑</w:t>
      </w:r>
      <w:r>
        <w:rPr>
          <w:rFonts w:ascii="Arial" w:cs="Arial" w:eastAsia="Arial" w:hAnsi="Arial"/>
          <w:sz w:val="17"/>
          <w:szCs w:val="17"/>
          <w:color w:val="auto"/>
        </w:rPr>
        <w: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spacing w:after="0" w:line="154"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spacing w:after="0" w:line="1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success is highly dependent on our ability to penetrate the existing market for database products, as well as the growth and expansion of the market for database products.</w:t>
      </w:r>
    </w:p>
    <w:p>
      <w:pPr>
        <w:spacing w:after="0" w:line="116"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spacing w:after="0" w:line="13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future quarterly results may fluctuate significantly, and if we fail to meet the expectations of analysts or investors, our stock price could decline substantially.</w:t>
      </w:r>
    </w:p>
    <w:p>
      <w:pPr>
        <w:spacing w:after="0" w:line="116" w:lineRule="exact"/>
        <w:rPr>
          <w:sz w:val="20"/>
          <w:szCs w:val="20"/>
          <w:color w:val="auto"/>
        </w:rPr>
      </w:pPr>
    </w:p>
    <w:p>
      <w:pPr>
        <w:ind w:firstLine="486"/>
        <w:spacing w:after="0" w:line="220" w:lineRule="exact"/>
        <w:rPr>
          <w:sz w:val="20"/>
          <w:szCs w:val="20"/>
          <w:color w:val="auto"/>
        </w:rPr>
      </w:pPr>
      <w:r>
        <w:rPr>
          <w:rFonts w:ascii="Arial" w:cs="Arial" w:eastAsia="Arial" w:hAnsi="Arial"/>
          <w:sz w:val="18"/>
          <w:szCs w:val="18"/>
          <w:color w:val="auto"/>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period comparisons of our operating results may not be meaningful. Some of the factors that may cause our results of operations to fluctuate from quarter to quarter include:</w:t>
      </w:r>
    </w:p>
    <w:p>
      <w:pPr>
        <w:spacing w:after="0" w:line="150"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actual and anticipated growth rates of our revenue, customers and other key operating metrics;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product announcements, pricing changes and other actions by competitors;</w:t>
      </w:r>
    </w:p>
    <w:p>
      <w:pPr>
        <w:spacing w:after="0" w:line="171" w:lineRule="exact"/>
        <w:rPr>
          <w:rFonts w:ascii="Arial" w:cs="Arial" w:eastAsia="Arial" w:hAnsi="Arial"/>
          <w:sz w:val="18"/>
          <w:szCs w:val="18"/>
          <w:color w:val="auto"/>
        </w:rPr>
      </w:pPr>
    </w:p>
    <w:p>
      <w:pPr>
        <w:jc w:val="both"/>
        <w:ind w:left="980" w:right="320" w:hanging="486"/>
        <w:spacing w:after="0" w:line="286"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mix of revenue and associated costs attributable to subscriptions for our MongoDB Enterprise Advanced and MongoDB Atlas offerings (such as our non-cancelable multi-year cloud infrastructure capacity commitments, which require us to pay for such capacity irrespective of actual usage) and professional services, as such relative mix may impact our gross margins and operating income;</w:t>
      </w:r>
    </w:p>
    <w:p>
      <w:pPr>
        <w:spacing w:after="0" w:line="111" w:lineRule="exact"/>
        <w:rPr>
          <w:rFonts w:ascii="Arial" w:cs="Arial" w:eastAsia="Arial" w:hAnsi="Arial"/>
          <w:sz w:val="17"/>
          <w:szCs w:val="17"/>
          <w:color w:val="auto"/>
        </w:rPr>
      </w:pPr>
    </w:p>
    <w:p>
      <w:pPr>
        <w:ind w:left="1960" w:hanging="1466"/>
        <w:spacing w:after="0" w:line="277" w:lineRule="auto"/>
        <w:tabs>
          <w:tab w:leader="none" w:pos="9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mix of revenue and associated costs attributable to sales where subscriptions are bundled with services versus sold on a standalone basis and sales by us and our partners;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retain customers and expand their usage of our software, particularly for our largest customers;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enforce the AGPL or SSPL;</w:t>
      </w:r>
    </w:p>
    <w:p>
      <w:pPr>
        <w:spacing w:after="0" w:line="171" w:lineRule="exact"/>
        <w:rPr>
          <w:rFonts w:ascii="Arial" w:cs="Arial" w:eastAsia="Arial" w:hAnsi="Arial"/>
          <w:sz w:val="18"/>
          <w:szCs w:val="18"/>
          <w:color w:val="auto"/>
        </w:rPr>
      </w:pPr>
    </w:p>
    <w:p>
      <w:pPr>
        <w:ind w:left="1960" w:right="60" w:hanging="1466"/>
        <w:spacing w:after="0" w:line="277" w:lineRule="auto"/>
        <w:tabs>
          <w:tab w:leader="none" w:pos="9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closing sales, including the timing of renewals, which may result in revenue being pushed into the next quarter, particularly because a large portion of our sales occur toward the end of each quarter;</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revenue recognition;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mix of revenue attributable to larger transactions as opposed to smaller transactions;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budgeting cycles and purchasing decisions;</w:t>
      </w:r>
    </w:p>
    <w:p>
      <w:pPr>
        <w:spacing w:after="0" w:line="171" w:lineRule="exact"/>
        <w:rPr>
          <w:rFonts w:ascii="Arial" w:cs="Arial" w:eastAsia="Arial" w:hAnsi="Arial"/>
          <w:sz w:val="18"/>
          <w:szCs w:val="18"/>
          <w:color w:val="auto"/>
        </w:rPr>
      </w:pPr>
    </w:p>
    <w:p>
      <w:pPr>
        <w:ind w:left="1960" w:right="120" w:hanging="1466"/>
        <w:spacing w:after="0" w:line="223" w:lineRule="exact"/>
        <w:tabs>
          <w:tab w:leader="none" w:pos="9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customers and potential customers opting for alternative products, including developing their own in</w:t>
      </w:r>
      <w:r>
        <w:rPr>
          <w:rFonts w:ascii="MS PGothic" w:cs="MS PGothic" w:eastAsia="MS PGothic" w:hAnsi="MS PGothic"/>
          <w:sz w:val="18"/>
          <w:szCs w:val="18"/>
          <w:color w:val="auto"/>
        </w:rPr>
        <w:t>‑</w:t>
      </w:r>
      <w:r>
        <w:rPr>
          <w:rFonts w:ascii="Arial" w:cs="Arial" w:eastAsia="Arial" w:hAnsi="Arial"/>
          <w:sz w:val="18"/>
          <w:szCs w:val="18"/>
          <w:color w:val="auto"/>
        </w:rPr>
        <w:t>house solutions, or opting to use only the free version of our products;</w:t>
      </w:r>
    </w:p>
    <w:p>
      <w:pPr>
        <w:spacing w:after="0" w:line="149"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71" w:lineRule="exact"/>
        <w:rPr>
          <w:rFonts w:ascii="Arial" w:cs="Arial" w:eastAsia="Arial" w:hAnsi="Arial"/>
          <w:sz w:val="18"/>
          <w:szCs w:val="18"/>
          <w:color w:val="auto"/>
        </w:rPr>
      </w:pPr>
    </w:p>
    <w:p>
      <w:pPr>
        <w:ind w:left="1960" w:right="680" w:hanging="1466"/>
        <w:spacing w:after="0" w:line="308" w:lineRule="auto"/>
        <w:tabs>
          <w:tab w:leader="none" w:pos="988"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timing and success of new products, features and services offered by us and our competitors or any other change in the competitive dynamics of our industry, including consolidation among competitors, customers or strategic partners;</w:t>
      </w:r>
    </w:p>
    <w:p>
      <w:pPr>
        <w:spacing w:after="0" w:line="92" w:lineRule="exact"/>
        <w:rPr>
          <w:rFonts w:ascii="Arial" w:cs="Arial" w:eastAsia="Arial" w:hAnsi="Arial"/>
          <w:sz w:val="17"/>
          <w:szCs w:val="17"/>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software;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to maintain the level of service uptime and performance required by our customers;</w:t>
      </w:r>
    </w:p>
    <w:p>
      <w:pPr>
        <w:spacing w:after="0" w:line="171" w:lineRule="exact"/>
        <w:rPr>
          <w:rFonts w:ascii="Arial" w:cs="Arial" w:eastAsia="Arial" w:hAnsi="Arial"/>
          <w:sz w:val="18"/>
          <w:szCs w:val="18"/>
          <w:color w:val="auto"/>
        </w:rPr>
      </w:pPr>
    </w:p>
    <w:p>
      <w:pPr>
        <w:ind w:left="1960" w:right="420" w:hanging="1466"/>
        <w:spacing w:after="0" w:line="277" w:lineRule="auto"/>
        <w:tabs>
          <w:tab w:leader="none" w:pos="9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collectability of receivables from customers and resellers, which may be hindered or delayed if these customers or resellers experience financial distress;</w:t>
      </w:r>
    </w:p>
    <w:p>
      <w:pPr>
        <w:spacing w:after="0" w:line="200" w:lineRule="exact"/>
        <w:rPr>
          <w:sz w:val="20"/>
          <w:szCs w:val="20"/>
          <w:color w:val="auto"/>
        </w:rPr>
      </w:pPr>
    </w:p>
    <w:p>
      <w:pPr>
        <w:spacing w:after="0" w:line="38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122" w:right="29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960" w:hanging="1466"/>
        <w:spacing w:after="0" w:line="277" w:lineRule="auto"/>
        <w:tabs>
          <w:tab w:leader="none" w:pos="9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tax and other tax determinations by authorities in the jurisdictions in which we conduct business;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new accounting pronouncements; and</w:t>
      </w:r>
    </w:p>
    <w:p>
      <w:pPr>
        <w:spacing w:after="0" w:line="171" w:lineRule="exact"/>
        <w:rPr>
          <w:rFonts w:ascii="Arial" w:cs="Arial" w:eastAsia="Arial" w:hAnsi="Arial"/>
          <w:sz w:val="18"/>
          <w:szCs w:val="18"/>
          <w:color w:val="auto"/>
        </w:rPr>
      </w:pPr>
    </w:p>
    <w:p>
      <w:pPr>
        <w:ind w:left="980" w:hanging="486"/>
        <w:spacing w:after="0" w:line="207" w:lineRule="exact"/>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171"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The occurrence of one or more of the foregoing and other factors may cause our results of operations to vary significantly. We also intend to continue to invest significantly to grow our business in the near future rather than optimizing for profitability or cash flows. In addition, we expect to incur significant additional expenses due to the increased costs of operating as a public company.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Class A common stock could decline substantially, and we could face costly lawsuits, including securities class action suits.</w:t>
      </w:r>
    </w:p>
    <w:p>
      <w:pPr>
        <w:spacing w:after="0" w:line="124"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4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have recently experienced a period of rapid growth in our business, operations, and employee headcount. For fiscal years 2019, 2018 and 2017, our total revenue was $267.0 million, $166.0 million and $114.8 million, respectively, representing a 61% and 45% growth rate, respectively. We have also significantly increased the size of our customer base from over 1,100 customers as of January 31, 2015 to over 13,400 customers as of January 31, 2019, and we grew from 383 employees as of January 31, 2015 to 1,212 employees as of January 31, 2019. We expect to continue to expand our operations and employee headcount in the near term. Our success will depend in part on our ability to continue to grow and to manage this growth, domestically and internationally, effectively.</w:t>
      </w:r>
    </w:p>
    <w:p>
      <w:pPr>
        <w:spacing w:after="0" w:line="139"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recent growth has placed, and future growth will continue to place, a significant strain on our management, administrative, operational and financial infrastructure. We will need to continue to improve our operational, financial, and management processes and controls, and our reporting systems and procedures to manage the expected growth of our operations and personnel, which will require significant expenditures and allocation of valuable management and employee resources. If we fail to implement these infrastructure improvements effectively, our ability to ensure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spacing w:after="0" w:line="128"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If our security measures, or those of our service providers, are breached or unauthorized access to private or proprietary data is otherwise obtained, our software may be perceived as not being secure, customers may reduce or terminate their use of our software, and we may incur significant liabilities.</w:t>
      </w:r>
    </w:p>
    <w:p>
      <w:pPr>
        <w:spacing w:after="0" w:line="47" w:lineRule="exact"/>
        <w:rPr>
          <w:sz w:val="20"/>
          <w:szCs w:val="20"/>
          <w:color w:val="auto"/>
        </w:rPr>
      </w:pPr>
    </w:p>
    <w:p>
      <w:pPr>
        <w:ind w:firstLine="486"/>
        <w:spacing w:after="0" w:line="219" w:lineRule="exact"/>
        <w:rPr>
          <w:sz w:val="20"/>
          <w:szCs w:val="20"/>
          <w:color w:val="auto"/>
        </w:rPr>
      </w:pPr>
      <w:r>
        <w:rPr>
          <w:rFonts w:ascii="Arial" w:cs="Arial" w:eastAsia="Arial" w:hAnsi="Arial"/>
          <w:sz w:val="16"/>
          <w:szCs w:val="16"/>
          <w:color w:val="auto"/>
        </w:rPr>
        <w:t>Because our software, which can be deployed in the cloud, on</w:t>
      </w:r>
      <w:r>
        <w:rPr>
          <w:rFonts w:ascii="MS PGothic" w:cs="MS PGothic" w:eastAsia="MS PGothic" w:hAnsi="MS PGothic"/>
          <w:sz w:val="16"/>
          <w:szCs w:val="16"/>
          <w:color w:val="auto"/>
        </w:rPr>
        <w:t>‑</w:t>
      </w:r>
      <w:r>
        <w:rPr>
          <w:rFonts w:ascii="Arial" w:cs="Arial" w:eastAsia="Arial" w:hAnsi="Arial"/>
          <w:sz w:val="16"/>
          <w:szCs w:val="16"/>
          <w:color w:val="auto"/>
        </w:rPr>
        <w:t>premise or in a hybrid environment and can be hosted by our customers or can be hosted by us as a service, allows customers to store and transmit data, there exists an inherent risk of a security breach or other security incident, which may result in the loss of, or unauthorized access to, this data. For example, since January 2017, industry publications have reported ransomware attacks on over 80,000 MongoDB instances. Almost all of these instances were launched by users with our Community Server offering rather than users of MongoDB Enterprise Advanced. We believe these attacks were due to the users’ failure to properly turn on the recommended security settings when running MongoDB.</w:t>
      </w:r>
    </w:p>
    <w:p>
      <w:pPr>
        <w:spacing w:after="0" w:line="150" w:lineRule="exact"/>
        <w:rPr>
          <w:sz w:val="20"/>
          <w:szCs w:val="20"/>
          <w:color w:val="auto"/>
        </w:rPr>
      </w:pPr>
    </w:p>
    <w:p>
      <w:pPr>
        <w:ind w:right="100" w:firstLine="486"/>
        <w:spacing w:after="0" w:line="219" w:lineRule="exact"/>
        <w:rPr>
          <w:sz w:val="20"/>
          <w:szCs w:val="20"/>
          <w:color w:val="auto"/>
        </w:rPr>
      </w:pPr>
      <w:r>
        <w:rPr>
          <w:rFonts w:ascii="Arial" w:cs="Arial" w:eastAsia="Arial" w:hAnsi="Arial"/>
          <w:sz w:val="17"/>
          <w:szCs w:val="17"/>
          <w:color w:val="auto"/>
        </w:rPr>
        <w:t>We, or our service providers, may also suffer a security breach or other security incident affecting the systems or networks used to operate our business, or otherwise impacting the data that is stored or processed in the conduct of our business. Any such security breach or other security incident could lead to litigation, indemnity obligations, regulatory investigations and enforcement actions, and other liability. If our security measures, or those of our services providers, are breached or are believed to have been breached, whether as a result of third</w:t>
      </w:r>
      <w:r>
        <w:rPr>
          <w:rFonts w:ascii="MS PGothic" w:cs="MS PGothic" w:eastAsia="MS PGothic" w:hAnsi="MS PGothic"/>
          <w:sz w:val="17"/>
          <w:szCs w:val="17"/>
          <w:color w:val="auto"/>
        </w:rPr>
        <w:t>‑</w:t>
      </w:r>
      <w:r>
        <w:rPr>
          <w:rFonts w:ascii="Arial" w:cs="Arial" w:eastAsia="Arial" w:hAnsi="Arial"/>
          <w:sz w:val="17"/>
          <w:szCs w:val="17"/>
          <w:color w:val="auto"/>
        </w:rPr>
        <w:t>party action, employee, vendor, or contractor error, malfeasance, phishing attacks, social engineering or otherwise, unauthorized access to or loss of data may result. If any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of these events occur, our reputation could be damaged, our business may suffer, and we may face regulatory investigations and actions, litigation, indemnity obligations, damages for contract breach, and fines and penalties for violations of applicable laws or regulations. Security breaches could also result in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Similarly, if a cyber incident (including any accidental or intentional computer or network issues such as phishing attacks, viruses, denial of service (“DoS”), attacks, malware installation, server malfunction, software or hardware failures, loss of data or other computer assets, adware, or other similar issues) impairs the integrity or availability of our systems, or those of our service providers, by affecting our data or the data of our customers, or reducing access to or shutting down one or more of our or our service providers’ computing systems or IT network, or if any such impairment is perceived to have occurred, we may be subject to negative treatment by our customers, our business partners, the press, and the public at large. We may also experience security breaches that may remain undetected for an extended period. Techniques used to obtain unauthorized access or sabotage systems change frequently and generally are not identified until they are launched against a target, and cybersecurity threats continue to evolve and are difficult to predict due to advances in computer capabilities, new discoveries in the field of cryptography and new and sophisticated methods used by criminals, including phishing, social engineering or other illicit acts. We may be unable to anticipate these techniques or to implement adequate preventative measures. Any or all of these issues could harm our reputation and negatively impact our ability to attract new customers and increase engagement by existing customers, cause existing customers to elect not to renew their subscriptions, or subject us to third</w:t>
      </w:r>
      <w:r>
        <w:rPr>
          <w:rFonts w:ascii="MS PGothic" w:cs="MS PGothic" w:eastAsia="MS PGothic" w:hAnsi="MS PGothic"/>
          <w:sz w:val="16"/>
          <w:szCs w:val="16"/>
          <w:color w:val="auto"/>
        </w:rPr>
        <w:t>‑</w:t>
      </w:r>
      <w:r>
        <w:rPr>
          <w:rFonts w:ascii="Arial" w:cs="Arial" w:eastAsia="Arial" w:hAnsi="Arial"/>
          <w:sz w:val="16"/>
          <w:szCs w:val="16"/>
          <w:color w:val="auto"/>
        </w:rPr>
        <w:t>party lawsuits, regulatory fines, actions, and investigations, or other actions or liability, thereby adversely affecting our financial results.</w:t>
      </w:r>
    </w:p>
    <w:p>
      <w:pPr>
        <w:spacing w:after="0" w:line="149"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While we maintain general liability insurance coverage and coverage for errors or omissions, we cannot assure you that such coverage will be adequate or otherwise protect us from liabilities or damages with respect to claims alleging compromises of personal or other confidential data or otherwise relating to privacy or data security matters or that such coverage will continue to be available to us on commercially reasonable terms or at all.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 may be long and is unpredictable, and our sales efforts require considerable time and expense.</w:t>
      </w:r>
    </w:p>
    <w:p>
      <w:pPr>
        <w:spacing w:after="0" w:line="171"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139" w:lineRule="exact"/>
        <w:rPr>
          <w:sz w:val="20"/>
          <w:szCs w:val="20"/>
          <w:color w:val="auto"/>
        </w:rPr>
      </w:pPr>
    </w:p>
    <w:p>
      <w:pPr>
        <w:ind w:left="1040" w:hanging="54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sales force, in particular new sales people as we increase the size of our sales force;</w:t>
      </w:r>
    </w:p>
    <w:p>
      <w:pPr>
        <w:spacing w:after="0" w:line="211" w:lineRule="exact"/>
        <w:rPr>
          <w:rFonts w:ascii="Arial" w:cs="Arial" w:eastAsia="Arial" w:hAnsi="Arial"/>
          <w:sz w:val="18"/>
          <w:szCs w:val="18"/>
          <w:color w:val="auto"/>
        </w:rPr>
      </w:pPr>
    </w:p>
    <w:p>
      <w:pPr>
        <w:ind w:left="1040" w:hanging="54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discretionary nature of purchasing and budget cycles and decisions;</w:t>
      </w:r>
    </w:p>
    <w:p>
      <w:pPr>
        <w:spacing w:after="0" w:line="211" w:lineRule="exact"/>
        <w:rPr>
          <w:rFonts w:ascii="Arial" w:cs="Arial" w:eastAsia="Arial" w:hAnsi="Arial"/>
          <w:sz w:val="18"/>
          <w:szCs w:val="18"/>
          <w:color w:val="auto"/>
        </w:rPr>
      </w:pPr>
    </w:p>
    <w:p>
      <w:pPr>
        <w:ind w:left="1040" w:hanging="54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obstacles placed by a customer’s procurement process;</w:t>
      </w:r>
    </w:p>
    <w:p>
      <w:pPr>
        <w:spacing w:after="0" w:line="211" w:lineRule="exact"/>
        <w:rPr>
          <w:rFonts w:ascii="Arial" w:cs="Arial" w:eastAsia="Arial" w:hAnsi="Arial"/>
          <w:sz w:val="18"/>
          <w:szCs w:val="18"/>
          <w:color w:val="auto"/>
        </w:rPr>
      </w:pPr>
    </w:p>
    <w:p>
      <w:pPr>
        <w:ind w:left="1040" w:hanging="54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convert users of our free Community Server offering to paying customers;</w:t>
      </w:r>
    </w:p>
    <w:p>
      <w:pPr>
        <w:spacing w:after="0" w:line="211" w:lineRule="exact"/>
        <w:rPr>
          <w:rFonts w:ascii="Arial" w:cs="Arial" w:eastAsia="Arial" w:hAnsi="Arial"/>
          <w:sz w:val="18"/>
          <w:szCs w:val="18"/>
          <w:color w:val="auto"/>
        </w:rPr>
      </w:pPr>
    </w:p>
    <w:p>
      <w:pPr>
        <w:ind w:left="1040" w:hanging="54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conditions and other factors impacting customer budgets;</w:t>
      </w:r>
    </w:p>
    <w:p>
      <w:pPr>
        <w:spacing w:after="0" w:line="211" w:lineRule="exact"/>
        <w:rPr>
          <w:rFonts w:ascii="Arial" w:cs="Arial" w:eastAsia="Arial" w:hAnsi="Arial"/>
          <w:sz w:val="18"/>
          <w:szCs w:val="18"/>
          <w:color w:val="auto"/>
        </w:rPr>
      </w:pPr>
    </w:p>
    <w:p>
      <w:pPr>
        <w:ind w:left="1040" w:hanging="54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evaluation of competing products during the purchasing process; and</w:t>
      </w:r>
    </w:p>
    <w:p>
      <w:pPr>
        <w:spacing w:after="0" w:line="211" w:lineRule="exact"/>
        <w:rPr>
          <w:rFonts w:ascii="Arial" w:cs="Arial" w:eastAsia="Arial" w:hAnsi="Arial"/>
          <w:sz w:val="18"/>
          <w:szCs w:val="18"/>
          <w:color w:val="auto"/>
        </w:rPr>
      </w:pPr>
    </w:p>
    <w:p>
      <w:pPr>
        <w:ind w:left="1040" w:hanging="54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evolving customer demands.</w:t>
      </w:r>
    </w:p>
    <w:p>
      <w:pPr>
        <w:spacing w:after="0" w:line="185"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Given these factors, it is difficult to predict whether and when a sale will be completed, and when revenue from a sale will be recognized, particularly the timing of revenue recognition related to the term license portion of our subscription revenue. This could impact the variability and comparability of our quarterly revenue results and may have an adverse effect on our business, results of operations and financial condition.</w:t>
      </w:r>
    </w:p>
    <w:p>
      <w:pPr>
        <w:spacing w:after="0" w:line="200" w:lineRule="exact"/>
        <w:rPr>
          <w:sz w:val="20"/>
          <w:szCs w:val="20"/>
          <w:color w:val="auto"/>
        </w:rPr>
      </w:pPr>
    </w:p>
    <w:p>
      <w:pPr>
        <w:spacing w:after="0" w:line="38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a limited history with our subscription offerings and pricing model and if, in the future, we are forced to reduce prices for our subscription offerings, our revenue and results of operations will be harmed.</w:t>
      </w:r>
    </w:p>
    <w:p>
      <w:pPr>
        <w:spacing w:after="0" w:line="116"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We have limited experience with respect to determining the optimal prices for our subscription offerings. As the market for databases evolves, or as new competitors introduce new products or services that compete with ours, we may be unable to attract new customers or convert users of our free offerings to paying customers on terms or based on pricing models that we have used historically. In the past, we have been able to increase our prices for our subscriptions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spacing w:after="0" w:line="111" w:lineRule="exact"/>
        <w:rPr>
          <w:sz w:val="20"/>
          <w:szCs w:val="20"/>
          <w:color w:val="auto"/>
        </w:rPr>
      </w:pPr>
    </w:p>
    <w:p>
      <w:pPr>
        <w:ind w:right="60"/>
        <w:spacing w:after="0" w:line="223" w:lineRule="exact"/>
        <w:rPr>
          <w:sz w:val="20"/>
          <w:szCs w:val="20"/>
          <w:color w:val="auto"/>
        </w:rPr>
      </w:pPr>
      <w:r>
        <w:rPr>
          <w:rFonts w:ascii="Arial" w:cs="Arial" w:eastAsia="Arial" w:hAnsi="Arial"/>
          <w:sz w:val="18"/>
          <w:szCs w:val="18"/>
          <w:b w:val="1"/>
          <w:bCs w:val="1"/>
          <w:i w:val="1"/>
          <w:iCs w:val="1"/>
          <w:color w:val="auto"/>
        </w:rPr>
        <w:t>If we are unable to attract new customers in a manner that is cost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effective and assures customer success, we will not be able to grow our business, which would adversely affect our results of operations, and financial condition.</w:t>
      </w:r>
    </w:p>
    <w:p>
      <w:pPr>
        <w:spacing w:after="0" w:line="149" w:lineRule="exact"/>
        <w:rPr>
          <w:sz w:val="20"/>
          <w:szCs w:val="20"/>
          <w:color w:val="auto"/>
        </w:rPr>
      </w:pPr>
    </w:p>
    <w:p>
      <w:pPr>
        <w:ind w:right="40" w:firstLine="486"/>
        <w:spacing w:after="0" w:line="220" w:lineRule="exact"/>
        <w:rPr>
          <w:sz w:val="20"/>
          <w:szCs w:val="20"/>
          <w:color w:val="auto"/>
        </w:rPr>
      </w:pPr>
      <w:r>
        <w:rPr>
          <w:rFonts w:ascii="Arial" w:cs="Arial" w:eastAsia="Arial" w:hAnsi="Arial"/>
          <w:sz w:val="18"/>
          <w:szCs w:val="18"/>
          <w:color w:val="auto"/>
        </w:rPr>
        <w:t>In order to grow our business, we must continue to attract new customers in a cost</w:t>
      </w:r>
      <w:r>
        <w:rPr>
          <w:rFonts w:ascii="MS PGothic" w:cs="MS PGothic" w:eastAsia="MS PGothic" w:hAnsi="MS PGothic"/>
          <w:sz w:val="18"/>
          <w:szCs w:val="18"/>
          <w:color w:val="auto"/>
        </w:rPr>
        <w:t>‑</w:t>
      </w:r>
      <w:r>
        <w:rPr>
          <w:rFonts w:ascii="Arial" w:cs="Arial" w:eastAsia="Arial" w:hAnsi="Arial"/>
          <w:sz w:val="18"/>
          <w:szCs w:val="18"/>
          <w:color w:val="auto"/>
        </w:rPr>
        <w: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spacing w:after="0" w:line="150" w:lineRule="exact"/>
        <w:rPr>
          <w:sz w:val="20"/>
          <w:szCs w:val="20"/>
          <w:color w:val="auto"/>
        </w:rPr>
      </w:pPr>
    </w:p>
    <w:p>
      <w:pPr>
        <w:ind w:firstLine="486"/>
        <w:spacing w:after="0" w:line="217" w:lineRule="exact"/>
        <w:rPr>
          <w:sz w:val="20"/>
          <w:szCs w:val="20"/>
          <w:color w:val="auto"/>
        </w:rPr>
      </w:pPr>
      <w:r>
        <w:rPr>
          <w:rFonts w:ascii="Arial" w:cs="Arial" w:eastAsia="Arial" w:hAnsi="Arial"/>
          <w:sz w:val="17"/>
          <w:szCs w:val="17"/>
          <w:color w:val="auto"/>
        </w:rPr>
        <w:t>Even if we do attract new customers, the cost of new customer acquisition, product implementation and ongoing customer support may prove so high as to prevent us from achieving or sustaining profitability. For example, in fiscal years 2019, 2018 and 2017, total sales and marketing expense represented 56%, 66% and 66%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and growth of our MongoDB World, MongoDB Advocacy Hub, User Groups, MongoDB University and our partner ecosystem of global system integrators, value</w:t>
      </w:r>
      <w:r>
        <w:rPr>
          <w:rFonts w:ascii="MS PGothic" w:cs="MS PGothic" w:eastAsia="MS PGothic" w:hAnsi="MS PGothic"/>
          <w:sz w:val="17"/>
          <w:szCs w:val="17"/>
          <w:color w:val="auto"/>
        </w:rPr>
        <w:t>‑</w:t>
      </w:r>
      <w:r>
        <w:rPr>
          <w:rFonts w:ascii="Arial" w:cs="Arial" w:eastAsia="Arial" w:hAnsi="Arial"/>
          <w:sz w:val="17"/>
          <w:szCs w:val="17"/>
          <w:color w:val="auto"/>
        </w:rPr>
        <w:t>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w:t>
      </w:r>
      <w:r>
        <w:rPr>
          <w:rFonts w:ascii="MS PGothic" w:cs="MS PGothic" w:eastAsia="MS PGothic" w:hAnsi="MS PGothic"/>
          <w:sz w:val="17"/>
          <w:szCs w:val="17"/>
          <w:color w:val="auto"/>
        </w:rPr>
        <w:t>‑</w:t>
      </w:r>
      <w:r>
        <w:rPr>
          <w:rFonts w:ascii="Arial" w:cs="Arial" w:eastAsia="Arial" w:hAnsi="Arial"/>
          <w:sz w:val="17"/>
          <w:szCs w:val="17"/>
          <w:color w:val="auto"/>
        </w:rPr>
        <w:t>effective acquisition of additional customers.</w:t>
      </w:r>
    </w:p>
    <w:p>
      <w:pPr>
        <w:spacing w:after="0" w:line="1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Our business and results of operations depend substantially on our customers renewing their subscriptions with us and expanding their use of software and related services. Any decline in our customer renewals or failure to convince our customers to broaden their use of subscription offerings and related services would harm our business, results of operations, and financial condition.</w:t>
      </w:r>
    </w:p>
    <w:p>
      <w:pPr>
        <w:spacing w:after="0" w:line="127" w:lineRule="exact"/>
        <w:rPr>
          <w:sz w:val="20"/>
          <w:szCs w:val="20"/>
          <w:color w:val="auto"/>
        </w:rPr>
      </w:pPr>
    </w:p>
    <w:p>
      <w:pPr>
        <w:ind w:right="20" w:firstLine="486"/>
        <w:spacing w:after="0" w:line="217" w:lineRule="exact"/>
        <w:rPr>
          <w:sz w:val="20"/>
          <w:szCs w:val="20"/>
          <w:color w:val="auto"/>
        </w:rPr>
      </w:pPr>
      <w:r>
        <w:rPr>
          <w:rFonts w:ascii="Arial" w:cs="Arial" w:eastAsia="Arial" w:hAnsi="Arial"/>
          <w:sz w:val="17"/>
          <w:szCs w:val="17"/>
          <w:color w:val="auto"/>
        </w:rPr>
        <w:t>Our subscription offerings are term</w:t>
      </w:r>
      <w:r>
        <w:rPr>
          <w:rFonts w:ascii="MS PGothic" w:cs="MS PGothic" w:eastAsia="MS PGothic" w:hAnsi="MS PGothic"/>
          <w:sz w:val="17"/>
          <w:szCs w:val="17"/>
          <w:color w:val="auto"/>
        </w:rPr>
        <w:t>‑</w:t>
      </w:r>
      <w:r>
        <w:rPr>
          <w:rFonts w:ascii="Arial" w:cs="Arial" w:eastAsia="Arial" w:hAnsi="Arial"/>
          <w:sz w:val="17"/>
          <w:szCs w:val="17"/>
          <w:color w:val="auto"/>
        </w:rPr>
        <w:t>based and a majority of our subscription contracts were one year in duration in fiscal year 2019.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 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use of our software, our business, results of operations, and financial condition may be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 quality support, our business and reputation could suffer.</w:t>
      </w:r>
    </w:p>
    <w:p>
      <w:pPr>
        <w:spacing w:after="0" w:line="171" w:lineRule="exact"/>
        <w:rPr>
          <w:sz w:val="20"/>
          <w:szCs w:val="20"/>
          <w:color w:val="auto"/>
        </w:rPr>
      </w:pPr>
    </w:p>
    <w:p>
      <w:pPr>
        <w:ind w:right="160" w:firstLine="486"/>
        <w:spacing w:after="0" w:line="223" w:lineRule="exact"/>
        <w:rPr>
          <w:sz w:val="20"/>
          <w:szCs w:val="20"/>
          <w:color w:val="auto"/>
        </w:rPr>
      </w:pPr>
      <w:r>
        <w:rPr>
          <w:rFonts w:ascii="Arial" w:cs="Arial" w:eastAsia="Arial" w:hAnsi="Arial"/>
          <w:sz w:val="18"/>
          <w:szCs w:val="18"/>
          <w:color w:val="auto"/>
        </w:rPr>
        <w:t>Our customers rely on our personnel for support of our software included in our MongoDB Enterprise Advanced subscription packages. High</w:t>
      </w:r>
      <w:r>
        <w:rPr>
          <w:rFonts w:ascii="MS PGothic" w:cs="MS PGothic" w:eastAsia="MS PGothic" w:hAnsi="MS PGothic"/>
          <w:sz w:val="18"/>
          <w:szCs w:val="18"/>
          <w:color w:val="auto"/>
        </w:rPr>
        <w:t>‑</w:t>
      </w:r>
      <w:r>
        <w:rPr>
          <w:rFonts w:ascii="Arial" w:cs="Arial" w:eastAsia="Arial" w:hAnsi="Arial"/>
          <w:sz w:val="18"/>
          <w:szCs w:val="18"/>
          <w:color w:val="auto"/>
        </w:rPr>
        <w:t>quality support is important for the renewal and expansion of our agreements with existing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20"/>
        <w:spacing w:after="0" w:line="221" w:lineRule="exact"/>
        <w:rPr>
          <w:sz w:val="20"/>
          <w:szCs w:val="20"/>
          <w:color w:val="auto"/>
        </w:rPr>
      </w:pPr>
      <w:r>
        <w:rPr>
          <w:rFonts w:ascii="Arial" w:cs="Arial" w:eastAsia="Arial" w:hAnsi="Arial"/>
          <w:sz w:val="18"/>
          <w:szCs w:val="18"/>
          <w:color w:val="auto"/>
        </w:rPr>
        <w:t>customers. The importance of high</w:t>
      </w:r>
      <w:r>
        <w:rPr>
          <w:rFonts w:ascii="MS PGothic" w:cs="MS PGothic" w:eastAsia="MS PGothic" w:hAnsi="MS PGothic"/>
          <w:sz w:val="18"/>
          <w:szCs w:val="18"/>
          <w:color w:val="auto"/>
        </w:rPr>
        <w:t>‑</w:t>
      </w:r>
      <w:r>
        <w:rPr>
          <w:rFonts w:ascii="Arial" w:cs="Arial" w:eastAsia="Arial" w:hAnsi="Arial"/>
          <w:sz w:val="18"/>
          <w:szCs w:val="18"/>
          <w:color w:val="auto"/>
        </w:rPr>
        <w:t>quality support will increase as we expand our business and pursue new customers. If we do not help our customers quickly resolve issues and provide effective ongoing support, our ability to sell new software to existing and new customers could suffer and our reputation and relationships with existing or potential customers could be harmed.</w:t>
      </w:r>
    </w:p>
    <w:p>
      <w:pPr>
        <w:spacing w:after="0" w:line="14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or bugs in our software could adversely affect our business, results of operations, financial condition, and growth prospects.</w:t>
      </w:r>
    </w:p>
    <w:p>
      <w:pPr>
        <w:spacing w:after="0" w:line="116" w:lineRule="exact"/>
        <w:rPr>
          <w:sz w:val="20"/>
          <w:szCs w:val="20"/>
          <w:color w:val="auto"/>
        </w:rPr>
      </w:pPr>
    </w:p>
    <w:p>
      <w:pPr>
        <w:ind w:right="20" w:firstLine="486"/>
        <w:spacing w:after="0" w:line="217" w:lineRule="exact"/>
        <w:rPr>
          <w:sz w:val="20"/>
          <w:szCs w:val="20"/>
          <w:color w:val="auto"/>
        </w:rPr>
      </w:pPr>
      <w:r>
        <w:rPr>
          <w:rFonts w:ascii="Arial" w:cs="Arial" w:eastAsia="Arial" w:hAnsi="Arial"/>
          <w:sz w:val="16"/>
          <w:szCs w:val="16"/>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w:t>
      </w:r>
      <w:r>
        <w:rPr>
          <w:rFonts w:ascii="MS PGothic" w:cs="MS PGothic" w:eastAsia="MS PGothic" w:hAnsi="MS PGothic"/>
          <w:sz w:val="16"/>
          <w:szCs w:val="16"/>
          <w:color w:val="auto"/>
        </w:rPr>
        <w:t>‑</w:t>
      </w:r>
      <w:r>
        <w:rPr>
          <w:rFonts w:ascii="Arial" w:cs="Arial" w:eastAsia="Arial" w:hAnsi="Arial"/>
          <w:sz w:val="16"/>
          <w:szCs w:val="16"/>
          <w:color w:val="auto"/>
        </w:rPr>
        <w:t>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errors, failures or bugs in our software could also impair our ability to attract new customers, retain existing customers or expand their use of our software, which would adversely affect our business, results of operations and financial condition.</w:t>
      </w:r>
    </w:p>
    <w:p>
      <w:pPr>
        <w:spacing w:after="0" w:line="15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Because our software and services could be used to collect and store personal information, domestic and international privacy concerns could result in additional costs and liabilities to us or inhibit sales of our software.</w:t>
      </w:r>
    </w:p>
    <w:p>
      <w:pPr>
        <w:spacing w:after="0" w:line="116"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Personal privacy has become a significant issue in the United States, Europe and in many other countries where we offer our software and services. The regulatory framework for privacy issues worldwide is rapidly evolving and is likely to remain uncertain for the foreseeable future. Many federal, state and foreign government bodies and agencies have adopted or are considering adopting laws, rules and regulations regarding the collection, use, storage and disclosure of personal information and breach notification procedures. Interpretation of these laws, rules and regulations and their application to our software and professional services in the United States and foreign jurisdictions is ongoing and cannot be fully determined at this time.</w:t>
      </w:r>
    </w:p>
    <w:p>
      <w:pPr>
        <w:spacing w:after="0" w:line="104"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In the United States, these include rules and regulations promulgated under the authority of the Federal Trade Commission, the Electronic Communications Privacy Act, Computer Fraud and Abuse Act, the Health Insurance Portability and Accountability Act of 1996 (“HIPAA”), the Gramm Leach Bliley Act and state laws relating to privacy and data security. Internationally, virtually every jurisdiction in which we operate has established its own data security and privacy legal framework with which we, or our customers, must comply. There may be substantial amounts of personally identifiable information or other sensitive information uploaded to our services and managed using our software.</w:t>
      </w:r>
    </w:p>
    <w:p>
      <w:pPr>
        <w:spacing w:after="0" w:line="119"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The collection, use, disclosure, transfer, or other processing of personal data regarding individuals in the European Union (“EU”) is subject to the General Data Protection Regulation (the “GDPR”), which came into effect in May 2018. EU data protection authorities have the power to impose administrative fines for violations of the GDPR of up to a maximum of €20 million or 4% of the data controller’s or data processor’s total worldwide global turnover for the preceding financial year, whichever is higher, and violations of the GDPR may also lead to damages claims by data controllers and data subjects. Since we act as a data processor for our MongoDB Atlas customers, we have taken steps to cause our processes to be compliant with applicable portions of the GDPR, but we cannot assure you that such steps are effective.</w:t>
      </w:r>
    </w:p>
    <w:p>
      <w:pPr>
        <w:spacing w:after="0" w:line="139" w:lineRule="exact"/>
        <w:rPr>
          <w:sz w:val="20"/>
          <w:szCs w:val="20"/>
          <w:color w:val="auto"/>
        </w:rPr>
      </w:pPr>
    </w:p>
    <w:p>
      <w:pPr>
        <w:ind w:firstLine="486"/>
        <w:spacing w:after="0" w:line="218" w:lineRule="exact"/>
        <w:rPr>
          <w:sz w:val="20"/>
          <w:szCs w:val="20"/>
          <w:color w:val="auto"/>
        </w:rPr>
      </w:pPr>
      <w:r>
        <w:rPr>
          <w:rFonts w:ascii="Arial" w:cs="Arial" w:eastAsia="Arial" w:hAnsi="Arial"/>
          <w:sz w:val="17"/>
          <w:szCs w:val="17"/>
          <w:color w:val="auto"/>
        </w:rPr>
        <w:t>In addition to government regulation, privacy advocates and industry groups may propose new and different self</w:t>
      </w:r>
      <w:r>
        <w:rPr>
          <w:rFonts w:ascii="MS PGothic" w:cs="MS PGothic" w:eastAsia="MS PGothic" w:hAnsi="MS PGothic"/>
          <w:sz w:val="17"/>
          <w:szCs w:val="17"/>
          <w:color w:val="auto"/>
        </w:rPr>
        <w:t>‑</w:t>
      </w:r>
      <w:r>
        <w:rPr>
          <w:rFonts w:ascii="Arial" w:cs="Arial" w:eastAsia="Arial" w:hAnsi="Arial"/>
          <w:sz w:val="17"/>
          <w:szCs w:val="17"/>
          <w:color w:val="auto"/>
        </w:rPr>
        <w:t>regulatory standards that may apply to us. Because the interpretation and application of privacy and data protection laws, regulations, rules and other standards are still uncertain, it is possible that these laws, rules, regulations, and other actual or alleged legal obligations, such as contractual or self</w:t>
      </w:r>
      <w:r>
        <w:rPr>
          <w:rFonts w:ascii="MS PGothic" w:cs="MS PGothic" w:eastAsia="MS PGothic" w:hAnsi="MS PGothic"/>
          <w:sz w:val="17"/>
          <w:szCs w:val="17"/>
          <w:color w:val="auto"/>
        </w:rPr>
        <w:t>‑</w:t>
      </w:r>
      <w:r>
        <w:rPr>
          <w:rFonts w:ascii="Arial" w:cs="Arial" w:eastAsia="Arial" w:hAnsi="Arial"/>
          <w:sz w:val="17"/>
          <w:szCs w:val="17"/>
          <w:color w:val="auto"/>
        </w:rPr>
        <w:t>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privacy concerns, even if unfounded, or comply with applicable privacy or data protection laws, regulations and other actual or alleged obligations, could result in additional cost and liability to us, damage our reputation, inhibit sales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Furthermore, the costs of compliance with, and other burdens imposed by, the laws, regulations, and policies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spacing w:after="0" w:line="12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Form 10-K may prove to be inaccurate, and even if the market in which we compete achieves the forecasted growth, our business could fail to grow at similar rates, if at all.</w:t>
      </w:r>
    </w:p>
    <w:p>
      <w:pPr>
        <w:spacing w:after="0" w:line="116"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Market opportunity estimates and growth forecasts included in this Form 10-K are subject to significant uncertainty and are based on assumptions and estimates that may not prove to be accurate. Even if the market in which we compete meets the size estimates and growth forecasted in this Form 10-K, our business could fail to grow for a variety of reasons, which would adversely affect our results of operations.</w:t>
      </w:r>
    </w:p>
    <w:p>
      <w:pPr>
        <w:spacing w:after="0" w:line="12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could incur substantial costs in protecting or defending our intellectual property rights, and any failure to protect our intellectual property rights could reduce the value of our software and brand.</w:t>
      </w:r>
    </w:p>
    <w:p>
      <w:pPr>
        <w:spacing w:after="0" w:line="116" w:lineRule="exact"/>
        <w:rPr>
          <w:sz w:val="20"/>
          <w:szCs w:val="20"/>
          <w:color w:val="auto"/>
        </w:rPr>
      </w:pPr>
    </w:p>
    <w:p>
      <w:pPr>
        <w:ind w:right="20" w:firstLine="486"/>
        <w:spacing w:after="0" w:line="217" w:lineRule="exact"/>
        <w:rPr>
          <w:sz w:val="20"/>
          <w:szCs w:val="20"/>
          <w:color w:val="auto"/>
        </w:rPr>
      </w:pPr>
      <w:r>
        <w:rPr>
          <w:rFonts w:ascii="Arial" w:cs="Arial" w:eastAsia="Arial" w:hAnsi="Arial"/>
          <w:sz w:val="17"/>
          <w:szCs w:val="17"/>
          <w:color w:val="auto"/>
        </w:rPr>
        <w:t>Our success and ability to compete depend in part upon our intellectual property rights. As of January 31, 2019, we had fifteen issued patents and 45 pending patent applications in the United States, which may not result in issued patents. Even if a patent issues, we cannot assure you that such patent will be adequate to protect our business. We primarily rely on copyright, trademark laws, trade secret protection and confidentiality or other contractual arrangements with our employees, customers, partners and others to protect our intellectual property rights. However, the steps we take to protect our intellectual property rights may not be adequate. In order to protect our intellectual property rights, we may be required to spend significant resources to establish, monitor and enforce such rights. Litigation brought to enforce our intellectual property rights could be costly, time</w:t>
      </w:r>
      <w:r>
        <w:rPr>
          <w:rFonts w:ascii="MS PGothic" w:cs="MS PGothic" w:eastAsia="MS PGothic" w:hAnsi="MS PGothic"/>
          <w:sz w:val="17"/>
          <w:szCs w:val="17"/>
          <w:color w:val="auto"/>
        </w:rPr>
        <w:t>‑</w:t>
      </w:r>
      <w:r>
        <w:rPr>
          <w:rFonts w:ascii="Arial" w:cs="Arial" w:eastAsia="Arial" w:hAnsi="Arial"/>
          <w:sz w:val="17"/>
          <w:szCs w:val="17"/>
          <w:color w:val="auto"/>
        </w:rPr>
        <w:t>consuming and distracting to management and could be met with defenses, counterclaims and countersuits attacking the validity and enforceability of our intellectual property rights, which may result in the impairment or loss of portions of our intellectual property. The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w:t>
      </w:r>
    </w:p>
    <w:p>
      <w:pPr>
        <w:spacing w:after="0" w:line="155" w:lineRule="exact"/>
        <w:rPr>
          <w:sz w:val="20"/>
          <w:szCs w:val="20"/>
          <w:color w:val="auto"/>
        </w:rPr>
      </w:pPr>
    </w:p>
    <w:p>
      <w:pPr>
        <w:ind w:right="180" w:firstLine="486"/>
        <w:spacing w:after="0" w:line="219" w:lineRule="exact"/>
        <w:rPr>
          <w:sz w:val="20"/>
          <w:szCs w:val="20"/>
          <w:color w:val="auto"/>
        </w:rPr>
      </w:pPr>
      <w:r>
        <w:rPr>
          <w:rFonts w:ascii="Arial" w:cs="Arial" w:eastAsia="Arial" w:hAnsi="Arial"/>
          <w:sz w:val="17"/>
          <w:szCs w:val="17"/>
          <w:color w:val="auto"/>
        </w:rPr>
        <w:t>In addition, we regularly contribute source code under open source licenses and have made some of our own software available under open source or source available licenses, and we include third</w:t>
      </w:r>
      <w:r>
        <w:rPr>
          <w:rFonts w:ascii="MS PGothic" w:cs="MS PGothic" w:eastAsia="MS PGothic" w:hAnsi="MS PGothic"/>
          <w:sz w:val="17"/>
          <w:szCs w:val="17"/>
          <w:color w:val="auto"/>
        </w:rPr>
        <w:t>‑</w:t>
      </w:r>
      <w:r>
        <w:rPr>
          <w:rFonts w:ascii="Arial" w:cs="Arial" w:eastAsia="Arial" w:hAnsi="Arial"/>
          <w:sz w:val="17"/>
          <w:szCs w:val="17"/>
          <w:color w:val="auto"/>
        </w:rPr>
        <w:t>party open source software in our products. Because the source code for any software we contribute to open source projects or distribute under open source or source available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w:t>
      </w:r>
      <w:r>
        <w:rPr>
          <w:rFonts w:ascii="MS PGothic" w:cs="MS PGothic" w:eastAsia="MS PGothic" w:hAnsi="MS PGothic"/>
          <w:sz w:val="17"/>
          <w:szCs w:val="17"/>
          <w:color w:val="auto"/>
        </w:rPr>
        <w:t>‑</w:t>
      </w:r>
      <w:r>
        <w:rPr>
          <w:rFonts w:ascii="Arial" w:cs="Arial" w:eastAsia="Arial" w:hAnsi="Arial"/>
          <w:sz w:val="17"/>
          <w:szCs w:val="17"/>
          <w:color w:val="auto"/>
        </w:rPr>
        <w:t>party open source software, which could include our proprietary source code, or otherwise seeking to enforce the terms of the applicable open</w:t>
      </w:r>
      <w:r>
        <w:rPr>
          <w:rFonts w:ascii="MS PGothic" w:cs="MS PGothic" w:eastAsia="MS PGothic" w:hAnsi="MS PGothic"/>
          <w:sz w:val="17"/>
          <w:szCs w:val="17"/>
          <w:color w:val="auto"/>
        </w:rPr>
        <w:t>‑</w:t>
      </w:r>
      <w:r>
        <w:rPr>
          <w:rFonts w:ascii="Arial" w:cs="Arial" w:eastAsia="Arial" w:hAnsi="Arial"/>
          <w:sz w:val="17"/>
          <w:szCs w:val="17"/>
          <w:color w:val="auto"/>
        </w:rPr>
        <w:t>source license.</w:t>
      </w:r>
    </w:p>
    <w:p>
      <w:pPr>
        <w:spacing w:after="0" w:line="1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been, and may in the future be, subject to intellectual property rights claims by third parties, which may be costly to defend, could require us to pay significant damages and could limit our ability to use certain technologies.</w:t>
      </w:r>
    </w:p>
    <w:p>
      <w:pPr>
        <w:spacing w:after="0" w:line="116" w:lineRule="exact"/>
        <w:rPr>
          <w:sz w:val="20"/>
          <w:szCs w:val="20"/>
          <w:color w:val="auto"/>
        </w:rPr>
      </w:pPr>
    </w:p>
    <w:p>
      <w:pPr>
        <w:ind w:firstLine="486"/>
        <w:spacing w:after="0" w:line="218" w:lineRule="exact"/>
        <w:rPr>
          <w:sz w:val="20"/>
          <w:szCs w:val="20"/>
          <w:color w:val="auto"/>
        </w:rPr>
      </w:pPr>
      <w:r>
        <w:rPr>
          <w:rFonts w:ascii="Arial" w:cs="Arial" w:eastAsia="Arial" w:hAnsi="Arial"/>
          <w:sz w:val="17"/>
          <w:szCs w:val="17"/>
          <w:color w:val="auto"/>
        </w:rPr>
        <w:t>Companies in the software and technology industries, including some of our current and potential competitors, own large numbers of patents, copyrights, trademarks and trade secrets and frequently enter into litigation based on allegations of infringement or other violations of intellectual property rights. We have in the past and may in the future be subject to claims that we have misappropriated, misused or infringed the intellectual property rights of our competitors, non</w:t>
      </w:r>
      <w:r>
        <w:rPr>
          <w:rFonts w:ascii="MS PGothic" w:cs="MS PGothic" w:eastAsia="MS PGothic" w:hAnsi="MS PGothic"/>
          <w:sz w:val="17"/>
          <w:szCs w:val="17"/>
          <w:color w:val="auto"/>
        </w:rPr>
        <w:t>‑</w:t>
      </w:r>
      <w:r>
        <w:rPr>
          <w:rFonts w:ascii="Arial" w:cs="Arial" w:eastAsia="Arial" w:hAnsi="Arial"/>
          <w:sz w:val="17"/>
          <w:szCs w:val="17"/>
          <w:color w:val="auto"/>
        </w:rPr>
        <w:t>practicing entities or other third parties. This risk is exacerbated by the fact that our software incorporates third</w:t>
      </w:r>
      <w:r>
        <w:rPr>
          <w:rFonts w:ascii="MS PGothic" w:cs="MS PGothic" w:eastAsia="MS PGothic" w:hAnsi="MS PGothic"/>
          <w:sz w:val="17"/>
          <w:szCs w:val="17"/>
          <w:color w:val="auto"/>
        </w:rPr>
        <w:t>‑</w:t>
      </w:r>
      <w:r>
        <w:rPr>
          <w:rFonts w:ascii="Arial" w:cs="Arial" w:eastAsia="Arial" w:hAnsi="Arial"/>
          <w:sz w:val="17"/>
          <w:szCs w:val="17"/>
          <w:color w:val="auto"/>
        </w:rPr>
        <w:t>party open source software. For example, Realtime Data (“Realtime”) filed a lawsuit against us in the United States District Court for the District of Delaware in March 2019 alleging that we are infringing three U.S. patents that it holds: U.S. Patent No. 9,116,908 (the “908 Patent”), U.S. Patent No. 9,667,751 (the “751 Patent”) and U.S. Patent No. 8,933,825 (the “825 Patent”). The patent infringement allegations in the lawsuit relate to data compression, decompression, storage and retrieval. See the section titled “Item 3. Legal Proceedings.”</w:t>
      </w:r>
    </w:p>
    <w:p>
      <w:pPr>
        <w:spacing w:after="0" w:line="151" w:lineRule="exact"/>
        <w:rPr>
          <w:sz w:val="20"/>
          <w:szCs w:val="20"/>
          <w:color w:val="auto"/>
        </w:rPr>
      </w:pPr>
    </w:p>
    <w:p>
      <w:pPr>
        <w:ind w:right="60" w:firstLine="486"/>
        <w:spacing w:after="0" w:line="223" w:lineRule="exact"/>
        <w:rPr>
          <w:sz w:val="20"/>
          <w:szCs w:val="20"/>
          <w:color w:val="auto"/>
        </w:rPr>
      </w:pPr>
      <w:r>
        <w:rPr>
          <w:rFonts w:ascii="Arial" w:cs="Arial" w:eastAsia="Arial" w:hAnsi="Arial"/>
          <w:sz w:val="18"/>
          <w:szCs w:val="18"/>
          <w:color w:val="auto"/>
        </w:rPr>
        <w:t>Any intellectual property claims, with or without merit, could be very time</w:t>
      </w:r>
      <w:r>
        <w:rPr>
          <w:rFonts w:ascii="MS PGothic" w:cs="MS PGothic" w:eastAsia="MS PGothic" w:hAnsi="MS PGothic"/>
          <w:sz w:val="18"/>
          <w:szCs w:val="18"/>
          <w:color w:val="auto"/>
        </w:rPr>
        <w:t>‑</w:t>
      </w:r>
      <w:r>
        <w:rPr>
          <w:rFonts w:ascii="Arial" w:cs="Arial" w:eastAsia="Arial" w:hAnsi="Arial"/>
          <w:sz w:val="18"/>
          <w:szCs w:val="18"/>
          <w:color w:val="auto"/>
        </w:rPr>
        <w:t>consuming and expensive and could divert our management’s attention and other resources. These claims could also subject us to significant liability for damages,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w:t>
      </w:r>
      <w:r>
        <w:rPr>
          <w:rFonts w:ascii="MS PGothic" w:cs="MS PGothic" w:eastAsia="MS PGothic" w:hAnsi="MS PGothic"/>
          <w:sz w:val="16"/>
          <w:szCs w:val="16"/>
          <w:color w:val="auto"/>
        </w:rPr>
        <w:t>‑</w:t>
      </w:r>
      <w:r>
        <w:rPr>
          <w:rFonts w:ascii="Arial" w:cs="Arial" w:eastAsia="Arial" w:hAnsi="Arial"/>
          <w:sz w:val="16"/>
          <w:szCs w:val="16"/>
          <w:color w:val="auto"/>
        </w:rPr>
        <w:t>infringing technology, which could require significant effort and expense. If we cannot license or develop technology for any aspect of our business that may ultimately be determined to infringe on the intellectual property rights of another party, we could be forced to limit or stop sales of subscriptions to our software and may be unable to compete effectively. Any of these results would adversely affect our business, results of operations and financial condition.</w:t>
      </w:r>
    </w:p>
    <w:p>
      <w:pPr>
        <w:spacing w:after="0" w:line="15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16"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adversely affect our business and results of operations. Negative conditions in the general economy both in the United States and abroad, including conditions resulting from changes in gross domestic product growth, financial and credit market fluctuations, political turmoil, natural catastrophes, warfare and terrorist attacks on the United States, Europe, the Asia Pacific region or elsewhere, could cause a decrease in business investments, including spending on information technology, and negatively affect the growth of our business. To the extent our database software is perceived by customers and potential customers as costly, or too difficult to deploy or migrate to, our revenue may be disproportionately affected by delays or reductions in general information technology spending. 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adversely affected.</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successful relationships with our partners, our business, results of operations and financial condition could be harmed.</w:t>
      </w:r>
    </w:p>
    <w:p>
      <w:pPr>
        <w:spacing w:after="0" w:line="194" w:lineRule="exact"/>
        <w:rPr>
          <w:sz w:val="20"/>
          <w:szCs w:val="20"/>
          <w:color w:val="auto"/>
        </w:rPr>
      </w:pPr>
    </w:p>
    <w:p>
      <w:pPr>
        <w:ind w:right="40" w:firstLine="486"/>
        <w:spacing w:after="0" w:line="218" w:lineRule="exact"/>
        <w:rPr>
          <w:sz w:val="20"/>
          <w:szCs w:val="20"/>
          <w:color w:val="auto"/>
        </w:rPr>
      </w:pPr>
      <w:r>
        <w:rPr>
          <w:rFonts w:ascii="Arial" w:cs="Arial" w:eastAsia="Arial" w:hAnsi="Arial"/>
          <w:sz w:val="17"/>
          <w:szCs w:val="17"/>
          <w:color w:val="auto"/>
        </w:rPr>
        <w:t>In addition to our direct sales force and our website, we use strategic partners, such as global system integrators, value</w:t>
      </w:r>
      <w:r>
        <w:rPr>
          <w:rFonts w:ascii="MS PGothic" w:cs="MS PGothic" w:eastAsia="MS PGothic" w:hAnsi="MS PGothic"/>
          <w:sz w:val="17"/>
          <w:szCs w:val="17"/>
          <w:color w:val="auto"/>
        </w:rPr>
        <w:t>‑</w:t>
      </w:r>
      <w:r>
        <w:rPr>
          <w:rFonts w:ascii="Arial" w:cs="Arial" w:eastAsia="Arial" w:hAnsi="Arial"/>
          <w:sz w:val="17"/>
          <w:szCs w:val="17"/>
          <w:color w:val="auto"/>
        </w:rPr>
        <w:t>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spacing w:after="0" w:line="151" w:lineRule="exact"/>
        <w:rPr>
          <w:sz w:val="20"/>
          <w:szCs w:val="20"/>
          <w:color w:val="auto"/>
        </w:rPr>
      </w:pPr>
    </w:p>
    <w:p>
      <w:pPr>
        <w:ind w:right="240"/>
        <w:spacing w:after="0" w:line="223" w:lineRule="exact"/>
        <w:rPr>
          <w:sz w:val="20"/>
          <w:szCs w:val="20"/>
          <w:color w:val="auto"/>
        </w:rPr>
      </w:pPr>
      <w:r>
        <w:rPr>
          <w:rFonts w:ascii="Arial" w:cs="Arial" w:eastAsia="Arial" w:hAnsi="Arial"/>
          <w:sz w:val="18"/>
          <w:szCs w:val="18"/>
          <w:b w:val="1"/>
          <w:bCs w:val="1"/>
          <w:i w:val="1"/>
          <w:iCs w:val="1"/>
          <w:color w:val="auto"/>
        </w:rPr>
        <w:t>We rely upon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cloud providers to host our cloud offering; any disruption of or interference with our use of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cloud providers would adversely affect our business, results of operations and financial condition.</w:t>
      </w:r>
    </w:p>
    <w:p>
      <w:pPr>
        <w:spacing w:after="0" w:line="149" w:lineRule="exact"/>
        <w:rPr>
          <w:sz w:val="20"/>
          <w:szCs w:val="20"/>
          <w:color w:val="auto"/>
        </w:rPr>
      </w:pPr>
    </w:p>
    <w:p>
      <w:pPr>
        <w:ind w:right="40" w:firstLine="486"/>
        <w:spacing w:after="0" w:line="218" w:lineRule="exact"/>
        <w:rPr>
          <w:sz w:val="20"/>
          <w:szCs w:val="20"/>
          <w:color w:val="auto"/>
        </w:rPr>
      </w:pPr>
      <w:r>
        <w:rPr>
          <w:rFonts w:ascii="Arial" w:cs="Arial" w:eastAsia="Arial" w:hAnsi="Arial"/>
          <w:sz w:val="17"/>
          <w:szCs w:val="17"/>
          <w:color w:val="auto"/>
        </w:rPr>
        <w:t>We outsource substantially all of the infrastructure relating to MongoDB Atlas across AWS, Microsoft Azure and GCP to host our cloud offering. Customers of MongoDB Atlas need to be able to access our platform at any time, without interruption or degradation of performance, and we provide them with service level commitments with respect to uptime. Third</w:t>
      </w:r>
      <w:r>
        <w:rPr>
          <w:rFonts w:ascii="MS PGothic" w:cs="MS PGothic" w:eastAsia="MS PGothic" w:hAnsi="MS PGothic"/>
          <w:sz w:val="17"/>
          <w:szCs w:val="17"/>
          <w:color w:val="auto"/>
        </w:rPr>
        <w:t>‑</w:t>
      </w:r>
      <w:r>
        <w:rPr>
          <w:rFonts w:ascii="Arial" w:cs="Arial" w:eastAsia="Arial" w:hAnsi="Arial"/>
          <w:sz w:val="17"/>
          <w:szCs w:val="17"/>
          <w:color w:val="auto"/>
        </w:rPr>
        <w:t>party cloud providers run their own platforms that we access, and we are, therefore, vulnerable to their service interruptions. We may experience interruptions, delays and outages in service and availability from time to time as a result of problems with our third</w:t>
      </w:r>
      <w:r>
        <w:rPr>
          <w:rFonts w:ascii="MS PGothic" w:cs="MS PGothic" w:eastAsia="MS PGothic" w:hAnsi="MS PGothic"/>
          <w:sz w:val="17"/>
          <w:szCs w:val="17"/>
          <w:color w:val="auto"/>
        </w:rPr>
        <w:t>‑</w:t>
      </w:r>
      <w:r>
        <w:rPr>
          <w:rFonts w:ascii="Arial" w:cs="Arial" w:eastAsia="Arial" w:hAnsi="Arial"/>
          <w:sz w:val="17"/>
          <w:szCs w:val="17"/>
          <w:color w:val="auto"/>
        </w:rPr>
        <w:t>party cloud providers’ infrastructure. Lack of availability of this infrastructure could be due to a number of potential causes including technical failures, natural disasters, fraud or security attacks that we cannot predict or prevent. Such outages could lead to the triggering of our service level agreements and the issuance of credits to our cloud offering customers, which may impact our business, results of operations and financial condition. In addition, if our security, or that of any of these third</w:t>
      </w:r>
      <w:r>
        <w:rPr>
          <w:rFonts w:ascii="MS PGothic" w:cs="MS PGothic" w:eastAsia="MS PGothic" w:hAnsi="MS PGothic"/>
          <w:sz w:val="17"/>
          <w:szCs w:val="17"/>
          <w:color w:val="auto"/>
        </w:rPr>
        <w:t>‑</w:t>
      </w:r>
      <w:r>
        <w:rPr>
          <w:rFonts w:ascii="Arial" w:cs="Arial" w:eastAsia="Arial" w:hAnsi="Arial"/>
          <w:sz w:val="17"/>
          <w:szCs w:val="17"/>
          <w:color w:val="auto"/>
        </w:rPr>
        <w:t>party cloud providers, is compromised, our software is unavailable or our customers are unable to use our software within a reasonable amount of time or at all, then our business, results of operations and financial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condition could be 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w:t>
      </w:r>
      <w:r>
        <w:rPr>
          <w:rFonts w:ascii="MS PGothic" w:cs="MS PGothic" w:eastAsia="MS PGothic" w:hAnsi="MS PGothic"/>
          <w:sz w:val="18"/>
          <w:szCs w:val="18"/>
          <w:color w:val="auto"/>
        </w:rPr>
        <w:t>‑</w:t>
      </w:r>
      <w:r>
        <w:rPr>
          <w:rFonts w:ascii="Arial" w:cs="Arial" w:eastAsia="Arial" w:hAnsi="Arial"/>
          <w:sz w:val="18"/>
          <w:szCs w:val="18"/>
          <w:color w:val="auto"/>
        </w:rPr>
        <w:t>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w:t>
      </w:r>
      <w:r>
        <w:rPr>
          <w:rFonts w:ascii="MS PGothic" w:cs="MS PGothic" w:eastAsia="MS PGothic" w:hAnsi="MS PGothic"/>
          <w:sz w:val="18"/>
          <w:szCs w:val="18"/>
          <w:color w:val="auto"/>
        </w:rPr>
        <w:t>‑</w:t>
      </w:r>
      <w:r>
        <w:rPr>
          <w:rFonts w:ascii="Arial" w:cs="Arial" w:eastAsia="Arial" w:hAnsi="Arial"/>
          <w:sz w:val="18"/>
          <w:szCs w:val="18"/>
          <w:color w:val="auto"/>
        </w:rPr>
        <w:t>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spacing w:after="0" w:line="15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technology and infrastructure may adversely affect our business, results of operations and financial condition.</w:t>
      </w:r>
    </w:p>
    <w:p>
      <w:pPr>
        <w:spacing w:after="0" w:line="116"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spacing w:after="0" w:line="1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Incorrect or improper implementation or use of our software could result in customer dissatisfaction and harm our business, results of operations, financial condition and growth prospects.</w:t>
      </w:r>
    </w:p>
    <w:p>
      <w:pPr>
        <w:spacing w:after="0" w:line="116" w:lineRule="exact"/>
        <w:rPr>
          <w:sz w:val="20"/>
          <w:szCs w:val="20"/>
          <w:color w:val="auto"/>
        </w:rPr>
      </w:pPr>
    </w:p>
    <w:p>
      <w:pPr>
        <w:ind w:right="80" w:firstLine="486"/>
        <w:spacing w:after="0" w:line="218" w:lineRule="exact"/>
        <w:rPr>
          <w:sz w:val="20"/>
          <w:szCs w:val="20"/>
          <w:color w:val="auto"/>
        </w:rPr>
      </w:pPr>
      <w:r>
        <w:rPr>
          <w:rFonts w:ascii="Arial" w:cs="Arial" w:eastAsia="Arial" w:hAnsi="Arial"/>
          <w:sz w:val="16"/>
          <w:szCs w:val="16"/>
          <w:color w:val="auto"/>
        </w:rPr>
        <w:t>Our database software and related services are designed to be deployed in a wide variety of technology environments, including in large</w:t>
      </w:r>
      <w:r>
        <w:rPr>
          <w:rFonts w:ascii="MS PGothic" w:cs="MS PGothic" w:eastAsia="MS PGothic" w:hAnsi="MS PGothic"/>
          <w:sz w:val="16"/>
          <w:szCs w:val="16"/>
          <w:color w:val="auto"/>
        </w:rPr>
        <w:t>‑</w:t>
      </w:r>
      <w:r>
        <w:rPr>
          <w:rFonts w:ascii="Arial" w:cs="Arial" w:eastAsia="Arial" w:hAnsi="Arial"/>
          <w:sz w:val="16"/>
          <w:szCs w:val="16"/>
          <w:color w:val="auto"/>
        </w:rPr>
        <w:t>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since January 2017, industry publications have reported ransomware attacks on over 80,000 MongoDB instances. Almost all of these instances were launched by users with our Community Server offering rather than users of MongoDB Enterprise Advanced. We believe these attacks were due to the users’ failure to properly turn on the recommended security settings when running MongoDB.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w:t>
      </w:r>
    </w:p>
    <w:p>
      <w:pPr>
        <w:spacing w:after="0" w:line="149" w:lineRule="exact"/>
        <w:rPr>
          <w:sz w:val="20"/>
          <w:szCs w:val="20"/>
          <w:color w:val="auto"/>
        </w:rPr>
      </w:pPr>
    </w:p>
    <w:p>
      <w:pPr>
        <w:ind w:right="100" w:firstLine="486"/>
        <w:spacing w:after="0" w:line="219" w:lineRule="exact"/>
        <w:rPr>
          <w:sz w:val="20"/>
          <w:szCs w:val="20"/>
          <w:color w:val="auto"/>
        </w:rPr>
      </w:pPr>
      <w:r>
        <w:rPr>
          <w:rFonts w:ascii="Arial" w:cs="Arial" w:eastAsia="Arial" w:hAnsi="Arial"/>
          <w:sz w:val="16"/>
          <w:szCs w:val="16"/>
          <w:color w:val="auto"/>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w:t>
      </w:r>
      <w:r>
        <w:rPr>
          <w:rFonts w:ascii="MS PGothic" w:cs="MS PGothic" w:eastAsia="MS PGothic" w:hAnsi="MS PGothic"/>
          <w:sz w:val="16"/>
          <w:szCs w:val="16"/>
          <w:color w:val="auto"/>
        </w:rPr>
        <w:t>‑</w:t>
      </w:r>
      <w:r>
        <w:rPr>
          <w:rFonts w:ascii="Arial" w:cs="Arial" w:eastAsia="Arial" w:hAnsi="Arial"/>
          <w:sz w:val="16"/>
          <w:szCs w:val="16"/>
          <w:color w:val="auto"/>
        </w:rPr>
        <w:t>on sales of our related services.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meet our service level commitments, our business, results of operations and financial condition could be adversely affected.</w:t>
      </w:r>
    </w:p>
    <w:p>
      <w:pPr>
        <w:spacing w:after="0" w:line="183"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Our agreements with customers typically provide for service level commitments. Our MongoDB Enterprise Advanced customers typically get service level commitments with certain guaranteed response times and comprehensive 24x365 coverage. Our MongoDB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47" w:lineRule="exact"/>
        <w:rPr>
          <w:sz w:val="20"/>
          <w:szCs w:val="20"/>
          <w:color w:val="auto"/>
        </w:rPr>
      </w:pPr>
    </w:p>
    <w:p>
      <w:pPr>
        <w:ind w:firstLine="486"/>
        <w:spacing w:after="0" w:line="218" w:lineRule="exact"/>
        <w:rPr>
          <w:sz w:val="20"/>
          <w:szCs w:val="20"/>
          <w:color w:val="auto"/>
        </w:rPr>
      </w:pPr>
      <w:r>
        <w:rPr>
          <w:rFonts w:ascii="Arial" w:cs="Arial" w:eastAsia="Arial" w:hAnsi="Arial"/>
          <w:sz w:val="18"/>
          <w:szCs w:val="18"/>
          <w:color w:val="auto"/>
        </w:rPr>
        <w:t>We believe our success has depended, and continues to depend, on the efforts and talents of our senior management team, particularly our Chief Executive Officer and Chief Technology Officer, and our highly skilled team members, including our sales personnel, client services personnel and software engineers. We do not maintain key man insurance on any of our executive officers or key employees. From time to time, there may be changes in our senior management team resulting from the termination or departure of our executive officers and key employees. The majority of our senior management and key employees are employed on an at</w:t>
      </w:r>
      <w:r>
        <w:rPr>
          <w:rFonts w:ascii="MS PGothic" w:cs="MS PGothic" w:eastAsia="MS PGothic" w:hAnsi="MS PGothic"/>
          <w:sz w:val="18"/>
          <w:szCs w:val="18"/>
          <w:color w:val="auto"/>
        </w:rPr>
        <w:t>‑</w:t>
      </w:r>
      <w:r>
        <w:rPr>
          <w:rFonts w:ascii="Arial" w:cs="Arial" w:eastAsia="Arial" w:hAnsi="Arial"/>
          <w:sz w:val="18"/>
          <w:szCs w:val="18"/>
          <w:color w:val="auto"/>
        </w:rPr>
        <w:t>will basis, which means that they could terminate their employment with us at any time. The loss of any of our senior management or key employees could adversely affect our ability to build on the efforts they have undertaken and to execute our business plan, and we may not be able to find adequate replacements. We cannot ensure that we will be able to retain the services of any members of our senior management or other key employees.</w:t>
      </w:r>
    </w:p>
    <w:p>
      <w:pPr>
        <w:spacing w:after="0" w:line="15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Our ability to successfully pursue our growth strategy also depends on our ability to attract, motivate and retain our personnel. Competition for</w:t>
      </w:r>
    </w:p>
    <w:p>
      <w:pPr>
        <w:spacing w:after="0" w:line="23" w:lineRule="exact"/>
        <w:rPr>
          <w:sz w:val="20"/>
          <w:szCs w:val="20"/>
          <w:color w:val="auto"/>
        </w:rPr>
      </w:pPr>
    </w:p>
    <w:p>
      <w:pPr>
        <w:ind w:right="100"/>
        <w:spacing w:after="0" w:line="216" w:lineRule="exact"/>
        <w:rPr>
          <w:sz w:val="20"/>
          <w:szCs w:val="20"/>
          <w:color w:val="auto"/>
        </w:rPr>
      </w:pPr>
      <w:r>
        <w:rPr>
          <w:rFonts w:ascii="Arial" w:cs="Arial" w:eastAsia="Arial" w:hAnsi="Arial"/>
          <w:sz w:val="17"/>
          <w:szCs w:val="17"/>
          <w:color w:val="auto"/>
        </w:rPr>
        <w:t>well</w:t>
      </w:r>
      <w:r>
        <w:rPr>
          <w:rFonts w:ascii="MS PGothic" w:cs="MS PGothic" w:eastAsia="MS PGothic" w:hAnsi="MS PGothic"/>
          <w:sz w:val="17"/>
          <w:szCs w:val="17"/>
          <w:color w:val="auto"/>
        </w:rPr>
        <w:t>‑</w:t>
      </w:r>
      <w:r>
        <w:rPr>
          <w:rFonts w:ascii="Arial" w:cs="Arial" w:eastAsia="Arial" w:hAnsi="Arial"/>
          <w:sz w:val="17"/>
          <w:szCs w:val="17"/>
          <w:color w:val="auto"/>
        </w:rPr>
        <w:t>qualified employees in all aspects of our business, including sales personnel, client services personnel and software engineers, is intense. Our recruiting efforts focus on elite organizations and our primary recruiting competition are well</w:t>
      </w:r>
      <w:r>
        <w:rPr>
          <w:rFonts w:ascii="MS PGothic" w:cs="MS PGothic" w:eastAsia="MS PGothic" w:hAnsi="MS PGothic"/>
          <w:sz w:val="17"/>
          <w:szCs w:val="17"/>
          <w:color w:val="auto"/>
        </w:rPr>
        <w:t>‑</w:t>
      </w:r>
      <w:r>
        <w:rPr>
          <w:rFonts w:ascii="Arial" w:cs="Arial" w:eastAsia="Arial" w:hAnsi="Arial"/>
          <w:sz w:val="17"/>
          <w:szCs w:val="17"/>
          <w:color w:val="auto"/>
        </w:rPr>
        <w:t>known, high</w:t>
      </w:r>
      <w:r>
        <w:rPr>
          <w:rFonts w:ascii="MS PGothic" w:cs="MS PGothic" w:eastAsia="MS PGothic" w:hAnsi="MS PGothic"/>
          <w:sz w:val="17"/>
          <w:szCs w:val="17"/>
          <w:color w:val="auto"/>
        </w:rPr>
        <w:t>‑</w:t>
      </w:r>
      <w:r>
        <w:rPr>
          <w:rFonts w:ascii="Arial" w:cs="Arial" w:eastAsia="Arial" w:hAnsi="Arial"/>
          <w:sz w:val="17"/>
          <w:szCs w:val="17"/>
          <w:color w:val="auto"/>
        </w:rPr>
        <w:t>paying technology companies. Our continued ability to compete effectively depends on our ability to attract new employees and to retain and motivate existing employees. If we do not succeed in attracting well</w:t>
      </w:r>
      <w:r>
        <w:rPr>
          <w:rFonts w:ascii="MS PGothic" w:cs="MS PGothic" w:eastAsia="MS PGothic" w:hAnsi="MS PGothic"/>
          <w:sz w:val="17"/>
          <w:szCs w:val="17"/>
          <w:color w:val="auto"/>
        </w:rPr>
        <w:t>‑</w:t>
      </w:r>
      <w:r>
        <w:rPr>
          <w:rFonts w:ascii="Arial" w:cs="Arial" w:eastAsia="Arial" w:hAnsi="Arial"/>
          <w:sz w:val="17"/>
          <w:szCs w:val="17"/>
          <w:color w:val="auto"/>
        </w:rPr>
        <w:t>qualified employees or retaining and motivating existing employees, our business would be adversely affected.</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maintain and enhance our brand, especially among developers, our business and results of operations may be adversely affected.</w:t>
      </w:r>
    </w:p>
    <w:p>
      <w:pPr>
        <w:spacing w:after="0" w:line="206" w:lineRule="exact"/>
        <w:rPr>
          <w:sz w:val="20"/>
          <w:szCs w:val="20"/>
          <w:color w:val="auto"/>
        </w:rPr>
      </w:pPr>
    </w:p>
    <w:p>
      <w:pPr>
        <w:ind w:right="60" w:firstLine="486"/>
        <w:spacing w:after="0" w:line="218" w:lineRule="exact"/>
        <w:rPr>
          <w:sz w:val="20"/>
          <w:szCs w:val="20"/>
          <w:color w:val="auto"/>
        </w:rPr>
      </w:pPr>
      <w:r>
        <w:rPr>
          <w:rFonts w:ascii="Arial" w:cs="Arial" w:eastAsia="Arial" w:hAnsi="Arial"/>
          <w:sz w:val="18"/>
          <w:szCs w:val="18"/>
          <w:color w:val="auto"/>
        </w:rPr>
        <w:t>We believe that developing and maintaining widespread awareness of our brand, especially with developers, in a cost</w:t>
      </w:r>
      <w:r>
        <w:rPr>
          <w:rFonts w:ascii="MS PGothic" w:cs="MS PGothic" w:eastAsia="MS PGothic" w:hAnsi="MS PGothic"/>
          <w:sz w:val="18"/>
          <w:szCs w:val="18"/>
          <w:color w:val="auto"/>
        </w:rPr>
        <w:t>‑</w:t>
      </w:r>
      <w:r>
        <w:rPr>
          <w:rFonts w:ascii="Arial" w:cs="Arial" w:eastAsia="Arial" w:hAnsi="Arial"/>
          <w:sz w:val="18"/>
          <w:szCs w:val="18"/>
          <w:color w:val="auto"/>
        </w:rPr>
        <w: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 World,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w:t>
      </w:r>
      <w:r>
        <w:rPr>
          <w:rFonts w:ascii="MS PGothic" w:cs="MS PGothic" w:eastAsia="MS PGothic" w:hAnsi="MS PGothic"/>
          <w:sz w:val="18"/>
          <w:szCs w:val="18"/>
          <w:color w:val="auto"/>
        </w:rPr>
        <w:t>‑</w:t>
      </w:r>
      <w:r>
        <w:rPr>
          <w:rFonts w:ascii="Arial" w:cs="Arial" w:eastAsia="Arial" w:hAnsi="Arial"/>
          <w:sz w:val="18"/>
          <w:szCs w:val="18"/>
          <w:color w:val="auto"/>
        </w:rPr>
        <w:t>building efforts, or to achieve the widespread brand awareness that is critical for broad customer adoption of our platform.</w:t>
      </w:r>
    </w:p>
    <w:p>
      <w:pPr>
        <w:spacing w:after="0" w:line="15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entrepreneurial spirit we have worked hard to foster, which could harm our business.</w:t>
      </w:r>
    </w:p>
    <w:p>
      <w:pPr>
        <w:spacing w:after="0" w:line="116"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believe that our culture has been and will continue to be a key contributor to our success. From January 31, 2017 to January 31, 2019, we increased the size of our workforce by 499 employees, and we expect to continue to hire aggressively as we expand, especially research and development and sales and marketing personnel. If we do not continue to maintain our corporate culture as we grow, we may be unable to foster the innovation, creativity, and entrepreneurial spirit we believe we need to support our growth. Our substantial anticipated headcount growth may result in a change to our corporate culture, which could harm our business.</w:t>
      </w:r>
    </w:p>
    <w:p>
      <w:pPr>
        <w:spacing w:after="0" w:line="134"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We depend and rely upon SaaS technologies from third parties to operate our business, and interruptions or performance problems with these technologies may adversely affect our business and results of operations.</w:t>
      </w:r>
    </w:p>
    <w:p>
      <w:pPr>
        <w:spacing w:after="0" w:line="116" w:lineRule="exact"/>
        <w:rPr>
          <w:sz w:val="20"/>
          <w:szCs w:val="20"/>
          <w:color w:val="auto"/>
        </w:rPr>
      </w:pPr>
    </w:p>
    <w:p>
      <w:pPr>
        <w:ind w:right="120" w:firstLine="486"/>
        <w:spacing w:after="0" w:line="297" w:lineRule="auto"/>
        <w:rPr>
          <w:sz w:val="20"/>
          <w:szCs w:val="20"/>
          <w:color w:val="auto"/>
        </w:rPr>
      </w:pPr>
      <w:r>
        <w:rPr>
          <w:rFonts w:ascii="Arial" w:cs="Arial" w:eastAsia="Arial" w:hAnsi="Arial"/>
          <w:sz w:val="16"/>
          <w:szCs w:val="16"/>
          <w:color w:val="auto"/>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Indemnity provisions in various agreements potentially expose us to substantial liability for intellectual property infringement and other losses.</w:t>
      </w:r>
    </w:p>
    <w:p>
      <w:pPr>
        <w:spacing w:after="0" w:line="194"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Our agreements with customers and other third parties may include indemnification provisions under which we agree to indemnify them for losses suffered or incurred as a result of claims of intellectual property infringement, damages caused by us to property or persons, data breach, or other liabilities relating to or arising from our software, services or other</w:t>
      </w:r>
    </w:p>
    <w:p>
      <w:pPr>
        <w:spacing w:after="0" w:line="200" w:lineRule="exact"/>
        <w:rPr>
          <w:sz w:val="20"/>
          <w:szCs w:val="20"/>
          <w:color w:val="auto"/>
        </w:rPr>
      </w:pPr>
    </w:p>
    <w:p>
      <w:pPr>
        <w:spacing w:after="0" w:line="40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contractual obligations. Large indemnity payments could harm our business, results of operations and financial condition. 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33" w:lineRule="exact"/>
        <w:rPr>
          <w:sz w:val="20"/>
          <w:szCs w:val="20"/>
          <w:color w:val="auto"/>
        </w:rPr>
      </w:pPr>
    </w:p>
    <w:p>
      <w:pPr>
        <w:ind w:right="140"/>
        <w:spacing w:after="0" w:line="223" w:lineRule="exact"/>
        <w:rPr>
          <w:sz w:val="20"/>
          <w:szCs w:val="20"/>
          <w:color w:val="auto"/>
        </w:rPr>
      </w:pPr>
      <w:r>
        <w:rPr>
          <w:rFonts w:ascii="Arial" w:cs="Arial" w:eastAsia="Arial" w:hAnsi="Arial"/>
          <w:sz w:val="18"/>
          <w:szCs w:val="18"/>
          <w:b w:val="1"/>
          <w:bCs w:val="1"/>
          <w:i w:val="1"/>
          <w:iCs w:val="1"/>
          <w:color w:val="auto"/>
        </w:rPr>
        <w:t>Because our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term growth strategy involves further expansion of our sales to customers outside the United States, our business will be susceptible to risks associated with international operations.</w:t>
      </w:r>
    </w:p>
    <w:p>
      <w:pPr>
        <w:spacing w:after="0" w:line="149" w:lineRule="exact"/>
        <w:rPr>
          <w:sz w:val="20"/>
          <w:szCs w:val="20"/>
          <w:color w:val="auto"/>
        </w:rPr>
      </w:pPr>
    </w:p>
    <w:p>
      <w:pPr>
        <w:ind w:right="280" w:firstLine="486"/>
        <w:spacing w:after="0" w:line="219" w:lineRule="exact"/>
        <w:rPr>
          <w:sz w:val="20"/>
          <w:szCs w:val="20"/>
          <w:color w:val="auto"/>
        </w:rPr>
      </w:pPr>
      <w:r>
        <w:rPr>
          <w:rFonts w:ascii="Arial" w:cs="Arial" w:eastAsia="Arial" w:hAnsi="Arial"/>
          <w:sz w:val="18"/>
          <w:szCs w:val="18"/>
          <w:color w:val="auto"/>
        </w:rPr>
        <w:t>A component of our growth strategy involves the further expansion of our operations and customer base internationally. In the fiscal years ended January 31, 2019, 2018 and 2017, total revenue generated from customers outside the United States was 39%, 37% and 34%, respectively, of our total revenue. We currently have international offices outside of North America throughout Europe, the Middle East and Africa (“EMEA”) and the Asia</w:t>
      </w:r>
      <w:r>
        <w:rPr>
          <w:rFonts w:ascii="MS PGothic" w:cs="MS PGothic" w:eastAsia="MS PGothic" w:hAnsi="MS PGothic"/>
          <w:sz w:val="18"/>
          <w:szCs w:val="18"/>
          <w:color w:val="auto"/>
        </w:rPr>
        <w:t>‑</w:t>
      </w:r>
      <w:r>
        <w:rPr>
          <w:rFonts w:ascii="Arial" w:cs="Arial" w:eastAsia="Arial" w:hAnsi="Arial"/>
          <w:sz w:val="18"/>
          <w:szCs w:val="18"/>
          <w:color w:val="auto"/>
        </w:rPr>
        <w:t>Pacific region, focusing primarily on selling our products and services in those regions. In the future, we may expand to other international locations. Our current international operations and future initiatives involve a variety of risks, including:</w:t>
      </w:r>
    </w:p>
    <w:p>
      <w:pPr>
        <w:spacing w:after="0" w:line="152"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taxes or trade laws;</w:t>
      </w:r>
    </w:p>
    <w:p>
      <w:pPr>
        <w:spacing w:after="0" w:line="171" w:lineRule="exact"/>
        <w:rPr>
          <w:rFonts w:ascii="Arial" w:cs="Arial" w:eastAsia="Arial" w:hAnsi="Arial"/>
          <w:sz w:val="18"/>
          <w:szCs w:val="18"/>
          <w:color w:val="auto"/>
        </w:rPr>
      </w:pPr>
    </w:p>
    <w:p>
      <w:pPr>
        <w:ind w:left="980" w:right="12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the unauthorized use of, or access to, commercial and personal information, particularly in EMEA;</w:t>
      </w:r>
    </w:p>
    <w:p>
      <w:pPr>
        <w:spacing w:after="0" w:line="116" w:lineRule="exact"/>
        <w:rPr>
          <w:rFonts w:ascii="Arial" w:cs="Arial" w:eastAsia="Arial" w:hAnsi="Arial"/>
          <w:sz w:val="18"/>
          <w:szCs w:val="18"/>
          <w:color w:val="auto"/>
        </w:rPr>
      </w:pPr>
    </w:p>
    <w:p>
      <w:pPr>
        <w:ind w:left="980" w:right="34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differing labor regulations, especially in EMEA, where labor laws are generally more advantageous to employees as compared to the United States, including deemed hourly wage and overtime regulations in these locations;</w:t>
      </w:r>
    </w:p>
    <w:p>
      <w:pPr>
        <w:spacing w:after="0" w:line="116" w:lineRule="exact"/>
        <w:rPr>
          <w:rFonts w:ascii="Arial" w:cs="Arial" w:eastAsia="Arial" w:hAnsi="Arial"/>
          <w:sz w:val="18"/>
          <w:szCs w:val="18"/>
          <w:color w:val="auto"/>
        </w:rPr>
      </w:pPr>
    </w:p>
    <w:p>
      <w:pPr>
        <w:ind w:left="980" w:right="4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116" w:lineRule="exact"/>
        <w:rPr>
          <w:rFonts w:ascii="Arial" w:cs="Arial" w:eastAsia="Arial" w:hAnsi="Arial"/>
          <w:sz w:val="18"/>
          <w:szCs w:val="18"/>
          <w:color w:val="auto"/>
        </w:rPr>
      </w:pPr>
    </w:p>
    <w:p>
      <w:pPr>
        <w:ind w:left="980" w:right="38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171" w:lineRule="exact"/>
        <w:rPr>
          <w:rFonts w:ascii="Arial" w:cs="Arial" w:eastAsia="Arial" w:hAnsi="Arial"/>
          <w:sz w:val="18"/>
          <w:szCs w:val="18"/>
          <w:color w:val="auto"/>
        </w:rPr>
      </w:pPr>
    </w:p>
    <w:p>
      <w:pPr>
        <w:ind w:left="980" w:right="70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limitations on our ability to reinvest earnings from operations in one country to fund the capital needs of our operations in other countries;</w:t>
      </w:r>
    </w:p>
    <w:p>
      <w:pPr>
        <w:spacing w:after="0" w:line="182" w:lineRule="exact"/>
        <w:rPr>
          <w:rFonts w:ascii="Arial" w:cs="Arial" w:eastAsia="Arial" w:hAnsi="Arial"/>
          <w:sz w:val="17"/>
          <w:szCs w:val="17"/>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preferences for local vendors;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enforcing our intellectual property;</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171" w:lineRule="exact"/>
        <w:rPr>
          <w:rFonts w:ascii="Arial" w:cs="Arial" w:eastAsia="Arial" w:hAnsi="Arial"/>
          <w:sz w:val="18"/>
          <w:szCs w:val="18"/>
          <w:color w:val="auto"/>
        </w:rPr>
      </w:pPr>
    </w:p>
    <w:p>
      <w:pPr>
        <w:ind w:left="980" w:hanging="486"/>
        <w:spacing w:after="0" w:line="223" w:lineRule="exact"/>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liabilities under anti</w:t>
      </w:r>
      <w:r>
        <w:rPr>
          <w:rFonts w:ascii="MS PGothic" w:cs="MS PGothic" w:eastAsia="MS PGothic" w:hAnsi="MS PGothic"/>
          <w:sz w:val="18"/>
          <w:szCs w:val="18"/>
          <w:color w:val="auto"/>
        </w:rPr>
        <w:t>‑</w:t>
      </w:r>
      <w:r>
        <w:rPr>
          <w:rFonts w:ascii="Arial" w:cs="Arial" w:eastAsia="Arial" w:hAnsi="Arial"/>
          <w:sz w:val="18"/>
          <w:szCs w:val="18"/>
          <w:color w:val="auto"/>
        </w:rPr>
        <w:t>corruption and anti</w:t>
      </w:r>
      <w:r>
        <w:rPr>
          <w:rFonts w:ascii="MS PGothic" w:cs="MS PGothic" w:eastAsia="MS PGothic" w:hAnsi="MS PGothic"/>
          <w:sz w:val="18"/>
          <w:szCs w:val="18"/>
          <w:color w:val="auto"/>
        </w:rPr>
        <w:t>‑</w:t>
      </w:r>
      <w:r>
        <w:rPr>
          <w:rFonts w:ascii="Arial" w:cs="Arial" w:eastAsia="Arial" w:hAnsi="Arial"/>
          <w:sz w:val="18"/>
          <w:szCs w:val="18"/>
          <w:color w:val="auto"/>
        </w:rPr>
        <w:t>money laundering laws, including the U.S. Foreign Corrupt Practices Act, U.K. Bribery Act and similar laws and regulations in other jurisdictions; and</w:t>
      </w:r>
    </w:p>
    <w:p>
      <w:pPr>
        <w:spacing w:after="0" w:line="149"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171"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spacing w:after="0" w:line="200" w:lineRule="exact"/>
        <w:rPr>
          <w:sz w:val="20"/>
          <w:szCs w:val="20"/>
          <w:color w:val="auto"/>
        </w:rPr>
      </w:pPr>
    </w:p>
    <w:p>
      <w:pPr>
        <w:spacing w:after="0" w:line="40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Legal, political and economic uncertainty surrounding the planned exit of the United Kingdom from the European Union may be a source of instability in international markets, create significant currency fluctuations, adversely affect our operations in the United Kingdom and pose additional risks to our business, revenue, financial condition, and results of operations.</w:t>
      </w:r>
    </w:p>
    <w:p>
      <w:pPr>
        <w:spacing w:after="0" w:line="127" w:lineRule="exact"/>
        <w:rPr>
          <w:sz w:val="20"/>
          <w:szCs w:val="20"/>
          <w:color w:val="auto"/>
        </w:rPr>
      </w:pPr>
    </w:p>
    <w:p>
      <w:pPr>
        <w:jc w:val="both"/>
        <w:ind w:right="100" w:firstLine="486"/>
        <w:spacing w:after="0" w:line="312" w:lineRule="auto"/>
        <w:rPr>
          <w:sz w:val="20"/>
          <w:szCs w:val="20"/>
          <w:color w:val="auto"/>
        </w:rPr>
      </w:pPr>
      <w:r>
        <w:rPr>
          <w:rFonts w:ascii="Arial" w:cs="Arial" w:eastAsia="Arial" w:hAnsi="Arial"/>
          <w:sz w:val="16"/>
          <w:szCs w:val="16"/>
          <w:color w:val="auto"/>
        </w:rPr>
        <w:t>On March 29, 2017, the United Kingdom formally notified the European Council of its intention to leave the EU. It is unclear how long it will take to negotiate a withdrawal agreement, but it appears likely that the withdrawal (commonly referred to as “Brexit”) will continue to involve a process of lengthy negotiations between the United Kingdom and EU member states to determine the future terms of the United Kingdom’s relationship with the EU.</w:t>
      </w:r>
    </w:p>
    <w:p>
      <w:pPr>
        <w:spacing w:after="0" w:line="93"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Lack of clarity about future U.K. laws and regulations as the United Kingdom determines which EU rules and regulations to replace or replicate in the event of a withdrawal, including financial laws and regulations, tax and free trade agreements, intellectual property rights, supply chain logistics, environmental, health and safety laws and regulations, immigration laws and employment laws, could decrease foreign direct investment in the United Kingdom, increase costs, depress economic activity, and restrict access to capital. In addition, depending on the terms of the United Kingdom’s withdrawal from the EU, the United Kingdom could lose the benefits of global trade agreements negotiated by the EU on behalf of its members. The long-term effects of Brexit will depend on any agreements (or lack thereof) between the United Kingdom and the EU and, in particular, any arrangements for the United Kingdom to retain access to EU markets either during a transitional period or more permanently.</w:t>
      </w:r>
    </w:p>
    <w:p>
      <w:pPr>
        <w:spacing w:after="0" w:line="124"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Such a withdrawal from the EU is unprecedented, and it is unclear how the United Kingdom’s access to the European single market for goods, capital, services and labor within the EU, or the European single market, and the wider commercial, legal and regulatory environment, will impact our U.K. operations and our customers located in the United Kingdom. We may also face new regulatory costs and challenges that could have an adverse effect on our operations. The announcement of Brexit has already created economic uncertainty, and its consequences could adversely impact our and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currency exchange rates fluctuate substantially in the future, our financial results, which are reported in U.S. dollars, could be adversely affected.</w:t>
      </w:r>
    </w:p>
    <w:p>
      <w:pPr>
        <w:spacing w:after="0" w:line="194" w:lineRule="exact"/>
        <w:rPr>
          <w:sz w:val="20"/>
          <w:szCs w:val="20"/>
          <w:color w:val="auto"/>
        </w:rPr>
      </w:pPr>
    </w:p>
    <w:p>
      <w:pPr>
        <w:ind w:right="160" w:firstLine="486"/>
        <w:spacing w:after="0" w:line="217" w:lineRule="exact"/>
        <w:rPr>
          <w:sz w:val="20"/>
          <w:szCs w:val="20"/>
          <w:color w:val="auto"/>
        </w:rPr>
      </w:pPr>
      <w:r>
        <w:rPr>
          <w:rFonts w:ascii="Arial" w:cs="Arial" w:eastAsia="Arial" w:hAnsi="Arial"/>
          <w:sz w:val="16"/>
          <w:szCs w:val="16"/>
          <w:color w:val="auto"/>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w:t>
      </w:r>
      <w:r>
        <w:rPr>
          <w:rFonts w:ascii="MS PGothic" w:cs="MS PGothic" w:eastAsia="MS PGothic" w:hAnsi="MS PGothic"/>
          <w:sz w:val="16"/>
          <w:szCs w:val="16"/>
          <w:color w:val="auto"/>
        </w:rPr>
        <w:t>‑</w:t>
      </w:r>
      <w:r>
        <w:rPr>
          <w:rFonts w:ascii="Arial" w:cs="Arial" w:eastAsia="Arial" w:hAnsi="Arial"/>
          <w:sz w:val="16"/>
          <w:szCs w:val="16"/>
          <w:color w:val="auto"/>
        </w:rPr>
        <w:t>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spacing w:after="0" w:line="1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software, and could have a negative impact on our business.</w:t>
      </w:r>
    </w:p>
    <w:p>
      <w:pPr>
        <w:spacing w:after="0" w:line="116" w:lineRule="exact"/>
        <w:rPr>
          <w:sz w:val="20"/>
          <w:szCs w:val="20"/>
          <w:color w:val="auto"/>
        </w:rPr>
      </w:pPr>
    </w:p>
    <w:p>
      <w:pPr>
        <w:ind w:firstLine="486"/>
        <w:spacing w:after="0" w:line="219" w:lineRule="exact"/>
        <w:rPr>
          <w:sz w:val="20"/>
          <w:szCs w:val="20"/>
          <w:color w:val="auto"/>
        </w:rPr>
      </w:pPr>
      <w:r>
        <w:rPr>
          <w:rFonts w:ascii="Arial" w:cs="Arial" w:eastAsia="Arial" w:hAnsi="Arial"/>
          <w:sz w:val="17"/>
          <w:szCs w:val="17"/>
          <w:color w:val="auto"/>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w:t>
      </w:r>
      <w:r>
        <w:rPr>
          <w:rFonts w:ascii="MS PGothic" w:cs="MS PGothic" w:eastAsia="MS PGothic" w:hAnsi="MS PGothic"/>
          <w:sz w:val="17"/>
          <w:szCs w:val="17"/>
          <w:color w:val="auto"/>
        </w:rPr>
        <w:t>‑</w:t>
      </w:r>
      <w:r>
        <w:rPr>
          <w:rFonts w:ascii="Arial" w:cs="Arial" w:eastAsia="Arial" w:hAnsi="Arial"/>
          <w:sz w:val="17"/>
          <w:szCs w:val="17"/>
          <w:color w:val="auto"/>
        </w:rPr>
        <w:t>related commerce or communications generally, resulting in reductions in the demand for internet</w:t>
      </w:r>
      <w:r>
        <w:rPr>
          <w:rFonts w:ascii="MS PGothic" w:cs="MS PGothic" w:eastAsia="MS PGothic" w:hAnsi="MS PGothic"/>
          <w:sz w:val="17"/>
          <w:szCs w:val="17"/>
          <w:color w:val="auto"/>
        </w:rPr>
        <w:t>‑</w:t>
      </w:r>
      <w:r>
        <w:rPr>
          <w:rFonts w:ascii="Arial" w:cs="Arial" w:eastAsia="Arial" w:hAnsi="Arial"/>
          <w:sz w:val="17"/>
          <w:szCs w:val="17"/>
          <w:color w:val="auto"/>
        </w:rPr>
        <w:t>based solutions such as ours.</w:t>
      </w:r>
    </w:p>
    <w:p>
      <w:pPr>
        <w:spacing w:after="0" w:line="149" w:lineRule="exact"/>
        <w:rPr>
          <w:sz w:val="20"/>
          <w:szCs w:val="20"/>
          <w:color w:val="auto"/>
        </w:rPr>
      </w:pPr>
    </w:p>
    <w:p>
      <w:pPr>
        <w:ind w:right="140" w:firstLine="486"/>
        <w:spacing w:after="0" w:line="302" w:lineRule="auto"/>
        <w:rPr>
          <w:sz w:val="20"/>
          <w:szCs w:val="20"/>
          <w:color w:val="auto"/>
        </w:rPr>
      </w:pPr>
      <w:r>
        <w:rPr>
          <w:rFonts w:ascii="Arial" w:cs="Arial" w:eastAsia="Arial" w:hAnsi="Arial"/>
          <w:sz w:val="16"/>
          <w:szCs w:val="16"/>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“ransomware,” “viruses,” “worms,” “malware,” “phishing attacks,” “data breaches” and similar malicious programs, behavior, and events, and the internet has experienced a variety of outages and other delays as a result of</w:t>
      </w:r>
    </w:p>
    <w:p>
      <w:pPr>
        <w:spacing w:after="0" w:line="200" w:lineRule="exact"/>
        <w:rPr>
          <w:sz w:val="20"/>
          <w:szCs w:val="20"/>
          <w:color w:val="auto"/>
        </w:rPr>
      </w:pPr>
    </w:p>
    <w:p>
      <w:pPr>
        <w:spacing w:after="0" w:line="37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1" w:right="27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damage to portions of its infrastructure. If the use of the internet is adversely affected by these issues, demand for our subscription offerings and related services could suffer.</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1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Such authorities could claim that various withholding requirements apply to us or our subsidiaries or assert that benefits of tax treaties are not available to us or our subsidiaries. Any increase in the amount of taxes we pay or that are imposed on us could increase our worldwide effective tax rate and harm our business and results of operations.</w:t>
      </w:r>
    </w:p>
    <w:p>
      <w:pPr>
        <w:spacing w:after="0" w:line="1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70" w:lineRule="exact"/>
        <w:rPr>
          <w:sz w:val="20"/>
          <w:szCs w:val="20"/>
          <w:color w:val="auto"/>
        </w:rPr>
      </w:pPr>
    </w:p>
    <w:p>
      <w:pPr>
        <w:ind w:right="140" w:firstLine="486"/>
        <w:spacing w:after="0" w:line="220" w:lineRule="exact"/>
        <w:rPr>
          <w:sz w:val="20"/>
          <w:szCs w:val="20"/>
          <w:color w:val="auto"/>
        </w:rPr>
      </w:pPr>
      <w:r>
        <w:rPr>
          <w:rFonts w:ascii="Arial" w:cs="Arial" w:eastAsia="Arial" w:hAnsi="Arial"/>
          <w:sz w:val="18"/>
          <w:szCs w:val="18"/>
          <w:color w:val="auto"/>
        </w:rPr>
        <w:t>Our success will depend, in part, on our ability to grow our business in response to changing technologies, customer demands and competitive pressures. In some circumstances, we may choose to do so through the acquisition of businesses and technologies rather than through internal development. The identification of suitable acquisition candidates can be difficult, time</w:t>
      </w:r>
      <w:r>
        <w:rPr>
          <w:rFonts w:ascii="MS PGothic" w:cs="MS PGothic" w:eastAsia="MS PGothic" w:hAnsi="MS PGothic"/>
          <w:sz w:val="18"/>
          <w:szCs w:val="18"/>
          <w:color w:val="auto"/>
        </w:rPr>
        <w:t>‑</w:t>
      </w:r>
      <w:r>
        <w:rPr>
          <w:rFonts w:ascii="Arial" w:cs="Arial" w:eastAsia="Arial" w:hAnsi="Arial"/>
          <w:sz w:val="18"/>
          <w:szCs w:val="18"/>
          <w:color w:val="auto"/>
        </w:rPr>
        <w:t>consuming and costly, and we may not be able to successfully complete identified acquisitions.</w:t>
      </w:r>
    </w:p>
    <w:p>
      <w:pPr>
        <w:spacing w:after="0" w:line="150"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On November 1, 2018, we acquired ObjectLabs Corporation (“mLab”), a privately held company, headquartered in San Francisco, California, that offers cloud database services. The risks we face in connection with this and other potential acquisitions include:</w:t>
      </w:r>
    </w:p>
    <w:p>
      <w:pPr>
        <w:spacing w:after="0" w:line="116" w:lineRule="exact"/>
        <w:rPr>
          <w:sz w:val="20"/>
          <w:szCs w:val="20"/>
          <w:color w:val="auto"/>
        </w:rPr>
      </w:pPr>
    </w:p>
    <w:p>
      <w:pPr>
        <w:ind w:left="1960" w:hanging="1466"/>
        <w:spacing w:after="0" w:line="259" w:lineRule="auto"/>
        <w:tabs>
          <w:tab w:leader="none" w:pos="9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negatively affect our results of operations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132" w:lineRule="exact"/>
        <w:rPr>
          <w:rFonts w:ascii="Arial" w:cs="Arial" w:eastAsia="Arial" w:hAnsi="Arial"/>
          <w:sz w:val="18"/>
          <w:szCs w:val="18"/>
          <w:color w:val="auto"/>
        </w:rPr>
      </w:pPr>
    </w:p>
    <w:p>
      <w:pPr>
        <w:ind w:left="1960" w:right="340" w:hanging="1466"/>
        <w:spacing w:after="0" w:line="308" w:lineRule="auto"/>
        <w:tabs>
          <w:tab w:leader="none" w:pos="988"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92" w:lineRule="exact"/>
        <w:rPr>
          <w:rFonts w:ascii="Arial" w:cs="Arial" w:eastAsia="Arial" w:hAnsi="Arial"/>
          <w:sz w:val="17"/>
          <w:szCs w:val="17"/>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realize anticipated synergies;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171" w:lineRule="exact"/>
        <w:rPr>
          <w:rFonts w:ascii="Arial" w:cs="Arial" w:eastAsia="Arial" w:hAnsi="Arial"/>
          <w:sz w:val="18"/>
          <w:szCs w:val="18"/>
          <w:color w:val="auto"/>
        </w:rPr>
      </w:pPr>
    </w:p>
    <w:p>
      <w:pPr>
        <w:ind w:left="980" w:right="20" w:hanging="486"/>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 and we may experience increased customer churn with respect to the company acquired;</w:t>
      </w:r>
    </w:p>
    <w:p>
      <w:pPr>
        <w:spacing w:after="0" w:line="12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encounter challenges integrating the employees of the acquired company into our company culture;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may be unable to successfully sell any acquired products or increase usage or spend by acquired customers;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use of cash to pay for acquisitions would limit other potential uses for our cash;</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1" w:right="27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980" w:right="440" w:hanging="486"/>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incur debt to fund any acquisitions, such debt may subject us to material restrictions on our ability to conduct our business, including financial maintenance covenants; and</w:t>
      </w:r>
    </w:p>
    <w:p>
      <w:pPr>
        <w:spacing w:after="0" w:line="116"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issue a significant amount of equity securities in connection with future acquisitions, existing stockholders may be diluted and earnings per share may decrease.</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occurrence of any of these risks could have an adverse effect on our business, results of operations and financial condition.</w:t>
      </w:r>
    </w:p>
    <w:p>
      <w:pPr>
        <w:spacing w:after="0" w:line="171"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i w:val="1"/>
          <w:iCs w:val="1"/>
          <w:color w:val="auto"/>
        </w:rPr>
        <w:t>Failure to comply with anti</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bribery, anti</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corruption, and anti</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money laundering laws could subject us to penalties and other adverse consequences.</w:t>
      </w:r>
    </w:p>
    <w:p>
      <w:pPr>
        <w:spacing w:after="0" w:line="194" w:lineRule="exact"/>
        <w:rPr>
          <w:sz w:val="20"/>
          <w:szCs w:val="20"/>
          <w:color w:val="auto"/>
        </w:rPr>
      </w:pPr>
    </w:p>
    <w:p>
      <w:pPr>
        <w:ind w:firstLine="486"/>
        <w:spacing w:after="0" w:line="217" w:lineRule="exact"/>
        <w:rPr>
          <w:sz w:val="20"/>
          <w:szCs w:val="20"/>
          <w:color w:val="auto"/>
        </w:rPr>
      </w:pPr>
      <w:r>
        <w:rPr>
          <w:rFonts w:ascii="Arial" w:cs="Arial" w:eastAsia="Arial" w:hAnsi="Arial"/>
          <w:sz w:val="16"/>
          <w:szCs w:val="16"/>
          <w:color w:val="auto"/>
        </w:rPr>
        <w:t>We are subject to the U.S. Foreign Corrupt Practices Act of 1977, as amended (the “FCPA”), the U.S. Travel Act, the U.K. Bribery Act (the “Bribery Act”), and other anti</w:t>
      </w:r>
      <w:r>
        <w:rPr>
          <w:rFonts w:ascii="MS PGothic" w:cs="MS PGothic" w:eastAsia="MS PGothic" w:hAnsi="MS PGothic"/>
          <w:sz w:val="16"/>
          <w:szCs w:val="16"/>
          <w:color w:val="auto"/>
        </w:rPr>
        <w:t>‑</w:t>
      </w:r>
      <w:r>
        <w:rPr>
          <w:rFonts w:ascii="Arial" w:cs="Arial" w:eastAsia="Arial" w:hAnsi="Arial"/>
          <w:sz w:val="16"/>
          <w:szCs w:val="16"/>
          <w:color w:val="auto"/>
        </w:rPr>
        <w:t>corruption, anti</w:t>
      </w:r>
      <w:r>
        <w:rPr>
          <w:rFonts w:ascii="MS PGothic" w:cs="MS PGothic" w:eastAsia="MS PGothic" w:hAnsi="MS PGothic"/>
          <w:sz w:val="16"/>
          <w:szCs w:val="16"/>
          <w:color w:val="auto"/>
        </w:rPr>
        <w:t>‑</w:t>
      </w:r>
      <w:r>
        <w:rPr>
          <w:rFonts w:ascii="Arial" w:cs="Arial" w:eastAsia="Arial" w:hAnsi="Arial"/>
          <w:sz w:val="16"/>
          <w:szCs w:val="16"/>
          <w:color w:val="auto"/>
        </w:rPr>
        <w:t>bribery and anti</w:t>
      </w:r>
      <w:r>
        <w:rPr>
          <w:rFonts w:ascii="MS PGothic" w:cs="MS PGothic" w:eastAsia="MS PGothic" w:hAnsi="MS PGothic"/>
          <w:sz w:val="16"/>
          <w:szCs w:val="16"/>
          <w:color w:val="auto"/>
        </w:rPr>
        <w:t>‑</w:t>
      </w:r>
      <w:r>
        <w:rPr>
          <w:rFonts w:ascii="Arial" w:cs="Arial" w:eastAsia="Arial" w:hAnsi="Arial"/>
          <w:sz w:val="16"/>
          <w:szCs w:val="16"/>
          <w:color w:val="auto"/>
        </w:rPr>
        <w:t>money laundering laws in various jurisdictions around the world. The FCPA, Bribery Act, and similar applicable laws generally prohibit companies, their officers, directors, employees and third</w:t>
      </w:r>
      <w:r>
        <w:rPr>
          <w:rFonts w:ascii="MS PGothic" w:cs="MS PGothic" w:eastAsia="MS PGothic" w:hAnsi="MS PGothic"/>
          <w:sz w:val="16"/>
          <w:szCs w:val="16"/>
          <w:color w:val="auto"/>
        </w:rPr>
        <w:t>‑</w:t>
      </w:r>
      <w:r>
        <w:rPr>
          <w:rFonts w:ascii="Arial" w:cs="Arial" w:eastAsia="Arial" w:hAnsi="Arial"/>
          <w:sz w:val="16"/>
          <w:szCs w:val="16"/>
          <w:color w:val="auto"/>
        </w:rPr>
        <w:t>party intermediaries, business partners, and agents from making improper payments or providing other improper things of value to government officials or other persons. We and our third</w:t>
      </w:r>
      <w:r>
        <w:rPr>
          <w:rFonts w:ascii="MS PGothic" w:cs="MS PGothic" w:eastAsia="MS PGothic" w:hAnsi="MS PGothic"/>
          <w:sz w:val="16"/>
          <w:szCs w:val="16"/>
          <w:color w:val="auto"/>
        </w:rPr>
        <w:t>‑</w:t>
      </w:r>
      <w:r>
        <w:rPr>
          <w:rFonts w:ascii="Arial" w:cs="Arial" w:eastAsia="Arial" w:hAnsi="Arial"/>
          <w:sz w:val="16"/>
          <w:szCs w:val="16"/>
          <w:color w:val="auto"/>
        </w:rPr>
        <w:t>party intermediaries may have direct or indirect interactions with officials and employees of government agencies or state</w:t>
      </w:r>
      <w:r>
        <w:rPr>
          <w:rFonts w:ascii="MS PGothic" w:cs="MS PGothic" w:eastAsia="MS PGothic" w:hAnsi="MS PGothic"/>
          <w:sz w:val="16"/>
          <w:szCs w:val="16"/>
          <w:color w:val="auto"/>
        </w:rPr>
        <w:t>‑</w:t>
      </w:r>
      <w:r>
        <w:rPr>
          <w:rFonts w:ascii="Arial" w:cs="Arial" w:eastAsia="Arial" w:hAnsi="Arial"/>
          <w:sz w:val="16"/>
          <w:szCs w:val="16"/>
          <w:color w:val="auto"/>
        </w:rPr>
        <w:t>owned or affiliated entities and other third parties where we may be held liable for the corrupt or other illegal activities of these third</w:t>
      </w:r>
      <w:r>
        <w:rPr>
          <w:rFonts w:ascii="MS PGothic" w:cs="MS PGothic" w:eastAsia="MS PGothic" w:hAnsi="MS PGothic"/>
          <w:sz w:val="16"/>
          <w:szCs w:val="16"/>
          <w:color w:val="auto"/>
        </w:rPr>
        <w:t>‑</w:t>
      </w:r>
      <w:r>
        <w:rPr>
          <w:rFonts w:ascii="Arial" w:cs="Arial" w:eastAsia="Arial" w:hAnsi="Arial"/>
          <w:sz w:val="16"/>
          <w:szCs w:val="16"/>
          <w:color w:val="auto"/>
        </w:rPr>
        <w:t>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w:t>
      </w:r>
      <w:r>
        <w:rPr>
          <w:rFonts w:ascii="MS PGothic" w:cs="MS PGothic" w:eastAsia="MS PGothic" w:hAnsi="MS PGothic"/>
          <w:sz w:val="16"/>
          <w:szCs w:val="16"/>
          <w:color w:val="auto"/>
        </w:rPr>
        <w:t>‑</w:t>
      </w:r>
      <w:r>
        <w:rPr>
          <w:rFonts w:ascii="Arial" w:cs="Arial" w:eastAsia="Arial" w:hAnsi="Arial"/>
          <w:sz w:val="16"/>
          <w:szCs w:val="16"/>
          <w:color w:val="auto"/>
        </w:rPr>
        <w:t>party intermediaries, agents, or business partners do not adhere to our policies, procedures, or internal controls, we are committed to taking appropriate remedial action. In the event that we believe or have reason to believe that our directors, officers, employees, third</w:t>
      </w:r>
      <w:r>
        <w:rPr>
          <w:rFonts w:ascii="MS PGothic" w:cs="MS PGothic" w:eastAsia="MS PGothic" w:hAnsi="MS PGothic"/>
          <w:sz w:val="16"/>
          <w:szCs w:val="16"/>
          <w:color w:val="auto"/>
        </w:rPr>
        <w:t>‑</w:t>
      </w:r>
      <w:r>
        <w:rPr>
          <w:rFonts w:ascii="Arial" w:cs="Arial" w:eastAsia="Arial" w:hAnsi="Arial"/>
          <w:sz w:val="16"/>
          <w:szCs w:val="16"/>
          <w:color w:val="auto"/>
        </w:rPr>
        <w:t>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w:t>
      </w:r>
      <w:r>
        <w:rPr>
          <w:rFonts w:ascii="MS PGothic" w:cs="MS PGothic" w:eastAsia="MS PGothic" w:hAnsi="MS PGothic"/>
          <w:sz w:val="16"/>
          <w:szCs w:val="16"/>
          <w:color w:val="auto"/>
        </w:rPr>
        <w:t>‑</w:t>
      </w:r>
      <w:r>
        <w:rPr>
          <w:rFonts w:ascii="Arial" w:cs="Arial" w:eastAsia="Arial" w:hAnsi="Arial"/>
          <w:sz w:val="16"/>
          <w:szCs w:val="16"/>
          <w:color w:val="auto"/>
        </w:rPr>
        <w:t>bribery, anti</w:t>
      </w:r>
      <w:r>
        <w:rPr>
          <w:rFonts w:ascii="MS PGothic" w:cs="MS PGothic" w:eastAsia="MS PGothic" w:hAnsi="MS PGothic"/>
          <w:sz w:val="16"/>
          <w:szCs w:val="16"/>
          <w:color w:val="auto"/>
        </w:rPr>
        <w:t>‑</w:t>
      </w:r>
      <w:r>
        <w:rPr>
          <w:rFonts w:ascii="Arial" w:cs="Arial" w:eastAsia="Arial" w:hAnsi="Arial"/>
          <w:sz w:val="16"/>
          <w:szCs w:val="16"/>
          <w:color w:val="auto"/>
        </w:rPr>
        <w:t>corruption laws, and anti</w:t>
      </w:r>
      <w:r>
        <w:rPr>
          <w:rFonts w:ascii="MS PGothic" w:cs="MS PGothic" w:eastAsia="MS PGothic" w:hAnsi="MS PGothic"/>
          <w:sz w:val="16"/>
          <w:szCs w:val="16"/>
          <w:color w:val="auto"/>
        </w:rPr>
        <w:t>‑</w:t>
      </w:r>
      <w:r>
        <w:rPr>
          <w:rFonts w:ascii="Arial" w:cs="Arial" w:eastAsia="Arial" w:hAnsi="Arial"/>
          <w:sz w:val="16"/>
          <w:szCs w:val="16"/>
          <w:color w:val="auto"/>
        </w:rPr>
        <w:t>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83" w:lineRule="exact"/>
        <w:rPr>
          <w:sz w:val="20"/>
          <w:szCs w:val="20"/>
          <w:color w:val="auto"/>
        </w:rPr>
      </w:pPr>
    </w:p>
    <w:p>
      <w:pPr>
        <w:ind w:right="280" w:firstLine="486"/>
        <w:spacing w:after="0" w:line="286" w:lineRule="auto"/>
        <w:rPr>
          <w:sz w:val="20"/>
          <w:szCs w:val="20"/>
          <w:color w:val="auto"/>
        </w:rPr>
      </w:pPr>
      <w:r>
        <w:rPr>
          <w:rFonts w:ascii="Arial" w:cs="Arial" w:eastAsia="Arial" w:hAnsi="Arial"/>
          <w:sz w:val="17"/>
          <w:szCs w:val="17"/>
          <w:color w:val="auto"/>
        </w:rPr>
        <w:t>Generally accepted accounting principles in the United States (“GAAP”), are subject to interpretation by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11" w:lineRule="exact"/>
        <w:rPr>
          <w:sz w:val="20"/>
          <w:szCs w:val="20"/>
          <w:color w:val="auto"/>
        </w:rPr>
      </w:pPr>
    </w:p>
    <w:p>
      <w:pPr>
        <w:ind w:right="80" w:firstLine="486"/>
        <w:spacing w:after="0" w:line="217" w:lineRule="exact"/>
        <w:rPr>
          <w:sz w:val="20"/>
          <w:szCs w:val="20"/>
          <w:color w:val="auto"/>
        </w:rPr>
      </w:pPr>
      <w:r>
        <w:rPr>
          <w:rFonts w:ascii="Arial" w:cs="Arial" w:eastAsia="Arial" w:hAnsi="Arial"/>
          <w:sz w:val="16"/>
          <w:szCs w:val="16"/>
          <w:color w:val="auto"/>
        </w:rPr>
        <w:t>For example, in May 2014, the FASB issued FASB ASU No. 2014</w:t>
      </w:r>
      <w:r>
        <w:rPr>
          <w:rFonts w:ascii="MS PGothic" w:cs="MS PGothic" w:eastAsia="MS PGothic" w:hAnsi="MS PGothic"/>
          <w:sz w:val="16"/>
          <w:szCs w:val="16"/>
          <w:color w:val="auto"/>
        </w:rPr>
        <w:t>‑</w:t>
      </w:r>
      <w:r>
        <w:rPr>
          <w:rFonts w:ascii="Arial" w:cs="Arial" w:eastAsia="Arial" w:hAnsi="Arial"/>
          <w:sz w:val="16"/>
          <w:szCs w:val="16"/>
          <w:color w:val="auto"/>
        </w:rPr>
        <w:t xml:space="preserve">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which supersedes the revenue recognition requirements in ASC 605, Revenue Recognition. The core principle of ASU 2014</w:t>
      </w:r>
      <w:r>
        <w:rPr>
          <w:rFonts w:ascii="MS PGothic" w:cs="MS PGothic" w:eastAsia="MS PGothic" w:hAnsi="MS PGothic"/>
          <w:sz w:val="16"/>
          <w:szCs w:val="16"/>
          <w:color w:val="auto"/>
        </w:rPr>
        <w:t>‑</w:t>
      </w:r>
      <w:r>
        <w:rPr>
          <w:rFonts w:ascii="Arial" w:cs="Arial" w:eastAsia="Arial" w:hAnsi="Arial"/>
          <w:sz w:val="16"/>
          <w:szCs w:val="16"/>
          <w:color w:val="auto"/>
        </w:rPr>
        <w:t>09 is that an entity should recognize revenue to depict the transfer of promised goods or services to customers in an amount that reflects the consideration to which the entity expects to be entitled in exchange for those goods or services. Prior to January 31, 2019, we qualified as an “emerging growth company,” as defined in the Jump-start Our Business Start-ups Act (“JOBS Act”), which allowed us to delay adoption of new or revised accounting pronouncements applicable to public companies until such pronouncements are made applicable to private companies. We elected to use this extended transition period under the JOBS Act with respect to ASU 2014</w:t>
      </w:r>
      <w:r>
        <w:rPr>
          <w:rFonts w:ascii="MS PGothic" w:cs="MS PGothic" w:eastAsia="MS PGothic" w:hAnsi="MS PGothic"/>
          <w:sz w:val="16"/>
          <w:szCs w:val="16"/>
          <w:color w:val="auto"/>
        </w:rPr>
        <w:t>‑</w:t>
      </w:r>
      <w:r>
        <w:rPr>
          <w:rFonts w:ascii="Arial" w:cs="Arial" w:eastAsia="Arial" w:hAnsi="Arial"/>
          <w:sz w:val="16"/>
          <w:szCs w:val="16"/>
          <w:color w:val="auto"/>
        </w:rPr>
        <w:t xml:space="preserve">09, but subsequently lost our “emerging growth company” status effective January 31, 2019. As a result, we have adopted the new revenue standard for our fiscal year ending January 31, 2019. As further discussed in Note 2 to the Notes to Consolidated Financial Statements included in Part II, Item 8,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w:t>
      </w:r>
      <w:r>
        <w:rPr>
          <w:rFonts w:ascii="Arial" w:cs="Arial" w:eastAsia="Arial" w:hAnsi="Arial"/>
          <w:sz w:val="16"/>
          <w:szCs w:val="16"/>
          <w:color w:val="auto"/>
        </w:rPr>
        <w:t>, of this Form 10-K, the new revenue standard significantly impacted our results for the year ended January 31, 2019 as it changed the way we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 revenue and the timing of revenue recognition related to the term license portion of our subscription revenue. We expect that the new revenue standard will result in greater variability and reduced comparability in our quarterly revenue results.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results of operations could be adversely affected.</w:t>
      </w:r>
    </w:p>
    <w:p>
      <w:pPr>
        <w:spacing w:after="0" w:line="194" w:lineRule="exact"/>
        <w:rPr>
          <w:sz w:val="20"/>
          <w:szCs w:val="20"/>
          <w:color w:val="auto"/>
        </w:rPr>
      </w:pPr>
    </w:p>
    <w:p>
      <w:pPr>
        <w:ind w:right="40" w:firstLine="486"/>
        <w:spacing w:after="0" w:line="217" w:lineRule="exact"/>
        <w:rPr>
          <w:sz w:val="20"/>
          <w:szCs w:val="20"/>
          <w:color w:val="auto"/>
        </w:rPr>
      </w:pPr>
      <w:r>
        <w:rPr>
          <w:rFonts w:ascii="Arial" w:cs="Arial" w:eastAsia="Arial" w:hAnsi="Arial"/>
          <w:sz w:val="16"/>
          <w:szCs w:val="16"/>
          <w:color w:val="auto"/>
        </w:rPr>
        <w:t xml:space="preserve">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Note 2 to the Notes to Consolidated Financial Statements included in Part II, Item 8, </w:t>
      </w:r>
      <w:r>
        <w:rPr>
          <w:rFonts w:ascii="Arial" w:cs="Arial" w:eastAsia="Arial" w:hAnsi="Arial"/>
          <w:sz w:val="16"/>
          <w:szCs w:val="16"/>
          <w:i w:val="1"/>
          <w:iCs w:val="1"/>
          <w:color w:val="auto"/>
        </w:rPr>
        <w:t>Financial Statements</w:t>
      </w:r>
      <w:r>
        <w:rPr>
          <w:rFonts w:ascii="Arial" w:cs="Arial" w:eastAsia="Arial" w:hAnsi="Arial"/>
          <w:sz w:val="16"/>
          <w:szCs w:val="16"/>
          <w:color w:val="auto"/>
        </w:rPr>
        <w:t>, of this Form 10-K. The results of these estimates form the basis for making judgments about the carrying values of assets,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and equity, and the amount of revenue and expenses that are not readily apparent from other sources. Significant assumptions and estimates used in preparing our Consolidated Financial Statements include those related to revenue recognition, allowances for doubtful accounts, fair value of stock</w:t>
      </w:r>
      <w:r>
        <w:rPr>
          <w:rFonts w:ascii="MS PGothic" w:cs="MS PGothic" w:eastAsia="MS PGothic" w:hAnsi="MS PGothic"/>
          <w:sz w:val="16"/>
          <w:szCs w:val="16"/>
          <w:color w:val="auto"/>
        </w:rPr>
        <w:t>‑</w:t>
      </w:r>
      <w:r>
        <w:rPr>
          <w:rFonts w:ascii="Arial" w:cs="Arial" w:eastAsia="Arial" w:hAnsi="Arial"/>
          <w:sz w:val="16"/>
          <w:szCs w:val="16"/>
          <w:color w:val="auto"/>
        </w:rPr>
        <w:t>based awards, fair value of redeemable convertible preferred stock warrants prior to our initial public offering, legal contingencies, fair value of acquired intangible assets and goodwill, useful lives of acquired intangible assets and property and equipment,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5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16" w:lineRule="exact"/>
        <w:rPr>
          <w:sz w:val="20"/>
          <w:szCs w:val="20"/>
          <w:color w:val="auto"/>
        </w:rPr>
      </w:pPr>
    </w:p>
    <w:p>
      <w:pPr>
        <w:ind w:right="180" w:firstLine="486"/>
        <w:spacing w:after="0" w:line="220" w:lineRule="exact"/>
        <w:rPr>
          <w:sz w:val="20"/>
          <w:szCs w:val="20"/>
          <w:color w:val="auto"/>
        </w:rPr>
      </w:pPr>
      <w:r>
        <w:rPr>
          <w:rFonts w:ascii="Arial" w:cs="Arial" w:eastAsia="Arial" w:hAnsi="Arial"/>
          <w:sz w:val="18"/>
          <w:szCs w:val="18"/>
          <w:color w:val="auto"/>
        </w:rPr>
        <w:t>As a public company, we are subject to the reporting requirements of the Exchange Act, the Sarbanes</w:t>
      </w:r>
      <w:r>
        <w:rPr>
          <w:rFonts w:ascii="MS PGothic" w:cs="MS PGothic" w:eastAsia="MS PGothic" w:hAnsi="MS PGothic"/>
          <w:sz w:val="18"/>
          <w:szCs w:val="18"/>
          <w:color w:val="auto"/>
        </w:rPr>
        <w:t>‑</w:t>
      </w:r>
      <w:r>
        <w:rPr>
          <w:rFonts w:ascii="Arial" w:cs="Arial" w:eastAsia="Arial" w:hAnsi="Arial"/>
          <w:sz w:val="18"/>
          <w:szCs w:val="18"/>
          <w:color w:val="auto"/>
        </w:rPr>
        <w:t>Oxley Act, and the rules and regulations of the applicable listing standards of the Nasdaq. We expect that the requirements of these rules and regulations will continue to increase our legal, accounting and financial compliance costs, make some activities more difficult, time</w:t>
      </w:r>
      <w:r>
        <w:rPr>
          <w:rFonts w:ascii="MS PGothic" w:cs="MS PGothic" w:eastAsia="MS PGothic" w:hAnsi="MS PGothic"/>
          <w:sz w:val="18"/>
          <w:szCs w:val="18"/>
          <w:color w:val="auto"/>
        </w:rPr>
        <w:t>‑</w:t>
      </w:r>
      <w:r>
        <w:rPr>
          <w:rFonts w:ascii="Arial" w:cs="Arial" w:eastAsia="Arial" w:hAnsi="Arial"/>
          <w:sz w:val="18"/>
          <w:szCs w:val="18"/>
          <w:color w:val="auto"/>
        </w:rPr>
        <w:t>consuming and costly, and place significant strain on our personnel, systems and resources.</w:t>
      </w:r>
    </w:p>
    <w:p>
      <w:pPr>
        <w:spacing w:after="0" w:line="150" w:lineRule="exact"/>
        <w:rPr>
          <w:sz w:val="20"/>
          <w:szCs w:val="20"/>
          <w:color w:val="auto"/>
        </w:rPr>
      </w:pPr>
    </w:p>
    <w:p>
      <w:pPr>
        <w:ind w:right="40" w:firstLine="486"/>
        <w:spacing w:after="0" w:line="218" w:lineRule="exact"/>
        <w:rPr>
          <w:sz w:val="20"/>
          <w:szCs w:val="20"/>
          <w:color w:val="auto"/>
        </w:rPr>
      </w:pPr>
      <w:r>
        <w:rPr>
          <w:rFonts w:ascii="Arial" w:cs="Arial" w:eastAsia="Arial" w:hAnsi="Arial"/>
          <w:sz w:val="17"/>
          <w:szCs w:val="17"/>
          <w:color w:val="auto"/>
        </w:rPr>
        <w:t>The Sarbanes</w:t>
      </w:r>
      <w:r>
        <w:rPr>
          <w:rFonts w:ascii="MS PGothic" w:cs="MS PGothic" w:eastAsia="MS PGothic" w:hAnsi="MS PGothic"/>
          <w:sz w:val="17"/>
          <w:szCs w:val="17"/>
          <w:color w:val="auto"/>
        </w:rPr>
        <w:t>‑</w:t>
      </w:r>
      <w:r>
        <w:rPr>
          <w:rFonts w:ascii="Arial" w:cs="Arial" w:eastAsia="Arial" w:hAnsi="Arial"/>
          <w:sz w:val="17"/>
          <w:szCs w:val="17"/>
          <w:color w:val="auto"/>
        </w:rPr>
        <w:t>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w:t>
      </w:r>
      <w:r>
        <w:rPr>
          <w:rFonts w:ascii="MS PGothic" w:cs="MS PGothic" w:eastAsia="MS PGothic" w:hAnsi="MS PGothic"/>
          <w:sz w:val="17"/>
          <w:szCs w:val="17"/>
          <w:color w:val="auto"/>
        </w:rPr>
        <w:t>‑</w:t>
      </w:r>
      <w:r>
        <w:rPr>
          <w:rFonts w:ascii="Arial" w:cs="Arial" w:eastAsia="Arial" w:hAnsi="Arial"/>
          <w:sz w:val="17"/>
          <w:szCs w:val="17"/>
          <w:color w:val="auto"/>
        </w:rPr>
        <w:t>related costs and significant management oversight.</w:t>
      </w:r>
    </w:p>
    <w:p>
      <w:pPr>
        <w:spacing w:after="0" w:line="152" w:lineRule="exact"/>
        <w:rPr>
          <w:sz w:val="20"/>
          <w:szCs w:val="20"/>
          <w:color w:val="auto"/>
        </w:rPr>
      </w:pPr>
    </w:p>
    <w:p>
      <w:pPr>
        <w:ind w:firstLine="486"/>
        <w:spacing w:after="0" w:line="217" w:lineRule="exact"/>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We are not currently required to comply with the SEC rules that implement Section 404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152"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We are now required, pursuant to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Effective January 31, 2019, we are no longer an “emerging growth company,” as defined in the JOBS Act. As a result, we are also required to have our independent registered public accounting firm issue an opinion on the effectiveness of our internal control over financial reporting on an annual basis. During the evaluation and testing process, if we identify one or more</w:t>
      </w:r>
    </w:p>
    <w:p>
      <w:pPr>
        <w:spacing w:after="0" w:line="200" w:lineRule="exact"/>
        <w:rPr>
          <w:sz w:val="20"/>
          <w:szCs w:val="20"/>
          <w:color w:val="auto"/>
        </w:rPr>
      </w:pPr>
    </w:p>
    <w:p>
      <w:pPr>
        <w:spacing w:after="0" w:line="37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material weaknesses in our internal control over financial reporting, we will be unable to assert that our internal control over financial reporting is effective. If we are unable to assert that our internal control over financial reporting is effective, or if our independent registered public accounting firm is unable to express an opinion on the effectiveness of our internal control over financial reporting, we could lose investor confidence in the accuracy and completeness of our financial reports, which could have an adverse effect on our business and results of operations and could cause a decline in the price of our Class A common stock, and we may be subject to investigation or sanctions by the SEC.</w:t>
      </w:r>
    </w:p>
    <w:p>
      <w:pPr>
        <w:spacing w:after="0" w:line="1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116"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capital through equity or debt financings. If we raise additional capital, our existing stockholders could suffer significant dilution, and any new equity securities we issue could have rights, preferences and privileges superior to those of holders of our Class A common stock and Class B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spacing w:after="0" w:line="12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116"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As a multinational organization, we may be subject to taxation in several jurisdictions around the world with increasingly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could have a material impact on us and the results of our operations.</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enactment of legislation implementing changes in U.S. taxation of international business activities or the adoption of other tax reform policies could materially impact our financial position and results of operations.</w:t>
      </w:r>
    </w:p>
    <w:p>
      <w:pPr>
        <w:spacing w:after="0" w:line="116" w:lineRule="exact"/>
        <w:rPr>
          <w:sz w:val="20"/>
          <w:szCs w:val="20"/>
          <w:color w:val="auto"/>
        </w:rPr>
      </w:pPr>
    </w:p>
    <w:p>
      <w:pPr>
        <w:ind w:right="260" w:firstLine="486"/>
        <w:spacing w:after="0" w:line="279" w:lineRule="auto"/>
        <w:rPr>
          <w:sz w:val="20"/>
          <w:szCs w:val="20"/>
          <w:color w:val="auto"/>
        </w:rPr>
      </w:pPr>
      <w:r>
        <w:rPr>
          <w:rFonts w:ascii="Arial" w:cs="Arial" w:eastAsia="Arial" w:hAnsi="Arial"/>
          <w:sz w:val="17"/>
          <w:szCs w:val="17"/>
          <w:color w:val="auto"/>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expansion of our international business activities, any changes in the U.S. taxation of such activities may increase our worldwide effective tax rate and adversely affect our financial position and results of operations.</w:t>
      </w:r>
    </w:p>
    <w:p>
      <w:pPr>
        <w:spacing w:after="0" w:line="117" w:lineRule="exact"/>
        <w:rPr>
          <w:sz w:val="20"/>
          <w:szCs w:val="20"/>
          <w:color w:val="auto"/>
        </w:rPr>
      </w:pPr>
    </w:p>
    <w:p>
      <w:pPr>
        <w:ind w:right="220" w:firstLine="486"/>
        <w:spacing w:after="0" w:line="272" w:lineRule="auto"/>
        <w:rPr>
          <w:sz w:val="20"/>
          <w:szCs w:val="20"/>
          <w:color w:val="auto"/>
        </w:rPr>
      </w:pPr>
      <w:r>
        <w:rPr>
          <w:rFonts w:ascii="Arial" w:cs="Arial" w:eastAsia="Arial" w:hAnsi="Arial"/>
          <w:sz w:val="17"/>
          <w:szCs w:val="17"/>
          <w:color w:val="auto"/>
        </w:rPr>
        <w:t xml:space="preserve">In addition, potential tax reform in the United States may result in significant changes to U.S. federal income taxation law, including changes to the U.S. federal income taxation of corporations (including the Company) and/or changes to the U.S. federal income taxation of stockholders in U.S. corporations, including investors in our Class A common stock. For example, the Tax Cuts and Jobs Act of 2017 (the “Tax Act”) was enacted on December 22, 2017 and significantly reformed the Internal Revenue Code of 1986, as amended (the “Code”). For a discussion of the impact of the Tax Act on our financial statements, see Note 13,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included in Part II,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of this Form 10-K. We are currently unable to predict whether any future changes will occur and, if so, the impact of such changes, including on the U.S. federal income tax considerations relating to the purchase, ownership and disposition of our Class A common stock.</w:t>
      </w:r>
    </w:p>
    <w:p>
      <w:pPr>
        <w:spacing w:after="0" w:line="200" w:lineRule="exact"/>
        <w:rPr>
          <w:sz w:val="20"/>
          <w:szCs w:val="20"/>
          <w:color w:val="auto"/>
        </w:rPr>
      </w:pPr>
    </w:p>
    <w:p>
      <w:pPr>
        <w:spacing w:after="0" w:line="39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71" w:lineRule="exact"/>
        <w:rPr>
          <w:sz w:val="20"/>
          <w:szCs w:val="20"/>
          <w:color w:val="auto"/>
        </w:rPr>
      </w:pPr>
    </w:p>
    <w:p>
      <w:pPr>
        <w:ind w:firstLine="486"/>
        <w:spacing w:after="0" w:line="217" w:lineRule="exact"/>
        <w:rPr>
          <w:sz w:val="20"/>
          <w:szCs w:val="20"/>
          <w:color w:val="auto"/>
        </w:rPr>
      </w:pPr>
      <w:r>
        <w:rPr>
          <w:rFonts w:ascii="Arial" w:cs="Arial" w:eastAsia="Arial" w:hAnsi="Arial"/>
          <w:sz w:val="16"/>
          <w:szCs w:val="16"/>
          <w:color w:val="auto"/>
        </w:rPr>
        <w:t>As of January 31, 2019, we had NOL carryforwards for federal, state and Irish income tax purposes of approximately $359.2 million, $239.5 million and $199.5 million, respectively, which may be available to offset taxable income in the future, subject to changes made by the Tax Act with respect to federal NOLs as described below, and which expire in various years beginning in the year ending January 31, 2028 for federal purposes and the year ending January 31, 2020 for state purposes if not utilized. Ireland allows NOLs to be carried forward indefinitely. A lack of future taxable income would adversely affect our ability to utilize these NOLs before they expire. In general, under Section 382 of the Code, a corporation that undergoes an “ownership change” (as defined under Section 382 of the Code and applicable Treasury Regulations) is subject to limitations on its ability to utilize its pre</w:t>
      </w:r>
      <w:r>
        <w:rPr>
          <w:rFonts w:ascii="MS PGothic" w:cs="MS PGothic" w:eastAsia="MS PGothic" w:hAnsi="MS PGothic"/>
          <w:sz w:val="16"/>
          <w:szCs w:val="16"/>
          <w:color w:val="auto"/>
        </w:rPr>
        <w:t>‑</w:t>
      </w:r>
      <w:r>
        <w:rPr>
          <w:rFonts w:ascii="Arial" w:cs="Arial" w:eastAsia="Arial" w:hAnsi="Arial"/>
          <w:sz w:val="16"/>
          <w:szCs w:val="16"/>
          <w:color w:val="auto"/>
        </w:rPr>
        <w:t>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example, the Tax Act included changes to the uses and limitations of NOLs. While the Tax Act allows for federal NOLs incurred in tax years beginning prior to December 31, 2017 to be carried forward indefinitely, the Tax Act also imposes an 80% limitation on the use of federal NOLs that are generated in tax years beginning after December 31, 2017.</w:t>
      </w:r>
    </w:p>
    <w:p>
      <w:pPr>
        <w:spacing w:after="0" w:line="152" w:lineRule="exact"/>
        <w:rPr>
          <w:sz w:val="20"/>
          <w:szCs w:val="20"/>
          <w:color w:val="auto"/>
        </w:rPr>
      </w:pPr>
    </w:p>
    <w:p>
      <w:pPr>
        <w:ind w:right="340" w:firstLine="486"/>
        <w:spacing w:after="0" w:line="308" w:lineRule="auto"/>
        <w:rPr>
          <w:sz w:val="20"/>
          <w:szCs w:val="20"/>
          <w:color w:val="auto"/>
        </w:rPr>
      </w:pPr>
      <w:r>
        <w:rPr>
          <w:rFonts w:ascii="Arial" w:cs="Arial" w:eastAsia="Arial" w:hAnsi="Arial"/>
          <w:sz w:val="17"/>
          <w:szCs w:val="17"/>
          <w:color w:val="auto"/>
        </w:rPr>
        <w:t>For these reasons, we may not be able to utilize a material portion of the NOLs reflected on our balance sheet, even if we attain profitability, which could potentially result in increased future tax liability to us and could adversely affect our results of operations and financial condition.</w:t>
      </w:r>
    </w:p>
    <w:p>
      <w:pPr>
        <w:spacing w:after="0" w:line="9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93" w:lineRule="exact"/>
        <w:rPr>
          <w:sz w:val="20"/>
          <w:szCs w:val="20"/>
          <w:color w:val="auto"/>
        </w:rPr>
      </w:pPr>
    </w:p>
    <w:p>
      <w:pPr>
        <w:ind w:right="120" w:firstLine="486"/>
        <w:spacing w:after="0" w:line="219" w:lineRule="exact"/>
        <w:rPr>
          <w:sz w:val="20"/>
          <w:szCs w:val="20"/>
          <w:color w:val="auto"/>
        </w:rPr>
      </w:pPr>
      <w:r>
        <w:rPr>
          <w:rFonts w:ascii="Arial" w:cs="Arial" w:eastAsia="Arial" w:hAnsi="Arial"/>
          <w:sz w:val="18"/>
          <w:szCs w:val="18"/>
          <w:color w:val="auto"/>
        </w:rPr>
        <w:t>We do not collect sales and use, value added or similar taxes in all jurisdictions in which we have sales, and we have been advised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w:t>
      </w:r>
      <w:r>
        <w:rPr>
          <w:rFonts w:ascii="MS PGothic" w:cs="MS PGothic" w:eastAsia="MS PGothic" w:hAnsi="MS PGothic"/>
          <w:sz w:val="18"/>
          <w:szCs w:val="18"/>
          <w:color w:val="auto"/>
        </w:rPr>
        <w:t>‑</w:t>
      </w:r>
      <w:r>
        <w:rPr>
          <w:rFonts w:ascii="Arial" w:cs="Arial" w:eastAsia="Arial" w:hAnsi="Arial"/>
          <w:sz w:val="18"/>
          <w:szCs w:val="18"/>
          <w:color w:val="auto"/>
        </w:rPr>
        <w:t>customers for the past amounts, and we may be required to collect such taxes in the future. If we are unsuccessful in collecting such taxes from our end</w:t>
      </w:r>
      <w:r>
        <w:rPr>
          <w:rFonts w:ascii="MS PGothic" w:cs="MS PGothic" w:eastAsia="MS PGothic" w:hAnsi="MS PGothic"/>
          <w:sz w:val="18"/>
          <w:szCs w:val="18"/>
          <w:color w:val="auto"/>
        </w:rPr>
        <w:t>‑</w:t>
      </w:r>
      <w:r>
        <w:rPr>
          <w:rFonts w:ascii="Arial" w:cs="Arial" w:eastAsia="Arial" w:hAnsi="Arial"/>
          <w:sz w:val="18"/>
          <w:szCs w:val="18"/>
          <w:color w:val="auto"/>
        </w:rPr>
        <w:t>customers, we could be held liable for such costs. Such tax assessments, penalties and interest, or future requirements may adversely affect our results of operations.</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16" w:lineRule="exact"/>
        <w:rPr>
          <w:sz w:val="20"/>
          <w:szCs w:val="20"/>
          <w:color w:val="auto"/>
        </w:rPr>
      </w:pPr>
    </w:p>
    <w:p>
      <w:pPr>
        <w:ind w:right="320" w:firstLine="486"/>
        <w:spacing w:after="0" w:line="342" w:lineRule="auto"/>
        <w:rPr>
          <w:sz w:val="20"/>
          <w:szCs w:val="20"/>
          <w:color w:val="auto"/>
        </w:rPr>
      </w:pPr>
      <w:r>
        <w:rPr>
          <w:rFonts w:ascii="Arial" w:cs="Arial" w:eastAsia="Arial" w:hAnsi="Arial"/>
          <w:sz w:val="16"/>
          <w:szCs w:val="16"/>
          <w:color w:val="auto"/>
        </w:rPr>
        <w:t>Our offerings are subject to United States export controls, and we incorporate encryption technology into certain of our offerings. These encryption offerings and the underlying technology may be exported outside of the United States only with the required export authorizations, including by license.</w:t>
      </w:r>
    </w:p>
    <w:p>
      <w:pPr>
        <w:spacing w:after="0" w:line="70"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Furthermore, our activities are subject to the U.S. economic sanctions laws and regulations that prohibit the shipment of certain products and services without the required export authorizations or export to countries, governments, and persons targeted by U.S.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spacing w:after="0" w:line="134" w:lineRule="exact"/>
        <w:rPr>
          <w:sz w:val="20"/>
          <w:szCs w:val="20"/>
          <w:color w:val="auto"/>
        </w:rPr>
      </w:pPr>
    </w:p>
    <w:p>
      <w:pPr>
        <w:ind w:right="60" w:firstLine="486"/>
        <w:spacing w:after="0" w:line="220" w:lineRule="exact"/>
        <w:rPr>
          <w:sz w:val="20"/>
          <w:szCs w:val="20"/>
          <w:color w:val="auto"/>
        </w:rPr>
      </w:pPr>
      <w:r>
        <w:rPr>
          <w:rFonts w:ascii="Arial" w:cs="Arial" w:eastAsia="Arial" w:hAnsi="Arial"/>
          <w:sz w:val="18"/>
          <w:szCs w:val="18"/>
          <w:color w:val="auto"/>
        </w:rPr>
        <w:t>We also note that if our channel partners fail to obtain appropriate import, export or re</w:t>
      </w:r>
      <w:r>
        <w:rPr>
          <w:rFonts w:ascii="MS PGothic" w:cs="MS PGothic" w:eastAsia="MS PGothic" w:hAnsi="MS PGothic"/>
          <w:sz w:val="18"/>
          <w:szCs w:val="18"/>
          <w:color w:val="auto"/>
        </w:rPr>
        <w:t>‑</w:t>
      </w:r>
      <w:r>
        <w:rPr>
          <w:rFonts w:ascii="Arial" w:cs="Arial" w:eastAsia="Arial" w:hAnsi="Arial"/>
          <w:sz w:val="18"/>
          <w:szCs w:val="18"/>
          <w:color w:val="auto"/>
        </w:rPr>
        <w:t>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w:t>
      </w:r>
      <w:r>
        <w:rPr>
          <w:rFonts w:ascii="MS PGothic" w:cs="MS PGothic" w:eastAsia="MS PGothic" w:hAnsi="MS PGothic"/>
          <w:sz w:val="18"/>
          <w:szCs w:val="18"/>
          <w:color w:val="auto"/>
        </w:rPr>
        <w:t>‑</w:t>
      </w:r>
      <w:r>
        <w:rPr>
          <w:rFonts w:ascii="Arial" w:cs="Arial" w:eastAsia="Arial" w:hAnsi="Arial"/>
          <w:sz w:val="18"/>
          <w:szCs w:val="18"/>
          <w:color w:val="auto"/>
        </w:rPr>
        <w:t>consuming and may result in the delay or loss of sales opportunities.</w:t>
      </w:r>
    </w:p>
    <w:p>
      <w:pPr>
        <w:spacing w:after="0" w:line="150"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If we fail to comply with U.S. sanctions and export control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200" w:lineRule="exact"/>
        <w:rPr>
          <w:sz w:val="20"/>
          <w:szCs w:val="20"/>
          <w:color w:val="auto"/>
        </w:rPr>
      </w:pPr>
    </w:p>
    <w:p>
      <w:pPr>
        <w:spacing w:after="0" w:line="40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Also, various countries, in addition to the United States, regulate the import and export of certain encryption and other technology, including import and export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spacing w:after="0" w:line="143" w:lineRule="exact"/>
        <w:rPr>
          <w:sz w:val="20"/>
          <w:szCs w:val="20"/>
          <w:color w:val="auto"/>
        </w:rPr>
      </w:pPr>
    </w:p>
    <w:p>
      <w:pPr>
        <w:ind w:right="100"/>
        <w:spacing w:after="0" w:line="223" w:lineRule="exact"/>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and to interruption by man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made problems such as power disruptions, computer viruses, data security breaches or terrorism.</w:t>
      </w:r>
    </w:p>
    <w:p>
      <w:pPr>
        <w:spacing w:after="0" w:line="149" w:lineRule="exact"/>
        <w:rPr>
          <w:sz w:val="20"/>
          <w:szCs w:val="20"/>
          <w:color w:val="auto"/>
        </w:rPr>
      </w:pPr>
    </w:p>
    <w:p>
      <w:pPr>
        <w:ind w:firstLine="486"/>
        <w:spacing w:after="0" w:line="218" w:lineRule="exact"/>
        <w:rPr>
          <w:sz w:val="20"/>
          <w:szCs w:val="20"/>
          <w:color w:val="auto"/>
        </w:rPr>
      </w:pPr>
      <w:r>
        <w:rPr>
          <w:rFonts w:ascii="Arial" w:cs="Arial" w:eastAsia="Arial" w:hAnsi="Arial"/>
          <w:sz w:val="17"/>
          <w:szCs w:val="17"/>
          <w:color w:val="auto"/>
        </w:rPr>
        <w:t>Our corporate headquarters is located in New York City, and we have offices in 37 other locations. A significant natural disaster or man</w:t>
      </w:r>
      <w:r>
        <w:rPr>
          <w:rFonts w:ascii="MS PGothic" w:cs="MS PGothic" w:eastAsia="MS PGothic" w:hAnsi="MS PGothic"/>
          <w:sz w:val="17"/>
          <w:szCs w:val="17"/>
          <w:color w:val="auto"/>
        </w:rPr>
        <w:t>‑</w:t>
      </w:r>
      <w:r>
        <w:rPr>
          <w:rFonts w:ascii="Arial" w:cs="Arial" w:eastAsia="Arial" w:hAnsi="Arial"/>
          <w:sz w:val="17"/>
          <w:szCs w:val="17"/>
          <w:color w:val="auto"/>
        </w:rPr>
        <w:t>made problem, such as an earthquake, fire, flood or an act of terrorism, occurring in any of these locations, or where a business partner is located, could adversely affect our business, results of operations and financial condition. Further, if a natural disaster or man</w:t>
      </w:r>
      <w:r>
        <w:rPr>
          <w:rFonts w:ascii="MS PGothic" w:cs="MS PGothic" w:eastAsia="MS PGothic" w:hAnsi="MS PGothic"/>
          <w:sz w:val="17"/>
          <w:szCs w:val="17"/>
          <w:color w:val="auto"/>
        </w:rPr>
        <w:t>‑</w:t>
      </w:r>
      <w:r>
        <w:rPr>
          <w:rFonts w:ascii="Arial" w:cs="Arial" w:eastAsia="Arial" w:hAnsi="Arial"/>
          <w:sz w:val="17"/>
          <w:szCs w:val="17"/>
          <w:color w:val="auto"/>
        </w:rPr>
        <w:t>made problem were to affect datacenters used by our cloud infrastructure service providers this could adversely affect the ability of our customers to use our products. In addition, natural disasters and acts of terrorism could cause disruptions in our or our customers’ businesses, national economies or the world economy as a whole. In the event of a major disruption caused by a natural disaster or man</w:t>
      </w:r>
      <w:r>
        <w:rPr>
          <w:rFonts w:ascii="MS PGothic" w:cs="MS PGothic" w:eastAsia="MS PGothic" w:hAnsi="MS PGothic"/>
          <w:sz w:val="17"/>
          <w:szCs w:val="17"/>
          <w:color w:val="auto"/>
        </w:rPr>
        <w:t>‑</w:t>
      </w:r>
      <w:r>
        <w:rPr>
          <w:rFonts w:ascii="Arial" w:cs="Arial" w:eastAsia="Arial" w:hAnsi="Arial"/>
          <w:sz w:val="17"/>
          <w:szCs w:val="17"/>
          <w:color w:val="auto"/>
        </w:rPr>
        <w:t>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51"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In addition, as computer malware, viruses and computer hacking, fraudulent use attempts and phishing attacks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prior to the completion of our IPO, including our executive officers, employees and directors and their affiliates, which will limit your ability to influence the outcome of important transactions, including a change in control.</w:t>
      </w:r>
    </w:p>
    <w:p>
      <w:pPr>
        <w:spacing w:after="0" w:line="127"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Class B common stock has 10 votes per share, and our Class A common stock has one vote per share. As a result, as of January 31, 2019, holders of our Class B common stock represented approximately 83% of the voting power of our outstanding capital stock and our directors, executive officers, and each of their affiliated entities, represented approximately 71% of the voting power of our outstanding capital stock. This concentrated control will limit the ability of holders of our Class A common stock to influence corporate matters for the foreseeable future. For example, holders of our Class B common stock will be able to control all matters submitted to our stockholders for approval even when the shares of Class B common stock represent a small minority of all outstanding shares of our Class A common stock and Class B common stock, including amendments of our amended and restated certificate of incorporation or amended and restated bylaws, increases to the number of shares available for issuance under our equity incentive plans or adoption of new equity incentive plans and approval of any merger or sale of assets for the foreseeable future. Holders of our Class B common stock may also have interests that differ from the interests of holders of our Class A common stock and may vote in a way with which holders of our Class A common stock may disagree and which may be adverse to such holders’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126" w:lineRule="exact"/>
        <w:rPr>
          <w:sz w:val="20"/>
          <w:szCs w:val="20"/>
          <w:color w:val="auto"/>
        </w:rPr>
      </w:pPr>
    </w:p>
    <w:p>
      <w:pPr>
        <w:jc w:val="both"/>
        <w:ind w:right="280" w:firstLine="486"/>
        <w:spacing w:after="0" w:line="302" w:lineRule="auto"/>
        <w:rPr>
          <w:sz w:val="20"/>
          <w:szCs w:val="20"/>
          <w:color w:val="auto"/>
        </w:rPr>
      </w:pPr>
      <w:r>
        <w:rPr>
          <w:rFonts w:ascii="Arial" w:cs="Arial" w:eastAsia="Arial" w:hAnsi="Arial"/>
          <w:sz w:val="16"/>
          <w:szCs w:val="16"/>
          <w:color w:val="auto"/>
        </w:rPr>
        <w:t>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 For example, as of January 31, 2019, Kevin P. Ryan, Eliot Horowitz and Dwight Merriman represented</w:t>
      </w:r>
    </w:p>
    <w:p>
      <w:pPr>
        <w:spacing w:after="0" w:line="200" w:lineRule="exact"/>
        <w:rPr>
          <w:sz w:val="20"/>
          <w:szCs w:val="20"/>
          <w:color w:val="auto"/>
        </w:rPr>
      </w:pPr>
    </w:p>
    <w:p>
      <w:pPr>
        <w:spacing w:after="0" w:line="37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approximately 33% of the voting power of our outstanding capital stock, and if they retain a significant portion of their holdings of our Class B common stock for an extended period of time, they could control a significant portion of the voting power of our capital stock for the foreseeable future. As board members, Messrs. Ryan and Horowitz each owe a fiduciary duty to our stockholders and must act in good faith and in a manner they each reasonably believe to be in the best interests of our stockholders. As stockholders, Messrs. Ryan, Horowitz and Merriman are entitled to vote their shares in their own interests, which may not always be in the interests of our stockholders generally.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our stock price or our business.</w:t>
      </w:r>
    </w:p>
    <w:p>
      <w:pPr>
        <w:spacing w:after="0" w:line="171" w:lineRule="exact"/>
        <w:rPr>
          <w:sz w:val="20"/>
          <w:szCs w:val="20"/>
          <w:color w:val="auto"/>
        </w:rPr>
      </w:pPr>
    </w:p>
    <w:p>
      <w:pPr>
        <w:ind w:right="20" w:firstLine="486"/>
        <w:spacing w:after="0" w:line="218" w:lineRule="exact"/>
        <w:rPr>
          <w:sz w:val="20"/>
          <w:szCs w:val="20"/>
          <w:color w:val="auto"/>
        </w:rPr>
      </w:pPr>
      <w:r>
        <w:rPr>
          <w:rFonts w:ascii="Arial" w:cs="Arial" w:eastAsia="Arial" w:hAnsi="Arial"/>
          <w:sz w:val="16"/>
          <w:szCs w:val="16"/>
          <w:color w:val="auto"/>
        </w:rPr>
        <w:t>We cannot predict whether our dual class structure, combined with the concentrated control of our stockholders who held our capital stock prior to the completion of our IPO,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w:t>
      </w:r>
      <w:r>
        <w:rPr>
          <w:rFonts w:ascii="MS PGothic" w:cs="MS PGothic" w:eastAsia="MS PGothic" w:hAnsi="MS PGothic"/>
          <w:sz w:val="16"/>
          <w:szCs w:val="16"/>
          <w:color w:val="auto"/>
        </w:rPr>
        <w:t>‑</w:t>
      </w:r>
      <w:r>
        <w:rPr>
          <w:rFonts w:ascii="Arial" w:cs="Arial" w:eastAsia="Arial" w:hAnsi="Arial"/>
          <w:sz w:val="16"/>
          <w:szCs w:val="16"/>
          <w:color w:val="auto"/>
        </w:rPr>
        <w:t>class share structures in certain of their indexes. In July 2017, S&amp;P Dow Jones announced that it will no longer admit companies with multiple</w:t>
      </w:r>
      <w:r>
        <w:rPr>
          <w:rFonts w:ascii="MS PGothic" w:cs="MS PGothic" w:eastAsia="MS PGothic" w:hAnsi="MS PGothic"/>
          <w:sz w:val="16"/>
          <w:szCs w:val="16"/>
          <w:color w:val="auto"/>
        </w:rPr>
        <w:t>‑</w:t>
      </w:r>
      <w:r>
        <w:rPr>
          <w:rFonts w:ascii="Arial" w:cs="Arial" w:eastAsia="Arial" w:hAnsi="Arial"/>
          <w:sz w:val="16"/>
          <w:szCs w:val="16"/>
          <w:color w:val="auto"/>
        </w:rPr>
        <w:t>class share structures to certain of its indexes. Because of our dual class structure, we will likely be excluded from these indexes and we cannot assure you that other stock indexes will not take similar actions.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common stock has been and is likely to continue to be volatile, which could cause the value of our Class A common stock to decline.</w:t>
      </w:r>
    </w:p>
    <w:p>
      <w:pPr>
        <w:spacing w:after="0" w:line="11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Technology stocks have historically experienced high levels of volatility. The trading price of our Class A common has been and is likely to continue to be volatile. Factors that could cause fluctuations in the trading price of our Class A common stock include the following:</w:t>
      </w:r>
    </w:p>
    <w:p>
      <w:pPr>
        <w:spacing w:after="0" w:line="116"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acquisitions or other events by us or our competitors;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how customers perceive the benefits of our product and future product offerings and releases;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large blocks of our Class A common stock;</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actual or future expectations of investors or securities analysts;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data breach involving our software;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major catastrophic events in our domestic and foreign markets;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“flash crashes,” “freeze flashes” or other glitches that disrupt trading on the securities exchange on which we are listed.</w:t>
      </w:r>
    </w:p>
    <w:p>
      <w:pPr>
        <w:spacing w:after="0" w:line="171" w:lineRule="exact"/>
        <w:rPr>
          <w:sz w:val="20"/>
          <w:szCs w:val="20"/>
          <w:color w:val="auto"/>
        </w:rPr>
      </w:pPr>
    </w:p>
    <w:p>
      <w:pPr>
        <w:jc w:val="both"/>
        <w:ind w:right="520" w:firstLine="486"/>
        <w:spacing w:after="0" w:line="264" w:lineRule="auto"/>
        <w:rPr>
          <w:sz w:val="20"/>
          <w:szCs w:val="20"/>
          <w:color w:val="auto"/>
        </w:rPr>
      </w:pPr>
      <w:r>
        <w:rPr>
          <w:rFonts w:ascii="Arial" w:cs="Arial" w:eastAsia="Arial" w:hAnsi="Arial"/>
          <w:sz w:val="18"/>
          <w:szCs w:val="18"/>
          <w:color w:val="auto"/>
        </w:rPr>
        <w:t>In addition, if the market for technology stocks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w:t>
      </w:r>
    </w:p>
    <w:p>
      <w:pPr>
        <w:spacing w:after="0" w:line="200" w:lineRule="exact"/>
        <w:rPr>
          <w:sz w:val="20"/>
          <w:szCs w:val="20"/>
          <w:color w:val="auto"/>
        </w:rPr>
      </w:pPr>
    </w:p>
    <w:p>
      <w:pPr>
        <w:spacing w:after="0" w:line="40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spacing w:after="0" w:line="133"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b w:val="1"/>
          <w:bCs w:val="1"/>
          <w:i w:val="1"/>
          <w:iCs w:val="1"/>
          <w:color w:val="auto"/>
        </w:rPr>
        <w:t>If securities analysts or industry analysts were to downgrade our stock, publish negative research or reports or fail to publish reports about our business, our competitive position could suffer, and our stock price and trading volume could decline.</w:t>
      </w:r>
    </w:p>
    <w:p>
      <w:pPr>
        <w:spacing w:after="0" w:line="116" w:lineRule="exact"/>
        <w:rPr>
          <w:sz w:val="20"/>
          <w:szCs w:val="20"/>
          <w:color w:val="auto"/>
        </w:rPr>
      </w:pPr>
    </w:p>
    <w:p>
      <w:pPr>
        <w:jc w:val="both"/>
        <w:ind w:right="100" w:firstLine="486"/>
        <w:spacing w:after="0" w:line="259" w:lineRule="auto"/>
        <w:rPr>
          <w:sz w:val="20"/>
          <w:szCs w:val="20"/>
          <w:color w:val="auto"/>
        </w:rPr>
      </w:pPr>
      <w:r>
        <w:rPr>
          <w:rFonts w:ascii="Arial" w:cs="Arial" w:eastAsia="Arial" w:hAnsi="Arial"/>
          <w:sz w:val="18"/>
          <w:szCs w:val="18"/>
          <w:color w:val="auto"/>
        </w:rPr>
        <w:t>The trading market for our Class A common stock will, to some extent, depend on the research and reports that securities or industry analysts publish about us or our business. We do not have any control over these analysts. If one or more of the analysts who cover us should downgrade our stock or publish negative research or reports, cease coverage of our company or fail to regularly publish reports about our business, our competitive position could suffer, and our stock price and trading volume could decline.</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16"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Class A common stock for the foreseeable future.</w:t>
      </w:r>
    </w:p>
    <w:p>
      <w:pPr>
        <w:spacing w:after="0" w:line="171" w:lineRule="exact"/>
        <w:rPr>
          <w:sz w:val="20"/>
          <w:szCs w:val="20"/>
          <w:color w:val="auto"/>
        </w:rPr>
      </w:pPr>
    </w:p>
    <w:p>
      <w:pPr>
        <w:jc w:val="both"/>
        <w:ind w:right="380" w:firstLine="486"/>
        <w:spacing w:after="0" w:line="264" w:lineRule="auto"/>
        <w:rPr>
          <w:sz w:val="20"/>
          <w:szCs w:val="20"/>
          <w:color w:val="auto"/>
        </w:rPr>
      </w:pPr>
      <w:r>
        <w:rPr>
          <w:rFonts w:ascii="Arial" w:cs="Arial" w:eastAsia="Arial" w:hAnsi="Arial"/>
          <w:sz w:val="18"/>
          <w:szCs w:val="18"/>
          <w:color w:val="auto"/>
        </w:rPr>
        <w:t>We have never declared or paid any dividends on our capital stock. We intend to retain any earnings to finance the operation and expansion of our business, and we do not anticipate paying any dividends in the foreseeable future. As a result, investors in our Class A common stock may only receive a return if the market price of our Class A common stock increases.</w:t>
      </w:r>
    </w:p>
    <w:p>
      <w:pPr>
        <w:spacing w:after="0" w:line="127"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116"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 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24"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Being a public company under these rules and regulations has made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executive officers or members of our board of directors, particularly to serve on our audit and compensation committees.</w:t>
      </w:r>
    </w:p>
    <w:p>
      <w:pPr>
        <w:spacing w:after="0" w:line="93" w:lineRule="exact"/>
        <w:rPr>
          <w:sz w:val="20"/>
          <w:szCs w:val="20"/>
          <w:color w:val="auto"/>
        </w:rPr>
      </w:pPr>
    </w:p>
    <w:p>
      <w:pPr>
        <w:ind w:right="160" w:firstLine="486"/>
        <w:spacing w:after="0" w:line="302" w:lineRule="auto"/>
        <w:rPr>
          <w:sz w:val="20"/>
          <w:szCs w:val="20"/>
          <w:color w:val="auto"/>
        </w:rPr>
      </w:pPr>
      <w:r>
        <w:rPr>
          <w:rFonts w:ascii="Arial" w:cs="Arial" w:eastAsia="Arial" w:hAnsi="Arial"/>
          <w:sz w:val="16"/>
          <w:szCs w:val="16"/>
          <w:color w:val="auto"/>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spacing w:after="0" w:line="200" w:lineRule="exact"/>
        <w:rPr>
          <w:sz w:val="20"/>
          <w:szCs w:val="20"/>
          <w:color w:val="auto"/>
        </w:rPr>
      </w:pPr>
    </w:p>
    <w:p>
      <w:pPr>
        <w:spacing w:after="0" w:line="37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w:t>
      </w:r>
    </w:p>
    <w:p>
      <w:pPr>
        <w:spacing w:after="0" w:line="183"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71" w:lineRule="exact"/>
        <w:rPr>
          <w:rFonts w:ascii="Arial" w:cs="Arial" w:eastAsia="Arial" w:hAnsi="Arial"/>
          <w:sz w:val="18"/>
          <w:szCs w:val="18"/>
          <w:color w:val="auto"/>
        </w:rPr>
      </w:pPr>
    </w:p>
    <w:p>
      <w:pPr>
        <w:ind w:left="1960" w:right="900" w:hanging="1466"/>
        <w:spacing w:after="0" w:line="277" w:lineRule="auto"/>
        <w:tabs>
          <w:tab w:leader="none" w:pos="9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116" w:lineRule="exact"/>
        <w:rPr>
          <w:rFonts w:ascii="Arial" w:cs="Arial" w:eastAsia="Arial" w:hAnsi="Arial"/>
          <w:sz w:val="18"/>
          <w:szCs w:val="18"/>
          <w:color w:val="auto"/>
        </w:rPr>
      </w:pPr>
    </w:p>
    <w:p>
      <w:pPr>
        <w:ind w:left="980" w:hanging="486"/>
        <w:spacing w:after="0" w:line="207" w:lineRule="exact"/>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w:t>
      </w:r>
      <w:r>
        <w:rPr>
          <w:rFonts w:ascii="MS PGothic" w:cs="MS PGothic" w:eastAsia="MS PGothic" w:hAnsi="MS PGothic"/>
          <w:sz w:val="18"/>
          <w:szCs w:val="18"/>
          <w:color w:val="auto"/>
        </w:rPr>
        <w:t>‑</w:t>
      </w:r>
      <w:r>
        <w:rPr>
          <w:rFonts w:ascii="Arial" w:cs="Arial" w:eastAsia="Arial" w:hAnsi="Arial"/>
          <w:sz w:val="18"/>
          <w:szCs w:val="18"/>
          <w:color w:val="auto"/>
        </w:rPr>
        <w:t>affairs doctrine.</w:t>
      </w:r>
    </w:p>
    <w:p>
      <w:pPr>
        <w:spacing w:after="0" w:line="171"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116" w:lineRule="exact"/>
        <w:rPr>
          <w:sz w:val="20"/>
          <w:szCs w:val="20"/>
          <w:color w:val="auto"/>
        </w:rPr>
      </w:pPr>
    </w:p>
    <w:p>
      <w:pPr>
        <w:ind w:firstLine="486"/>
        <w:spacing w:after="0" w:line="220" w:lineRule="exact"/>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w:t>
      </w:r>
      <w:r>
        <w:rPr>
          <w:rFonts w:ascii="MS PGothic" w:cs="MS PGothic" w:eastAsia="MS PGothic" w:hAnsi="MS PGothic"/>
          <w:sz w:val="17"/>
          <w:szCs w:val="17"/>
          <w:color w:val="auto"/>
        </w:rPr>
        <w:t>‑</w:t>
      </w:r>
      <w:r>
        <w:rPr>
          <w:rFonts w:ascii="Arial" w:cs="Arial" w:eastAsia="Arial" w:hAnsi="Arial"/>
          <w:sz w:val="17"/>
          <w:szCs w:val="17"/>
          <w:color w:val="auto"/>
        </w:rPr>
        <w:t>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50" w:lineRule="exact"/>
        <w:rPr>
          <w:sz w:val="20"/>
          <w:szCs w:val="20"/>
          <w:color w:val="auto"/>
        </w:rPr>
      </w:pPr>
    </w:p>
    <w:p>
      <w:pPr>
        <w:ind w:right="660" w:firstLine="486"/>
        <w:spacing w:after="0" w:line="223" w:lineRule="exact"/>
        <w:rPr>
          <w:sz w:val="20"/>
          <w:szCs w:val="20"/>
          <w:color w:val="auto"/>
        </w:rPr>
      </w:pPr>
      <w:r>
        <w:rPr>
          <w:rFonts w:ascii="Arial" w:cs="Arial" w:eastAsia="Arial" w:hAnsi="Arial"/>
          <w:sz w:val="18"/>
          <w:szCs w:val="18"/>
          <w:b w:val="1"/>
          <w:bCs w:val="1"/>
          <w:i w:val="1"/>
          <w:iCs w:val="1"/>
          <w:color w:val="auto"/>
        </w:rPr>
        <w:t>Delaware law and our corporate charter and bylaws contain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takeover provisions that could delay or discourage takeover attempts that stockholders may consider favorable.</w:t>
      </w:r>
    </w:p>
    <w:p>
      <w:pPr>
        <w:spacing w:after="0" w:line="149"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111" w:lineRule="exact"/>
        <w:rPr>
          <w:sz w:val="20"/>
          <w:szCs w:val="20"/>
          <w:color w:val="auto"/>
        </w:rPr>
      </w:pPr>
    </w:p>
    <w:p>
      <w:pPr>
        <w:ind w:left="1960" w:right="380" w:hanging="1466"/>
        <w:spacing w:after="0" w:line="223" w:lineRule="exact"/>
        <w:tabs>
          <w:tab w:leader="none" w:pos="9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classified board of directors with three</w:t>
      </w:r>
      <w:r>
        <w:rPr>
          <w:rFonts w:ascii="MS PGothic" w:cs="MS PGothic" w:eastAsia="MS PGothic" w:hAnsi="MS PGothic"/>
          <w:sz w:val="18"/>
          <w:szCs w:val="18"/>
          <w:color w:val="auto"/>
        </w:rPr>
        <w:t>‑</w:t>
      </w:r>
      <w:r>
        <w:rPr>
          <w:rFonts w:ascii="Arial" w:cs="Arial" w:eastAsia="Arial" w:hAnsi="Arial"/>
          <w:sz w:val="18"/>
          <w:szCs w:val="18"/>
          <w:color w:val="auto"/>
        </w:rPr>
        <w:t>year staggered terms, which could delay the ability of stockholders to change the membership of a majority of our board of directors;</w:t>
      </w:r>
    </w:p>
    <w:p>
      <w:pPr>
        <w:spacing w:after="0" w:line="149" w:lineRule="exact"/>
        <w:rPr>
          <w:rFonts w:ascii="Arial" w:cs="Arial" w:eastAsia="Arial" w:hAnsi="Arial"/>
          <w:sz w:val="18"/>
          <w:szCs w:val="18"/>
          <w:color w:val="auto"/>
        </w:rPr>
      </w:pPr>
    </w:p>
    <w:p>
      <w:pPr>
        <w:ind w:left="1960" w:right="100" w:hanging="1466"/>
        <w:spacing w:after="0" w:line="264" w:lineRule="auto"/>
        <w:tabs>
          <w:tab w:leader="none" w:pos="9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27" w:lineRule="exact"/>
        <w:rPr>
          <w:rFonts w:ascii="Arial" w:cs="Arial" w:eastAsia="Arial" w:hAnsi="Arial"/>
          <w:sz w:val="18"/>
          <w:szCs w:val="18"/>
          <w:color w:val="auto"/>
        </w:rPr>
      </w:pPr>
    </w:p>
    <w:p>
      <w:pPr>
        <w:ind w:left="1960" w:right="20" w:hanging="1466"/>
        <w:spacing w:after="0" w:line="342" w:lineRule="auto"/>
        <w:tabs>
          <w:tab w:leader="none" w:pos="988"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69" w:lineRule="exact"/>
        <w:rPr>
          <w:rFonts w:ascii="Arial" w:cs="Arial" w:eastAsia="Arial" w:hAnsi="Arial"/>
          <w:sz w:val="16"/>
          <w:szCs w:val="16"/>
          <w:color w:val="auto"/>
        </w:rPr>
      </w:pPr>
    </w:p>
    <w:p>
      <w:pPr>
        <w:ind w:left="1960" w:right="540" w:hanging="1466"/>
        <w:spacing w:after="0" w:line="277" w:lineRule="auto"/>
        <w:tabs>
          <w:tab w:leader="none" w:pos="9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6" w:lineRule="exact"/>
        <w:rPr>
          <w:rFonts w:ascii="Arial" w:cs="Arial" w:eastAsia="Arial" w:hAnsi="Arial"/>
          <w:sz w:val="18"/>
          <w:szCs w:val="18"/>
          <w:color w:val="auto"/>
        </w:rPr>
      </w:pPr>
    </w:p>
    <w:p>
      <w:pPr>
        <w:ind w:left="1960" w:right="240" w:hanging="1466"/>
        <w:spacing w:after="0" w:line="286" w:lineRule="auto"/>
        <w:tabs>
          <w:tab w:leader="none" w:pos="98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our board of directors, the chairperson of our board of directors, our chief executive officer or our president (in the absence of a chief executive officer), which could delay the ability of our stockholders to force consideration of a proposal or to take action, including the removal of directors;</w:t>
      </w:r>
    </w:p>
    <w:p>
      <w:pPr>
        <w:spacing w:after="0" w:line="111" w:lineRule="exact"/>
        <w:rPr>
          <w:rFonts w:ascii="Arial" w:cs="Arial" w:eastAsia="Arial" w:hAnsi="Arial"/>
          <w:sz w:val="17"/>
          <w:szCs w:val="17"/>
          <w:color w:val="auto"/>
        </w:rPr>
      </w:pPr>
    </w:p>
    <w:p>
      <w:pPr>
        <w:jc w:val="both"/>
        <w:ind w:left="1960" w:right="200" w:hanging="1466"/>
        <w:spacing w:after="0" w:line="302" w:lineRule="auto"/>
        <w:tabs>
          <w:tab w:leader="none" w:pos="988"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requirement for the affirmative vote of holders of a majority of the voting power of all of the then outstanding shares of the voting stock, voting together as a single class,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spacing w:after="0" w:line="200" w:lineRule="exact"/>
        <w:rPr>
          <w:sz w:val="20"/>
          <w:szCs w:val="20"/>
          <w:color w:val="auto"/>
        </w:rPr>
      </w:pPr>
    </w:p>
    <w:p>
      <w:pPr>
        <w:spacing w:after="0" w:line="37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right"/>
        <w:ind w:left="1960" w:right="580" w:hanging="1466"/>
        <w:spacing w:after="0" w:line="342" w:lineRule="auto"/>
        <w:tabs>
          <w:tab w:leader="none" w:pos="98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w:t>
      </w:r>
    </w:p>
    <w:p>
      <w:pPr>
        <w:spacing w:after="0" w:line="69" w:lineRule="exact"/>
        <w:rPr>
          <w:rFonts w:ascii="Arial" w:cs="Arial" w:eastAsia="Arial" w:hAnsi="Arial"/>
          <w:sz w:val="16"/>
          <w:szCs w:val="16"/>
          <w:color w:val="auto"/>
        </w:rPr>
      </w:pPr>
    </w:p>
    <w:p>
      <w:pPr>
        <w:ind w:left="1960" w:right="20" w:hanging="1466"/>
        <w:spacing w:after="0" w:line="286" w:lineRule="auto"/>
        <w:tabs>
          <w:tab w:leader="none" w:pos="988"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and</w:t>
      </w:r>
    </w:p>
    <w:p>
      <w:pPr>
        <w:spacing w:after="0" w:line="111" w:lineRule="exact"/>
        <w:rPr>
          <w:rFonts w:ascii="Arial" w:cs="Arial" w:eastAsia="Arial" w:hAnsi="Arial"/>
          <w:sz w:val="17"/>
          <w:szCs w:val="17"/>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authorization of two classes of common stock, as discussed above.</w:t>
      </w:r>
    </w:p>
    <w:p>
      <w:pPr>
        <w:spacing w:after="0" w:line="171"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Outstanding Notes</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a significant amount of debt and may incur additional debt in the future. We may not have sufficient cash flow from our business to pay our substantial debt when due.</w:t>
      </w:r>
    </w:p>
    <w:p>
      <w:pPr>
        <w:spacing w:after="0" w:line="116" w:lineRule="exact"/>
        <w:rPr>
          <w:sz w:val="20"/>
          <w:szCs w:val="20"/>
          <w:color w:val="auto"/>
        </w:rPr>
      </w:pPr>
    </w:p>
    <w:p>
      <w:pPr>
        <w:ind w:right="100" w:firstLine="531"/>
        <w:spacing w:after="0" w:line="270" w:lineRule="auto"/>
        <w:rPr>
          <w:sz w:val="20"/>
          <w:szCs w:val="20"/>
          <w:color w:val="auto"/>
        </w:rPr>
      </w:pPr>
      <w:r>
        <w:rPr>
          <w:rFonts w:ascii="Arial" w:cs="Arial" w:eastAsia="Arial" w:hAnsi="Arial"/>
          <w:sz w:val="17"/>
          <w:szCs w:val="17"/>
          <w:color w:val="auto"/>
        </w:rPr>
        <w:t>In June 2018, we issued $250.0 million aggregate principal amount of 0.75% convertible senior notes due 2024 (the “Notes”) in a private placement and, in July 2018, we issued an additional $50.0 million aggregate principal amount of such Notes pursuant to the exercise in full of the initial purchasers’ option to purchase additional Notes. Our ability to pay our debt when due or to refinance our indebtedness, including the Notes, depends on our future performance, which is subject to economic, financial, competitive, and other factors beyond our control. Our business may not generate cash flow from operations in the future sufficient to service our debt and make necessary capital expenditures. In addition, any required repurchase of the Notes for cash as a result of a fundamental change (pursuant to the terms of the Notes) would lower our current cash on hand such that we would not have that cash available to fund operations. If we are unable to generate sufficient cash flow, we may be required to adopt one or more alternatives, such as selling assets, restructuring our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24"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In addition, we and our subsidiaries may incur additional debt in the future. We are not restricted under the terms of the indenture governing the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Notes that could have the effect of diminishing our ability to make payments on the Notes when due.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conditional conversion feature of the Notes, if triggered, may adversely affect our financial condition and operating results.</w:t>
      </w:r>
    </w:p>
    <w:p>
      <w:pPr>
        <w:spacing w:after="0" w:line="171"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In the event the conditional conversion feature of the Notes is triggered, holders of the Notes will be entitled to convert their Notes at any time during specified periods at their option. If one or more holders elect to convert their Notes, unless we elect to satisfy our conversion obligation by delivering solely shares of our Class A common stock (other than paying cash in lieu of delivering any fractional share), we would be required to settle a portion or all of our conversion obligation in cash, which could adversely affect our liquidity. In addition, even if holders of Notes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2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116"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Under Accounting Standards Codification 470-20, Debt with Conversion and Other Options (‘‘ASC 470-20’’), an entity must separately account for the liability and equity components of the convertible debt instruments (such as the notes) that may be settled entirely or partially in cash upon conversion in a manner that reflects the issuer’s economic interest cost. The effect of ASC 470-20 on the accounting for the Notes is that the equity component is required to be included in the additional paid-in capital section of stockholders’ equity on our consolidated balance sheet at the issuance date and the value of the equity component is treated as debt discount for purposes of accounting for the debt component of the Notes. As a result, we are required to record a greater amount of non-cash interest expense as a result of the amortization of the</w:t>
      </w:r>
    </w:p>
    <w:p>
      <w:pPr>
        <w:spacing w:after="0" w:line="200" w:lineRule="exact"/>
        <w:rPr>
          <w:sz w:val="20"/>
          <w:szCs w:val="20"/>
          <w:color w:val="auto"/>
        </w:rPr>
      </w:pPr>
    </w:p>
    <w:p>
      <w:pPr>
        <w:spacing w:after="0" w:line="39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discounted carrying value of the Notes to their face amount over the term of the Notes. We will report larger net losses (or lower net income) in our financial results because ASC 470-20 requires interest to include both the amortization of the debt discount and the instrument’s nonconvertible coupon interest rate, which could adversely affect our reported or future financial results, the trading price of our Class A common stock and the trading price of the Notes. In addition, under certain circumstances, convertible debt instruments (such as the Notes) that may be settled entirely or partly in cash may be accounted for utilizing the treasury stock method, the effect of which is that the shares issuable upon conversion of such Notes are not included in the calculation of diluted earnings per share except to the extent that the conversion value of such Notes exceeds their principal amount. Under the treasury stock method, for diluted earnings per share purposes, the transaction is accounted for as if the number of shares of Class A common stock that would be necessary to settle such excess, if we elected to settle such excess in shares, are issued. We cannot be sure that the accounting standards in the future will continue to permit the use of the treasury stock method. If we are unable or otherwise elect not to use the treasury stock method in accounting for the shares issuable upon conversion of the Notes, then our diluted earnings per share could be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 transactions to which we are a party may affect the value of the Notes and our Class A common stock.</w:t>
      </w:r>
    </w:p>
    <w:p>
      <w:pPr>
        <w:spacing w:after="0" w:line="17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connection with the pricing of the Notes and the exercise by the initial purchasers of their option to purchase additional Notes, we entered into capped call transactions with certain counterparties. The capped call transactions cover, subject to customary adjustments, the number of shares of our Class A common stock initially underlying the Notes. The capped call transactions are expected to offset the potential dilution as a result of conversion of the Notes. In connection with establishing their initial hedge of the capped call transactions, the counterparties or their respective affiliates entered into various derivative transactions with respect to our Class A common stock concurrently with or shortly after the pricing of the Notes, including with certain investors in the Notes. The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prior to the maturity of the Notes (and are likely to do so on each exercise date of the capped call transactions, which are scheduled to occur during the observation period relating to any conversion of the Notes on or after March 15, 2024). We cannot make any prediction as to the direction or magnitude of any potential effect that the transactions described above may have on the price of the Notes or the shares of our Class A common stock. Any of these activities could adversely affect the value of the Notes and our Class A common stock.</w:t>
      </w:r>
    </w:p>
    <w:p>
      <w:pPr>
        <w:spacing w:after="0" w:line="125" w:lineRule="exact"/>
        <w:rPr>
          <w:sz w:val="20"/>
          <w:szCs w:val="20"/>
          <w:color w:val="auto"/>
        </w:rPr>
      </w:pPr>
    </w:p>
    <w:p>
      <w:pPr>
        <w:jc w:val="center"/>
        <w:ind w:right="8540"/>
        <w:spacing w:after="0"/>
        <w:rPr>
          <w:sz w:val="20"/>
          <w:szCs w:val="20"/>
          <w:color w:val="auto"/>
        </w:rPr>
      </w:pPr>
      <w:r>
        <w:rPr>
          <w:rFonts w:ascii="Arial" w:cs="Arial" w:eastAsia="Arial" w:hAnsi="Arial"/>
          <w:sz w:val="16"/>
          <w:szCs w:val="16"/>
          <w:b w:val="1"/>
          <w:bCs w:val="1"/>
          <w:color w:val="auto"/>
        </w:rPr>
        <w:t>Item 1B. Unresolved Staff Comments</w:t>
      </w:r>
    </w:p>
    <w:p>
      <w:pPr>
        <w:spacing w:after="0" w:line="198" w:lineRule="exact"/>
        <w:rPr>
          <w:sz w:val="20"/>
          <w:szCs w:val="20"/>
          <w:color w:val="auto"/>
        </w:rPr>
      </w:pPr>
    </w:p>
    <w:p>
      <w:pPr>
        <w:jc w:val="center"/>
        <w:ind w:right="998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ind w:right="10020"/>
        <w:spacing w:after="0"/>
        <w:rPr>
          <w:sz w:val="20"/>
          <w:szCs w:val="20"/>
          <w:color w:val="auto"/>
        </w:rPr>
      </w:pPr>
      <w:r>
        <w:rPr>
          <w:rFonts w:ascii="Arial" w:cs="Arial" w:eastAsia="Arial" w:hAnsi="Arial"/>
          <w:sz w:val="16"/>
          <w:szCs w:val="16"/>
          <w:b w:val="1"/>
          <w:bCs w:val="1"/>
          <w:color w:val="auto"/>
        </w:rPr>
        <w:t>Item 2. Properties</w:t>
      </w:r>
    </w:p>
    <w:p>
      <w:pPr>
        <w:spacing w:after="0" w:line="198"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Our current principal executive office is located in New York, New York and consists of approximately 106,230 square feet of space under a lease that expires in December 2029.</w:t>
      </w:r>
    </w:p>
    <w:p>
      <w:pPr>
        <w:spacing w:after="0" w:line="116"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We also lease space in Dublin, Ireland, our international headquarters, under a lease that expires in December 2026. We lease 36 other offices around the world for our employees, including in Palo Alto, Austin, London, Sydney and Gurgaon, India.</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lease all of our facilities and do not own any real property. 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From time to time, we may be subject to legal proceedings and claims in the ordinary course of business. For example, on March 12, 2019, Realtime filed a lawsuit against us in the United States District Court for the District of Delaware alleging that we are infringing three U.S. patents that it holds: the 908 Patent, the 751 Patent and the 825 Patent. The patent infringement allegations in the lawsuit relate to data compression, decompression, storage and retrieval. Realtime seeks monetary damages and injunctive relief.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9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19"/>
          </w:cols>
          <w:pgMar w:left="240" w:top="122" w:right="1440"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w:t>
      </w:r>
    </w:p>
    <w:p>
      <w:pPr>
        <w:spacing w:after="0" w:line="161" w:lineRule="exact"/>
        <w:rPr>
          <w:sz w:val="20"/>
          <w:szCs w:val="20"/>
          <w:color w:val="auto"/>
        </w:rPr>
      </w:pPr>
    </w:p>
    <w:p>
      <w:pPr>
        <w:ind w:right="2160"/>
        <w:spacing w:after="0" w:line="44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jc w:val="both"/>
        <w:ind w:right="420" w:firstLine="486"/>
        <w:spacing w:after="0" w:line="264" w:lineRule="auto"/>
        <w:rPr>
          <w:sz w:val="20"/>
          <w:szCs w:val="20"/>
          <w:color w:val="auto"/>
        </w:rPr>
      </w:pPr>
      <w:r>
        <w:rPr>
          <w:rFonts w:ascii="Arial" w:cs="Arial" w:eastAsia="Arial" w:hAnsi="Arial"/>
          <w:sz w:val="18"/>
          <w:szCs w:val="18"/>
          <w:color w:val="auto"/>
        </w:rPr>
        <w:t>Our Class A common stock is traded on The Nasdaq Global Market (the “Nasdaq”) under the symbol “MDB.” Our Class B Common Stock is not listed or traded on any exchange, but each share of Class B common stock is convertible at any time at the option of the holder into one share of Class A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March 25, 2019, there were 83 stockholders of record of our Class A common stock, and the closing price of our Class A common stock</w:t>
      </w:r>
    </w:p>
    <w:p>
      <w:pPr>
        <w:spacing w:after="0" w:line="3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was $151.01 per share as reported on the Nasdaq. Because many of our shares of Class A common stock are held by brokers and other institutions on behalf of stockholders, we are unable to estimate the total number of stockholders represented by these record holders. As of March 25, 2019, there were 148 stockholders of record of our Class B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never declared or paid any dividends on our common stock. We currently intend to retain all available funds and any future earnings for the operation and expansion of our business. Accordingly,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provides information with respect to repurchases of shares of our Class A common stock during the three months ended January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ind w:left="40"/>
              <w:spacing w:after="0"/>
              <w:rPr>
                <w:sz w:val="20"/>
                <w:szCs w:val="20"/>
                <w:color w:val="auto"/>
              </w:rPr>
            </w:pPr>
            <w:r>
              <w:rPr>
                <w:rFonts w:ascii="Arial" w:cs="Arial" w:eastAsia="Arial" w:hAnsi="Arial"/>
                <w:sz w:val="18"/>
                <w:szCs w:val="18"/>
                <w:b w:val="1"/>
                <w:bCs w:val="1"/>
                <w:color w:val="auto"/>
              </w:rPr>
              <w:t>Period</w:t>
            </w:r>
          </w:p>
        </w:tc>
        <w:tc>
          <w:tcPr>
            <w:tcW w:w="336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number of shares purchased</w:t>
            </w:r>
          </w:p>
        </w:tc>
        <w:tc>
          <w:tcPr>
            <w:tcW w:w="3260" w:type="dxa"/>
            <w:vAlign w:val="bottom"/>
          </w:tcPr>
          <w:p>
            <w:pPr>
              <w:jc w:val="right"/>
              <w:ind w:right="430"/>
              <w:spacing w:after="0"/>
              <w:rPr>
                <w:sz w:val="20"/>
                <w:szCs w:val="20"/>
                <w:color w:val="auto"/>
              </w:rPr>
            </w:pPr>
            <w:r>
              <w:rPr>
                <w:rFonts w:ascii="Arial" w:cs="Arial" w:eastAsia="Arial" w:hAnsi="Arial"/>
                <w:sz w:val="18"/>
                <w:szCs w:val="18"/>
                <w:b w:val="1"/>
                <w:bCs w:val="1"/>
                <w:color w:val="auto"/>
              </w:rPr>
              <w:t>Average price paid per share</w:t>
            </w:r>
          </w:p>
        </w:tc>
      </w:tr>
      <w:tr>
        <w:trPr>
          <w:trHeight w:val="27"/>
        </w:trPr>
        <w:tc>
          <w:tcPr>
            <w:tcW w:w="4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1 to November 30, 2018</w:t>
            </w:r>
          </w:p>
        </w:tc>
        <w:tc>
          <w:tcPr>
            <w:tcW w:w="3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70"/>
        </w:trPr>
        <w:tc>
          <w:tcPr>
            <w:tcW w:w="46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December 1 to December 31, 2018 </w:t>
            </w:r>
            <w:r>
              <w:rPr>
                <w:rFonts w:ascii="Arial" w:cs="Arial" w:eastAsia="Arial" w:hAnsi="Arial"/>
                <w:sz w:val="25"/>
                <w:szCs w:val="25"/>
                <w:color w:val="auto"/>
                <w:vertAlign w:val="superscript"/>
              </w:rPr>
              <w:t>(1)</w:t>
            </w:r>
          </w:p>
        </w:tc>
        <w:tc>
          <w:tcPr>
            <w:tcW w:w="326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326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43"/>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January 1 to January 31, 2019</w:t>
            </w:r>
          </w:p>
        </w:tc>
        <w:tc>
          <w:tcPr>
            <w:tcW w:w="3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280" w:right="240" w:hanging="245"/>
        <w:spacing w:after="0" w:line="297" w:lineRule="auto"/>
        <w:tabs>
          <w:tab w:leader="none" w:pos="292"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Under certain stock option grant agreements between us and our employees, in the event an employee’s service with us terminates, we have the right to repurchase shares of Class A common stock that were acquired by such employee pursuant to the exercise of stock options that have not yet vested as of such employee’s termination date. Pursuant to these agreements, we may repurchase all or any unvested shares at the lower of (i) the fair market value of such shares (as determined under our 2016 Amended and Restated Equity Incentive Plan) on the date of repurchase, or (ii) the price equal to the employee’s exercise price for such shares. The shares set forth above were repurchased pursuant to this right of repurchase.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graph below shows a comparison, from October 19, 2017 (the date our Class A common stock commenced trading on the Nasdaq)</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through January 31, 2019, of the cumulative total return to stockholders of our Class A common stock relative to the Nasdaq Composite Index (“Nasdaq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Composite”) and the Nasdaq Computer Index (“Nasdaq Computer”).</w:t>
      </w:r>
    </w:p>
    <w:p>
      <w:pPr>
        <w:spacing w:after="0" w:line="15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graph assumes that $100 was invested in each of our Class A common stock, the Nasdaq Composite and the Nasdaq Computer at their respective closing prices on October 19, 2017 and assumes reinvestment of gross dividends. The stock price performance shown in the graph represents past performance and should not be considered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5763260" cy="3241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63260" cy="324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MongoDB, Inc. under the Securities Act or the Exchange Act.</w:t>
      </w:r>
    </w:p>
    <w:p>
      <w:pPr>
        <w:spacing w:after="0" w:line="200" w:lineRule="exact"/>
        <w:rPr>
          <w:sz w:val="20"/>
          <w:szCs w:val="20"/>
          <w:color w:val="auto"/>
        </w:rPr>
      </w:pPr>
    </w:p>
    <w:p>
      <w:pPr>
        <w:spacing w:after="0" w:line="40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60"/>
          </w:cols>
          <w:pgMar w:left="240" w:top="122" w:right="39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ind w:right="120" w:firstLine="486"/>
        <w:spacing w:after="0" w:line="290" w:lineRule="auto"/>
        <w:rPr>
          <w:sz w:val="20"/>
          <w:szCs w:val="20"/>
          <w:color w:val="auto"/>
        </w:rPr>
      </w:pPr>
      <w:r>
        <w:rPr>
          <w:rFonts w:ascii="Arial" w:cs="Arial" w:eastAsia="Arial" w:hAnsi="Arial"/>
          <w:sz w:val="16"/>
          <w:szCs w:val="16"/>
          <w:color w:val="auto"/>
        </w:rPr>
        <w:t xml:space="preserve">The following selected consolidated financial data should be read in conjunction with Part II, Item 7, </w:t>
      </w:r>
      <w:r>
        <w:rPr>
          <w:rFonts w:ascii="Arial" w:cs="Arial" w:eastAsia="Arial" w:hAnsi="Arial"/>
          <w:sz w:val="16"/>
          <w:szCs w:val="16"/>
          <w:i w:val="1"/>
          <w:iCs w:val="1"/>
          <w:color w:val="auto"/>
        </w:rPr>
        <w:t>Management’s Discussion and Analysis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Condition and Results of Operations </w:t>
      </w:r>
      <w:r>
        <w:rPr>
          <w:rFonts w:ascii="Arial" w:cs="Arial" w:eastAsia="Arial" w:hAnsi="Arial"/>
          <w:sz w:val="16"/>
          <w:szCs w:val="16"/>
          <w:color w:val="auto"/>
        </w:rPr>
        <w:t>and the consolidated financial statements and related notes included in Part II, Item 8,</w:t>
      </w:r>
      <w:r>
        <w:rPr>
          <w:rFonts w:ascii="Arial" w:cs="Arial" w:eastAsia="Arial" w:hAnsi="Arial"/>
          <w:sz w:val="16"/>
          <w:szCs w:val="16"/>
          <w:i w:val="1"/>
          <w:iCs w:val="1"/>
          <w:color w:val="auto"/>
        </w:rPr>
        <w:t xml:space="preserve"> Financial Statements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of this Form 10-K. The consolidated statements of operations data for the fiscal years ended January 31, 2019, 2018, and 2017, and the consolidated balance sheet data as of January 31, 2019 and 2018 are derived from our audited consolidated financial statements and related notes included elsewhere in this Form 10-K. The consolidated statements of operations data for the fiscal year ended January 31, 2016 and the consolidated balance sheet data as of January 31, 2017 and 2016 are derived from consolidated financial statements, which are not included in this Form 10-K. The selected consolidated financial data in this section are not intended to replace our consolidated financial statements and the related notes, and are qualified in their entirety by the consolidated financial statements and related notes included elsewhere in this Form 10-K. Our historical results are not necessarily indicative of our results in any future period.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Years Ended January 31,</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453"/>
              <w:spacing w:after="0" w:line="147"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452"/>
              <w:spacing w:after="0" w:line="147"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6"/>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*As Adjusted</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*As Adjusted</w:t>
            </w: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7"/>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6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248,391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151,853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58,561</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Services</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18,625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14,175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10,772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41"/>
        </w:trPr>
        <w:tc>
          <w:tcPr>
            <w:tcW w:w="56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166,028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114,805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65,271</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Subscription</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56,255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30,766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19,352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13,146</w:t>
            </w:r>
          </w:p>
        </w:tc>
        <w:tc>
          <w:tcPr>
            <w:tcW w:w="0" w:type="dxa"/>
            <w:vAlign w:val="bottom"/>
          </w:tcPr>
          <w:p>
            <w:pPr>
              <w:spacing w:after="0"/>
              <w:rPr>
                <w:sz w:val="1"/>
                <w:szCs w:val="1"/>
                <w:color w:val="auto"/>
              </w:rPr>
            </w:pPr>
          </w:p>
        </w:tc>
      </w:tr>
      <w:tr>
        <w:trPr>
          <w:trHeight w:val="284"/>
        </w:trPr>
        <w:tc>
          <w:tcPr>
            <w:tcW w:w="5620" w:type="dxa"/>
            <w:vAlign w:val="bottom"/>
            <w:tcBorders>
              <w:bottom w:val="single" w:sz="8" w:color="CCEEFF"/>
            </w:tcBorders>
          </w:tcPr>
          <w:p>
            <w:pPr>
              <w:ind w:left="200"/>
              <w:spacing w:after="0" w:line="283" w:lineRule="exact"/>
              <w:rPr>
                <w:sz w:val="20"/>
                <w:szCs w:val="20"/>
                <w:color w:val="auto"/>
              </w:rPr>
            </w:pPr>
            <w:r>
              <w:rPr>
                <w:rFonts w:ascii="Arial" w:cs="Arial" w:eastAsia="Arial" w:hAnsi="Arial"/>
                <w:sz w:val="18"/>
                <w:szCs w:val="18"/>
                <w:color w:val="auto"/>
              </w:rPr>
              <w:t>Services</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17,313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12,093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10,515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7,715</w:t>
            </w:r>
          </w:p>
        </w:tc>
        <w:tc>
          <w:tcPr>
            <w:tcW w:w="0" w:type="dxa"/>
            <w:vAlign w:val="bottom"/>
          </w:tcPr>
          <w:p>
            <w:pPr>
              <w:spacing w:after="0"/>
              <w:rPr>
                <w:sz w:val="1"/>
                <w:szCs w:val="1"/>
                <w:color w:val="auto"/>
              </w:rPr>
            </w:pPr>
          </w:p>
        </w:tc>
      </w:tr>
      <w:tr>
        <w:trPr>
          <w:trHeight w:val="27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73,568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42,859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29,867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20,861</w:t>
            </w:r>
          </w:p>
        </w:tc>
        <w:tc>
          <w:tcPr>
            <w:tcW w:w="0" w:type="dxa"/>
            <w:vAlign w:val="bottom"/>
          </w:tcPr>
          <w:p>
            <w:pPr>
              <w:spacing w:after="0"/>
              <w:rPr>
                <w:sz w:val="1"/>
                <w:szCs w:val="1"/>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193,448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123,169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84,938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44,410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line="27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148,296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109,073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75,413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56,613</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89,854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62,202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51,772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43,465</w:t>
            </w:r>
          </w:p>
        </w:tc>
        <w:tc>
          <w:tcPr>
            <w:tcW w:w="0" w:type="dxa"/>
            <w:vAlign w:val="bottom"/>
          </w:tcPr>
          <w:p>
            <w:pPr>
              <w:spacing w:after="0"/>
              <w:rPr>
                <w:sz w:val="1"/>
                <w:szCs w:val="1"/>
                <w:color w:val="auto"/>
              </w:rPr>
            </w:pPr>
          </w:p>
        </w:tc>
      </w:tr>
      <w:tr>
        <w:trPr>
          <w:trHeight w:val="284"/>
        </w:trPr>
        <w:tc>
          <w:tcPr>
            <w:tcW w:w="5620" w:type="dxa"/>
            <w:vAlign w:val="bottom"/>
            <w:tcBorders>
              <w:bottom w:val="single" w:sz="8" w:color="CCEEFF"/>
            </w:tcBorders>
          </w:tcPr>
          <w:p>
            <w:pPr>
              <w:ind w:left="200"/>
              <w:spacing w:after="0" w:line="283"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53,063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36,775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27,082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17,070</w:t>
            </w:r>
          </w:p>
        </w:tc>
        <w:tc>
          <w:tcPr>
            <w:tcW w:w="0" w:type="dxa"/>
            <w:vAlign w:val="bottom"/>
          </w:tcPr>
          <w:p>
            <w:pPr>
              <w:spacing w:after="0"/>
              <w:rPr>
                <w:sz w:val="1"/>
                <w:szCs w:val="1"/>
                <w:color w:val="auto"/>
              </w:rPr>
            </w:pPr>
          </w:p>
        </w:tc>
      </w:tr>
      <w:tr>
        <w:trPr>
          <w:trHeight w:val="27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291,213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208,050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154,267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117,148</w:t>
            </w:r>
          </w:p>
        </w:tc>
        <w:tc>
          <w:tcPr>
            <w:tcW w:w="0" w:type="dxa"/>
            <w:vAlign w:val="bottom"/>
          </w:tcPr>
          <w:p>
            <w:pPr>
              <w:spacing w:after="0"/>
              <w:rPr>
                <w:sz w:val="1"/>
                <w:szCs w:val="1"/>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(97,765)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(84,881)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(69,329)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(72,738)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Loss before provision for (benefit from) income taxes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(102,329)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(82,686)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(69,344)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(73,044)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(99,011)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(83,973)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(70,063)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(73,486)</w:t>
            </w:r>
          </w:p>
        </w:tc>
        <w:tc>
          <w:tcPr>
            <w:tcW w:w="0" w:type="dxa"/>
            <w:vAlign w:val="bottom"/>
          </w:tcPr>
          <w:p>
            <w:pPr>
              <w:spacing w:after="0"/>
              <w:rPr>
                <w:sz w:val="1"/>
                <w:szCs w:val="1"/>
                <w:color w:val="auto"/>
              </w:rPr>
            </w:pPr>
          </w:p>
        </w:tc>
      </w:tr>
      <w:tr>
        <w:trPr>
          <w:trHeight w:val="94"/>
        </w:trPr>
        <w:tc>
          <w:tcPr>
            <w:tcW w:w="562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5"/>
              </w:rPr>
              <w:t>Net loss per share attributable to common stockholders, basic and diluted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w w:val="92"/>
              </w:rPr>
              <w:t>Weighted-average shares used to compute net loss per share attributable to</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620" w:type="dxa"/>
            <w:vAlign w:val="bottom"/>
          </w:tcPr>
          <w:p>
            <w:pPr>
              <w:ind w:left="220"/>
              <w:spacing w:after="0"/>
              <w:rPr>
                <w:sz w:val="20"/>
                <w:szCs w:val="20"/>
                <w:color w:val="auto"/>
              </w:rPr>
            </w:pPr>
            <w:r>
              <w:rPr>
                <w:rFonts w:ascii="Arial" w:cs="Arial" w:eastAsia="Arial" w:hAnsi="Arial"/>
                <w:sz w:val="18"/>
                <w:szCs w:val="18"/>
                <w:color w:val="auto"/>
              </w:rPr>
              <w:t>common stockholders, basic and diluted</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52,034,596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23,718,391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12,211,711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11,240,696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704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spacing w:after="0" w:line="288" w:lineRule="exact"/>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Includes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as follows:</w:t>
      </w:r>
    </w:p>
    <w:p>
      <w:pPr>
        <w:spacing w:after="0" w:line="200" w:lineRule="exact"/>
        <w:rPr>
          <w:sz w:val="20"/>
          <w:szCs w:val="20"/>
          <w:color w:val="auto"/>
        </w:rPr>
      </w:pPr>
    </w:p>
    <w:p>
      <w:pPr>
        <w:spacing w:after="0" w:line="36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2"/>
        </w:trPr>
        <w:tc>
          <w:tcPr>
            <w:tcW w:w="1020" w:type="dxa"/>
            <w:vAlign w:val="bottom"/>
            <w:tcBorders>
              <w:top w:val="single" w:sz="8" w:color="0000EE"/>
            </w:tcBorders>
          </w:tcPr>
          <w:p>
            <w:pPr>
              <w:spacing w:after="0"/>
              <w:rPr>
                <w:sz w:val="24"/>
                <w:szCs w:val="24"/>
                <w:color w:val="auto"/>
              </w:rPr>
            </w:pPr>
          </w:p>
        </w:tc>
        <w:tc>
          <w:tcPr>
            <w:tcW w:w="4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Years Ended January 31,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5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 of revenue—subscription</w:t>
            </w: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38"/>
              <w:spacing w:after="0"/>
              <w:rPr>
                <w:sz w:val="20"/>
                <w:szCs w:val="20"/>
                <w:color w:val="auto"/>
              </w:rPr>
            </w:pPr>
            <w:r>
              <w:rPr>
                <w:rFonts w:ascii="Arial" w:cs="Arial" w:eastAsia="Arial" w:hAnsi="Arial"/>
                <w:sz w:val="14"/>
                <w:szCs w:val="14"/>
                <w:color w:val="auto"/>
              </w:rPr>
              <w:t>2,047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ind w:right="2"/>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21"/>
              <w:spacing w:after="0"/>
              <w:rPr>
                <w:sz w:val="20"/>
                <w:szCs w:val="20"/>
                <w:color w:val="auto"/>
              </w:rPr>
            </w:pPr>
            <w:r>
              <w:rPr>
                <w:rFonts w:ascii="Arial" w:cs="Arial" w:eastAsia="Arial" w:hAnsi="Arial"/>
                <w:sz w:val="14"/>
                <w:szCs w:val="14"/>
                <w:color w:val="auto"/>
              </w:rPr>
              <w:t>730</w:t>
            </w:r>
          </w:p>
        </w:tc>
        <w:tc>
          <w:tcPr>
            <w:tcW w:w="2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22"/>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80"/>
        </w:trPr>
        <w:tc>
          <w:tcPr>
            <w:tcW w:w="1020" w:type="dxa"/>
            <w:vAlign w:val="bottom"/>
            <w:shd w:val="clear" w:color="auto" w:fill="CCEEFF"/>
          </w:tcPr>
          <w:p>
            <w:pPr>
              <w:spacing w:after="0"/>
              <w:rPr>
                <w:sz w:val="6"/>
                <w:szCs w:val="6"/>
                <w:color w:val="auto"/>
              </w:rPr>
            </w:pPr>
          </w:p>
        </w:tc>
        <w:tc>
          <w:tcPr>
            <w:tcW w:w="460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280" w:type="dxa"/>
            <w:vAlign w:val="bottom"/>
            <w:gridSpan w:val="2"/>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Cost of revenue—services</w:t>
            </w:r>
          </w:p>
        </w:tc>
        <w:tc>
          <w:tcPr>
            <w:tcW w:w="320" w:type="dxa"/>
            <w:vAlign w:val="bottom"/>
          </w:tcPr>
          <w:p>
            <w:pPr>
              <w:spacing w:after="0"/>
              <w:rPr>
                <w:sz w:val="16"/>
                <w:szCs w:val="16"/>
                <w:color w:val="auto"/>
              </w:rPr>
            </w:pPr>
          </w:p>
        </w:tc>
        <w:tc>
          <w:tcPr>
            <w:tcW w:w="1060" w:type="dxa"/>
            <w:vAlign w:val="bottom"/>
            <w:vMerge w:val="restart"/>
          </w:tcPr>
          <w:p>
            <w:pPr>
              <w:jc w:val="right"/>
              <w:ind w:right="38"/>
              <w:spacing w:after="0"/>
              <w:rPr>
                <w:sz w:val="20"/>
                <w:szCs w:val="20"/>
                <w:color w:val="auto"/>
              </w:rPr>
            </w:pPr>
            <w:r>
              <w:rPr>
                <w:rFonts w:ascii="Arial" w:cs="Arial" w:eastAsia="Arial" w:hAnsi="Arial"/>
                <w:sz w:val="14"/>
                <w:szCs w:val="14"/>
                <w:color w:val="auto"/>
              </w:rPr>
              <w:t>1,239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vMerge w:val="restart"/>
          </w:tcPr>
          <w:p>
            <w:pPr>
              <w:jc w:val="right"/>
              <w:ind w:right="21"/>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ind w:right="19"/>
              <w:spacing w:after="0"/>
              <w:rPr>
                <w:sz w:val="20"/>
                <w:szCs w:val="20"/>
                <w:color w:val="auto"/>
              </w:rPr>
            </w:pPr>
            <w:r>
              <w:rPr>
                <w:rFonts w:ascii="Arial" w:cs="Arial" w:eastAsia="Arial" w:hAnsi="Arial"/>
                <w:sz w:val="14"/>
                <w:szCs w:val="14"/>
                <w:color w:val="auto"/>
              </w:rPr>
              <w:t>482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ind w:right="18"/>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74"/>
        </w:trPr>
        <w:tc>
          <w:tcPr>
            <w:tcW w:w="1020" w:type="dxa"/>
            <w:vAlign w:val="bottom"/>
          </w:tcPr>
          <w:p>
            <w:pPr>
              <w:spacing w:after="0"/>
              <w:rPr>
                <w:sz w:val="6"/>
                <w:szCs w:val="6"/>
                <w:color w:val="auto"/>
              </w:rPr>
            </w:pPr>
          </w:p>
        </w:tc>
        <w:tc>
          <w:tcPr>
            <w:tcW w:w="4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38"/>
              <w:spacing w:after="0"/>
              <w:rPr>
                <w:sz w:val="20"/>
                <w:szCs w:val="20"/>
                <w:color w:val="auto"/>
              </w:rPr>
            </w:pPr>
            <w:r>
              <w:rPr>
                <w:rFonts w:ascii="Arial" w:cs="Arial" w:eastAsia="Arial" w:hAnsi="Arial"/>
                <w:sz w:val="14"/>
                <w:szCs w:val="14"/>
                <w:color w:val="auto"/>
              </w:rPr>
              <w:t>11,059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1"/>
              <w:spacing w:after="0"/>
              <w:rPr>
                <w:sz w:val="20"/>
                <w:szCs w:val="20"/>
                <w:color w:val="auto"/>
              </w:rPr>
            </w:pPr>
            <w:r>
              <w:rPr>
                <w:rFonts w:ascii="Arial" w:cs="Arial" w:eastAsia="Arial" w:hAnsi="Arial"/>
                <w:sz w:val="14"/>
                <w:szCs w:val="14"/>
                <w:color w:val="auto"/>
              </w:rPr>
              <w:t>6,364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4"/>
                <w:szCs w:val="14"/>
                <w:color w:val="auto"/>
              </w:rPr>
              <w:t>5,514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3,524</w:t>
            </w:r>
          </w:p>
        </w:tc>
        <w:tc>
          <w:tcPr>
            <w:tcW w:w="0" w:type="dxa"/>
            <w:vAlign w:val="bottom"/>
          </w:tcPr>
          <w:p>
            <w:pPr>
              <w:spacing w:after="0"/>
              <w:rPr>
                <w:sz w:val="1"/>
                <w:szCs w:val="1"/>
                <w:color w:val="auto"/>
              </w:rPr>
            </w:pPr>
          </w:p>
        </w:tc>
      </w:tr>
      <w:tr>
        <w:trPr>
          <w:trHeight w:val="80"/>
        </w:trPr>
        <w:tc>
          <w:tcPr>
            <w:tcW w:w="1020" w:type="dxa"/>
            <w:vAlign w:val="bottom"/>
            <w:shd w:val="clear" w:color="auto" w:fill="CCEEFF"/>
          </w:tcPr>
          <w:p>
            <w:pPr>
              <w:spacing w:after="0"/>
              <w:rPr>
                <w:sz w:val="6"/>
                <w:szCs w:val="6"/>
                <w:color w:val="auto"/>
              </w:rPr>
            </w:pPr>
          </w:p>
        </w:tc>
        <w:tc>
          <w:tcPr>
            <w:tcW w:w="46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320" w:type="dxa"/>
            <w:vAlign w:val="bottom"/>
          </w:tcPr>
          <w:p>
            <w:pPr>
              <w:spacing w:after="0"/>
              <w:rPr>
                <w:sz w:val="16"/>
                <w:szCs w:val="16"/>
                <w:color w:val="auto"/>
              </w:rPr>
            </w:pPr>
          </w:p>
        </w:tc>
        <w:tc>
          <w:tcPr>
            <w:tcW w:w="1060" w:type="dxa"/>
            <w:vAlign w:val="bottom"/>
            <w:vMerge w:val="restart"/>
          </w:tcPr>
          <w:p>
            <w:pPr>
              <w:jc w:val="right"/>
              <w:ind w:right="38"/>
              <w:spacing w:after="0"/>
              <w:rPr>
                <w:sz w:val="20"/>
                <w:szCs w:val="20"/>
                <w:color w:val="auto"/>
              </w:rPr>
            </w:pPr>
            <w:r>
              <w:rPr>
                <w:rFonts w:ascii="Arial" w:cs="Arial" w:eastAsia="Arial" w:hAnsi="Arial"/>
                <w:sz w:val="14"/>
                <w:szCs w:val="14"/>
                <w:color w:val="auto"/>
              </w:rPr>
              <w:t>11,687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vMerge w:val="restart"/>
          </w:tcPr>
          <w:p>
            <w:pPr>
              <w:jc w:val="right"/>
              <w:ind w:right="21"/>
              <w:spacing w:after="0"/>
              <w:rPr>
                <w:sz w:val="20"/>
                <w:szCs w:val="20"/>
                <w:color w:val="auto"/>
              </w:rPr>
            </w:pPr>
            <w:r>
              <w:rPr>
                <w:rFonts w:ascii="Arial" w:cs="Arial" w:eastAsia="Arial" w:hAnsi="Arial"/>
                <w:sz w:val="14"/>
                <w:szCs w:val="14"/>
                <w:color w:val="auto"/>
              </w:rPr>
              <w:t>5,752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ind w:right="19"/>
              <w:spacing w:after="0"/>
              <w:rPr>
                <w:sz w:val="20"/>
                <w:szCs w:val="20"/>
                <w:color w:val="auto"/>
              </w:rPr>
            </w:pPr>
            <w:r>
              <w:rPr>
                <w:rFonts w:ascii="Arial" w:cs="Arial" w:eastAsia="Arial" w:hAnsi="Arial"/>
                <w:sz w:val="14"/>
                <w:szCs w:val="14"/>
                <w:color w:val="auto"/>
              </w:rPr>
              <w:t>5,755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ind w:right="18"/>
              <w:spacing w:after="0"/>
              <w:rPr>
                <w:sz w:val="20"/>
                <w:szCs w:val="20"/>
                <w:color w:val="auto"/>
              </w:rPr>
            </w:pPr>
            <w:r>
              <w:rPr>
                <w:rFonts w:ascii="Arial" w:cs="Arial" w:eastAsia="Arial" w:hAnsi="Arial"/>
                <w:sz w:val="14"/>
                <w:szCs w:val="14"/>
                <w:color w:val="auto"/>
              </w:rPr>
              <w:t>4,034</w:t>
            </w:r>
          </w:p>
        </w:tc>
        <w:tc>
          <w:tcPr>
            <w:tcW w:w="0" w:type="dxa"/>
            <w:vAlign w:val="bottom"/>
          </w:tcPr>
          <w:p>
            <w:pPr>
              <w:spacing w:after="0"/>
              <w:rPr>
                <w:sz w:val="1"/>
                <w:szCs w:val="1"/>
                <w:color w:val="auto"/>
              </w:rPr>
            </w:pPr>
          </w:p>
        </w:tc>
      </w:tr>
      <w:tr>
        <w:trPr>
          <w:trHeight w:val="74"/>
        </w:trPr>
        <w:tc>
          <w:tcPr>
            <w:tcW w:w="1020" w:type="dxa"/>
            <w:vAlign w:val="bottom"/>
          </w:tcPr>
          <w:p>
            <w:pPr>
              <w:spacing w:after="0"/>
              <w:rPr>
                <w:sz w:val="6"/>
                <w:szCs w:val="6"/>
                <w:color w:val="auto"/>
              </w:rPr>
            </w:pPr>
          </w:p>
        </w:tc>
        <w:tc>
          <w:tcPr>
            <w:tcW w:w="4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38"/>
              <w:spacing w:after="0"/>
              <w:rPr>
                <w:sz w:val="20"/>
                <w:szCs w:val="20"/>
                <w:color w:val="auto"/>
              </w:rPr>
            </w:pPr>
            <w:r>
              <w:rPr>
                <w:rFonts w:ascii="Arial" w:cs="Arial" w:eastAsia="Arial" w:hAnsi="Arial"/>
                <w:sz w:val="14"/>
                <w:szCs w:val="14"/>
                <w:color w:val="auto"/>
              </w:rPr>
              <w:t>11,371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1"/>
              <w:spacing w:after="0"/>
              <w:rPr>
                <w:sz w:val="20"/>
                <w:szCs w:val="20"/>
                <w:color w:val="auto"/>
              </w:rPr>
            </w:pPr>
            <w:r>
              <w:rPr>
                <w:rFonts w:ascii="Arial" w:cs="Arial" w:eastAsia="Arial" w:hAnsi="Arial"/>
                <w:sz w:val="14"/>
                <w:szCs w:val="14"/>
                <w:color w:val="auto"/>
              </w:rPr>
              <w:t>7,927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4"/>
                <w:szCs w:val="14"/>
                <w:color w:val="auto"/>
              </w:rPr>
              <w:t>8,683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4,675</w:t>
            </w:r>
          </w:p>
        </w:tc>
        <w:tc>
          <w:tcPr>
            <w:tcW w:w="0" w:type="dxa"/>
            <w:vAlign w:val="bottom"/>
          </w:tcPr>
          <w:p>
            <w:pPr>
              <w:spacing w:after="0"/>
              <w:rPr>
                <w:sz w:val="1"/>
                <w:szCs w:val="1"/>
                <w:color w:val="auto"/>
              </w:rPr>
            </w:pPr>
          </w:p>
        </w:tc>
      </w:tr>
      <w:tr>
        <w:trPr>
          <w:trHeight w:val="80"/>
        </w:trPr>
        <w:tc>
          <w:tcPr>
            <w:tcW w:w="1020" w:type="dxa"/>
            <w:vAlign w:val="bottom"/>
            <w:tcBorders>
              <w:bottom w:val="single" w:sz="8" w:color="CCEEFF"/>
            </w:tcBorders>
            <w:shd w:val="clear" w:color="auto" w:fill="CCEEFF"/>
          </w:tcPr>
          <w:p>
            <w:pPr>
              <w:spacing w:after="0"/>
              <w:rPr>
                <w:sz w:val="6"/>
                <w:szCs w:val="6"/>
                <w:color w:val="auto"/>
              </w:rPr>
            </w:pPr>
          </w:p>
        </w:tc>
        <w:tc>
          <w:tcPr>
            <w:tcW w:w="460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106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120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11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00" w:type="dxa"/>
            <w:vAlign w:val="bottom"/>
            <w:tcBorders>
              <w:bottom w:val="single" w:sz="8" w:color="CCEEFF"/>
            </w:tcBorders>
            <w:shd w:val="clear" w:color="auto" w:fill="CCEEFF"/>
          </w:tcPr>
          <w:p>
            <w:pPr>
              <w:spacing w:after="0"/>
              <w:rPr>
                <w:sz w:val="6"/>
                <w:szCs w:val="6"/>
                <w:color w:val="auto"/>
              </w:rPr>
            </w:pPr>
          </w:p>
        </w:tc>
        <w:tc>
          <w:tcPr>
            <w:tcW w:w="106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5620" w:type="dxa"/>
            <w:vAlign w:val="bottom"/>
            <w:gridSpan w:val="2"/>
          </w:tcPr>
          <w:p>
            <w:pPr>
              <w:ind w:left="200"/>
              <w:spacing w:after="0" w:line="161" w:lineRule="exact"/>
              <w:rPr>
                <w:sz w:val="20"/>
                <w:szCs w:val="20"/>
                <w:color w:val="auto"/>
              </w:rPr>
            </w:pPr>
            <w:r>
              <w:rPr>
                <w:rFonts w:ascii="Arial" w:cs="Arial" w:eastAsia="Arial" w:hAnsi="Arial"/>
                <w:sz w:val="14"/>
                <w:szCs w:val="14"/>
                <w:color w:val="auto"/>
              </w:rPr>
              <w:t>Total 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38"/>
              <w:spacing w:after="0"/>
              <w:rPr>
                <w:sz w:val="20"/>
                <w:szCs w:val="20"/>
                <w:color w:val="auto"/>
              </w:rPr>
            </w:pPr>
            <w:r>
              <w:rPr>
                <w:rFonts w:ascii="Arial" w:cs="Arial" w:eastAsia="Arial" w:hAnsi="Arial"/>
                <w:sz w:val="14"/>
                <w:szCs w:val="14"/>
                <w:color w:val="auto"/>
              </w:rPr>
              <w:t>37,403</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4"/>
                <w:szCs w:val="14"/>
                <w:color w:val="auto"/>
              </w:rPr>
              <w:t>21,235</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4"/>
                <w:szCs w:val="14"/>
                <w:color w:val="auto"/>
              </w:rPr>
              <w:t>21,004</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22"/>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18"/>
              <w:spacing w:after="0"/>
              <w:rPr>
                <w:sz w:val="20"/>
                <w:szCs w:val="20"/>
                <w:color w:val="auto"/>
              </w:rPr>
            </w:pPr>
            <w:r>
              <w:rPr>
                <w:rFonts w:ascii="Arial" w:cs="Arial" w:eastAsia="Arial" w:hAnsi="Arial"/>
                <w:sz w:val="14"/>
                <w:szCs w:val="14"/>
                <w:color w:val="auto"/>
              </w:rPr>
              <w:t>12,787</w:t>
            </w: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46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Years Ended January 31,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ind w:right="481"/>
              <w:spacing w:after="0" w:line="147"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479"/>
              <w:spacing w:after="0" w:line="147"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41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221"/>
              <w:spacing w:after="0"/>
              <w:rPr>
                <w:sz w:val="20"/>
                <w:szCs w:val="20"/>
                <w:color w:val="auto"/>
              </w:rPr>
            </w:pPr>
            <w:r>
              <w:rPr>
                <w:rFonts w:ascii="Arial" w:cs="Arial" w:eastAsia="Arial" w:hAnsi="Arial"/>
                <w:sz w:val="14"/>
                <w:szCs w:val="14"/>
                <w:b w:val="1"/>
                <w:bCs w:val="1"/>
                <w:color w:val="auto"/>
              </w:rPr>
              <w:t>*As Adjusted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*As Adjusted</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465,970</w:t>
            </w:r>
          </w:p>
        </w:tc>
        <w:tc>
          <w:tcPr>
            <w:tcW w:w="120" w:type="dxa"/>
            <w:vAlign w:val="bottom"/>
          </w:tcPr>
          <w:p>
            <w:pPr>
              <w:spacing w:after="0"/>
              <w:rPr>
                <w:sz w:val="21"/>
                <w:szCs w:val="21"/>
                <w:color w:val="auto"/>
              </w:rPr>
            </w:pP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61"/>
              <w:spacing w:after="0"/>
              <w:rPr>
                <w:sz w:val="20"/>
                <w:szCs w:val="20"/>
                <w:color w:val="auto"/>
              </w:rPr>
            </w:pPr>
            <w:r>
              <w:rPr>
                <w:rFonts w:ascii="Arial" w:cs="Arial" w:eastAsia="Arial" w:hAnsi="Arial"/>
                <w:sz w:val="18"/>
                <w:szCs w:val="18"/>
                <w:color w:val="auto"/>
              </w:rPr>
              <w:t>278,974</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116,500</w:t>
            </w:r>
          </w:p>
        </w:tc>
        <w:tc>
          <w:tcPr>
            <w:tcW w:w="100" w:type="dxa"/>
            <w:vAlign w:val="bottom"/>
          </w:tcPr>
          <w:p>
            <w:pPr>
              <w:spacing w:after="0"/>
              <w:rPr>
                <w:sz w:val="21"/>
                <w:szCs w:val="21"/>
                <w:color w:val="auto"/>
              </w:rPr>
            </w:pPr>
          </w:p>
        </w:tc>
        <w:tc>
          <w:tcPr>
            <w:tcW w:w="300" w:type="dxa"/>
            <w:vAlign w:val="bottom"/>
          </w:tcPr>
          <w:p>
            <w:pPr>
              <w:jc w:val="right"/>
              <w:ind w:right="10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113,159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401,599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234,750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84,817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78,355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733,476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61"/>
              <w:spacing w:after="0"/>
              <w:rPr>
                <w:sz w:val="20"/>
                <w:szCs w:val="20"/>
                <w:color w:val="auto"/>
              </w:rPr>
            </w:pPr>
            <w:r>
              <w:rPr>
                <w:rFonts w:ascii="Arial" w:cs="Arial" w:eastAsia="Arial" w:hAnsi="Arial"/>
                <w:sz w:val="18"/>
                <w:szCs w:val="18"/>
                <w:color w:val="auto"/>
              </w:rPr>
              <w:t>432,844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191,010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156,813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 current and non-current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137,676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100,914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68,539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58,260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Convertible senior notes, net</w:t>
            </w:r>
          </w:p>
        </w:tc>
        <w:tc>
          <w:tcPr>
            <w:tcW w:w="32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216,858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4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 warrant liability</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Redeemable convertible preferred stock</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345,257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310,315</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4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(488,607)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(389,596)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(305,623)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(259,269)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stockholders’ equity (deficit)</w:t>
            </w:r>
          </w:p>
        </w:tc>
        <w:tc>
          <w:tcPr>
            <w:tcW w:w="32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264,566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61"/>
              <w:spacing w:after="0"/>
              <w:rPr>
                <w:sz w:val="20"/>
                <w:szCs w:val="20"/>
                <w:color w:val="auto"/>
              </w:rPr>
            </w:pPr>
            <w:r>
              <w:rPr>
                <w:rFonts w:ascii="Arial" w:cs="Arial" w:eastAsia="Arial" w:hAnsi="Arial"/>
                <w:sz w:val="18"/>
                <w:szCs w:val="18"/>
                <w:color w:val="auto"/>
              </w:rPr>
              <w:t>247,657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(244,736)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(228,505)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right="140" w:hanging="492"/>
        <w:spacing w:after="0" w:line="262" w:lineRule="auto"/>
        <w:tabs>
          <w:tab w:leader="none" w:pos="50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The summary consolidated financial data for the years ended January 31, 2019, 2018, and 2017 reflects the adoption of Accounting Standards Update (“ASU”) No. 2014-09, Revenue from Contracts with Customers (“Topic 606”). See Note 2 of the notes to consolidated financial statements for a summary of adjustments. The summary consolidated financial data for the year ended January 31, 2016 does not reflect the adoption of Topic 606.</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 xml:space="preserve">The following discussion should be read in conjunction with the consolidated financial statements and notes thereto included in Part II, Item 8, </w:t>
      </w:r>
      <w:r>
        <w:rPr>
          <w:rFonts w:ascii="Arial" w:cs="Arial" w:eastAsia="Arial" w:hAnsi="Arial"/>
          <w:sz w:val="18"/>
          <w:szCs w:val="18"/>
          <w:i w:val="1"/>
          <w:iCs w:val="1"/>
          <w:color w:val="auto"/>
        </w:rPr>
        <w:t xml:space="preserve">Financial Statements and Supplementary Data, </w:t>
      </w:r>
      <w:r>
        <w:rPr>
          <w:rFonts w:ascii="Arial" w:cs="Arial" w:eastAsia="Arial" w:hAnsi="Arial"/>
          <w:sz w:val="18"/>
          <w:szCs w:val="18"/>
          <w:color w:val="auto"/>
        </w:rPr>
        <w:t>of this Form 10-K. All information presented herein is based on our fiscal calendar. Unless otherwise stated,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references to particular years, quarters, months or periods refer to our fiscal years ended January 31 and the associated quarters, months and periods of those fiscal years. As a result of our loss of our emerging growth company status as of January 31, 2019, we were required to adopt Accounting Standards Update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effective February 1, 2018, as discussed further in Note 2, </w:t>
      </w:r>
      <w:r>
        <w:rPr>
          <w:rFonts w:ascii="Arial" w:cs="Arial" w:eastAsia="Arial" w:hAnsi="Arial"/>
          <w:sz w:val="18"/>
          <w:szCs w:val="18"/>
          <w:i w:val="1"/>
          <w:iCs w:val="1"/>
          <w:color w:val="auto"/>
        </w:rPr>
        <w:t>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Polices </w:t>
      </w:r>
      <w:r>
        <w:rPr>
          <w:rFonts w:ascii="Arial" w:cs="Arial" w:eastAsia="Arial" w:hAnsi="Arial"/>
          <w:sz w:val="18"/>
          <w:szCs w:val="18"/>
          <w:color w:val="auto"/>
        </w:rPr>
        <w:t>included in Part II, Item 8,</w:t>
      </w:r>
      <w:r>
        <w:rPr>
          <w:rFonts w:ascii="Arial" w:cs="Arial" w:eastAsia="Arial" w:hAnsi="Arial"/>
          <w:sz w:val="18"/>
          <w:szCs w:val="18"/>
          <w:i w:val="1"/>
          <w:iCs w:val="1"/>
          <w:color w:val="auto"/>
        </w:rPr>
        <w:t xml:space="preserve"> Financial Statements and Supplementary Data, </w:t>
      </w:r>
      <w:r>
        <w:rPr>
          <w:rFonts w:ascii="Arial" w:cs="Arial" w:eastAsia="Arial" w:hAnsi="Arial"/>
          <w:sz w:val="18"/>
          <w:szCs w:val="18"/>
          <w:color w:val="auto"/>
        </w:rPr>
        <w:t>of this Form 10-K. All amounts and disclosures in this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 have been updated to comply with the new revenue standard, as indicated by the “As Adjusted” reference in these consolidated financial statements and related notes.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0" w:firstLine="486"/>
        <w:spacing w:after="0" w:line="291" w:lineRule="auto"/>
        <w:rPr>
          <w:sz w:val="20"/>
          <w:szCs w:val="20"/>
          <w:color w:val="auto"/>
        </w:rPr>
      </w:pPr>
      <w:r>
        <w:rPr>
          <w:rFonts w:ascii="Arial" w:cs="Arial" w:eastAsia="Arial" w:hAnsi="Arial"/>
          <w:sz w:val="16"/>
          <w:szCs w:val="16"/>
          <w:color w:val="auto"/>
        </w:rPr>
        <w:t>MongoDB is the leading modern, general purpose database platform. Our robust platform enables developers to build and modernize applications rapidly and cost-effectively across a broad range of use cases. Organizations can deploy our platform at scale in the cloud, on-premise, or in a hybrid environment. Software applications are redefining how organizations across industries engage with their customers, operate their businesses and compete with each other. A database is at the heart of every software application. As a result, selecting a database is a highly strategic decision that directly affects developer productivity, application performance and organizational competitiveness. Our platform addresses the performance, scalability, flexibility and reliability demands of modern applications while maintaining the strengths of legacy databases. Our business model combines the developer mindshare and adoption benefits of open source with the economic benefits of a proprietary software subscription business model.</w:t>
      </w:r>
    </w:p>
    <w:p>
      <w:pPr>
        <w:spacing w:after="0" w:line="200" w:lineRule="exact"/>
        <w:rPr>
          <w:sz w:val="20"/>
          <w:szCs w:val="20"/>
          <w:color w:val="auto"/>
        </w:rPr>
      </w:pPr>
    </w:p>
    <w:p>
      <w:pPr>
        <w:spacing w:after="0" w:line="38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4"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generate revenue primarily from sales of subscriptions, which accounted for 93%, 91% and 91% of our total revenue for the years ended</w:t>
      </w:r>
    </w:p>
    <w:p>
      <w:pPr>
        <w:spacing w:after="0" w:line="3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January 31, 2019, 2018 and 2017, respectively. Our primary subscription package is MongoDB Enterprise Advanced, which represented 56%, 63% and 65% of our subscription revenue for the years ended January 31, 2019, 2018 and 2017, respectively. MongoDB Enterprise Advanced is our comprehensive offering for enterprise customers that can be run in the cloud, on-premise or in a hybrid environment, and includes our proprietary commercial database server, enterprise management capabilities, our graphical user interface, analytics integrations, technical support and a commercial license to our platform.</w:t>
      </w:r>
    </w:p>
    <w:p>
      <w:pPr>
        <w:spacing w:after="0" w:line="10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Many of our enterprise customers initially get to know our software by using Community Server, which is our free-to-download version of our database that includes the core functionality developers need to get started with MongoDB without all the features of our commercial platform. As a result, our direct sales prospects are often familiar with our platform and may have already built applications using our technology. We sell subscriptions directly through our field and inside sales teams, as well as indirectly through channel partners. Our subscription offerings are generally priced on a per server basis, subject to a per server RAM limit. The majority of our subscription contracts are one year in duration and are invoiced upfront. When we enter into multi-year subscriptions, we typically invoice the customer on an annual basis.</w:t>
      </w:r>
    </w:p>
    <w:p>
      <w:pPr>
        <w:spacing w:after="0" w:line="124"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We introduced MongoDB Atlas in June 2016. MongoDB Atlas is our cloud-hosted database-as-a-service (“DBaaS”) offering that includes comprehensive infrastructure and management of Community Server. During the year ended January 31, 2019, MongoDB Atlas revenue represented 23% of our total revenue, as compared to 7% in the prior year, reflecting the continued growth of MongoDB Atlas since its introduction. We have experienced strong growth in self-serve customers of MongoDB Atlas. These customers are charged monthly based on their usage. In addition, we have also seen growth in MongoDB Atlas customers sold by our sales force. These customers typically sign annual commitments and pay in advance or are invoiced monthly based on usage. Given our platform has been downloaded from our website more than 60 million times since February 2009 and over 20 million times in the last 12 months alone, our initial growth strategy for MongoDB Atlas is to convert developers and their organizations who are already using Community Server to become customers of MongoDB Atlas and enjoy the benefits of a managed offering.</w:t>
      </w:r>
    </w:p>
    <w:p>
      <w:pPr>
        <w:spacing w:after="0" w:line="125"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also generate revenue from services, which consist primarily of fees associated with consulting and training services. Revenue from services accounted for 7%, 9% and 9% of our total revenue for the years ended January 31, 2019, 2018 and 2017, respectively. We expect to continue to invest in our services organization as we believe it plays an important role in accelerating our customers’ realization of the benefits of our platform, which helps drive customer retention and expansion.</w:t>
      </w:r>
    </w:p>
    <w:p>
      <w:pPr>
        <w:spacing w:after="0" w:line="133"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We believe the market for our offerings is large and growing, and we have experienced rapid growth. We have made substantial investments in developing our platform and expanding our sales and marketing footprint and intend to continue to invest heavily to grow our business to take advantage of our market opportunity rather than optimizing for profitability or cash flow in the near term.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Extending Product Leadership and Maintaining Developer Mindshare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are committed to delivering market-leading products to continue to build and maintain credibility with the global software developer community.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believe we must maintain our product leadership position and the strength of our brand to drive further revenue growth. For example, we introduced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MongoDB Atlas in 2016, an important part of our run-anywhere solution, to capitalize on the existing demand for a managed version of our Community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Server offering which many companies currently self-deploy and manage in the cloud. In 2017, we introduced cross-region replication for MongoDB Atlas,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helps ensure that an application remains operational even if an entire cloud region goes down, as well as allowing MongoDB customers to locate data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closer to their users for performance or compliance reasons. In addition, in 2018, we released MongoDB 4.0, which extended ACID support to multi-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document transactions and we have recently announced that we will be expanding multi-document ACID guarantees for sharded clusters. We intend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continue to invest in our engineering capabilities and marketing activities to maintain our strong position in the developer community. We have spent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$320.0 million on research and development since our inception. Our results of operations may fluctuate as we make these investments to drive increased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customer adoption and usage.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Growing Our Customer Base</w:t>
      </w:r>
    </w:p>
    <w:p>
      <w:pPr>
        <w:spacing w:after="0" w:line="171"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We are intensely focused on continuing to grow our customer base. We have invested, and expect to continue to invest, heavily in our sales and marketing efforts and developer community outreach, which are critical to driving customer</w:t>
      </w:r>
    </w:p>
    <w:p>
      <w:pPr>
        <w:spacing w:after="0" w:line="200" w:lineRule="exact"/>
        <w:rPr>
          <w:sz w:val="20"/>
          <w:szCs w:val="20"/>
          <w:color w:val="auto"/>
        </w:rPr>
      </w:pPr>
    </w:p>
    <w:p>
      <w:pPr>
        <w:spacing w:after="0" w:line="38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acquisition. As of January 31, 2019, we had over 13,400 customers across a wide range of industries and in over 100 countries, compared to over 5,700 customers and over 3,200 customers as of January 31, 2018 and 2017, respectively.</w:t>
      </w:r>
    </w:p>
    <w:p>
      <w:pPr>
        <w:spacing w:after="0" w:line="11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All affiliated entities are counted as a single customer. On November 1, 2018, the Company acquired all of the issued and outstanding capital stock of ObjectLabs Corporation (“mLab”). mLab, based in San Francisco, California, offers a fully-managed cloud database service featuring automated provisioning and scaling, backup and recovery, 24/7 monitoring and alerting, web-based management tools, and support. Our customer count as of January 31, 2019 includes approximately 4,200 customers acquired from mLab.</w:t>
      </w:r>
    </w:p>
    <w:p>
      <w:pPr>
        <w:spacing w:after="0" w:line="133"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Our definition of “customer” excludes (i) users of our free offerings and (ii) users acquired from mLab who spend less than $20 per month with us, which users collectively represent an immaterial portion of the revenue associated with users acquired from mLab.</w:t>
      </w:r>
    </w:p>
    <w:p>
      <w:pPr>
        <w:spacing w:after="0" w:line="116"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As of January 31, 2019, we had over 1,750 customers that were sold through our direct sales force and channel partners, as compared to over 1,450 and over 1,200 such customers as of January 31, 2018 and 2017, respectively. These customers, which we refer to as our Direct Sales Customers, accounted for 85%, 92% and 96% of our subscription revenue for the year ended January 31, 2019, 2018 and 2017, respectively. We are also focused on increasing the number of MongoDB Atlas customers. After launching in June 2016, we had over 11,400 MongoDB Atlas customers as of January 31, 2019. The growth in MongoDB Atlas customers included customers from mLab, as described above, as well as new customers to MongoDB and existing MongoDB Enterprise Advanced customers adding incremental MongoDB Atlas workloads.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Increasing Adoption of MongoDB Atlas</w:t>
      </w:r>
    </w:p>
    <w:p>
      <w:pPr>
        <w:spacing w:after="0" w:line="171"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MongoDB Atlas, our hosted cloud offering, is an important part of our run-anywhere strategy and allows us to generate revenue from Community Server, converting users of the free-to-download version of our database to customers. To accelerate adoption of this DBaaS offering, in 2017, we introduced tools to easily migrate existing users of our Community Server offering to MongoDB Atlas. We have also expanded our introductory offerings for MongoDB Atlas, including a free tier, which provides limited processing power and storage in order to drive usage and adoption of MongoDB Atlas among developers. Our MongoDB Atlas free tier offering is now available on all three major cloud providers (Amazon Web Services, Google Cloud Platform and, most recently, Microsoft Azure) in North America, Europe and Asia Pacific. In addition, MongoDB Atlas is available on AWS Marketplace, making it easier for AWS customers to buy and consume MongoDB Atlas. We have also expanded the functionality available in MongoDB Atlas beyond that of our Community Server offering. We expect this will drive further adoption of MongoDB Atlas as companies migrate mission-critical applications to the public cloud. The recent enterprise capabilities that we have introduced to MongoDB Atlas include advanced security features, enterprise-standard authentication and database auditing. We have invested significantly in MongoDB Atlas and our ability to drive adoption of MongoDB Atlas is a key component of our growth strategy.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Retaining and Expanding Revenue from Existing Customers</w:t>
      </w:r>
    </w:p>
    <w:p>
      <w:pPr>
        <w:spacing w:after="0" w:line="171"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The economic attractiveness of our subscription-based model is driven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If an application grows and requires additional capacity, our customers increase their subscriptions to our platform. In addition, our customers expand their subscriptions to our platform as they migrate additional existing applications or build new applications, either within the same department or in other lines of business or geographies. Also, as customers modernize their information technology infrastructure and move to the cloud, they may migrate applications from legacy databases. Our goal is to increase the number of customers that standardize on our database within their organization, which can include offering centralized internal support or providing MongoDB-as-a-service internally. Over time, the average subscription amount for our Direct Sales Customers has increased. In addition, self-serve customers have begun to increase their consumption of our products, particularly MongoDB Atlas.</w:t>
      </w:r>
    </w:p>
    <w:p>
      <w:pPr>
        <w:spacing w:after="0" w:line="200" w:lineRule="exact"/>
        <w:rPr>
          <w:sz w:val="20"/>
          <w:szCs w:val="20"/>
          <w:color w:val="auto"/>
        </w:rPr>
      </w:pPr>
    </w:p>
    <w:p>
      <w:pPr>
        <w:spacing w:after="0" w:line="38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2" w:right="2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monitor annualized recurring revenue (“ARR”) to help us measure our subscription performance. We define ARR as the subscription revenue we would contractually expect to receive from customers over the following 12 months assuming no increases or reductions in their subscriptions. Except as set forth in the following paragraph with respect to net ARR expansion rate, ARR excludes self-serve products, including MongoDB Atlas not sold on a commitment basis. ARR also excludes professional services. For customers who utilize our self-serve offerings, we measure the annualized monthly recurring revenue (“MRR”), which is calculated by annualizing their usage of our self-serve products in the prior 30 days and assuming no increases or reductions in their usage. The number of customers with $100,000 or greater in ARR and annualized MRR was 557, 354 and 246 as of January 31, 2019, 2018 and 2017, respectively.</w:t>
      </w:r>
    </w:p>
    <w:p>
      <w:pPr>
        <w:spacing w:after="0" w:line="135"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We also examine the rate at which our customers increase their spend with us, which we call net ARR expansion rate. We calculate net ARR expansion rate by dividing the ARR at the close of a given period (the “measurement period”), from customers who were also customers at the close of the same period in the prior year (the “base period”), by the ARR from all customers at the close of the base period, including those who churned or reduced their subscriptions. In the calculation of our net ARR expansion rate, we include any annualized MRR from customers who were Direct Sales Customers in the base period, the measurement period or both such periods. Our net ARR expansion rate has been over 120% for each of the last 16 fiscal quarters.</w:t>
      </w:r>
    </w:p>
    <w:p>
      <w:pPr>
        <w:spacing w:after="0" w:line="104" w:lineRule="exact"/>
        <w:rPr>
          <w:sz w:val="20"/>
          <w:szCs w:val="20"/>
          <w:color w:val="auto"/>
        </w:rPr>
      </w:pPr>
    </w:p>
    <w:p>
      <w:pPr>
        <w:ind w:right="400" w:firstLine="486"/>
        <w:spacing w:after="0" w:line="308" w:lineRule="auto"/>
        <w:rPr>
          <w:sz w:val="20"/>
          <w:szCs w:val="20"/>
          <w:color w:val="auto"/>
        </w:rPr>
      </w:pPr>
      <w:r>
        <w:rPr>
          <w:rFonts w:ascii="Arial" w:cs="Arial" w:eastAsia="Arial" w:hAnsi="Arial"/>
          <w:sz w:val="17"/>
          <w:szCs w:val="17"/>
          <w:color w:val="auto"/>
        </w:rPr>
        <w:t>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Investing in Growth and Scaling Our Business</w:t>
      </w:r>
    </w:p>
    <w:p>
      <w:pPr>
        <w:spacing w:after="0" w:line="171" w:lineRule="exact"/>
        <w:rPr>
          <w:sz w:val="20"/>
          <w:szCs w:val="20"/>
          <w:color w:val="auto"/>
        </w:rPr>
      </w:pPr>
    </w:p>
    <w:p>
      <w:pPr>
        <w:ind w:right="220" w:firstLine="486"/>
        <w:spacing w:after="0" w:line="276" w:lineRule="auto"/>
        <w:rPr>
          <w:sz w:val="20"/>
          <w:szCs w:val="20"/>
          <w:color w:val="auto"/>
        </w:rPr>
      </w:pPr>
      <w:r>
        <w:rPr>
          <w:rFonts w:ascii="Arial" w:cs="Arial" w:eastAsia="Arial" w:hAnsi="Arial"/>
          <w:sz w:val="17"/>
          <w:szCs w:val="17"/>
          <w:color w:val="auto"/>
        </w:rPr>
        <w:t>We are focused on our long-term revenue potential. We believe that our market opportunity is large, and we will continue to invest significantly in scaling across all organizational functions in order to grow our operations both domestically and internationally. Any investments we make in our sales and marketing organization will occur in advance of experiencing the benefits from such investments, so it may be difficult for us to determine if we are efficiently allocating resources in those areas. We have increased our sales and marketing headcount to 466 employees as of January 31, 2019 from 394 employees and 280 employees as of January 31, 2018 and 2017,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Revenue</w:t>
      </w:r>
    </w:p>
    <w:p>
      <w:pPr>
        <w:spacing w:after="0" w:line="171" w:lineRule="exact"/>
        <w:rPr>
          <w:sz w:val="20"/>
          <w:szCs w:val="20"/>
          <w:color w:val="auto"/>
        </w:rPr>
      </w:pPr>
    </w:p>
    <w:p>
      <w:pPr>
        <w:ind w:right="60" w:firstLine="486"/>
        <w:spacing w:after="0" w:line="219" w:lineRule="exact"/>
        <w:rPr>
          <w:sz w:val="20"/>
          <w:szCs w:val="20"/>
          <w:color w:val="auto"/>
        </w:rPr>
      </w:pPr>
      <w:r>
        <w:rPr>
          <w:rFonts w:ascii="Arial" w:cs="Arial" w:eastAsia="Arial" w:hAnsi="Arial"/>
          <w:sz w:val="17"/>
          <w:szCs w:val="17"/>
          <w:i w:val="1"/>
          <w:iCs w:val="1"/>
          <w:color w:val="auto"/>
        </w:rPr>
        <w:t xml:space="preserve">Subscription Revenue. </w:t>
      </w:r>
      <w:r>
        <w:rPr>
          <w:rFonts w:ascii="Arial" w:cs="Arial" w:eastAsia="Arial" w:hAnsi="Arial"/>
          <w:sz w:val="17"/>
          <w:szCs w:val="17"/>
          <w:color w:val="auto"/>
        </w:rPr>
        <w:t>Our subscription revenue is comprised of term licenses and hosted as</w:t>
      </w:r>
      <w:r>
        <w:rPr>
          <w:rFonts w:ascii="MS PGothic" w:cs="MS PGothic" w:eastAsia="MS PGothic" w:hAnsi="MS PGothic"/>
          <w:sz w:val="17"/>
          <w:szCs w:val="17"/>
          <w:color w:val="auto"/>
        </w:rPr>
        <w:t>‑</w:t>
      </w:r>
      <w:r>
        <w:rPr>
          <w:rFonts w:ascii="Arial" w:cs="Arial" w:eastAsia="Arial" w:hAnsi="Arial"/>
          <w:sz w:val="17"/>
          <w:szCs w:val="17"/>
          <w:color w:val="auto"/>
        </w:rPr>
        <w:t>a</w:t>
      </w:r>
      <w:r>
        <w:rPr>
          <w:rFonts w:ascii="MS PGothic" w:cs="MS PGothic" w:eastAsia="MS PGothic" w:hAnsi="MS PGothic"/>
          <w:sz w:val="17"/>
          <w:szCs w:val="17"/>
          <w:color w:val="auto"/>
        </w:rPr>
        <w:t>‑</w:t>
      </w:r>
      <w:r>
        <w:rPr>
          <w:rFonts w:ascii="Arial" w:cs="Arial" w:eastAsia="Arial" w:hAnsi="Arial"/>
          <w:sz w:val="17"/>
          <w:szCs w:val="17"/>
          <w:color w:val="auto"/>
        </w:rPr>
        <w:t>service solutions. Subscriptions to term licenses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technical support and access to new software versions on a when</w:t>
      </w:r>
      <w:r>
        <w:rPr>
          <w:rFonts w:ascii="MS PGothic" w:cs="MS PGothic" w:eastAsia="MS PGothic" w:hAnsi="MS PGothic"/>
          <w:sz w:val="17"/>
          <w:szCs w:val="17"/>
          <w:color w:val="auto"/>
        </w:rPr>
        <w:t>‑</w:t>
      </w:r>
      <w:r>
        <w:rPr>
          <w:rFonts w:ascii="Arial" w:cs="Arial" w:eastAsia="Arial" w:hAnsi="Arial"/>
          <w:sz w:val="17"/>
          <w:szCs w:val="17"/>
          <w:color w:val="auto"/>
        </w:rPr>
        <w:t>and</w:t>
      </w:r>
      <w:r>
        <w:rPr>
          <w:rFonts w:ascii="MS PGothic" w:cs="MS PGothic" w:eastAsia="MS PGothic" w:hAnsi="MS PGothic"/>
          <w:sz w:val="17"/>
          <w:szCs w:val="17"/>
          <w:color w:val="auto"/>
        </w:rPr>
        <w:t>‑</w:t>
      </w:r>
      <w:r>
        <w:rPr>
          <w:rFonts w:ascii="Arial" w:cs="Arial" w:eastAsia="Arial" w:hAnsi="Arial"/>
          <w:sz w:val="17"/>
          <w:szCs w:val="17"/>
          <w:color w:val="auto"/>
        </w:rPr>
        <w:t>if available basis. Revenue from our term licenses is recognized upfront for the license component and ratably for the technical support and when-and-if available update components. Revenue from term licenses is typically billed annually in advance. Revenue from our hosted as</w:t>
      </w:r>
      <w:r>
        <w:rPr>
          <w:rFonts w:ascii="MS PGothic" w:cs="MS PGothic" w:eastAsia="MS PGothic" w:hAnsi="MS PGothic"/>
          <w:sz w:val="17"/>
          <w:szCs w:val="17"/>
          <w:color w:val="auto"/>
        </w:rPr>
        <w:t>‑</w:t>
      </w:r>
      <w:r>
        <w:rPr>
          <w:rFonts w:ascii="Arial" w:cs="Arial" w:eastAsia="Arial" w:hAnsi="Arial"/>
          <w:sz w:val="17"/>
          <w:szCs w:val="17"/>
          <w:color w:val="auto"/>
        </w:rPr>
        <w:t>a</w:t>
      </w:r>
      <w:r>
        <w:rPr>
          <w:rFonts w:ascii="MS PGothic" w:cs="MS PGothic" w:eastAsia="MS PGothic" w:hAnsi="MS PGothic"/>
          <w:sz w:val="17"/>
          <w:szCs w:val="17"/>
          <w:color w:val="auto"/>
        </w:rPr>
        <w:t>‑</w:t>
      </w:r>
      <w:r>
        <w:rPr>
          <w:rFonts w:ascii="Arial" w:cs="Arial" w:eastAsia="Arial" w:hAnsi="Arial"/>
          <w:sz w:val="17"/>
          <w:szCs w:val="17"/>
          <w:color w:val="auto"/>
        </w:rPr>
        <w:t>service solutions is primarily generated on a usage basis and is billed either in arrears or paid up front. The majority of our subscription contracts are one year in duration and are invoiced upfront. Our subscription contracts are generally non-cancelable and non-refundable. When we enter into multi-year subscriptions, we typically invoices the customer on an annual basis.</w:t>
      </w:r>
    </w:p>
    <w:p>
      <w:pPr>
        <w:spacing w:after="0" w:line="149"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is comprised of consulting and training services and is recognized over the period of delivery of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We recognize revenue from services agreements as services are delivered.</w:t>
      </w:r>
    </w:p>
    <w:p>
      <w:pPr>
        <w:spacing w:after="0" w:line="116" w:lineRule="exact"/>
        <w:rPr>
          <w:sz w:val="20"/>
          <w:szCs w:val="20"/>
          <w:color w:val="auto"/>
        </w:rPr>
      </w:pPr>
    </w:p>
    <w:p>
      <w:pPr>
        <w:jc w:val="both"/>
        <w:ind w:right="140" w:firstLine="486"/>
        <w:spacing w:after="0" w:line="221" w:lineRule="exact"/>
        <w:rPr>
          <w:sz w:val="20"/>
          <w:szCs w:val="20"/>
          <w:color w:val="auto"/>
        </w:rPr>
      </w:pPr>
      <w:r>
        <w:rPr>
          <w:rFonts w:ascii="Arial" w:cs="Arial" w:eastAsia="Arial" w:hAnsi="Arial"/>
          <w:sz w:val="18"/>
          <w:szCs w:val="18"/>
          <w:color w:val="auto"/>
        </w:rPr>
        <w:t>We expect our revenue may vary from period to period based on, among other things, the timing and size of new subscriptions, the proportion of term license contracts that commence within the period, the rate of customer renewals and expansions, delivery of professional services, the impact of significant transactions and seasonality of or fluctuations in usage for our consumption</w:t>
      </w:r>
      <w:r>
        <w:rPr>
          <w:rFonts w:ascii="MS PGothic" w:cs="MS PGothic" w:eastAsia="MS PGothic" w:hAnsi="MS PGothic"/>
          <w:sz w:val="18"/>
          <w:szCs w:val="18"/>
          <w:color w:val="auto"/>
        </w:rPr>
        <w:t>‑</w:t>
      </w:r>
      <w:r>
        <w:rPr>
          <w:rFonts w:ascii="Arial" w:cs="Arial" w:eastAsia="Arial" w:hAnsi="Arial"/>
          <w:sz w:val="18"/>
          <w:szCs w:val="18"/>
          <w:color w:val="auto"/>
        </w:rPr>
        <w:t>based customers.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Cost of Revenue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Cost of Subscription Revenue. </w:t>
      </w:r>
      <w:r>
        <w:rPr>
          <w:rFonts w:ascii="Arial" w:cs="Arial" w:eastAsia="Arial" w:hAnsi="Arial"/>
          <w:sz w:val="17"/>
          <w:szCs w:val="17"/>
          <w:color w:val="auto"/>
        </w:rPr>
        <w:t>Cost of subscription revenue primarily includes personnel costs, including salaries, bonuses and benefits, and</w:t>
      </w:r>
    </w:p>
    <w:p>
      <w:pPr>
        <w:spacing w:after="0" w:line="3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employees associated with our subscription arrangements principally related to technical support and allocated shared costs, as</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well as depreciation and amortization. Our cost of subscription revenue for our hosted as</w:t>
      </w:r>
      <w:r>
        <w:rPr>
          <w:rFonts w:ascii="MS PGothic" w:cs="MS PGothic" w:eastAsia="MS PGothic" w:hAnsi="MS PGothic"/>
          <w:sz w:val="16"/>
          <w:szCs w:val="16"/>
          <w:color w:val="auto"/>
        </w:rPr>
        <w:t>‑</w:t>
      </w:r>
      <w:r>
        <w:rPr>
          <w:rFonts w:ascii="Arial" w:cs="Arial" w:eastAsia="Arial" w:hAnsi="Arial"/>
          <w:sz w:val="16"/>
          <w:szCs w:val="16"/>
          <w:color w:val="auto"/>
        </w:rPr>
        <w:t>a</w:t>
      </w:r>
      <w:r>
        <w:rPr>
          <w:rFonts w:ascii="MS PGothic" w:cs="MS PGothic" w:eastAsia="MS PGothic" w:hAnsi="MS PGothic"/>
          <w:sz w:val="16"/>
          <w:szCs w:val="16"/>
          <w:color w:val="auto"/>
        </w:rPr>
        <w:t>‑</w:t>
      </w:r>
      <w:r>
        <w:rPr>
          <w:rFonts w:ascii="Arial" w:cs="Arial" w:eastAsia="Arial" w:hAnsi="Arial"/>
          <w:sz w:val="16"/>
          <w:szCs w:val="16"/>
          <w:color w:val="auto"/>
        </w:rPr>
        <w:t>service solutions also includes third</w:t>
      </w:r>
      <w:r>
        <w:rPr>
          <w:rFonts w:ascii="MS PGothic" w:cs="MS PGothic" w:eastAsia="MS PGothic" w:hAnsi="MS PGothic"/>
          <w:sz w:val="16"/>
          <w:szCs w:val="16"/>
          <w:color w:val="auto"/>
        </w:rPr>
        <w:t>‑</w:t>
      </w:r>
      <w:r>
        <w:rPr>
          <w:rFonts w:ascii="Arial" w:cs="Arial" w:eastAsia="Arial" w:hAnsi="Arial"/>
          <w:sz w:val="16"/>
          <w:szCs w:val="16"/>
          <w:color w:val="auto"/>
        </w:rPr>
        <w:t>party cloud infrastructure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We expect our cost of subscription revenue to increase in absolute dollars as our subscription revenue increases and, depending on the results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MongoDB Atlas, our cost of subscription revenue may increase as a percentage of subscription revenue as well.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100" w:firstLine="486"/>
        <w:spacing w:after="0" w:line="221" w:lineRule="exact"/>
        <w:rPr>
          <w:sz w:val="20"/>
          <w:szCs w:val="20"/>
          <w:color w:val="auto"/>
        </w:rPr>
      </w:pPr>
      <w:r>
        <w:rPr>
          <w:rFonts w:ascii="Arial" w:cs="Arial" w:eastAsia="Arial" w:hAnsi="Arial"/>
          <w:sz w:val="18"/>
          <w:szCs w:val="18"/>
          <w:i w:val="1"/>
          <w:iCs w:val="1"/>
          <w:color w:val="auto"/>
        </w:rPr>
        <w:t xml:space="preserve">Cost of Services Revenue. </w:t>
      </w:r>
      <w:r>
        <w:rPr>
          <w:rFonts w:ascii="Arial" w:cs="Arial" w:eastAsia="Arial" w:hAnsi="Arial"/>
          <w:sz w:val="18"/>
          <w:szCs w:val="18"/>
          <w:color w:val="auto"/>
        </w:rPr>
        <w:t>Cost of services revenue primarily includes personnel costs, including salaries and benefits,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employees associated with our professional service contracts, travel costs and allocated shared costs, as well as depreciation and amortization. We expect our cost of services revenue to increase in absolute dollars as our services revenue increases.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Gross Profit and Gross Margin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represents revenue less cost of revenue.</w:t>
      </w:r>
    </w:p>
    <w:p>
      <w:pPr>
        <w:spacing w:after="0" w:line="171"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or gross profit as a percentage of revenue, has been and will continue to be affected by a variety of factors,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Operating Expenses</w:t>
      </w:r>
    </w:p>
    <w:p>
      <w:pPr>
        <w:spacing w:after="0" w:line="171"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each category of operating expenses. Operating expenses also include allocated overhead costs for facilities, information technology and employee benefit costs.</w:t>
      </w:r>
    </w:p>
    <w:p>
      <w:pPr>
        <w:spacing w:after="0" w:line="127" w:lineRule="exact"/>
        <w:rPr>
          <w:sz w:val="20"/>
          <w:szCs w:val="20"/>
          <w:color w:val="auto"/>
        </w:rPr>
      </w:pPr>
    </w:p>
    <w:p>
      <w:pPr>
        <w:ind w:right="80" w:firstLine="486"/>
        <w:spacing w:after="0" w:line="219" w:lineRule="exact"/>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 consists primarily of personnel costs, including salaries, sales commission and benefits, bonuses</w:t>
      </w:r>
      <w:r>
        <w:rPr>
          <w:rFonts w:ascii="Arial" w:cs="Arial" w:eastAsia="Arial" w:hAnsi="Arial"/>
          <w:sz w:val="18"/>
          <w:szCs w:val="18"/>
          <w:i w:val="1"/>
          <w:iCs w:val="1"/>
          <w:color w:val="auto"/>
        </w:rPr>
        <w:t xml:space="preserve"> </w:t>
      </w:r>
      <w:r>
        <w:rPr>
          <w:rFonts w:ascii="Arial" w:cs="Arial" w:eastAsia="Arial" w:hAnsi="Arial"/>
          <w:sz w:val="18"/>
          <w:szCs w:val="18"/>
          <w:color w:val="auto"/>
        </w:rPr>
        <w:t>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These expenses also include costs related to marketing programs, travel</w:t>
      </w:r>
      <w:r>
        <w:rPr>
          <w:rFonts w:ascii="MS PGothic" w:cs="MS PGothic" w:eastAsia="MS PGothic" w:hAnsi="MS PGothic"/>
          <w:sz w:val="18"/>
          <w:szCs w:val="18"/>
          <w:color w:val="auto"/>
        </w:rPr>
        <w:t>‑</w:t>
      </w:r>
      <w:r>
        <w:rPr>
          <w:rFonts w:ascii="Arial" w:cs="Arial" w:eastAsia="Arial" w:hAnsi="Arial"/>
          <w:sz w:val="18"/>
          <w:szCs w:val="18"/>
          <w:color w:val="auto"/>
        </w:rPr>
        <w:t>related expenses and allocated overhead. Marketing programs consist of advertising, events, corporate communications, and brand</w:t>
      </w:r>
      <w:r>
        <w:rPr>
          <w:rFonts w:ascii="MS PGothic" w:cs="MS PGothic" w:eastAsia="MS PGothic" w:hAnsi="MS PGothic"/>
          <w:sz w:val="18"/>
          <w:szCs w:val="18"/>
          <w:color w:val="auto"/>
        </w:rPr>
        <w:t>‑</w:t>
      </w:r>
      <w:r>
        <w:rPr>
          <w:rFonts w:ascii="Arial" w:cs="Arial" w:eastAsia="Arial" w:hAnsi="Arial"/>
          <w:sz w:val="18"/>
          <w:szCs w:val="18"/>
          <w:color w:val="auto"/>
        </w:rPr>
        <w:t>building and developer</w:t>
      </w:r>
      <w:r>
        <w:rPr>
          <w:rFonts w:ascii="MS PGothic" w:cs="MS PGothic" w:eastAsia="MS PGothic" w:hAnsi="MS PGothic"/>
          <w:sz w:val="18"/>
          <w:szCs w:val="18"/>
          <w:color w:val="auto"/>
        </w:rPr>
        <w:t>‑</w:t>
      </w:r>
      <w:r>
        <w:rPr>
          <w:rFonts w:ascii="Arial" w:cs="Arial" w:eastAsia="Arial" w:hAnsi="Arial"/>
          <w:sz w:val="18"/>
          <w:szCs w:val="18"/>
          <w:color w:val="auto"/>
        </w:rPr>
        <w:t>community activities. We expect our sales and marketing expense to increase in absolute dollars over time as we expand our sales force and increase our marketing resources, expand into new markets and further develop our self-serve and partner channels.</w:t>
      </w:r>
    </w:p>
    <w:p>
      <w:pPr>
        <w:spacing w:after="0" w:line="152" w:lineRule="exact"/>
        <w:rPr>
          <w:sz w:val="20"/>
          <w:szCs w:val="20"/>
          <w:color w:val="auto"/>
        </w:rPr>
      </w:pPr>
    </w:p>
    <w:p>
      <w:pPr>
        <w:ind w:right="300" w:firstLine="486"/>
        <w:spacing w:after="0" w:line="221" w:lineRule="exact"/>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consists primarily of personnel costs, including salaries, bonuses and benefits, and</w:t>
      </w:r>
      <w:r>
        <w:rPr>
          <w:rFonts w:ascii="Arial" w:cs="Arial" w:eastAsia="Arial" w:hAnsi="Arial"/>
          <w:sz w:val="16"/>
          <w:szCs w:val="16"/>
          <w:i w:val="1"/>
          <w:iCs w:val="1"/>
          <w:color w:val="auto"/>
        </w:rPr>
        <w:t xml:space="preserve"> </w:t>
      </w:r>
      <w:r>
        <w:rPr>
          <w:rFonts w:ascii="Arial" w:cs="Arial" w:eastAsia="Arial" w:hAnsi="Arial"/>
          <w:sz w:val="16"/>
          <w:szCs w:val="16"/>
          <w:color w:val="auto"/>
        </w:rPr>
        <w:t>stock</w:t>
      </w:r>
      <w:r>
        <w:rPr>
          <w:rFonts w:ascii="MS PGothic" w:cs="MS PGothic" w:eastAsia="MS PGothic" w:hAnsi="MS PGothic"/>
          <w:sz w:val="16"/>
          <w:szCs w:val="16"/>
          <w:color w:val="auto"/>
        </w:rPr>
        <w:t>‑</w:t>
      </w:r>
      <w:r>
        <w:rPr>
          <w:rFonts w:ascii="Arial" w:cs="Arial" w:eastAsia="Arial" w:hAnsi="Arial"/>
          <w:sz w:val="16"/>
          <w:szCs w:val="16"/>
          <w:color w:val="auto"/>
        </w:rPr>
        <w:t>based compensation. It also includes amortization associated with intangible acquired assets and allocated overhead. We expect our research and development expenses to continue to increase in absolute dollars, as we continue to invest in our platform and develop new products.</w:t>
      </w:r>
    </w:p>
    <w:p>
      <w:pPr>
        <w:spacing w:after="0" w:line="148" w:lineRule="exact"/>
        <w:rPr>
          <w:sz w:val="20"/>
          <w:szCs w:val="20"/>
          <w:color w:val="auto"/>
        </w:rPr>
      </w:pPr>
    </w:p>
    <w:p>
      <w:pPr>
        <w:ind w:right="100" w:firstLine="486"/>
        <w:spacing w:after="0" w:line="220" w:lineRule="exact"/>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 consists primarily of personnel costs, including salaries, bonuses and benefits, and</w:t>
      </w:r>
      <w:r>
        <w:rPr>
          <w:rFonts w:ascii="Arial" w:cs="Arial" w:eastAsia="Arial" w:hAnsi="Arial"/>
          <w:sz w:val="18"/>
          <w:szCs w:val="18"/>
          <w:i w:val="1"/>
          <w:iCs w:val="1"/>
          <w:color w:val="auto"/>
        </w:rPr>
        <w:t xml:space="preserve"> </w:t>
      </w: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 and incur the costs of compliance associated with being a publicly traded company.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Other Income (Expense),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income (expense), net consists primarily of interest income and gains and losses from foreign currency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Provision for (Benefit from) Income Taxes</w:t>
      </w:r>
    </w:p>
    <w:p>
      <w:pPr>
        <w:spacing w:after="0" w:line="17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Provision for income taxes consists primarily of state income taxes in the United States and income taxes in certain foreign jurisdictions in which we conduct business. As of January 31, 2019, we had net operating loss (“NOL”) carryforwards for federal, state and Irish income tax purposes of $359.2 million, $239.5 million and $199.5 million, respectively, which begin to expire in the year ending January 31, 2028 for federal purposes and January 31, 2020 for state purposes if not utilized. Ireland and the U.S. allow NOLs to be carried forward indefinitely. The deferred tax assets associated with the NOL carryforwards in each of these jurisdictions are subject to a full valuation allowance. Under Section 382 of the U.S. Internal Revenue Code of 1986 (the “Code”), a corporation that experiences an “ownership change” is subject to a limitation on its ability to utilize its pre-change NOLs to offset future taxable income. Utilization of the federal NOL carryforwards and credits may be subject to a substantial annual limitation due to the ownership change limitations provided by the Internal Revenue Code of 1986, as amended, and similar state provisions. The annual limitation, should the Company undergo an ownership change, may result in the expiration of federal or state net operating losses and credits before utilization, however the Company does not expect any such limitation to be material.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22" w:right="27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the Years Ended January 31, 2019, 2018 and 2017</w:t>
      </w:r>
    </w:p>
    <w:p>
      <w:pPr>
        <w:spacing w:after="0" w:line="175"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For the years ended January 31, 2019, 2018 and 2017, our total revenue was $267.0 million, $166.0 million and $114.8 million, respectively. Our net loss was $99.0 million, $84.0 million and $70.1 million for the years ended January 31, 2019, 2018 and 2017, respectively. Our operating cash flow was $(42.0) million, $(44.9) million and $(38.1) million for the years ended January 31, 2019, 2018 and 2017, respectively. Our free cash flow was $(48.8) million, $(47.0) million and $(39.8) million for the years ended January 31, 2019, 2018 and 2017, respectively. See the section titled “Liquidity and Capital Resources—Non-GAAP Free Cash Flow”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set forth our results of operations for the periods presented in dollars and as a percentage of our total revenue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Years Ended January 31,</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right="152"/>
              <w:spacing w:after="0" w:line="147"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512"/>
              <w:spacing w:after="0" w:line="147"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6"/>
        </w:trPr>
        <w:tc>
          <w:tcPr>
            <w:tcW w:w="6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*As Adjusted</w:t>
            </w:r>
          </w:p>
        </w:tc>
        <w:tc>
          <w:tcPr>
            <w:tcW w:w="220" w:type="dxa"/>
            <w:vAlign w:val="bottom"/>
          </w:tcPr>
          <w:p>
            <w:pPr>
              <w:spacing w:after="0"/>
              <w:rPr>
                <w:sz w:val="16"/>
                <w:szCs w:val="16"/>
                <w:color w:val="auto"/>
              </w:rPr>
            </w:pPr>
          </w:p>
        </w:tc>
        <w:tc>
          <w:tcPr>
            <w:tcW w:w="1280" w:type="dxa"/>
            <w:vAlign w:val="bottom"/>
          </w:tcPr>
          <w:p>
            <w:pPr>
              <w:jc w:val="right"/>
              <w:ind w:right="252"/>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6"/>
        </w:trPr>
        <w:tc>
          <w:tcPr>
            <w:tcW w:w="6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248,391</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151,853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104,033</w:t>
            </w: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14,175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10,772</w:t>
            </w:r>
          </w:p>
        </w:tc>
        <w:tc>
          <w:tcPr>
            <w:tcW w:w="0" w:type="dxa"/>
            <w:vAlign w:val="bottom"/>
          </w:tcPr>
          <w:p>
            <w:pPr>
              <w:spacing w:after="0"/>
              <w:rPr>
                <w:sz w:val="1"/>
                <w:szCs w:val="1"/>
                <w:color w:val="auto"/>
              </w:rPr>
            </w:pPr>
          </w:p>
        </w:tc>
      </w:tr>
      <w:tr>
        <w:trPr>
          <w:trHeight w:val="41"/>
        </w:trPr>
        <w:tc>
          <w:tcPr>
            <w:tcW w:w="60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267,016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114,805</w:t>
            </w:r>
          </w:p>
        </w:tc>
        <w:tc>
          <w:tcPr>
            <w:tcW w:w="0" w:type="dxa"/>
            <w:vAlign w:val="bottom"/>
          </w:tcPr>
          <w:p>
            <w:pPr>
              <w:spacing w:after="0"/>
              <w:rPr>
                <w:sz w:val="1"/>
                <w:szCs w:val="1"/>
                <w:color w:val="auto"/>
              </w:rPr>
            </w:pPr>
          </w:p>
        </w:tc>
      </w:tr>
      <w:tr>
        <w:trPr>
          <w:trHeight w:val="270"/>
        </w:trPr>
        <w:tc>
          <w:tcPr>
            <w:tcW w:w="6060" w:type="dxa"/>
            <w:vAlign w:val="bottom"/>
          </w:tcPr>
          <w:p>
            <w:pPr>
              <w:ind w:left="2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19,352</w:t>
            </w: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12,093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10,515</w:t>
            </w:r>
          </w:p>
        </w:tc>
        <w:tc>
          <w:tcPr>
            <w:tcW w:w="0" w:type="dxa"/>
            <w:vAlign w:val="bottom"/>
          </w:tcPr>
          <w:p>
            <w:pPr>
              <w:spacing w:after="0"/>
              <w:rPr>
                <w:sz w:val="1"/>
                <w:szCs w:val="1"/>
                <w:color w:val="auto"/>
              </w:rPr>
            </w:pPr>
          </w:p>
        </w:tc>
      </w:tr>
      <w:tr>
        <w:trPr>
          <w:trHeight w:val="41"/>
        </w:trPr>
        <w:tc>
          <w:tcPr>
            <w:tcW w:w="60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 of revenue</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73,568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42,859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29,867</w:t>
            </w:r>
          </w:p>
        </w:tc>
        <w:tc>
          <w:tcPr>
            <w:tcW w:w="0" w:type="dxa"/>
            <w:vAlign w:val="bottom"/>
          </w:tcPr>
          <w:p>
            <w:pPr>
              <w:spacing w:after="0"/>
              <w:rPr>
                <w:sz w:val="1"/>
                <w:szCs w:val="1"/>
                <w:color w:val="auto"/>
              </w:rPr>
            </w:pP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193,448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123,169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84,938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00"/>
              <w:spacing w:after="0" w:line="27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5"/>
                <w:szCs w:val="25"/>
                <w:color w:val="auto"/>
                <w:vertAlign w:val="superscript"/>
              </w:rPr>
              <w:t>(1)</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148,296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109,073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75,413</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62,202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51,772</w:t>
            </w:r>
          </w:p>
        </w:tc>
        <w:tc>
          <w:tcPr>
            <w:tcW w:w="0" w:type="dxa"/>
            <w:vAlign w:val="bottom"/>
          </w:tcPr>
          <w:p>
            <w:pPr>
              <w:spacing w:after="0"/>
              <w:rPr>
                <w:sz w:val="1"/>
                <w:szCs w:val="1"/>
                <w:color w:val="auto"/>
              </w:rPr>
            </w:pPr>
          </w:p>
        </w:tc>
      </w:tr>
      <w:tr>
        <w:trPr>
          <w:trHeight w:val="284"/>
        </w:trPr>
        <w:tc>
          <w:tcPr>
            <w:tcW w:w="6060" w:type="dxa"/>
            <w:vAlign w:val="bottom"/>
            <w:tcBorders>
              <w:bottom w:val="single" w:sz="8" w:color="CCEEFF"/>
            </w:tcBorders>
          </w:tcPr>
          <w:p>
            <w:pPr>
              <w:ind w:left="200"/>
              <w:spacing w:after="0" w:line="283"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53,063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36,775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27,082</w:t>
            </w:r>
          </w:p>
        </w:tc>
        <w:tc>
          <w:tcPr>
            <w:tcW w:w="0" w:type="dxa"/>
            <w:vAlign w:val="bottom"/>
          </w:tcPr>
          <w:p>
            <w:pPr>
              <w:spacing w:after="0"/>
              <w:rPr>
                <w:sz w:val="1"/>
                <w:szCs w:val="1"/>
                <w:color w:val="auto"/>
              </w:rPr>
            </w:pPr>
          </w:p>
        </w:tc>
      </w:tr>
      <w:tr>
        <w:trPr>
          <w:trHeight w:val="27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291,213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208,050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154,267</w:t>
            </w:r>
          </w:p>
        </w:tc>
        <w:tc>
          <w:tcPr>
            <w:tcW w:w="0" w:type="dxa"/>
            <w:vAlign w:val="bottom"/>
          </w:tcPr>
          <w:p>
            <w:pPr>
              <w:spacing w:after="0"/>
              <w:rPr>
                <w:sz w:val="1"/>
                <w:szCs w:val="1"/>
                <w:color w:val="auto"/>
              </w:rPr>
            </w:pP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(97,765)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(84,881)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(69,329)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color w:val="auto"/>
              </w:rPr>
              <w:t>Loss before provision for (benefit from) income taxes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(102,329)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(82,686)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(69,344)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(99,011)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(83,973)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(70,063)</w:t>
            </w: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8351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00" w:right="140" w:hanging="492"/>
        <w:spacing w:after="0" w:line="226" w:lineRule="auto"/>
        <w:tabs>
          <w:tab w:leader="none" w:pos="50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The summary consolidated financial data for the years ended January 31, 2019, 2018, and 2017 reflects the adoption of Accounting Standards Update (“ASU”) No. 2014-09, Revenue from Contracts with Customers ("Topic 606"). See Note 2 of the notes to consolidated financial statements for a summary of adjustments.</w:t>
      </w:r>
    </w:p>
    <w:p>
      <w:pPr>
        <w:ind w:left="220" w:hanging="212"/>
        <w:spacing w:after="0" w:line="272" w:lineRule="exact"/>
        <w:tabs>
          <w:tab w:leader="none" w:pos="22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Includes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Years Ended January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revenue—subscription</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2,047</w:t>
            </w:r>
          </w:p>
        </w:tc>
        <w:tc>
          <w:tcPr>
            <w:tcW w:w="12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80"/>
        </w:trPr>
        <w:tc>
          <w:tcPr>
            <w:tcW w:w="640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400" w:type="dxa"/>
            <w:vAlign w:val="bottom"/>
          </w:tcPr>
          <w:p>
            <w:pPr>
              <w:ind w:left="20"/>
              <w:spacing w:after="0"/>
              <w:rPr>
                <w:sz w:val="20"/>
                <w:szCs w:val="20"/>
                <w:color w:val="auto"/>
              </w:rPr>
            </w:pPr>
            <w:r>
              <w:rPr>
                <w:rFonts w:ascii="Arial" w:cs="Arial" w:eastAsia="Arial" w:hAnsi="Arial"/>
                <w:sz w:val="14"/>
                <w:szCs w:val="14"/>
                <w:color w:val="auto"/>
              </w:rPr>
              <w:t>Cost of revenue—services</w:t>
            </w:r>
          </w:p>
        </w:tc>
        <w:tc>
          <w:tcPr>
            <w:tcW w:w="400" w:type="dxa"/>
            <w:vAlign w:val="bottom"/>
          </w:tcPr>
          <w:p>
            <w:pPr>
              <w:spacing w:after="0"/>
              <w:rPr>
                <w:sz w:val="16"/>
                <w:szCs w:val="16"/>
                <w:color w:val="auto"/>
              </w:rPr>
            </w:pP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color w:val="auto"/>
              </w:rPr>
              <w:t>1,239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74"/>
        </w:trPr>
        <w:tc>
          <w:tcPr>
            <w:tcW w:w="6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4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11,059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6,364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5,514</w:t>
            </w:r>
          </w:p>
        </w:tc>
        <w:tc>
          <w:tcPr>
            <w:tcW w:w="0" w:type="dxa"/>
            <w:vAlign w:val="bottom"/>
          </w:tcPr>
          <w:p>
            <w:pPr>
              <w:spacing w:after="0"/>
              <w:rPr>
                <w:sz w:val="1"/>
                <w:szCs w:val="1"/>
                <w:color w:val="auto"/>
              </w:rPr>
            </w:pPr>
          </w:p>
        </w:tc>
      </w:tr>
      <w:tr>
        <w:trPr>
          <w:trHeight w:val="80"/>
        </w:trPr>
        <w:tc>
          <w:tcPr>
            <w:tcW w:w="64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40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400" w:type="dxa"/>
            <w:vAlign w:val="bottom"/>
          </w:tcPr>
          <w:p>
            <w:pPr>
              <w:spacing w:after="0"/>
              <w:rPr>
                <w:sz w:val="16"/>
                <w:szCs w:val="16"/>
                <w:color w:val="auto"/>
              </w:rPr>
            </w:pP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color w:val="auto"/>
              </w:rPr>
              <w:t>11,687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5,752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5,755</w:t>
            </w:r>
          </w:p>
        </w:tc>
        <w:tc>
          <w:tcPr>
            <w:tcW w:w="0" w:type="dxa"/>
            <w:vAlign w:val="bottom"/>
          </w:tcPr>
          <w:p>
            <w:pPr>
              <w:spacing w:after="0"/>
              <w:rPr>
                <w:sz w:val="1"/>
                <w:szCs w:val="1"/>
                <w:color w:val="auto"/>
              </w:rPr>
            </w:pPr>
          </w:p>
        </w:tc>
      </w:tr>
      <w:tr>
        <w:trPr>
          <w:trHeight w:val="74"/>
        </w:trPr>
        <w:tc>
          <w:tcPr>
            <w:tcW w:w="6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4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11,371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7,927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8,683</w:t>
            </w:r>
          </w:p>
        </w:tc>
        <w:tc>
          <w:tcPr>
            <w:tcW w:w="0" w:type="dxa"/>
            <w:vAlign w:val="bottom"/>
          </w:tcPr>
          <w:p>
            <w:pPr>
              <w:spacing w:after="0"/>
              <w:rPr>
                <w:sz w:val="1"/>
                <w:szCs w:val="1"/>
                <w:color w:val="auto"/>
              </w:rPr>
            </w:pPr>
          </w:p>
        </w:tc>
      </w:tr>
      <w:tr>
        <w:trPr>
          <w:trHeight w:val="80"/>
        </w:trPr>
        <w:tc>
          <w:tcPr>
            <w:tcW w:w="6400" w:type="dxa"/>
            <w:vAlign w:val="bottom"/>
            <w:tcBorders>
              <w:bottom w:val="single" w:sz="8" w:color="CCEEFF"/>
            </w:tcBorders>
            <w:shd w:val="clear" w:color="auto" w:fill="CCEEFF"/>
          </w:tcPr>
          <w:p>
            <w:pPr>
              <w:spacing w:after="0"/>
              <w:rPr>
                <w:sz w:val="6"/>
                <w:szCs w:val="6"/>
                <w:color w:val="auto"/>
              </w:rPr>
            </w:pPr>
          </w:p>
        </w:tc>
        <w:tc>
          <w:tcPr>
            <w:tcW w:w="400" w:type="dxa"/>
            <w:vAlign w:val="bottom"/>
            <w:tcBorders>
              <w:bottom w:val="single" w:sz="8" w:color="CCEEFF"/>
            </w:tcBorders>
            <w:shd w:val="clear" w:color="auto" w:fill="CCEEFF"/>
          </w:tcPr>
          <w:p>
            <w:pPr>
              <w:spacing w:after="0"/>
              <w:rPr>
                <w:sz w:val="6"/>
                <w:szCs w:val="6"/>
                <w:color w:val="auto"/>
              </w:rPr>
            </w:pPr>
          </w:p>
        </w:tc>
        <w:tc>
          <w:tcPr>
            <w:tcW w:w="124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36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2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400" w:type="dxa"/>
            <w:vAlign w:val="bottom"/>
          </w:tcPr>
          <w:p>
            <w:pPr>
              <w:ind w:left="200"/>
              <w:spacing w:after="0" w:line="161" w:lineRule="exact"/>
              <w:rPr>
                <w:sz w:val="20"/>
                <w:szCs w:val="20"/>
                <w:color w:val="auto"/>
              </w:rPr>
            </w:pPr>
            <w:r>
              <w:rPr>
                <w:rFonts w:ascii="Arial" w:cs="Arial" w:eastAsia="Arial" w:hAnsi="Arial"/>
                <w:sz w:val="14"/>
                <w:szCs w:val="14"/>
                <w:color w:val="auto"/>
              </w:rPr>
              <w:t>Total 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37,403</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21,235</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21,004</w:t>
            </w:r>
          </w:p>
        </w:tc>
        <w:tc>
          <w:tcPr>
            <w:tcW w:w="0" w:type="dxa"/>
            <w:vAlign w:val="bottom"/>
          </w:tcPr>
          <w:p>
            <w:pPr>
              <w:spacing w:after="0"/>
              <w:rPr>
                <w:sz w:val="1"/>
                <w:szCs w:val="1"/>
                <w:color w:val="auto"/>
              </w:rPr>
            </w:pPr>
          </w:p>
        </w:tc>
      </w:tr>
      <w:tr>
        <w:trPr>
          <w:trHeight w:val="39"/>
        </w:trPr>
        <w:tc>
          <w:tcPr>
            <w:tcW w:w="64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2" w:right="2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51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2"/>
        </w:trPr>
        <w:tc>
          <w:tcPr>
            <w:tcW w:w="1020" w:type="dxa"/>
            <w:vAlign w:val="bottom"/>
            <w:tcBorders>
              <w:top w:val="single" w:sz="8" w:color="0000EE"/>
            </w:tcBorders>
          </w:tcPr>
          <w:p>
            <w:pPr>
              <w:spacing w:after="0"/>
              <w:rPr>
                <w:sz w:val="24"/>
                <w:szCs w:val="24"/>
                <w:color w:val="auto"/>
              </w:rPr>
            </w:pPr>
          </w:p>
        </w:tc>
        <w:tc>
          <w:tcPr>
            <w:tcW w:w="4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8"/>
          </w:tcPr>
          <w:p>
            <w:pPr>
              <w:ind w:left="100"/>
              <w:spacing w:after="0"/>
              <w:rPr>
                <w:sz w:val="20"/>
                <w:szCs w:val="20"/>
                <w:color w:val="auto"/>
              </w:rPr>
            </w:pPr>
            <w:r>
              <w:rPr>
                <w:rFonts w:ascii="Arial" w:cs="Arial" w:eastAsia="Arial" w:hAnsi="Arial"/>
                <w:sz w:val="14"/>
                <w:szCs w:val="14"/>
                <w:b w:val="1"/>
                <w:bCs w:val="1"/>
                <w:color w:val="auto"/>
              </w:rPr>
              <w:t>Years Ended January 31,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ind w:right="612"/>
              <w:spacing w:after="0" w:line="147"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ind w:right="612"/>
              <w:spacing w:after="0" w:line="147"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6"/>
          </w:tcPr>
          <w:p>
            <w:pPr>
              <w:ind w:left="80"/>
              <w:spacing w:after="0"/>
              <w:rPr>
                <w:sz w:val="20"/>
                <w:szCs w:val="20"/>
                <w:color w:val="auto"/>
              </w:rPr>
            </w:pPr>
            <w:r>
              <w:rPr>
                <w:rFonts w:ascii="Arial" w:cs="Arial" w:eastAsia="Arial" w:hAnsi="Arial"/>
                <w:sz w:val="14"/>
                <w:szCs w:val="14"/>
                <w:b w:val="1"/>
                <w:bCs w:val="1"/>
                <w:color w:val="auto"/>
              </w:rPr>
              <w:t>*As Adjusted</w:t>
            </w:r>
          </w:p>
        </w:tc>
        <w:tc>
          <w:tcPr>
            <w:tcW w:w="1280" w:type="dxa"/>
            <w:vAlign w:val="bottom"/>
          </w:tcPr>
          <w:p>
            <w:pPr>
              <w:jc w:val="right"/>
              <w:ind w:right="352"/>
              <w:spacing w:after="0"/>
              <w:rPr>
                <w:sz w:val="20"/>
                <w:szCs w:val="20"/>
                <w:color w:val="auto"/>
              </w:rPr>
            </w:pPr>
            <w:r>
              <w:rPr>
                <w:rFonts w:ascii="Arial" w:cs="Arial" w:eastAsia="Arial" w:hAnsi="Arial"/>
                <w:sz w:val="14"/>
                <w:szCs w:val="14"/>
                <w:b w:val="1"/>
                <w:bCs w:val="1"/>
                <w:color w:val="auto"/>
                <w:w w:val="94"/>
              </w:rPr>
              <w:t>*As Adjusted</w:t>
            </w:r>
          </w:p>
        </w:tc>
        <w:tc>
          <w:tcPr>
            <w:tcW w:w="0" w:type="dxa"/>
            <w:vAlign w:val="bottom"/>
          </w:tcPr>
          <w:p>
            <w:pPr>
              <w:spacing w:after="0"/>
              <w:rPr>
                <w:sz w:val="1"/>
                <w:szCs w:val="1"/>
                <w:color w:val="auto"/>
              </w:rPr>
            </w:pPr>
          </w:p>
        </w:tc>
      </w:tr>
      <w:tr>
        <w:trPr>
          <w:trHeight w:val="26"/>
        </w:trPr>
        <w:tc>
          <w:tcPr>
            <w:tcW w:w="102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Percentage of Revenue Data:</w:t>
            </w: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43"/>
        </w:trPr>
        <w:tc>
          <w:tcPr>
            <w:tcW w:w="5120" w:type="dxa"/>
            <w:vAlign w:val="bottom"/>
            <w:gridSpan w:val="2"/>
          </w:tcPr>
          <w:p>
            <w:pPr>
              <w:ind w:left="20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
        </w:trPr>
        <w:tc>
          <w:tcPr>
            <w:tcW w:w="1020" w:type="dxa"/>
            <w:vAlign w:val="bottom"/>
            <w:tcBorders>
              <w:bottom w:val="single" w:sz="8" w:color="CCEEFF"/>
            </w:tcBorders>
          </w:tcPr>
          <w:p>
            <w:pPr>
              <w:spacing w:after="0"/>
              <w:rPr>
                <w:sz w:val="3"/>
                <w:szCs w:val="3"/>
                <w:color w:val="auto"/>
              </w:rPr>
            </w:pPr>
          </w:p>
        </w:tc>
        <w:tc>
          <w:tcPr>
            <w:tcW w:w="410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120" w:type="dxa"/>
            <w:vAlign w:val="bottom"/>
            <w:gridSpan w:val="2"/>
          </w:tcPr>
          <w:p>
            <w:pPr>
              <w:ind w:left="20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
        </w:trPr>
        <w:tc>
          <w:tcPr>
            <w:tcW w:w="1020" w:type="dxa"/>
            <w:vAlign w:val="bottom"/>
            <w:tcBorders>
              <w:bottom w:val="single" w:sz="8" w:color="CCEEFF"/>
            </w:tcBorders>
          </w:tcPr>
          <w:p>
            <w:pPr>
              <w:spacing w:after="0"/>
              <w:rPr>
                <w:sz w:val="3"/>
                <w:szCs w:val="3"/>
                <w:color w:val="auto"/>
              </w:rPr>
            </w:pPr>
          </w:p>
        </w:tc>
        <w:tc>
          <w:tcPr>
            <w:tcW w:w="410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cost of revenue</w:t>
            </w:r>
          </w:p>
        </w:tc>
        <w:tc>
          <w:tcPr>
            <w:tcW w:w="3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gridSpan w:val="2"/>
          </w:tcPr>
          <w:p>
            <w:pPr>
              <w:ind w:left="20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512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
        </w:trPr>
        <w:tc>
          <w:tcPr>
            <w:tcW w:w="1020" w:type="dxa"/>
            <w:vAlign w:val="bottom"/>
            <w:tcBorders>
              <w:bottom w:val="single" w:sz="8" w:color="CCEEFF"/>
            </w:tcBorders>
          </w:tcPr>
          <w:p>
            <w:pPr>
              <w:spacing w:after="0"/>
              <w:rPr>
                <w:sz w:val="3"/>
                <w:szCs w:val="3"/>
                <w:color w:val="auto"/>
              </w:rPr>
            </w:pPr>
          </w:p>
        </w:tc>
        <w:tc>
          <w:tcPr>
            <w:tcW w:w="410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7"/>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Loss before provision for (benefit from) income taxes</w:t>
            </w: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54"/>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the Years Ended January 31, 2019 and 2018</w:t>
            </w: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0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8"/>
          </w:tcPr>
          <w:p>
            <w:pPr>
              <w:ind w:left="420"/>
              <w:spacing w:after="0"/>
              <w:rPr>
                <w:sz w:val="20"/>
                <w:szCs w:val="20"/>
                <w:color w:val="auto"/>
              </w:rPr>
            </w:pPr>
            <w:r>
              <w:rPr>
                <w:rFonts w:ascii="Arial" w:cs="Arial" w:eastAsia="Arial" w:hAnsi="Arial"/>
                <w:sz w:val="14"/>
                <w:szCs w:val="14"/>
                <w:b w:val="1"/>
                <w:bCs w:val="1"/>
                <w:color w:val="auto"/>
              </w:rPr>
              <w:t>Years Ended January 31,</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Change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2"/>
                <w:szCs w:val="12"/>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152"/>
              <w:spacing w:after="0" w:line="147"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51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4"/>
          </w:tcPr>
          <w:p>
            <w:pPr>
              <w:ind w:left="180"/>
              <w:spacing w:after="0"/>
              <w:rPr>
                <w:sz w:val="20"/>
                <w:szCs w:val="20"/>
                <w:color w:val="auto"/>
              </w:rPr>
            </w:pPr>
            <w:r>
              <w:rPr>
                <w:rFonts w:ascii="Arial" w:cs="Arial" w:eastAsia="Arial" w:hAnsi="Arial"/>
                <w:sz w:val="14"/>
                <w:szCs w:val="14"/>
                <w:b w:val="1"/>
                <w:bCs w:val="1"/>
                <w:color w:val="auto"/>
              </w:rPr>
              <w:t>*As Adjusted</w:t>
            </w: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2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248,391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151,853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96,538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18,625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3"/>
          </w:tcPr>
          <w:p>
            <w:pPr>
              <w:jc w:val="right"/>
              <w:ind w:right="28"/>
              <w:spacing w:after="0"/>
              <w:rPr>
                <w:sz w:val="20"/>
                <w:szCs w:val="20"/>
                <w:color w:val="auto"/>
              </w:rPr>
            </w:pPr>
            <w:r>
              <w:rPr>
                <w:rFonts w:ascii="Arial" w:cs="Arial" w:eastAsia="Arial" w:hAnsi="Arial"/>
                <w:sz w:val="18"/>
                <w:szCs w:val="18"/>
                <w:color w:val="auto"/>
              </w:rPr>
              <w:t>14,175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8"/>
              <w:spacing w:after="0"/>
              <w:rPr>
                <w:sz w:val="20"/>
                <w:szCs w:val="20"/>
                <w:color w:val="auto"/>
              </w:rPr>
            </w:pPr>
            <w:r>
              <w:rPr>
                <w:rFonts w:ascii="Arial" w:cs="Arial" w:eastAsia="Arial" w:hAnsi="Arial"/>
                <w:sz w:val="18"/>
                <w:szCs w:val="18"/>
                <w:color w:val="auto"/>
              </w:rPr>
              <w:t>4,450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
        </w:trPr>
        <w:tc>
          <w:tcPr>
            <w:tcW w:w="1020" w:type="dxa"/>
            <w:vAlign w:val="bottom"/>
            <w:tcBorders>
              <w:bottom w:val="single" w:sz="8" w:color="CCEEFF"/>
            </w:tcBorders>
          </w:tcPr>
          <w:p>
            <w:pPr>
              <w:spacing w:after="0"/>
              <w:rPr>
                <w:sz w:val="3"/>
                <w:szCs w:val="3"/>
                <w:color w:val="auto"/>
              </w:rPr>
            </w:pPr>
          </w:p>
        </w:tc>
        <w:tc>
          <w:tcPr>
            <w:tcW w:w="4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5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267,016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166,028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100,988</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 See Note 2 of the notes to consolidated financial statements for a summary of adjustments.</w:t>
      </w:r>
    </w:p>
    <w:p>
      <w:pPr>
        <w:spacing w:after="0" w:line="157"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Total revenue growth reflects increased demand for our platform and related services. Subscription revenue increased by $96.5 million including $68.6 million from sales to new customers. The remainder of the increase in subscription revenue resulted from sales to existing customers. The increase in services revenue was driven primarily by an increase in sales of professional services to new customers.</w:t>
      </w:r>
    </w:p>
    <w:p>
      <w:pPr>
        <w:spacing w:after="0" w:line="200" w:lineRule="exact"/>
        <w:rPr>
          <w:sz w:val="20"/>
          <w:szCs w:val="20"/>
          <w:color w:val="auto"/>
        </w:rPr>
      </w:pPr>
    </w:p>
    <w:p>
      <w:pPr>
        <w:spacing w:after="0" w:line="40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4"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Gross Profit and Gross Margin Percentage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Years Ended January 31,</w:t>
            </w:r>
          </w:p>
        </w:tc>
        <w:tc>
          <w:tcPr>
            <w:tcW w:w="420" w:type="dxa"/>
            <w:vAlign w:val="bottom"/>
          </w:tcPr>
          <w:p>
            <w:pPr>
              <w:spacing w:after="0"/>
              <w:rPr>
                <w:sz w:val="16"/>
                <w:szCs w:val="16"/>
                <w:color w:val="auto"/>
              </w:rPr>
            </w:pPr>
          </w:p>
        </w:tc>
        <w:tc>
          <w:tcPr>
            <w:tcW w:w="1620" w:type="dxa"/>
            <w:vAlign w:val="bottom"/>
            <w:gridSpan w:val="3"/>
          </w:tcPr>
          <w:p>
            <w:pPr>
              <w:ind w:left="92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2"/>
                <w:szCs w:val="12"/>
                <w:color w:val="auto"/>
              </w:rPr>
            </w:pPr>
          </w:p>
        </w:tc>
        <w:tc>
          <w:tcPr>
            <w:tcW w:w="1180" w:type="dxa"/>
            <w:vAlign w:val="bottom"/>
            <w:vMerge w:val="restart"/>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ind w:right="536"/>
              <w:spacing w:after="0" w:line="147"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vMerge w:val="restart"/>
          </w:tcPr>
          <w:p>
            <w:pPr>
              <w:jc w:val="right"/>
              <w:ind w:right="59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Adjusted</w:t>
            </w:r>
          </w:p>
        </w:tc>
        <w:tc>
          <w:tcPr>
            <w:tcW w:w="4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cost of 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56,255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30,766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25,489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Services cost of revenue</w:t>
            </w:r>
          </w:p>
        </w:tc>
        <w:tc>
          <w:tcPr>
            <w:tcW w:w="360" w:type="dxa"/>
            <w:vAlign w:val="bottom"/>
          </w:tcPr>
          <w:p>
            <w:pPr>
              <w:spacing w:after="0"/>
              <w:rPr>
                <w:sz w:val="21"/>
                <w:szCs w:val="21"/>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17,313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12,093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5,220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1"/>
        </w:trPr>
        <w:tc>
          <w:tcPr>
            <w:tcW w:w="50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73,568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42,859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30,709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57"/>
        </w:trPr>
        <w:tc>
          <w:tcPr>
            <w:tcW w:w="50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193,448</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123,169</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70,279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60" w:type="dxa"/>
            <w:vAlign w:val="bottom"/>
            <w:tcBorders>
              <w:top w:val="single" w:sz="8" w:color="auto"/>
              <w:bottom w:val="single" w:sz="8" w:color="CCEEFF"/>
            </w:tcBorders>
            <w:shd w:val="clear" w:color="auto" w:fill="CCEEFF"/>
          </w:tcPr>
          <w:p>
            <w:pPr>
              <w:spacing w:after="0"/>
              <w:rPr>
                <w:sz w:val="24"/>
                <w:szCs w:val="24"/>
                <w:color w:val="auto"/>
              </w:rPr>
            </w:pPr>
          </w:p>
        </w:tc>
        <w:tc>
          <w:tcPr>
            <w:tcW w:w="164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243"/>
        </w:trPr>
        <w:tc>
          <w:tcPr>
            <w:tcW w:w="5040" w:type="dxa"/>
            <w:vAlign w:val="bottom"/>
          </w:tcPr>
          <w:p>
            <w:pPr>
              <w:ind w:left="200"/>
              <w:spacing w:after="0"/>
              <w:rPr>
                <w:sz w:val="20"/>
                <w:szCs w:val="20"/>
                <w:color w:val="auto"/>
              </w:rPr>
            </w:pPr>
            <w:r>
              <w:rPr>
                <w:rFonts w:ascii="Arial" w:cs="Arial" w:eastAsia="Arial" w:hAnsi="Arial"/>
                <w:sz w:val="18"/>
                <w:szCs w:val="18"/>
                <w:color w:val="auto"/>
              </w:rPr>
              <w:t>Subscription</w:t>
            </w:r>
          </w:p>
        </w:tc>
        <w:tc>
          <w:tcPr>
            <w:tcW w:w="15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7"/>
        </w:trPr>
        <w:tc>
          <w:tcPr>
            <w:tcW w:w="50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See Note 2 of the notes to consolidated financial statements for a summary of adjustments.</w:t>
      </w:r>
    </w:p>
    <w:p>
      <w:pPr>
        <w:spacing w:after="0" w:line="171" w:lineRule="exact"/>
        <w:rPr>
          <w:sz w:val="20"/>
          <w:szCs w:val="20"/>
          <w:color w:val="auto"/>
        </w:rPr>
      </w:pPr>
    </w:p>
    <w:p>
      <w:pPr>
        <w:ind w:right="120" w:firstLine="486"/>
        <w:spacing w:after="0" w:line="220" w:lineRule="exact"/>
        <w:rPr>
          <w:sz w:val="20"/>
          <w:szCs w:val="20"/>
          <w:color w:val="auto"/>
        </w:rPr>
      </w:pPr>
      <w:r>
        <w:rPr>
          <w:rFonts w:ascii="Arial" w:cs="Arial" w:eastAsia="Arial" w:hAnsi="Arial"/>
          <w:sz w:val="17"/>
          <w:szCs w:val="17"/>
          <w:color w:val="auto"/>
        </w:rPr>
        <w:t>The increase in subscription cost of revenue was primarily due to a $19.1 million increase in third</w:t>
      </w:r>
      <w:r>
        <w:rPr>
          <w:rFonts w:ascii="MS PGothic" w:cs="MS PGothic" w:eastAsia="MS PGothic" w:hAnsi="MS PGothic"/>
          <w:sz w:val="17"/>
          <w:szCs w:val="17"/>
          <w:color w:val="auto"/>
        </w:rPr>
        <w:t>‑</w:t>
      </w:r>
      <w:r>
        <w:rPr>
          <w:rFonts w:ascii="Arial" w:cs="Arial" w:eastAsia="Arial" w:hAnsi="Arial"/>
          <w:sz w:val="17"/>
          <w:szCs w:val="17"/>
          <w:color w:val="auto"/>
        </w:rPr>
        <w:t>party cloud infrastructure costs, including costs associated with the growth of MongoDB Atlas, as well as a $5.0 million increase in personnel costs and stock-based compensation associated with increased headcount in our support organization. The increase in services cost of revenue was primarily due to higher headcount in our services organization. Total headcount in our support and services organizations increased 26% from January 31, 2018 to January 31, 2019.</w:t>
      </w:r>
    </w:p>
    <w:p>
      <w:pPr>
        <w:spacing w:after="0" w:line="150"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decrease in overall gross margin was driven by an increase in third-party cloud infrastructure costs associated with MongoDB Atlas. Our services gross margin is subject to fluctuations as a result of timing of sales of standalone consulting and training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Sales and Marketing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January 31,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2"/>
                <w:szCs w:val="12"/>
                <w:color w:val="auto"/>
              </w:rPr>
            </w:pPr>
          </w:p>
        </w:tc>
        <w:tc>
          <w:tcPr>
            <w:tcW w:w="1120" w:type="dxa"/>
            <w:vAlign w:val="bottom"/>
            <w:vMerge w:val="restart"/>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522"/>
              <w:spacing w:after="0" w:line="147"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vMerge w:val="restart"/>
          </w:tcPr>
          <w:p>
            <w:pPr>
              <w:jc w:val="right"/>
              <w:ind w:right="6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51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*As Adjusted</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148,296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109,073</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39,223</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 See Note 2 of the notes to consolidated financial statements for a summary of adjustments.</w:t>
      </w:r>
    </w:p>
    <w:p>
      <w:pPr>
        <w:spacing w:after="0" w:line="157"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increase in sales and marketing expense included $26.4 million from higher personnel costs and stock-based compensation, driven by an increase in our sales and marketing headcount to 466 as of January 31, 2019 from 394 as of January 31, 2018. In addition, we experienced increased payroll taxes associated with employee stock option exercises and restricted stock unit vesting as a result of being a publicly traded company. Sales and marketing expense also increased $3.2 million due to an increase in commission expense from higher sales volume and larger headcount. An additional $6.4 million of the increase in sales and marketing expense was attributable to increased travel and other expenses related to increased headcount, as well as higher spend on marketing programs, including for MongoDB Atlas.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659"/>
              <w:spacing w:after="0"/>
              <w:rPr>
                <w:sz w:val="20"/>
                <w:szCs w:val="20"/>
                <w:color w:val="auto"/>
              </w:rPr>
            </w:pPr>
            <w:r>
              <w:rPr>
                <w:rFonts w:ascii="Arial" w:cs="Arial" w:eastAsia="Arial" w:hAnsi="Arial"/>
                <w:sz w:val="14"/>
                <w:szCs w:val="14"/>
                <w:b w:val="1"/>
                <w:bCs w:val="1"/>
                <w:color w:val="auto"/>
              </w:rPr>
              <w:t>Years Ended January 31,</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5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89,854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62,202</w:t>
            </w:r>
          </w:p>
        </w:tc>
        <w:tc>
          <w:tcPr>
            <w:tcW w:w="92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8"/>
              </w:rPr>
              <w:t>27,652</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320" w:firstLine="486"/>
        <w:spacing w:after="0" w:line="312" w:lineRule="auto"/>
        <w:rPr>
          <w:sz w:val="20"/>
          <w:szCs w:val="20"/>
          <w:color w:val="auto"/>
        </w:rPr>
      </w:pPr>
      <w:r>
        <w:rPr>
          <w:rFonts w:ascii="Arial" w:cs="Arial" w:eastAsia="Arial" w:hAnsi="Arial"/>
          <w:sz w:val="16"/>
          <w:szCs w:val="16"/>
          <w:color w:val="auto"/>
        </w:rPr>
        <w:t>The increase in research and development expense included $21.0 million from an increase in personnel costs and stock-based compensation as we increased our research and development headcount by 35% to 335 as of January 31, 2019 from 249 as of January 31, 2018. In addition, we experienced increased payroll taxes associated with employee stock option exercises and restricted stock unit vesting as a result of being a publicly traded company.</w:t>
      </w:r>
    </w:p>
    <w:p>
      <w:pPr>
        <w:spacing w:after="0" w:line="200" w:lineRule="exact"/>
        <w:rPr>
          <w:sz w:val="20"/>
          <w:szCs w:val="20"/>
          <w:color w:val="auto"/>
        </w:rPr>
      </w:pPr>
    </w:p>
    <w:p>
      <w:pPr>
        <w:spacing w:after="0" w:line="36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659"/>
              <w:spacing w:after="0"/>
              <w:rPr>
                <w:sz w:val="20"/>
                <w:szCs w:val="20"/>
                <w:color w:val="auto"/>
              </w:rPr>
            </w:pPr>
            <w:r>
              <w:rPr>
                <w:rFonts w:ascii="Arial" w:cs="Arial" w:eastAsia="Arial" w:hAnsi="Arial"/>
                <w:sz w:val="14"/>
                <w:szCs w:val="14"/>
                <w:b w:val="1"/>
                <w:bCs w:val="1"/>
                <w:color w:val="auto"/>
              </w:rPr>
              <w:t>Years Ended January 31,</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5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53,063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36,775</w:t>
            </w:r>
          </w:p>
        </w:tc>
        <w:tc>
          <w:tcPr>
            <w:tcW w:w="92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8"/>
              </w:rPr>
              <w:t>16,288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The increase in general and administrative expense was primarily due to a 32% increase in general and administrative personnel headcount to 192 as of January 31, 2019 from 145 as of January 31, 2018, in part driven by the increased compliance requirements of being a publicly-traded company, resulting in an increase of $10.9 million from higher personnel costs and stock-based compensation. We also experienced increased payroll taxes associated with employee stock option exercises and restricted stock unit vesting as a result of being a publicly traded company. Professional services expense, particularly for compliance costs, increased $2.3 million. In addition, general and administrative expense included costs associated with the move of our New York City office, which resulted in a $1.5 million acceleration of rent payable, deferred rent and associated leasehold improvements related to the early termination of our lease that expired on December 31, 2018 for our former office space. General and administrative expense also included $0.5 million of costs associated with our acquisition of mLab, which closed on November 1,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50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rPr>
              <w:t>Years Ended January 31,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5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(4,564)</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2,195</w:t>
            </w:r>
          </w:p>
        </w:tc>
        <w:tc>
          <w:tcPr>
            <w:tcW w:w="94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86"/>
        <w:spacing w:after="0" w:line="279" w:lineRule="auto"/>
        <w:rPr>
          <w:sz w:val="20"/>
          <w:szCs w:val="20"/>
          <w:color w:val="auto"/>
        </w:rPr>
      </w:pPr>
      <w:r>
        <w:rPr>
          <w:rFonts w:ascii="Arial" w:cs="Arial" w:eastAsia="Arial" w:hAnsi="Arial"/>
          <w:sz w:val="17"/>
          <w:szCs w:val="17"/>
          <w:color w:val="auto"/>
        </w:rPr>
        <w:t>The decrease in other income (expense), net was primarily due to interest expense related to the outstanding 0.75% convertible senior notes due 2024 (the “Notes”), as well as interest expense associated with our financing lease for our New York City office, which expense had previously been capitalized as a build-to-suit asset during the construction phase. These expenses were partially offset by an increase in interest income derived from our larger average cash equivalents and short-term investments balance during the year ended January 31, 2019 as compared to the prior year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(Benefit from) Income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250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rPr>
              <w:t>Years Ended January 31,</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r>
      <w:tr>
        <w:trPr>
          <w:trHeight w:val="26"/>
        </w:trPr>
        <w:tc>
          <w:tcPr>
            <w:tcW w:w="5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8"/>
        </w:trPr>
        <w:tc>
          <w:tcPr>
            <w:tcW w:w="50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659"/>
              <w:spacing w:after="0"/>
              <w:rPr>
                <w:sz w:val="20"/>
                <w:szCs w:val="20"/>
                <w:color w:val="auto"/>
              </w:rPr>
            </w:pPr>
            <w:r>
              <w:rPr>
                <w:rFonts w:ascii="Arial" w:cs="Arial" w:eastAsia="Arial" w:hAnsi="Arial"/>
                <w:sz w:val="14"/>
                <w:szCs w:val="14"/>
                <w:b w:val="1"/>
                <w:bCs w:val="1"/>
                <w:color w:val="auto"/>
              </w:rPr>
              <w:t>%</w:t>
            </w:r>
          </w:p>
        </w:tc>
      </w:tr>
      <w:tr>
        <w:trPr>
          <w:trHeight w:val="26"/>
        </w:trPr>
        <w:tc>
          <w:tcPr>
            <w:tcW w:w="5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6"/>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(3,318)</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1,287</w:t>
            </w:r>
          </w:p>
        </w:tc>
        <w:tc>
          <w:tcPr>
            <w:tcW w:w="94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 xml:space="preserve">The decrease in the provision for income taxes was primarily due to a non-recurring tax benefit associated with the acquisition of mLab intangible assets, which reduced our deferred tax asset and the related valuation allowance. Refer to Note 13,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Part II, Item 8, </w:t>
      </w:r>
      <w:r>
        <w:rPr>
          <w:rFonts w:ascii="Arial" w:cs="Arial" w:eastAsia="Arial" w:hAnsi="Arial"/>
          <w:sz w:val="18"/>
          <w:szCs w:val="18"/>
          <w:i w:val="1"/>
          <w:iCs w:val="1"/>
          <w:color w:val="auto"/>
        </w:rPr>
        <w:t>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Supplementary Data, </w:t>
      </w:r>
      <w:r>
        <w:rPr>
          <w:rFonts w:ascii="Arial" w:cs="Arial" w:eastAsia="Arial" w:hAnsi="Arial"/>
          <w:sz w:val="18"/>
          <w:szCs w:val="18"/>
          <w:color w:val="auto"/>
        </w:rPr>
        <w:t>of this Form 10-K.</w:t>
      </w:r>
    </w:p>
    <w:p>
      <w:pPr>
        <w:spacing w:after="0" w:line="200" w:lineRule="exact"/>
        <w:rPr>
          <w:sz w:val="20"/>
          <w:szCs w:val="20"/>
          <w:color w:val="auto"/>
        </w:rPr>
      </w:pPr>
    </w:p>
    <w:p>
      <w:pPr>
        <w:spacing w:after="0" w:line="40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January 31, 2018 and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5"/>
          </w:tcPr>
          <w:p>
            <w:pPr>
              <w:ind w:left="560"/>
              <w:spacing w:after="0"/>
              <w:rPr>
                <w:sz w:val="20"/>
                <w:szCs w:val="20"/>
                <w:color w:val="auto"/>
              </w:rPr>
            </w:pPr>
            <w:r>
              <w:rPr>
                <w:rFonts w:ascii="Arial" w:cs="Arial" w:eastAsia="Arial" w:hAnsi="Arial"/>
                <w:sz w:val="14"/>
                <w:szCs w:val="14"/>
                <w:b w:val="1"/>
                <w:bCs w:val="1"/>
                <w:color w:val="auto"/>
              </w:rPr>
              <w:t>Years Ended January 31,</w:t>
            </w:r>
          </w:p>
        </w:tc>
        <w:tc>
          <w:tcPr>
            <w:tcW w:w="420" w:type="dxa"/>
            <w:vAlign w:val="bottom"/>
          </w:tcPr>
          <w:p>
            <w:pPr>
              <w:spacing w:after="0"/>
              <w:rPr>
                <w:sz w:val="16"/>
                <w:szCs w:val="16"/>
                <w:color w:val="auto"/>
              </w:rPr>
            </w:pPr>
          </w:p>
        </w:tc>
        <w:tc>
          <w:tcPr>
            <w:tcW w:w="1620" w:type="dxa"/>
            <w:vAlign w:val="bottom"/>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260" w:type="dxa"/>
            <w:vAlign w:val="bottom"/>
          </w:tcPr>
          <w:p>
            <w:pPr>
              <w:jc w:val="right"/>
              <w:ind w:right="519"/>
              <w:spacing w:after="0" w:line="147"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517"/>
              <w:spacing w:after="0" w:line="147"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vMerge w:val="restart"/>
          </w:tcPr>
          <w:p>
            <w:pPr>
              <w:jc w:val="right"/>
              <w:ind w:right="61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6"/>
        </w:trPr>
        <w:tc>
          <w:tcPr>
            <w:tcW w:w="5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Adjusted</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Adjusted</w:t>
            </w:r>
          </w:p>
        </w:tc>
        <w:tc>
          <w:tcPr>
            <w:tcW w:w="4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151,853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104,033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47,820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14,175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10,772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
        </w:trPr>
        <w:tc>
          <w:tcPr>
            <w:tcW w:w="5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5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166,028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114,805</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51,223</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 See Note 2 of the notes to consolidated financial statements for a summary of adjustments.</w:t>
      </w:r>
    </w:p>
    <w:p>
      <w:pPr>
        <w:spacing w:after="0" w:line="157"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Total revenue growth reflects increased demand for our platform and related services. Subscription revenue increased by $47.8 million including $27.8 million from sales to new customers. The remainder of the increase in subscription revenue resulted from sales to existing customers. The increase in services revenue was driven primarily by an increase in sales of professional services to new customers.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Gross Profit and Gross Margin Percentage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5"/>
          </w:tcPr>
          <w:p>
            <w:pPr>
              <w:ind w:left="600"/>
              <w:spacing w:after="0"/>
              <w:rPr>
                <w:sz w:val="20"/>
                <w:szCs w:val="20"/>
                <w:color w:val="auto"/>
              </w:rPr>
            </w:pPr>
            <w:r>
              <w:rPr>
                <w:rFonts w:ascii="Arial" w:cs="Arial" w:eastAsia="Arial" w:hAnsi="Arial"/>
                <w:sz w:val="14"/>
                <w:szCs w:val="14"/>
                <w:b w:val="1"/>
                <w:bCs w:val="1"/>
                <w:color w:val="auto"/>
              </w:rPr>
              <w:t>Years Ended January 31,</w:t>
            </w:r>
          </w:p>
        </w:tc>
        <w:tc>
          <w:tcPr>
            <w:tcW w:w="420" w:type="dxa"/>
            <w:vAlign w:val="bottom"/>
          </w:tcPr>
          <w:p>
            <w:pPr>
              <w:spacing w:after="0"/>
              <w:rPr>
                <w:sz w:val="16"/>
                <w:szCs w:val="16"/>
                <w:color w:val="auto"/>
              </w:rPr>
            </w:pPr>
          </w:p>
        </w:tc>
        <w:tc>
          <w:tcPr>
            <w:tcW w:w="1620" w:type="dxa"/>
            <w:vAlign w:val="bottom"/>
            <w:gridSpan w:val="3"/>
          </w:tcPr>
          <w:p>
            <w:pPr>
              <w:ind w:left="92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320" w:type="dxa"/>
            <w:vAlign w:val="bottom"/>
          </w:tcPr>
          <w:p>
            <w:pPr>
              <w:jc w:val="right"/>
              <w:ind w:right="558"/>
              <w:spacing w:after="0" w:line="147"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ind w:right="536"/>
              <w:spacing w:after="0" w:line="147"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vMerge w:val="restart"/>
          </w:tcPr>
          <w:p>
            <w:pPr>
              <w:jc w:val="right"/>
              <w:ind w:right="59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Adjusted</w:t>
            </w:r>
          </w:p>
        </w:tc>
        <w:tc>
          <w:tcPr>
            <w:tcW w:w="24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Adjusted</w:t>
            </w:r>
          </w:p>
        </w:tc>
        <w:tc>
          <w:tcPr>
            <w:tcW w:w="4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cost of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30,766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19,352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Services cost of revenue</w:t>
            </w:r>
          </w:p>
        </w:tc>
        <w:tc>
          <w:tcPr>
            <w:tcW w:w="220" w:type="dxa"/>
            <w:vAlign w:val="bottom"/>
          </w:tcPr>
          <w:p>
            <w:pPr>
              <w:spacing w:after="0"/>
              <w:rPr>
                <w:sz w:val="21"/>
                <w:szCs w:val="21"/>
                <w:color w:val="auto"/>
              </w:rPr>
            </w:pPr>
          </w:p>
        </w:tc>
        <w:tc>
          <w:tcPr>
            <w:tcW w:w="1320" w:type="dxa"/>
            <w:vAlign w:val="bottom"/>
          </w:tcPr>
          <w:p>
            <w:pPr>
              <w:jc w:val="right"/>
              <w:ind w:right="118"/>
              <w:spacing w:after="0"/>
              <w:rPr>
                <w:sz w:val="20"/>
                <w:szCs w:val="20"/>
                <w:color w:val="auto"/>
              </w:rPr>
            </w:pPr>
            <w:r>
              <w:rPr>
                <w:rFonts w:ascii="Arial" w:cs="Arial" w:eastAsia="Arial" w:hAnsi="Arial"/>
                <w:sz w:val="18"/>
                <w:szCs w:val="18"/>
                <w:color w:val="auto"/>
              </w:rPr>
              <w:t>12,093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10,515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1,578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
        </w:trPr>
        <w:tc>
          <w:tcPr>
            <w:tcW w:w="50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42,859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29,867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12,992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7"/>
        </w:trPr>
        <w:tc>
          <w:tcPr>
            <w:tcW w:w="50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8"/>
              <w:spacing w:after="0"/>
              <w:rPr>
                <w:sz w:val="20"/>
                <w:szCs w:val="20"/>
                <w:color w:val="auto"/>
              </w:rPr>
            </w:pPr>
            <w:r>
              <w:rPr>
                <w:rFonts w:ascii="Arial" w:cs="Arial" w:eastAsia="Arial" w:hAnsi="Arial"/>
                <w:sz w:val="18"/>
                <w:szCs w:val="18"/>
                <w:color w:val="auto"/>
              </w:rPr>
              <w:t>123,169</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84,938</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38,231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60" w:type="dxa"/>
            <w:vAlign w:val="bottom"/>
            <w:tcBorders>
              <w:top w:val="single" w:sz="8" w:color="auto"/>
              <w:bottom w:val="single" w:sz="8" w:color="CCEEFF"/>
            </w:tcBorders>
            <w:shd w:val="clear" w:color="auto" w:fill="CCEEFF"/>
          </w:tcPr>
          <w:p>
            <w:pPr>
              <w:spacing w:after="0"/>
              <w:rPr>
                <w:sz w:val="24"/>
                <w:szCs w:val="24"/>
                <w:color w:val="auto"/>
              </w:rPr>
            </w:pPr>
          </w:p>
        </w:tc>
        <w:tc>
          <w:tcPr>
            <w:tcW w:w="164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243"/>
        </w:trPr>
        <w:tc>
          <w:tcPr>
            <w:tcW w:w="5040" w:type="dxa"/>
            <w:vAlign w:val="bottom"/>
          </w:tcPr>
          <w:p>
            <w:pPr>
              <w:ind w:left="200"/>
              <w:spacing w:after="0"/>
              <w:rPr>
                <w:sz w:val="20"/>
                <w:szCs w:val="20"/>
                <w:color w:val="auto"/>
              </w:rPr>
            </w:pPr>
            <w:r>
              <w:rPr>
                <w:rFonts w:ascii="Arial" w:cs="Arial" w:eastAsia="Arial" w:hAnsi="Arial"/>
                <w:sz w:val="18"/>
                <w:szCs w:val="18"/>
                <w:color w:val="auto"/>
              </w:rPr>
              <w:t>Subscription</w:t>
            </w:r>
          </w:p>
        </w:tc>
        <w:tc>
          <w:tcPr>
            <w:tcW w:w="15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7"/>
        </w:trPr>
        <w:tc>
          <w:tcPr>
            <w:tcW w:w="50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 See Note 2 of the notes to consolidated financial statements for a summary of adjustments.</w:t>
      </w:r>
    </w:p>
    <w:p>
      <w:pPr>
        <w:spacing w:after="0" w:line="157" w:lineRule="exact"/>
        <w:rPr>
          <w:sz w:val="20"/>
          <w:szCs w:val="20"/>
          <w:color w:val="auto"/>
        </w:rPr>
      </w:pPr>
    </w:p>
    <w:p>
      <w:pPr>
        <w:ind w:right="60" w:firstLine="486"/>
        <w:spacing w:after="0" w:line="220" w:lineRule="exact"/>
        <w:rPr>
          <w:sz w:val="20"/>
          <w:szCs w:val="20"/>
          <w:color w:val="auto"/>
        </w:rPr>
      </w:pPr>
      <w:r>
        <w:rPr>
          <w:rFonts w:ascii="Arial" w:cs="Arial" w:eastAsia="Arial" w:hAnsi="Arial"/>
          <w:sz w:val="18"/>
          <w:szCs w:val="18"/>
          <w:color w:val="auto"/>
        </w:rPr>
        <w:t>The increase in subscription cost of revenue was due to a $6.8 million increase in third</w:t>
      </w:r>
      <w:r>
        <w:rPr>
          <w:rFonts w:ascii="MS PGothic" w:cs="MS PGothic" w:eastAsia="MS PGothic" w:hAnsi="MS PGothic"/>
          <w:sz w:val="18"/>
          <w:szCs w:val="18"/>
          <w:color w:val="auto"/>
        </w:rPr>
        <w:t>‑</w:t>
      </w:r>
      <w:r>
        <w:rPr>
          <w:rFonts w:ascii="Arial" w:cs="Arial" w:eastAsia="Arial" w:hAnsi="Arial"/>
          <w:sz w:val="18"/>
          <w:szCs w:val="18"/>
          <w:color w:val="auto"/>
        </w:rPr>
        <w:t>party cloud infrastructure costs, including costs associated with the growth of MongoDB Atlas, as well as a $3.9 million increase in personnel costs associated with increased headcount in our support organization. The increase in services cost of revenue was primarily due to higher headcount in our services organization. Total headcount in our support and services organizations increased 12% from January 31, 2017 to January 31, 2018.</w:t>
      </w:r>
    </w:p>
    <w:p>
      <w:pPr>
        <w:spacing w:after="0" w:line="150"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Overall gross margin remained flat as higher sales volume and greater efficiencies by our technical support and services teams were offset by an increase in third-party cloud infrastructure costs associated with MongoDB Atlas. Our services gross margin is subject to fluctuations as a result of timing of sales of standalone consulting and training services.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Sales and Marketing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5"/>
          </w:tcPr>
          <w:p>
            <w:pPr>
              <w:ind w:left="560"/>
              <w:spacing w:after="0"/>
              <w:rPr>
                <w:sz w:val="20"/>
                <w:szCs w:val="20"/>
                <w:color w:val="auto"/>
              </w:rPr>
            </w:pPr>
            <w:r>
              <w:rPr>
                <w:rFonts w:ascii="Arial" w:cs="Arial" w:eastAsia="Arial" w:hAnsi="Arial"/>
                <w:sz w:val="14"/>
                <w:szCs w:val="14"/>
                <w:b w:val="1"/>
                <w:bCs w:val="1"/>
                <w:color w:val="auto"/>
              </w:rPr>
              <w:t>Years Ended January 31,</w:t>
            </w:r>
          </w:p>
        </w:tc>
        <w:tc>
          <w:tcPr>
            <w:tcW w:w="420" w:type="dxa"/>
            <w:vAlign w:val="bottom"/>
          </w:tcPr>
          <w:p>
            <w:pPr>
              <w:spacing w:after="0"/>
              <w:rPr>
                <w:sz w:val="16"/>
                <w:szCs w:val="16"/>
                <w:color w:val="auto"/>
              </w:rPr>
            </w:pPr>
          </w:p>
        </w:tc>
        <w:tc>
          <w:tcPr>
            <w:tcW w:w="1640" w:type="dxa"/>
            <w:vAlign w:val="bottom"/>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260" w:type="dxa"/>
            <w:vAlign w:val="bottom"/>
          </w:tcPr>
          <w:p>
            <w:pPr>
              <w:jc w:val="right"/>
              <w:ind w:right="524"/>
              <w:spacing w:after="0" w:line="147"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522"/>
              <w:spacing w:after="0" w:line="147"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vMerge w:val="restart"/>
          </w:tcPr>
          <w:p>
            <w:pPr>
              <w:jc w:val="right"/>
              <w:ind w:right="6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5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*As Adjusted</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*As Adjusted</w:t>
            </w:r>
          </w:p>
        </w:tc>
        <w:tc>
          <w:tcPr>
            <w:tcW w:w="4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109,073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75,413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33,660</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 See Note 2 of the notes to consolidated financial statements for a summary of adjustments.</w:t>
      </w:r>
    </w:p>
    <w:p>
      <w:pPr>
        <w:spacing w:after="0" w:line="15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increase in sales and marketing expense was primarily due to an increase of $20.6 million in personnel costs, including an increase in commission expense of $4.2 million, driven by an increase in our sales and marketing headcount of 41% to 394 as of January 31, 2018 from 280 as of January 31, 2017. The remainder of the increase was primarily attributable to increased travel and other expenses related to increased headcount, as well as higher spend on marketing programs, including for MongoDB Atlas.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Years Ended January 31,</w:t>
            </w:r>
          </w:p>
        </w:tc>
        <w:tc>
          <w:tcPr>
            <w:tcW w:w="820" w:type="dxa"/>
            <w:vAlign w:val="bottom"/>
          </w:tcPr>
          <w:p>
            <w:pPr>
              <w:spacing w:after="0"/>
              <w:rPr>
                <w:sz w:val="16"/>
                <w:szCs w:val="16"/>
                <w:color w:val="auto"/>
              </w:rPr>
            </w:pPr>
          </w:p>
        </w:tc>
        <w:tc>
          <w:tcPr>
            <w:tcW w:w="124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5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62,202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51,772</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8"/>
              </w:rPr>
              <w:t>10,430</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920" w:firstLine="486"/>
        <w:spacing w:after="0" w:line="277" w:lineRule="auto"/>
        <w:rPr>
          <w:sz w:val="20"/>
          <w:szCs w:val="20"/>
          <w:color w:val="auto"/>
        </w:rPr>
      </w:pPr>
      <w:r>
        <w:rPr>
          <w:rFonts w:ascii="Arial" w:cs="Arial" w:eastAsia="Arial" w:hAnsi="Arial"/>
          <w:sz w:val="18"/>
          <w:szCs w:val="18"/>
          <w:color w:val="auto"/>
        </w:rPr>
        <w:t>The increase in research and development expense was primarily driven by an increase in personnel costs as we increased our research and development headcount by 28% to 249 as of January 31, 2018 from 193 as of January 31,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Years Ended January 31,</w:t>
            </w:r>
          </w:p>
        </w:tc>
        <w:tc>
          <w:tcPr>
            <w:tcW w:w="880" w:type="dxa"/>
            <w:vAlign w:val="bottom"/>
          </w:tcPr>
          <w:p>
            <w:pPr>
              <w:spacing w:after="0"/>
              <w:rPr>
                <w:sz w:val="16"/>
                <w:szCs w:val="16"/>
                <w:color w:val="auto"/>
              </w:rPr>
            </w:pPr>
          </w:p>
        </w:tc>
        <w:tc>
          <w:tcPr>
            <w:tcW w:w="1180" w:type="dxa"/>
            <w:vAlign w:val="bottom"/>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5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36,775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27,082</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9,693</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jc w:val="both"/>
        <w:ind w:right="80" w:firstLine="486"/>
        <w:spacing w:after="0" w:line="221" w:lineRule="exact"/>
        <w:rPr>
          <w:sz w:val="20"/>
          <w:szCs w:val="20"/>
          <w:color w:val="auto"/>
        </w:rPr>
      </w:pPr>
      <w:r>
        <w:rPr>
          <w:rFonts w:ascii="Arial" w:cs="Arial" w:eastAsia="Arial" w:hAnsi="Arial"/>
          <w:sz w:val="18"/>
          <w:szCs w:val="18"/>
          <w:color w:val="auto"/>
        </w:rPr>
        <w:t>The increase in general and administrative expense was primarily due to an increase in general and administrative personnel headcount, resulting in an increase of $7.4 million in personnel costs, as well as a $1.8 million increase in professional services</w:t>
      </w:r>
      <w:r>
        <w:rPr>
          <w:rFonts w:ascii="MS PGothic" w:cs="MS PGothic" w:eastAsia="MS PGothic" w:hAnsi="MS PGothic"/>
          <w:sz w:val="18"/>
          <w:szCs w:val="18"/>
          <w:color w:val="auto"/>
        </w:rPr>
        <w:t>‑</w:t>
      </w:r>
      <w:r>
        <w:rPr>
          <w:rFonts w:ascii="Arial" w:cs="Arial" w:eastAsia="Arial" w:hAnsi="Arial"/>
          <w:sz w:val="18"/>
          <w:szCs w:val="18"/>
          <w:color w:val="auto"/>
        </w:rPr>
        <w:t>related fees from higher costs of compliance associated with being a publicly traded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58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rPr>
              <w:t>Years Ended January 31,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5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6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2,195</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2,210</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14733%</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jc w:val="both"/>
        <w:ind w:right="40" w:firstLine="528"/>
        <w:spacing w:after="0" w:line="277" w:lineRule="auto"/>
        <w:rPr>
          <w:sz w:val="20"/>
          <w:szCs w:val="20"/>
          <w:color w:val="auto"/>
        </w:rPr>
      </w:pPr>
      <w:r>
        <w:rPr>
          <w:rFonts w:ascii="Arial" w:cs="Arial" w:eastAsia="Arial" w:hAnsi="Arial"/>
          <w:sz w:val="18"/>
          <w:szCs w:val="18"/>
          <w:color w:val="auto"/>
        </w:rPr>
        <w:t>The increase in other income (expense), net was due to net gains from foreign currency transactions, as well as an increase in interest income from our larger average cash equivalents and short-term investments balance during the year ended January 31,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58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rPr>
              <w:t>Years Ended January 31,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5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1,287</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c>
          <w:tcPr>
            <w:tcW w:w="104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1460" w:firstLine="528"/>
        <w:spacing w:after="0" w:line="438" w:lineRule="auto"/>
        <w:rPr>
          <w:sz w:val="20"/>
          <w:szCs w:val="20"/>
          <w:color w:val="auto"/>
        </w:rPr>
      </w:pPr>
      <w:r>
        <w:rPr>
          <w:rFonts w:ascii="Arial" w:cs="Arial" w:eastAsia="Arial" w:hAnsi="Arial"/>
          <w:sz w:val="18"/>
          <w:szCs w:val="18"/>
          <w:color w:val="auto"/>
        </w:rPr>
        <w:t xml:space="preserve">The increase in provision for income taxes was primarily due to an increase in foreign taxes as we continued our global expansion. </w:t>
      </w:r>
      <w:r>
        <w:rPr>
          <w:rFonts w:ascii="Arial" w:cs="Arial" w:eastAsia="Arial" w:hAnsi="Arial"/>
          <w:sz w:val="18"/>
          <w:szCs w:val="18"/>
          <w:b w:val="1"/>
          <w:bCs w:val="1"/>
          <w:color w:val="auto"/>
        </w:rPr>
        <w:t>Quarterly Results of Operations</w:t>
      </w:r>
    </w:p>
    <w:p>
      <w:pPr>
        <w:spacing w:after="0" w:line="1" w:lineRule="exact"/>
        <w:rPr>
          <w:sz w:val="20"/>
          <w:szCs w:val="20"/>
          <w:color w:val="auto"/>
        </w:rPr>
      </w:pPr>
    </w:p>
    <w:p>
      <w:pPr>
        <w:ind w:right="80" w:firstLine="486"/>
        <w:spacing w:after="0" w:line="297" w:lineRule="auto"/>
        <w:rPr>
          <w:sz w:val="20"/>
          <w:szCs w:val="20"/>
          <w:color w:val="auto"/>
        </w:rPr>
      </w:pPr>
      <w:r>
        <w:rPr>
          <w:rFonts w:ascii="Arial" w:cs="Arial" w:eastAsia="Arial" w:hAnsi="Arial"/>
          <w:sz w:val="16"/>
          <w:szCs w:val="16"/>
          <w:color w:val="auto"/>
        </w:rPr>
        <w:t xml:space="preserve">The following tables summarize our selected unaudited quarterly consolidated statements of operations data for each of the eight quarters in the period ended January 31, 2019. The information for each of these quarters has been prepared on the same basis as our audited annual consolidated financial statements and reflects, in the opinion of management, all adjustments of a normal, recurring nature that are necessary for the fair statement of the results of operations for these periods. This data should be read in conjunction with our audited consolidated financial statements and related notes included in Part II, Item 8, </w:t>
      </w:r>
      <w:r>
        <w:rPr>
          <w:rFonts w:ascii="Arial" w:cs="Arial" w:eastAsia="Arial" w:hAnsi="Arial"/>
          <w:sz w:val="16"/>
          <w:szCs w:val="16"/>
          <w:i w:val="1"/>
          <w:iCs w:val="1"/>
          <w:color w:val="auto"/>
        </w:rPr>
        <w:t>Financial Statements</w:t>
      </w:r>
      <w:r>
        <w:rPr>
          <w:rFonts w:ascii="Arial" w:cs="Arial" w:eastAsia="Arial" w:hAnsi="Arial"/>
          <w:sz w:val="16"/>
          <w:szCs w:val="16"/>
          <w:color w:val="auto"/>
        </w:rPr>
        <w:t>, in this Form 10-K. Historical results are not necessarily indicative of the results that may be expected in the future.</w:t>
      </w:r>
    </w:p>
    <w:p>
      <w:pPr>
        <w:spacing w:after="0" w:line="10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 xml:space="preserve">As a result of our loss of our emerging growth company status as of January 31, 2019, we were required to adopt Accounting Standards Update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effective February 1, 2018, as discussed further in Note 2, </w:t>
      </w:r>
      <w:r>
        <w:rPr>
          <w:rFonts w:ascii="Arial" w:cs="Arial" w:eastAsia="Arial" w:hAnsi="Arial"/>
          <w:sz w:val="18"/>
          <w:szCs w:val="18"/>
          <w:i w:val="1"/>
          <w:iCs w:val="1"/>
          <w:color w:val="auto"/>
        </w:rPr>
        <w:t>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Polices </w:t>
      </w:r>
      <w:r>
        <w:rPr>
          <w:rFonts w:ascii="Arial" w:cs="Arial" w:eastAsia="Arial" w:hAnsi="Arial"/>
          <w:sz w:val="18"/>
          <w:szCs w:val="18"/>
          <w:color w:val="auto"/>
        </w:rPr>
        <w:t>included in Part II, Item 8,</w:t>
      </w:r>
      <w:r>
        <w:rPr>
          <w:rFonts w:ascii="Arial" w:cs="Arial" w:eastAsia="Arial" w:hAnsi="Arial"/>
          <w:sz w:val="18"/>
          <w:szCs w:val="18"/>
          <w:i w:val="1"/>
          <w:iCs w:val="1"/>
          <w:color w:val="auto"/>
        </w:rPr>
        <w:t xml:space="preserve"> Financial Statements and Supplementary Data, </w:t>
      </w:r>
      <w:r>
        <w:rPr>
          <w:rFonts w:ascii="Arial" w:cs="Arial" w:eastAsia="Arial" w:hAnsi="Arial"/>
          <w:sz w:val="18"/>
          <w:szCs w:val="18"/>
          <w:color w:val="auto"/>
        </w:rPr>
        <w:t>of this Form 10-K. We adopted the new revenue standard using</w:t>
      </w:r>
      <w:r>
        <w:rPr>
          <w:rFonts w:ascii="Arial" w:cs="Arial" w:eastAsia="Arial" w:hAnsi="Arial"/>
          <w:sz w:val="18"/>
          <w:szCs w:val="18"/>
          <w:i w:val="1"/>
          <w:iCs w:val="1"/>
          <w:color w:val="auto"/>
        </w:rPr>
        <w:t xml:space="preserve"> </w:t>
      </w:r>
      <w:r>
        <w:rPr>
          <w:rFonts w:ascii="Arial" w:cs="Arial" w:eastAsia="Arial" w:hAnsi="Arial"/>
          <w:sz w:val="18"/>
          <w:szCs w:val="18"/>
          <w:color w:val="auto"/>
        </w:rPr>
        <w:t>the full retrospective transition method, which required us to recast periods prior to the effective date, as well as the quarterly and annual periods for the year ended January 31, 2019. The table below presents our recent eight quarterly periods in compliance with the new revenue standard. Note that the quarterly periods for the year ended January 31, 2019 have been adjusted from the results previously presented in our Quarterly Reports on Form 10-Q, as indicated by the “As Adjusted”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ind w:left="32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420" w:type="dxa"/>
            <w:vAlign w:val="bottom"/>
          </w:tcPr>
          <w:p>
            <w:pPr>
              <w:ind w:left="40"/>
              <w:spacing w:after="0" w:line="138" w:lineRule="exact"/>
              <w:rPr>
                <w:sz w:val="20"/>
                <w:szCs w:val="20"/>
                <w:color w:val="auto"/>
              </w:rPr>
            </w:pPr>
            <w:r>
              <w:rPr>
                <w:rFonts w:ascii="Arial" w:cs="Arial" w:eastAsia="Arial" w:hAnsi="Arial"/>
                <w:sz w:val="13"/>
                <w:szCs w:val="13"/>
                <w:b w:val="1"/>
                <w:bCs w:val="1"/>
                <w:color w:val="auto"/>
                <w:w w:val="90"/>
              </w:rPr>
              <w:t>(in thousands, except share and per share</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120"/>
              <w:spacing w:after="0" w:line="138" w:lineRule="exact"/>
              <w:rPr>
                <w:sz w:val="20"/>
                <w:szCs w:val="20"/>
                <w:color w:val="auto"/>
              </w:rPr>
            </w:pPr>
            <w:r>
              <w:rPr>
                <w:rFonts w:ascii="Arial" w:cs="Arial" w:eastAsia="Arial" w:hAnsi="Arial"/>
                <w:sz w:val="13"/>
                <w:szCs w:val="13"/>
                <w:b w:val="1"/>
                <w:bCs w:val="1"/>
                <w:color w:val="auto"/>
                <w:w w:val="86"/>
              </w:rPr>
              <w:t>October 31, 2018</w:t>
            </w:r>
          </w:p>
        </w:tc>
        <w:tc>
          <w:tcPr>
            <w:tcW w:w="140" w:type="dxa"/>
            <w:vAlign w:val="bottom"/>
          </w:tcPr>
          <w:p>
            <w:pPr>
              <w:spacing w:after="0"/>
              <w:rPr>
                <w:sz w:val="11"/>
                <w:szCs w:val="11"/>
                <w:color w:val="auto"/>
              </w:rPr>
            </w:pPr>
          </w:p>
        </w:tc>
        <w:tc>
          <w:tcPr>
            <w:tcW w:w="1020" w:type="dxa"/>
            <w:vAlign w:val="bottom"/>
            <w:gridSpan w:val="2"/>
          </w:tcPr>
          <w:p>
            <w:pPr>
              <w:ind w:left="40"/>
              <w:spacing w:after="0" w:line="138" w:lineRule="exact"/>
              <w:rPr>
                <w:sz w:val="20"/>
                <w:szCs w:val="20"/>
                <w:color w:val="auto"/>
              </w:rPr>
            </w:pPr>
            <w:r>
              <w:rPr>
                <w:rFonts w:ascii="Arial" w:cs="Arial" w:eastAsia="Arial" w:hAnsi="Arial"/>
                <w:sz w:val="13"/>
                <w:szCs w:val="13"/>
                <w:b w:val="1"/>
                <w:bCs w:val="1"/>
                <w:color w:val="auto"/>
              </w:rPr>
              <w:t>July 31, 2018</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88"/>
              </w:rPr>
              <w:t>April 30, 2018</w:t>
            </w:r>
          </w:p>
        </w:tc>
        <w:tc>
          <w:tcPr>
            <w:tcW w:w="1120" w:type="dxa"/>
            <w:vAlign w:val="bottom"/>
            <w:gridSpan w:val="3"/>
          </w:tcPr>
          <w:p>
            <w:pPr>
              <w:jc w:val="center"/>
              <w:ind w:right="80"/>
              <w:spacing w:after="0" w:line="138" w:lineRule="exact"/>
              <w:rPr>
                <w:sz w:val="20"/>
                <w:szCs w:val="20"/>
                <w:color w:val="auto"/>
              </w:rPr>
            </w:pPr>
            <w:r>
              <w:rPr>
                <w:rFonts w:ascii="Arial" w:cs="Arial" w:eastAsia="Arial" w:hAnsi="Arial"/>
                <w:sz w:val="13"/>
                <w:szCs w:val="13"/>
                <w:b w:val="1"/>
                <w:bCs w:val="1"/>
                <w:color w:val="auto"/>
                <w:w w:val="88"/>
              </w:rPr>
              <w:t>January 31, 2018</w:t>
            </w:r>
          </w:p>
        </w:tc>
        <w:tc>
          <w:tcPr>
            <w:tcW w:w="1120" w:type="dxa"/>
            <w:vAlign w:val="bottom"/>
            <w:gridSpan w:val="3"/>
          </w:tcPr>
          <w:p>
            <w:pPr>
              <w:jc w:val="center"/>
              <w:ind w:right="100"/>
              <w:spacing w:after="0" w:line="138" w:lineRule="exact"/>
              <w:rPr>
                <w:sz w:val="20"/>
                <w:szCs w:val="20"/>
                <w:color w:val="auto"/>
              </w:rPr>
            </w:pPr>
            <w:r>
              <w:rPr>
                <w:rFonts w:ascii="Arial" w:cs="Arial" w:eastAsia="Arial" w:hAnsi="Arial"/>
                <w:sz w:val="13"/>
                <w:szCs w:val="13"/>
                <w:b w:val="1"/>
                <w:bCs w:val="1"/>
                <w:color w:val="auto"/>
                <w:w w:val="86"/>
              </w:rPr>
              <w:t>October 31, 2017</w:t>
            </w:r>
          </w:p>
        </w:tc>
        <w:tc>
          <w:tcPr>
            <w:tcW w:w="120" w:type="dxa"/>
            <w:vAlign w:val="bottom"/>
          </w:tcPr>
          <w:p>
            <w:pPr>
              <w:spacing w:after="0"/>
              <w:rPr>
                <w:sz w:val="11"/>
                <w:szCs w:val="11"/>
                <w:color w:val="auto"/>
              </w:rPr>
            </w:pPr>
          </w:p>
        </w:tc>
        <w:tc>
          <w:tcPr>
            <w:tcW w:w="1000" w:type="dxa"/>
            <w:vAlign w:val="bottom"/>
            <w:gridSpan w:val="2"/>
          </w:tcPr>
          <w:p>
            <w:pPr>
              <w:ind w:left="40"/>
              <w:spacing w:after="0" w:line="138" w:lineRule="exact"/>
              <w:rPr>
                <w:sz w:val="20"/>
                <w:szCs w:val="20"/>
                <w:color w:val="auto"/>
              </w:rPr>
            </w:pPr>
            <w:r>
              <w:rPr>
                <w:rFonts w:ascii="Arial" w:cs="Arial" w:eastAsia="Arial" w:hAnsi="Arial"/>
                <w:sz w:val="13"/>
                <w:szCs w:val="13"/>
                <w:b w:val="1"/>
                <w:bCs w:val="1"/>
                <w:color w:val="auto"/>
              </w:rPr>
              <w:t>July 31, 2017</w:t>
            </w:r>
          </w:p>
        </w:tc>
        <w:tc>
          <w:tcPr>
            <w:tcW w:w="120" w:type="dxa"/>
            <w:vAlign w:val="bottom"/>
          </w:tcPr>
          <w:p>
            <w:pPr>
              <w:spacing w:after="0"/>
              <w:rPr>
                <w:sz w:val="11"/>
                <w:szCs w:val="11"/>
                <w:color w:val="auto"/>
              </w:rPr>
            </w:pPr>
          </w:p>
        </w:tc>
        <w:tc>
          <w:tcPr>
            <w:tcW w:w="900" w:type="dxa"/>
            <w:vAlign w:val="bottom"/>
          </w:tcPr>
          <w:p>
            <w:pPr>
              <w:jc w:val="right"/>
              <w:ind w:right="49"/>
              <w:spacing w:after="0" w:line="138" w:lineRule="exact"/>
              <w:rPr>
                <w:sz w:val="20"/>
                <w:szCs w:val="20"/>
                <w:color w:val="auto"/>
              </w:rPr>
            </w:pPr>
            <w:r>
              <w:rPr>
                <w:rFonts w:ascii="Arial" w:cs="Arial" w:eastAsia="Arial" w:hAnsi="Arial"/>
                <w:sz w:val="13"/>
                <w:szCs w:val="13"/>
                <w:b w:val="1"/>
                <w:bCs w:val="1"/>
                <w:color w:val="auto"/>
                <w:w w:val="90"/>
              </w:rPr>
              <w:t>April 30, 2017</w:t>
            </w:r>
          </w:p>
        </w:tc>
        <w:tc>
          <w:tcPr>
            <w:tcW w:w="0" w:type="dxa"/>
            <w:vAlign w:val="bottom"/>
          </w:tcPr>
          <w:p>
            <w:pPr>
              <w:spacing w:after="0"/>
              <w:rPr>
                <w:sz w:val="1"/>
                <w:szCs w:val="1"/>
                <w:color w:val="auto"/>
              </w:rPr>
            </w:pPr>
          </w:p>
        </w:tc>
      </w:tr>
      <w:tr>
        <w:trPr>
          <w:trHeight w:val="164"/>
        </w:trPr>
        <w:tc>
          <w:tcPr>
            <w:tcW w:w="2420" w:type="dxa"/>
            <w:vAlign w:val="bottom"/>
          </w:tcPr>
          <w:p>
            <w:pPr>
              <w:ind w:left="40"/>
              <w:spacing w:after="0"/>
              <w:rPr>
                <w:sz w:val="20"/>
                <w:szCs w:val="20"/>
                <w:color w:val="auto"/>
              </w:rPr>
            </w:pPr>
            <w:r>
              <w:rPr>
                <w:rFonts w:ascii="Arial" w:cs="Arial" w:eastAsia="Arial" w:hAnsi="Arial"/>
                <w:sz w:val="13"/>
                <w:szCs w:val="13"/>
                <w:b w:val="1"/>
                <w:bCs w:val="1"/>
                <w:color w:val="auto"/>
              </w:rPr>
              <w:t>data)</w:t>
            </w:r>
          </w:p>
        </w:tc>
        <w:tc>
          <w:tcPr>
            <w:tcW w:w="1160" w:type="dxa"/>
            <w:vAlign w:val="bottom"/>
            <w:gridSpan w:val="3"/>
          </w:tcPr>
          <w:p>
            <w:pPr>
              <w:ind w:left="60"/>
              <w:spacing w:after="0"/>
              <w:rPr>
                <w:sz w:val="20"/>
                <w:szCs w:val="20"/>
                <w:color w:val="auto"/>
              </w:rPr>
            </w:pPr>
            <w:r>
              <w:rPr>
                <w:rFonts w:ascii="Arial" w:cs="Arial" w:eastAsia="Arial" w:hAnsi="Arial"/>
                <w:sz w:val="13"/>
                <w:szCs w:val="13"/>
                <w:b w:val="1"/>
                <w:bCs w:val="1"/>
                <w:color w:val="auto"/>
              </w:rPr>
              <w:t>January 31, 2019</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*As Adjusted</w:t>
            </w:r>
          </w:p>
        </w:tc>
        <w:tc>
          <w:tcPr>
            <w:tcW w:w="1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3"/>
                <w:szCs w:val="13"/>
                <w:b w:val="1"/>
                <w:bCs w:val="1"/>
                <w:color w:val="auto"/>
              </w:rPr>
              <w:t>*As Adjusted</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*As Adjusted</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*As Adjusted</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*As Adjusted</w:t>
            </w:r>
          </w:p>
        </w:tc>
        <w:tc>
          <w:tcPr>
            <w:tcW w:w="12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*As Adjusted</w:t>
            </w:r>
          </w:p>
        </w:tc>
        <w:tc>
          <w:tcPr>
            <w:tcW w:w="12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Arial" w:cs="Arial" w:eastAsia="Arial" w:hAnsi="Arial"/>
                <w:sz w:val="13"/>
                <w:szCs w:val="13"/>
                <w:b w:val="1"/>
                <w:bCs w:val="1"/>
                <w:color w:val="auto"/>
                <w:w w:val="91"/>
              </w:rPr>
              <w:t>*As Adjusted</w:t>
            </w:r>
          </w:p>
        </w:tc>
        <w:tc>
          <w:tcPr>
            <w:tcW w:w="0" w:type="dxa"/>
            <w:vAlign w:val="bottom"/>
          </w:tcPr>
          <w:p>
            <w:pPr>
              <w:spacing w:after="0"/>
              <w:rPr>
                <w:sz w:val="1"/>
                <w:szCs w:val="1"/>
                <w:color w:val="auto"/>
              </w:rPr>
            </w:pPr>
          </w:p>
        </w:tc>
      </w:tr>
      <w:tr>
        <w:trPr>
          <w:trHeight w:val="30"/>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200"/>
              <w:spacing w:after="0"/>
              <w:rPr>
                <w:sz w:val="20"/>
                <w:szCs w:val="20"/>
                <w:color w:val="auto"/>
              </w:rPr>
            </w:pPr>
            <w:r>
              <w:rPr>
                <w:rFonts w:ascii="Arial" w:cs="Arial" w:eastAsia="Arial" w:hAnsi="Arial"/>
                <w:sz w:val="14"/>
                <w:szCs w:val="14"/>
                <w:color w:val="auto"/>
              </w:rPr>
              <w:t>Subscription</w:t>
            </w:r>
          </w:p>
        </w:tc>
        <w:tc>
          <w:tcPr>
            <w:tcW w:w="18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80,632</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66,604</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55,086</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49"/>
              <w:spacing w:after="0"/>
              <w:rPr>
                <w:sz w:val="20"/>
                <w:szCs w:val="20"/>
                <w:color w:val="auto"/>
              </w:rPr>
            </w:pPr>
            <w:r>
              <w:rPr>
                <w:rFonts w:ascii="Arial" w:cs="Arial" w:eastAsia="Arial" w:hAnsi="Arial"/>
                <w:sz w:val="14"/>
                <w:szCs w:val="14"/>
                <w:color w:val="auto"/>
              </w:rPr>
              <w:t>46,069</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46,498</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39,062</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34,831</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31,462</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Services</w:t>
            </w: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4,852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5,178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4,525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4,070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3,534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3,281</w:t>
            </w:r>
          </w:p>
        </w:tc>
        <w:tc>
          <w:tcPr>
            <w:tcW w:w="0" w:type="dxa"/>
            <w:vAlign w:val="bottom"/>
          </w:tcPr>
          <w:p>
            <w:pPr>
              <w:spacing w:after="0"/>
              <w:rPr>
                <w:sz w:val="1"/>
                <w:szCs w:val="1"/>
                <w:color w:val="auto"/>
              </w:rPr>
            </w:pPr>
          </w:p>
        </w:tc>
      </w:tr>
      <w:tr>
        <w:trPr>
          <w:trHeight w:val="80"/>
        </w:trPr>
        <w:tc>
          <w:tcPr>
            <w:tcW w:w="242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420" w:type="dxa"/>
            <w:vAlign w:val="bottom"/>
          </w:tcPr>
          <w:p>
            <w:pPr>
              <w:ind w:left="380"/>
              <w:spacing w:after="0"/>
              <w:rPr>
                <w:sz w:val="20"/>
                <w:szCs w:val="20"/>
                <w:color w:val="auto"/>
              </w:rPr>
            </w:pPr>
            <w:r>
              <w:rPr>
                <w:rFonts w:ascii="Arial" w:cs="Arial" w:eastAsia="Arial" w:hAnsi="Arial"/>
                <w:sz w:val="14"/>
                <w:szCs w:val="14"/>
                <w:color w:val="auto"/>
              </w:rPr>
              <w:t>Total revenue</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85,484</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71,782</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59,611</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50,139</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50,051</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42,869</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38,365</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34,743</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200"/>
              <w:spacing w:after="0"/>
              <w:rPr>
                <w:sz w:val="20"/>
                <w:szCs w:val="20"/>
                <w:color w:val="auto"/>
              </w:rPr>
            </w:pPr>
            <w:r>
              <w:rPr>
                <w:rFonts w:ascii="Arial" w:cs="Arial" w:eastAsia="Arial" w:hAnsi="Arial"/>
                <w:sz w:val="14"/>
                <w:szCs w:val="14"/>
                <w:color w:val="auto"/>
              </w:rPr>
              <w:t>Subscription</w:t>
            </w:r>
            <w:r>
              <w:rPr>
                <w:rFonts w:ascii="Arial" w:cs="Arial" w:eastAsia="Arial" w:hAnsi="Arial"/>
                <w:sz w:val="8"/>
                <w:szCs w:val="8"/>
                <w:color w:val="auto"/>
              </w:rPr>
              <w:t>(1)</w:t>
            </w:r>
          </w:p>
        </w:tc>
        <w:tc>
          <w:tcPr>
            <w:tcW w:w="18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20,821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13,248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12,116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9"/>
              <w:spacing w:after="0"/>
              <w:rPr>
                <w:sz w:val="20"/>
                <w:szCs w:val="20"/>
                <w:color w:val="auto"/>
              </w:rPr>
            </w:pPr>
            <w:r>
              <w:rPr>
                <w:rFonts w:ascii="Arial" w:cs="Arial" w:eastAsia="Arial" w:hAnsi="Arial"/>
                <w:sz w:val="14"/>
                <w:szCs w:val="14"/>
                <w:color w:val="auto"/>
              </w:rPr>
              <w:t>10,070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9,097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7,904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7,215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6,550</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Services</w:t>
            </w:r>
            <w:r>
              <w:rPr>
                <w:rFonts w:ascii="Arial" w:cs="Arial" w:eastAsia="Arial" w:hAnsi="Arial"/>
                <w:sz w:val="8"/>
                <w:szCs w:val="8"/>
                <w:color w:val="auto"/>
              </w:rPr>
              <w:t>(1)</w:t>
            </w: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4,746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4,378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3,679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2,973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2,649</w:t>
            </w:r>
          </w:p>
        </w:tc>
        <w:tc>
          <w:tcPr>
            <w:tcW w:w="0" w:type="dxa"/>
            <w:vAlign w:val="bottom"/>
          </w:tcPr>
          <w:p>
            <w:pPr>
              <w:spacing w:after="0"/>
              <w:rPr>
                <w:sz w:val="1"/>
                <w:szCs w:val="1"/>
                <w:color w:val="auto"/>
              </w:rPr>
            </w:pPr>
          </w:p>
        </w:tc>
      </w:tr>
      <w:tr>
        <w:trPr>
          <w:trHeight w:val="80"/>
        </w:trPr>
        <w:tc>
          <w:tcPr>
            <w:tcW w:w="242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420" w:type="dxa"/>
            <w:vAlign w:val="bottom"/>
          </w:tcPr>
          <w:p>
            <w:pPr>
              <w:ind w:left="380"/>
              <w:spacing w:after="0"/>
              <w:rPr>
                <w:sz w:val="20"/>
                <w:szCs w:val="20"/>
                <w:color w:val="auto"/>
              </w:rPr>
            </w:pPr>
            <w:r>
              <w:rPr>
                <w:rFonts w:ascii="Arial" w:cs="Arial" w:eastAsia="Arial" w:hAnsi="Arial"/>
                <w:sz w:val="14"/>
                <w:szCs w:val="14"/>
                <w:color w:val="auto"/>
              </w:rPr>
              <w:t>Total cost of revenue</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25,567</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17,758</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16,494</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13,749</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12,401</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11,071</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10,188</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9,199</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59,917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54,024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43,117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36,390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37,650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31,798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28,177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25,544</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Sales and marketing</w:t>
            </w:r>
            <w:r>
              <w:rPr>
                <w:rFonts w:ascii="Arial" w:cs="Arial" w:eastAsia="Arial" w:hAnsi="Arial"/>
                <w:sz w:val="8"/>
                <w:szCs w:val="8"/>
                <w:color w:val="auto"/>
              </w:rPr>
              <w:t>(1)</w:t>
            </w:r>
          </w:p>
        </w:tc>
        <w:tc>
          <w:tcPr>
            <w:tcW w:w="1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42,482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36,080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36,537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33,197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31,534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28,460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27,066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22,013</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200"/>
              <w:spacing w:after="0"/>
              <w:rPr>
                <w:sz w:val="20"/>
                <w:szCs w:val="20"/>
                <w:color w:val="auto"/>
              </w:rPr>
            </w:pPr>
            <w:r>
              <w:rPr>
                <w:rFonts w:ascii="Arial" w:cs="Arial" w:eastAsia="Arial" w:hAnsi="Arial"/>
                <w:sz w:val="14"/>
                <w:szCs w:val="14"/>
                <w:color w:val="auto"/>
              </w:rPr>
              <w:t>Research and development</w:t>
            </w:r>
            <w:r>
              <w:rPr>
                <w:rFonts w:ascii="Arial" w:cs="Arial" w:eastAsia="Arial" w:hAnsi="Arial"/>
                <w:sz w:val="8"/>
                <w:szCs w:val="8"/>
                <w:color w:val="auto"/>
              </w:rPr>
              <w:t>(1)</w:t>
            </w:r>
          </w:p>
        </w:tc>
        <w:tc>
          <w:tcPr>
            <w:tcW w:w="18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26,600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23,179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21,430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9"/>
              <w:spacing w:after="0"/>
              <w:rPr>
                <w:sz w:val="20"/>
                <w:szCs w:val="20"/>
                <w:color w:val="auto"/>
              </w:rPr>
            </w:pPr>
            <w:r>
              <w:rPr>
                <w:rFonts w:ascii="Arial" w:cs="Arial" w:eastAsia="Arial" w:hAnsi="Arial"/>
                <w:sz w:val="14"/>
                <w:szCs w:val="14"/>
                <w:color w:val="auto"/>
              </w:rPr>
              <w:t>18,645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16,788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16,588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15,749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13,077</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General and administrative</w:t>
            </w:r>
            <w:r>
              <w:rPr>
                <w:rFonts w:ascii="Arial" w:cs="Arial" w:eastAsia="Arial" w:hAnsi="Arial"/>
                <w:sz w:val="8"/>
                <w:szCs w:val="8"/>
                <w:color w:val="auto"/>
              </w:rPr>
              <w:t>(1)</w:t>
            </w: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14,596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14,986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12,254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11,227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10,242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8,933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7,771</w:t>
            </w:r>
          </w:p>
        </w:tc>
        <w:tc>
          <w:tcPr>
            <w:tcW w:w="0" w:type="dxa"/>
            <w:vAlign w:val="bottom"/>
          </w:tcPr>
          <w:p>
            <w:pPr>
              <w:spacing w:after="0"/>
              <w:rPr>
                <w:sz w:val="1"/>
                <w:szCs w:val="1"/>
                <w:color w:val="auto"/>
              </w:rPr>
            </w:pPr>
          </w:p>
        </w:tc>
      </w:tr>
      <w:tr>
        <w:trPr>
          <w:trHeight w:val="80"/>
        </w:trPr>
        <w:tc>
          <w:tcPr>
            <w:tcW w:w="242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420" w:type="dxa"/>
            <w:vAlign w:val="bottom"/>
          </w:tcPr>
          <w:p>
            <w:pPr>
              <w:ind w:left="38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83,678</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74,245</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70,221</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63,069</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58,564</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54,877</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51,748</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42,861</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(23,761)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(20,221)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(27,104)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(26,679)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(20,914)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(23,079)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(23,571)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(17,317)</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(2,424)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(2,299)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9"/>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1,349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42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w w:val="98"/>
              </w:rPr>
              <w:t>Loss before provision for (benefit from)</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taxes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(26,185)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(27,536)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(26,088)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(16,976)</w:t>
            </w:r>
          </w:p>
        </w:tc>
        <w:tc>
          <w:tcPr>
            <w:tcW w:w="0" w:type="dxa"/>
            <w:vAlign w:val="bottom"/>
          </w:tcPr>
          <w:p>
            <w:pPr>
              <w:spacing w:after="0"/>
              <w:rPr>
                <w:sz w:val="1"/>
                <w:szCs w:val="1"/>
                <w:color w:val="auto"/>
              </w:rPr>
            </w:pPr>
          </w:p>
        </w:tc>
      </w:tr>
      <w:tr>
        <w:trPr>
          <w:trHeight w:val="157"/>
        </w:trPr>
        <w:tc>
          <w:tcPr>
            <w:tcW w:w="2420" w:type="dxa"/>
            <w:vAlign w:val="bottom"/>
          </w:tcPr>
          <w:p>
            <w:pPr>
              <w:ind w:left="20"/>
              <w:spacing w:after="0" w:line="157" w:lineRule="exact"/>
              <w:rPr>
                <w:sz w:val="20"/>
                <w:szCs w:val="20"/>
                <w:color w:val="auto"/>
              </w:rPr>
            </w:pPr>
            <w:r>
              <w:rPr>
                <w:rFonts w:ascii="Arial" w:cs="Arial" w:eastAsia="Arial" w:hAnsi="Arial"/>
                <w:sz w:val="14"/>
                <w:szCs w:val="14"/>
                <w:color w:val="auto"/>
              </w:rPr>
              <w:t>Provision for (benefit from) income</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420" w:type="dxa"/>
            <w:vAlign w:val="bottom"/>
          </w:tcPr>
          <w:p>
            <w:pPr>
              <w:ind w:left="220"/>
              <w:spacing w:after="0"/>
              <w:rPr>
                <w:sz w:val="20"/>
                <w:szCs w:val="20"/>
                <w:color w:val="auto"/>
              </w:rPr>
            </w:pPr>
            <w:r>
              <w:rPr>
                <w:rFonts w:ascii="Arial" w:cs="Arial" w:eastAsia="Arial" w:hAnsi="Arial"/>
                <w:sz w:val="14"/>
                <w:szCs w:val="14"/>
                <w:color w:val="auto"/>
              </w:rPr>
              <w:t>taxes</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(3,998)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467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6"/>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(22,187)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(22,487)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(27,782)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(23,245)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(23,488)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(17,205)</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20"/>
              <w:spacing w:after="0" w:line="151" w:lineRule="exact"/>
              <w:rPr>
                <w:sz w:val="20"/>
                <w:szCs w:val="20"/>
                <w:color w:val="auto"/>
              </w:rPr>
            </w:pPr>
            <w:r>
              <w:rPr>
                <w:rFonts w:ascii="Arial" w:cs="Arial" w:eastAsia="Arial" w:hAnsi="Arial"/>
                <w:sz w:val="14"/>
                <w:szCs w:val="14"/>
                <w:color w:val="auto"/>
              </w:rPr>
              <w:t>Net loss per share attributable to</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4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220"/>
              <w:spacing w:after="0" w:line="149" w:lineRule="exact"/>
              <w:rPr>
                <w:sz w:val="20"/>
                <w:szCs w:val="20"/>
                <w:color w:val="auto"/>
              </w:rPr>
            </w:pPr>
            <w:r>
              <w:rPr>
                <w:rFonts w:ascii="Arial" w:cs="Arial" w:eastAsia="Arial" w:hAnsi="Arial"/>
                <w:sz w:val="14"/>
                <w:szCs w:val="14"/>
                <w:color w:val="auto"/>
              </w:rPr>
              <w:t>common stockholders, basic and</w:t>
            </w:r>
          </w:p>
        </w:tc>
        <w:tc>
          <w:tcPr>
            <w:tcW w:w="18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(0.41)</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(0.43)</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color w:val="auto"/>
              </w:rPr>
              <w:t>(0.54)</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(0.53)</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(0.40)</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82"/>
        </w:trPr>
        <w:tc>
          <w:tcPr>
            <w:tcW w:w="2420" w:type="dxa"/>
            <w:vAlign w:val="bottom"/>
          </w:tcPr>
          <w:p>
            <w:pPr>
              <w:ind w:left="220"/>
              <w:spacing w:after="0"/>
              <w:rPr>
                <w:sz w:val="20"/>
                <w:szCs w:val="20"/>
                <w:color w:val="auto"/>
              </w:rPr>
            </w:pPr>
            <w:r>
              <w:rPr>
                <w:rFonts w:ascii="Arial" w:cs="Arial" w:eastAsia="Arial" w:hAnsi="Arial"/>
                <w:sz w:val="14"/>
                <w:szCs w:val="14"/>
                <w:color w:val="auto"/>
              </w:rPr>
              <w:t>diluted</w:t>
            </w:r>
          </w:p>
        </w:tc>
        <w:tc>
          <w:tcPr>
            <w:tcW w:w="1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4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42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Weighted-average shares used to</w:t>
            </w: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compute net loss per share</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5"/>
              </w:rPr>
              <w:t>attributable to common stockholders,</w:t>
            </w: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53,825,561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52,702,526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51,185,258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50,350,052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50,287,162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17,421,642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13,600,435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13,164,559</w:t>
            </w:r>
          </w:p>
        </w:tc>
        <w:tc>
          <w:tcPr>
            <w:tcW w:w="0" w:type="dxa"/>
            <w:vAlign w:val="bottom"/>
          </w:tcPr>
          <w:p>
            <w:pPr>
              <w:spacing w:after="0"/>
              <w:rPr>
                <w:sz w:val="1"/>
                <w:szCs w:val="1"/>
                <w:color w:val="auto"/>
              </w:rPr>
            </w:pPr>
          </w:p>
        </w:tc>
      </w:tr>
      <w:tr>
        <w:trPr>
          <w:trHeight w:val="208"/>
        </w:trPr>
        <w:tc>
          <w:tcPr>
            <w:tcW w:w="2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basic and diluted</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8351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40" w:hanging="132"/>
        <w:spacing w:after="0"/>
        <w:tabs>
          <w:tab w:leader="none" w:pos="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periods presented were adjusted as a result of our adoption of ASC 606 using the full retrospective transition method.</w:t>
      </w:r>
    </w:p>
    <w:p>
      <w:pPr>
        <w:spacing w:after="0" w:line="63"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Includes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as follows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42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160" w:type="dxa"/>
            <w:vAlign w:val="bottom"/>
            <w:gridSpan w:val="3"/>
          </w:tcPr>
          <w:p>
            <w:pPr>
              <w:ind w:left="60"/>
              <w:spacing w:after="0"/>
              <w:rPr>
                <w:sz w:val="20"/>
                <w:szCs w:val="20"/>
                <w:color w:val="auto"/>
              </w:rPr>
            </w:pPr>
            <w:r>
              <w:rPr>
                <w:rFonts w:ascii="Arial" w:cs="Arial" w:eastAsia="Arial" w:hAnsi="Arial"/>
                <w:sz w:val="13"/>
                <w:szCs w:val="13"/>
                <w:b w:val="1"/>
                <w:bCs w:val="1"/>
                <w:color w:val="auto"/>
              </w:rPr>
              <w:t>January 31, 2019</w:t>
            </w:r>
          </w:p>
        </w:tc>
        <w:tc>
          <w:tcPr>
            <w:tcW w:w="1180" w:type="dxa"/>
            <w:vAlign w:val="bottom"/>
            <w:gridSpan w:val="3"/>
          </w:tcPr>
          <w:p>
            <w:pPr>
              <w:ind w:left="80"/>
              <w:spacing w:after="0"/>
              <w:rPr>
                <w:sz w:val="20"/>
                <w:szCs w:val="20"/>
                <w:color w:val="auto"/>
              </w:rPr>
            </w:pPr>
            <w:r>
              <w:rPr>
                <w:rFonts w:ascii="Arial" w:cs="Arial" w:eastAsia="Arial" w:hAnsi="Arial"/>
                <w:sz w:val="13"/>
                <w:szCs w:val="13"/>
                <w:b w:val="1"/>
                <w:bCs w:val="1"/>
                <w:color w:val="auto"/>
              </w:rPr>
              <w:t>October 31, 2018</w:t>
            </w:r>
          </w:p>
        </w:tc>
        <w:tc>
          <w:tcPr>
            <w:tcW w:w="14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July 31, 2018</w:t>
            </w: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April 30, 2018</w:t>
            </w:r>
          </w:p>
        </w:tc>
        <w:tc>
          <w:tcPr>
            <w:tcW w:w="1120" w:type="dxa"/>
            <w:vAlign w:val="bottom"/>
            <w:gridSpan w:val="3"/>
          </w:tcPr>
          <w:p>
            <w:pPr>
              <w:ind w:left="60"/>
              <w:spacing w:after="0"/>
              <w:rPr>
                <w:sz w:val="20"/>
                <w:szCs w:val="20"/>
                <w:color w:val="auto"/>
              </w:rPr>
            </w:pPr>
            <w:r>
              <w:rPr>
                <w:rFonts w:ascii="Arial" w:cs="Arial" w:eastAsia="Arial" w:hAnsi="Arial"/>
                <w:sz w:val="13"/>
                <w:szCs w:val="13"/>
                <w:b w:val="1"/>
                <w:bCs w:val="1"/>
                <w:color w:val="auto"/>
                <w:w w:val="99"/>
              </w:rPr>
              <w:t>January 31, 2018</w:t>
            </w:r>
          </w:p>
        </w:tc>
        <w:tc>
          <w:tcPr>
            <w:tcW w:w="1120" w:type="dxa"/>
            <w:vAlign w:val="bottom"/>
            <w:gridSpan w:val="3"/>
          </w:tcPr>
          <w:p>
            <w:pPr>
              <w:ind w:left="60"/>
              <w:spacing w:after="0"/>
              <w:rPr>
                <w:sz w:val="20"/>
                <w:szCs w:val="20"/>
                <w:color w:val="auto"/>
              </w:rPr>
            </w:pPr>
            <w:r>
              <w:rPr>
                <w:rFonts w:ascii="Arial" w:cs="Arial" w:eastAsia="Arial" w:hAnsi="Arial"/>
                <w:sz w:val="13"/>
                <w:szCs w:val="13"/>
                <w:b w:val="1"/>
                <w:bCs w:val="1"/>
                <w:color w:val="auto"/>
                <w:w w:val="99"/>
              </w:rPr>
              <w:t>October 31, 2017</w:t>
            </w:r>
          </w:p>
        </w:tc>
        <w:tc>
          <w:tcPr>
            <w:tcW w:w="14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July 31, 2017</w:t>
            </w:r>
          </w:p>
        </w:tc>
        <w:tc>
          <w:tcPr>
            <w:tcW w:w="120" w:type="dxa"/>
            <w:vAlign w:val="bottom"/>
          </w:tcPr>
          <w:p>
            <w:pPr>
              <w:spacing w:after="0"/>
              <w:rPr>
                <w:sz w:val="20"/>
                <w:szCs w:val="20"/>
                <w:color w:val="auto"/>
              </w:rPr>
            </w:pPr>
          </w:p>
        </w:tc>
        <w:tc>
          <w:tcPr>
            <w:tcW w:w="900" w:type="dxa"/>
            <w:vAlign w:val="bottom"/>
          </w:tcPr>
          <w:p>
            <w:pPr>
              <w:jc w:val="right"/>
              <w:ind w:right="49"/>
              <w:spacing w:after="0"/>
              <w:rPr>
                <w:sz w:val="20"/>
                <w:szCs w:val="20"/>
                <w:color w:val="auto"/>
              </w:rPr>
            </w:pPr>
            <w:r>
              <w:rPr>
                <w:rFonts w:ascii="Arial" w:cs="Arial" w:eastAsia="Arial" w:hAnsi="Arial"/>
                <w:sz w:val="13"/>
                <w:szCs w:val="13"/>
                <w:b w:val="1"/>
                <w:bCs w:val="1"/>
                <w:color w:val="auto"/>
                <w:w w:val="90"/>
              </w:rPr>
              <w:t>April 30, 2017</w:t>
            </w:r>
          </w:p>
        </w:tc>
        <w:tc>
          <w:tcPr>
            <w:tcW w:w="0" w:type="dxa"/>
            <w:vAlign w:val="bottom"/>
          </w:tcPr>
          <w:p>
            <w:pPr>
              <w:spacing w:after="0"/>
              <w:rPr>
                <w:sz w:val="1"/>
                <w:szCs w:val="1"/>
                <w:color w:val="auto"/>
              </w:rPr>
            </w:pPr>
          </w:p>
        </w:tc>
      </w:tr>
      <w:tr>
        <w:trPr>
          <w:trHeight w:val="30"/>
        </w:trPr>
        <w:tc>
          <w:tcPr>
            <w:tcW w:w="2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revenue—subscription</w:t>
            </w:r>
          </w:p>
        </w:tc>
        <w:tc>
          <w:tcPr>
            <w:tcW w:w="30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644</w:t>
            </w:r>
          </w:p>
        </w:tc>
        <w:tc>
          <w:tcPr>
            <w:tcW w:w="1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555</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489</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351"/>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20"/>
              <w:spacing w:after="0"/>
              <w:rPr>
                <w:sz w:val="20"/>
                <w:szCs w:val="20"/>
                <w:color w:val="auto"/>
              </w:rPr>
            </w:pPr>
            <w:r>
              <w:rPr>
                <w:rFonts w:ascii="Arial" w:cs="Arial" w:eastAsia="Arial" w:hAnsi="Arial"/>
                <w:sz w:val="14"/>
                <w:szCs w:val="14"/>
                <w:color w:val="auto"/>
              </w:rPr>
              <w:t>Cost of revenue—services</w:t>
            </w:r>
          </w:p>
        </w:tc>
        <w:tc>
          <w:tcPr>
            <w:tcW w:w="30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3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3,620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3,090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2,129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2,218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1,215</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30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3,446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3,131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2,904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2,206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1,680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1,505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1,322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1,245</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3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2,404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3,153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3,206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2,610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2,128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2,184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80"/>
        </w:trPr>
        <w:tc>
          <w:tcPr>
            <w:tcW w:w="2420" w:type="dxa"/>
            <w:vAlign w:val="bottom"/>
            <w:tcBorders>
              <w:bottom w:val="single" w:sz="8" w:color="CCEEFF"/>
            </w:tcBorders>
            <w:shd w:val="clear" w:color="auto" w:fill="CCEEFF"/>
          </w:tcPr>
          <w:p>
            <w:pPr>
              <w:spacing w:after="0"/>
              <w:rPr>
                <w:sz w:val="6"/>
                <w:szCs w:val="6"/>
                <w:color w:val="auto"/>
              </w:rPr>
            </w:pPr>
          </w:p>
        </w:tc>
        <w:tc>
          <w:tcPr>
            <w:tcW w:w="30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52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8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420" w:type="dxa"/>
            <w:vAlign w:val="bottom"/>
          </w:tcPr>
          <w:p>
            <w:pPr>
              <w:ind w:left="200"/>
              <w:spacing w:after="0" w:line="137" w:lineRule="exact"/>
              <w:rPr>
                <w:sz w:val="20"/>
                <w:szCs w:val="20"/>
                <w:color w:val="auto"/>
              </w:rPr>
            </w:pPr>
            <w:r>
              <w:rPr>
                <w:rFonts w:ascii="Arial" w:cs="Arial" w:eastAsia="Arial" w:hAnsi="Arial"/>
                <w:sz w:val="14"/>
                <w:szCs w:val="14"/>
                <w:color w:val="auto"/>
              </w:rPr>
              <w:t>Total stock</w:t>
            </w:r>
            <w:r>
              <w:rPr>
                <w:rFonts w:ascii="MS PGothic" w:cs="MS PGothic" w:eastAsia="MS PGothic" w:hAnsi="MS PGothic"/>
                <w:sz w:val="14"/>
                <w:szCs w:val="14"/>
                <w:color w:val="auto"/>
              </w:rPr>
              <w:t>‑</w:t>
            </w:r>
            <w:r>
              <w:rPr>
                <w:rFonts w:ascii="Arial" w:cs="Arial" w:eastAsia="Arial" w:hAnsi="Arial"/>
                <w:sz w:val="14"/>
                <w:szCs w:val="14"/>
                <w:color w:val="auto"/>
              </w:rPr>
              <w:t>based compensation</w:t>
            </w:r>
          </w:p>
        </w:tc>
        <w:tc>
          <w:tcPr>
            <w:tcW w:w="300" w:type="dxa"/>
            <w:vAlign w:val="bottom"/>
            <w:tcBorders>
              <w:top w:val="single" w:sz="8" w:color="auto"/>
            </w:tcBorders>
            <w:vMerge w:val="restart"/>
          </w:tcPr>
          <w:p>
            <w:pPr>
              <w:jc w:val="right"/>
              <w:ind w:right="131"/>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10,553</w:t>
            </w:r>
          </w:p>
        </w:tc>
        <w:tc>
          <w:tcPr>
            <w:tcW w:w="120" w:type="dxa"/>
            <w:vAlign w:val="bottom"/>
          </w:tcPr>
          <w:p>
            <w:pPr>
              <w:spacing w:after="0"/>
              <w:rPr>
                <w:sz w:val="11"/>
                <w:szCs w:val="11"/>
                <w:color w:val="auto"/>
              </w:rPr>
            </w:pPr>
          </w:p>
        </w:tc>
        <w:tc>
          <w:tcPr>
            <w:tcW w:w="320" w:type="dxa"/>
            <w:vAlign w:val="bottom"/>
            <w:tcBorders>
              <w:top w:val="single" w:sz="8" w:color="auto"/>
            </w:tcBorders>
            <w:vMerge w:val="restart"/>
          </w:tcPr>
          <w:p>
            <w:pPr>
              <w:jc w:val="right"/>
              <w:ind w:right="151"/>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10,264</w:t>
            </w:r>
          </w:p>
        </w:tc>
        <w:tc>
          <w:tcPr>
            <w:tcW w:w="12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9,009</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4"/>
                <w:szCs w:val="14"/>
                <w:color w:val="auto"/>
              </w:rPr>
              <w:t>7,577</w:t>
            </w:r>
          </w:p>
        </w:tc>
        <w:tc>
          <w:tcPr>
            <w:tcW w:w="100" w:type="dxa"/>
            <w:vAlign w:val="bottom"/>
          </w:tcPr>
          <w:p>
            <w:pPr>
              <w:spacing w:after="0"/>
              <w:rPr>
                <w:sz w:val="11"/>
                <w:szCs w:val="11"/>
                <w:color w:val="auto"/>
              </w:rPr>
            </w:pPr>
          </w:p>
        </w:tc>
        <w:tc>
          <w:tcPr>
            <w:tcW w:w="520" w:type="dxa"/>
            <w:vAlign w:val="bottom"/>
            <w:tcBorders>
              <w:top w:val="single" w:sz="8" w:color="auto"/>
            </w:tcBorders>
            <w:vMerge w:val="restart"/>
          </w:tcPr>
          <w:p>
            <w:pPr>
              <w:jc w:val="right"/>
              <w:ind w:right="351"/>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6,169</w:t>
            </w:r>
          </w:p>
        </w:tc>
        <w:tc>
          <w:tcPr>
            <w:tcW w:w="100" w:type="dxa"/>
            <w:vAlign w:val="bottom"/>
          </w:tcPr>
          <w:p>
            <w:pPr>
              <w:spacing w:after="0"/>
              <w:rPr>
                <w:sz w:val="11"/>
                <w:szCs w:val="11"/>
                <w:color w:val="auto"/>
              </w:rPr>
            </w:pPr>
          </w:p>
        </w:tc>
        <w:tc>
          <w:tcPr>
            <w:tcW w:w="340" w:type="dxa"/>
            <w:vAlign w:val="bottom"/>
            <w:tcBorders>
              <w:top w:val="single" w:sz="8" w:color="auto"/>
            </w:tcBorders>
            <w:vMerge w:val="restart"/>
          </w:tcPr>
          <w:p>
            <w:pPr>
              <w:jc w:val="right"/>
              <w:ind w:right="17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5,699</w:t>
            </w:r>
          </w:p>
        </w:tc>
        <w:tc>
          <w:tcPr>
            <w:tcW w:w="10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4,917</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4,454</w:t>
            </w:r>
          </w:p>
        </w:tc>
        <w:tc>
          <w:tcPr>
            <w:tcW w:w="0" w:type="dxa"/>
            <w:vAlign w:val="bottom"/>
          </w:tcPr>
          <w:p>
            <w:pPr>
              <w:spacing w:after="0"/>
              <w:rPr>
                <w:sz w:val="1"/>
                <w:szCs w:val="1"/>
                <w:color w:val="auto"/>
              </w:rPr>
            </w:pPr>
          </w:p>
        </w:tc>
      </w:tr>
      <w:tr>
        <w:trPr>
          <w:trHeight w:val="182"/>
        </w:trPr>
        <w:tc>
          <w:tcPr>
            <w:tcW w:w="2420" w:type="dxa"/>
            <w:vAlign w:val="bottom"/>
          </w:tcPr>
          <w:p>
            <w:pPr>
              <w:ind w:left="380"/>
              <w:spacing w:after="0"/>
              <w:rPr>
                <w:sz w:val="20"/>
                <w:szCs w:val="20"/>
                <w:color w:val="auto"/>
              </w:rPr>
            </w:pPr>
            <w:r>
              <w:rPr>
                <w:rFonts w:ascii="Arial" w:cs="Arial" w:eastAsia="Arial" w:hAnsi="Arial"/>
                <w:sz w:val="14"/>
                <w:szCs w:val="14"/>
                <w:color w:val="auto"/>
              </w:rPr>
              <w:t>expense</w:t>
            </w:r>
          </w:p>
        </w:tc>
        <w:tc>
          <w:tcPr>
            <w:tcW w:w="3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Percentage of Revenue Data:</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Subscription</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Services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revenue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Cost of revenue:</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Subscription</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Services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cost of revenue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Gross profit</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expenses: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Sales and marketing</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Research and development</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General and administrative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operating expenses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Loss from operations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p>
      <w:pPr>
        <w:ind w:left="220" w:right="120" w:hanging="188"/>
        <w:spacing w:after="0" w:line="253" w:lineRule="auto"/>
        <w:rPr>
          <w:sz w:val="20"/>
          <w:szCs w:val="20"/>
          <w:color w:val="auto"/>
        </w:rPr>
      </w:pPr>
      <w:r>
        <w:rPr>
          <w:rFonts w:ascii="Arial" w:cs="Arial" w:eastAsia="Arial" w:hAnsi="Arial"/>
          <w:sz w:val="14"/>
          <w:szCs w:val="14"/>
          <w:color w:val="auto"/>
        </w:rPr>
        <w:t>Loss before provision for (benefit from) income taxes</w:t>
      </w:r>
    </w:p>
    <w:p>
      <w:pPr>
        <w:spacing w:after="0" w:line="12" w:lineRule="exact"/>
        <w:rPr>
          <w:sz w:val="20"/>
          <w:szCs w:val="20"/>
          <w:color w:val="auto"/>
        </w:rPr>
      </w:pPr>
    </w:p>
    <w:p>
      <w:pPr>
        <w:ind w:left="220" w:hanging="188"/>
        <w:spacing w:after="0" w:line="253" w:lineRule="auto"/>
        <w:rPr>
          <w:sz w:val="20"/>
          <w:szCs w:val="20"/>
          <w:color w:val="auto"/>
        </w:rPr>
      </w:pPr>
      <w:r>
        <w:rPr>
          <w:rFonts w:ascii="Arial" w:cs="Arial" w:eastAsia="Arial" w:hAnsi="Arial"/>
          <w:sz w:val="14"/>
          <w:szCs w:val="14"/>
          <w:color w:val="auto"/>
        </w:rPr>
        <w:t>Provision for (benefit from) income taxes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58572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October 31, 2017</w:t>
            </w:r>
          </w:p>
        </w:tc>
        <w:tc>
          <w:tcPr>
            <w:tcW w:w="1100" w:type="dxa"/>
            <w:vAlign w:val="bottom"/>
          </w:tcPr>
          <w:p>
            <w:pPr>
              <w:ind w:left="180"/>
              <w:spacing w:after="0"/>
              <w:rPr>
                <w:sz w:val="20"/>
                <w:szCs w:val="20"/>
                <w:color w:val="auto"/>
              </w:rPr>
            </w:pPr>
            <w:r>
              <w:rPr>
                <w:rFonts w:ascii="Arial" w:cs="Arial" w:eastAsia="Arial" w:hAnsi="Arial"/>
                <w:sz w:val="13"/>
                <w:szCs w:val="13"/>
                <w:b w:val="1"/>
                <w:bCs w:val="1"/>
                <w:color w:val="auto"/>
              </w:rPr>
              <w:t>July 31, 2017</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0"/>
              </w:rPr>
              <w:t>April 30, 2017</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8"/>
              </w:rPr>
              <w:t>January 31, 2017</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8"/>
              </w:rPr>
              <w:t>October 31, 2016</w:t>
            </w:r>
          </w:p>
        </w:tc>
        <w:tc>
          <w:tcPr>
            <w:tcW w:w="1100" w:type="dxa"/>
            <w:vAlign w:val="bottom"/>
          </w:tcPr>
          <w:p>
            <w:pPr>
              <w:ind w:left="180"/>
              <w:spacing w:after="0"/>
              <w:rPr>
                <w:sz w:val="20"/>
                <w:szCs w:val="20"/>
                <w:color w:val="auto"/>
              </w:rPr>
            </w:pPr>
            <w:r>
              <w:rPr>
                <w:rFonts w:ascii="Arial" w:cs="Arial" w:eastAsia="Arial" w:hAnsi="Arial"/>
                <w:sz w:val="13"/>
                <w:szCs w:val="13"/>
                <w:b w:val="1"/>
                <w:bCs w:val="1"/>
                <w:color w:val="auto"/>
              </w:rPr>
              <w:t>July 31, 2016</w:t>
            </w:r>
          </w:p>
        </w:tc>
        <w:tc>
          <w:tcPr>
            <w:tcW w:w="1120" w:type="dxa"/>
            <w:vAlign w:val="bottom"/>
          </w:tcPr>
          <w:p>
            <w:pPr>
              <w:jc w:val="center"/>
              <w:ind w:left="17"/>
              <w:spacing w:after="0"/>
              <w:rPr>
                <w:sz w:val="20"/>
                <w:szCs w:val="20"/>
                <w:color w:val="auto"/>
              </w:rPr>
            </w:pPr>
            <w:r>
              <w:rPr>
                <w:rFonts w:ascii="Arial" w:cs="Arial" w:eastAsia="Arial" w:hAnsi="Arial"/>
                <w:sz w:val="13"/>
                <w:szCs w:val="13"/>
                <w:b w:val="1"/>
                <w:bCs w:val="1"/>
                <w:color w:val="auto"/>
                <w:w w:val="90"/>
              </w:rPr>
              <w:t>April 30, 2016</w:t>
            </w:r>
          </w:p>
        </w:tc>
      </w:tr>
      <w:tr>
        <w:trPr>
          <w:trHeight w:val="164"/>
        </w:trPr>
        <w:tc>
          <w:tcPr>
            <w:tcW w:w="1180" w:type="dxa"/>
            <w:vAlign w:val="bottom"/>
            <w:gridSpan w:val="2"/>
          </w:tcPr>
          <w:p>
            <w:pPr>
              <w:ind w:left="60"/>
              <w:spacing w:after="0"/>
              <w:rPr>
                <w:sz w:val="20"/>
                <w:szCs w:val="20"/>
                <w:color w:val="auto"/>
              </w:rPr>
            </w:pPr>
            <w:r>
              <w:rPr>
                <w:rFonts w:ascii="Arial" w:cs="Arial" w:eastAsia="Arial" w:hAnsi="Arial"/>
                <w:sz w:val="13"/>
                <w:szCs w:val="13"/>
                <w:b w:val="1"/>
                <w:bCs w:val="1"/>
                <w:color w:val="auto"/>
              </w:rPr>
              <w:t>January 31, 2018</w:t>
            </w: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*As Adjusted</w:t>
            </w:r>
          </w:p>
        </w:tc>
        <w:tc>
          <w:tcPr>
            <w:tcW w:w="1100" w:type="dxa"/>
            <w:vAlign w:val="bottom"/>
          </w:tcPr>
          <w:p>
            <w:pPr>
              <w:ind w:left="160"/>
              <w:spacing w:after="0"/>
              <w:rPr>
                <w:sz w:val="20"/>
                <w:szCs w:val="20"/>
                <w:color w:val="auto"/>
              </w:rPr>
            </w:pPr>
            <w:r>
              <w:rPr>
                <w:rFonts w:ascii="Arial" w:cs="Arial" w:eastAsia="Arial" w:hAnsi="Arial"/>
                <w:sz w:val="13"/>
                <w:szCs w:val="13"/>
                <w:b w:val="1"/>
                <w:bCs w:val="1"/>
                <w:color w:val="auto"/>
              </w:rPr>
              <w:t>*As Adjusted</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8"/>
              </w:rPr>
              <w:t>*As Adjusted</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1"/>
              </w:rPr>
              <w:t>*As Adjusted</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8"/>
              </w:rPr>
              <w:t>*As Adjusted</w:t>
            </w:r>
          </w:p>
        </w:tc>
        <w:tc>
          <w:tcPr>
            <w:tcW w:w="1100" w:type="dxa"/>
            <w:vAlign w:val="bottom"/>
          </w:tcPr>
          <w:p>
            <w:pPr>
              <w:ind w:left="160"/>
              <w:spacing w:after="0"/>
              <w:rPr>
                <w:sz w:val="20"/>
                <w:szCs w:val="20"/>
                <w:color w:val="auto"/>
              </w:rPr>
            </w:pPr>
            <w:r>
              <w:rPr>
                <w:rFonts w:ascii="Arial" w:cs="Arial" w:eastAsia="Arial" w:hAnsi="Arial"/>
                <w:sz w:val="13"/>
                <w:szCs w:val="13"/>
                <w:b w:val="1"/>
                <w:bCs w:val="1"/>
                <w:color w:val="auto"/>
              </w:rPr>
              <w:t>*As Adjusted</w:t>
            </w:r>
          </w:p>
        </w:tc>
        <w:tc>
          <w:tcPr>
            <w:tcW w:w="1120" w:type="dxa"/>
            <w:vAlign w:val="bottom"/>
          </w:tcPr>
          <w:p>
            <w:pPr>
              <w:jc w:val="center"/>
              <w:ind w:left="17"/>
              <w:spacing w:after="0"/>
              <w:rPr>
                <w:sz w:val="20"/>
                <w:szCs w:val="20"/>
                <w:color w:val="auto"/>
              </w:rPr>
            </w:pPr>
            <w:r>
              <w:rPr>
                <w:rFonts w:ascii="Arial" w:cs="Arial" w:eastAsia="Arial" w:hAnsi="Arial"/>
                <w:sz w:val="13"/>
                <w:szCs w:val="13"/>
                <w:b w:val="1"/>
                <w:bCs w:val="1"/>
                <w:color w:val="auto"/>
                <w:w w:val="88"/>
              </w:rPr>
              <w:t>*As Adjusted</w:t>
            </w:r>
          </w:p>
        </w:tc>
      </w:tr>
      <w:tr>
        <w:trPr>
          <w:trHeight w:val="30"/>
        </w:trPr>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-8255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342900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60" w:type="dxa"/>
            <w:vAlign w:val="bottom"/>
          </w:tcPr>
          <w:p>
            <w:pPr>
              <w:jc w:val="right"/>
              <w:spacing w:after="0"/>
              <w:rPr>
                <w:sz w:val="20"/>
                <w:szCs w:val="20"/>
                <w:color w:val="auto"/>
              </w:rPr>
            </w:pPr>
            <w:r>
              <w:rPr>
                <w:rFonts w:ascii="Arial" w:cs="Arial" w:eastAsia="Arial" w:hAnsi="Arial"/>
                <w:sz w:val="14"/>
                <w:szCs w:val="14"/>
                <w:color w:val="auto"/>
              </w:rPr>
              <w:t>94 %</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93 %</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92 %</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92 %</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93 %</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91 %</w:t>
            </w:r>
          </w:p>
        </w:tc>
      </w:tr>
      <w:tr>
        <w:trPr>
          <w:trHeight w:val="257"/>
        </w:trPr>
        <w:tc>
          <w:tcPr>
            <w:tcW w:w="106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9</w:t>
            </w:r>
          </w:p>
        </w:tc>
      </w:tr>
      <w:tr>
        <w:trPr>
          <w:trHeight w:val="26"/>
        </w:trPr>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106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0"/>
                <w:szCs w:val="20"/>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0"/>
                <w:szCs w:val="20"/>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0"/>
                <w:szCs w:val="20"/>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0"/>
                <w:szCs w:val="20"/>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0"/>
                <w:szCs w:val="20"/>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0"/>
                <w:szCs w:val="20"/>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0"/>
                <w:szCs w:val="20"/>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100</w:t>
            </w:r>
          </w:p>
        </w:tc>
      </w:tr>
      <w:tr>
        <w:trPr>
          <w:trHeight w:val="540"/>
        </w:trPr>
        <w:tc>
          <w:tcPr>
            <w:tcW w:w="1060" w:type="dxa"/>
            <w:vAlign w:val="bottom"/>
          </w:tcPr>
          <w:p>
            <w:pPr>
              <w:jc w:val="right"/>
              <w:ind w:right="1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4"/>
                <w:szCs w:val="2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4"/>
                <w:szCs w:val="2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19</w:t>
            </w:r>
          </w:p>
        </w:tc>
      </w:tr>
      <w:tr>
        <w:trPr>
          <w:trHeight w:val="257"/>
        </w:trPr>
        <w:tc>
          <w:tcPr>
            <w:tcW w:w="106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7</w:t>
            </w:r>
          </w:p>
        </w:tc>
      </w:tr>
      <w:tr>
        <w:trPr>
          <w:trHeight w:val="26"/>
        </w:trPr>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5"/>
        </w:trPr>
        <w:tc>
          <w:tcPr>
            <w:tcW w:w="1060" w:type="dxa"/>
            <w:vAlign w:val="bottom"/>
          </w:tcPr>
          <w:p>
            <w:pPr>
              <w:jc w:val="right"/>
              <w:ind w:right="1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9"/>
                <w:szCs w:val="19"/>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9"/>
                <w:szCs w:val="19"/>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9"/>
                <w:szCs w:val="19"/>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9"/>
                <w:szCs w:val="19"/>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9"/>
                <w:szCs w:val="19"/>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9"/>
                <w:szCs w:val="19"/>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9"/>
                <w:szCs w:val="19"/>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26</w:t>
            </w:r>
          </w:p>
        </w:tc>
      </w:tr>
      <w:tr>
        <w:trPr>
          <w:trHeight w:val="26"/>
        </w:trPr>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1060" w:type="dxa"/>
            <w:vAlign w:val="bottom"/>
          </w:tcPr>
          <w:p>
            <w:pPr>
              <w:jc w:val="right"/>
              <w:ind w:right="1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0"/>
                <w:szCs w:val="20"/>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0"/>
                <w:szCs w:val="20"/>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0"/>
                <w:szCs w:val="20"/>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0"/>
                <w:szCs w:val="20"/>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0"/>
                <w:szCs w:val="20"/>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0"/>
                <w:szCs w:val="20"/>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0"/>
                <w:szCs w:val="20"/>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74</w:t>
            </w:r>
          </w:p>
        </w:tc>
      </w:tr>
      <w:tr>
        <w:trPr>
          <w:trHeight w:val="540"/>
        </w:trPr>
        <w:tc>
          <w:tcPr>
            <w:tcW w:w="1060" w:type="dxa"/>
            <w:vAlign w:val="bottom"/>
          </w:tcPr>
          <w:p>
            <w:pPr>
              <w:jc w:val="right"/>
              <w:ind w:right="1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4"/>
                <w:szCs w:val="2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4"/>
                <w:szCs w:val="2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63</w:t>
            </w:r>
          </w:p>
        </w:tc>
      </w:tr>
      <w:tr>
        <w:trPr>
          <w:trHeight w:val="270"/>
        </w:trPr>
        <w:tc>
          <w:tcPr>
            <w:tcW w:w="1060" w:type="dxa"/>
            <w:vAlign w:val="bottom"/>
          </w:tcPr>
          <w:p>
            <w:pPr>
              <w:jc w:val="right"/>
              <w:ind w:right="12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3"/>
                <w:szCs w:val="23"/>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3"/>
                <w:szCs w:val="23"/>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3"/>
                <w:szCs w:val="23"/>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3"/>
                <w:szCs w:val="23"/>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38</w:t>
            </w:r>
          </w:p>
        </w:tc>
      </w:tr>
      <w:tr>
        <w:trPr>
          <w:trHeight w:val="257"/>
        </w:trPr>
        <w:tc>
          <w:tcPr>
            <w:tcW w:w="1060" w:type="dxa"/>
            <w:vAlign w:val="bottom"/>
          </w:tcPr>
          <w:p>
            <w:pPr>
              <w:jc w:val="right"/>
              <w:ind w:right="1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23</w:t>
            </w:r>
          </w:p>
        </w:tc>
      </w:tr>
      <w:tr>
        <w:trPr>
          <w:trHeight w:val="26"/>
        </w:trPr>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5"/>
        </w:trPr>
        <w:tc>
          <w:tcPr>
            <w:tcW w:w="1060" w:type="dxa"/>
            <w:vAlign w:val="bottom"/>
          </w:tcPr>
          <w:p>
            <w:pPr>
              <w:jc w:val="right"/>
              <w:ind w:right="12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9"/>
                <w:szCs w:val="19"/>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9"/>
                <w:szCs w:val="19"/>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9"/>
                <w:szCs w:val="19"/>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9"/>
                <w:szCs w:val="19"/>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9"/>
                <w:szCs w:val="19"/>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9"/>
                <w:szCs w:val="19"/>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9"/>
                <w:szCs w:val="19"/>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124</w:t>
            </w:r>
          </w:p>
        </w:tc>
      </w:tr>
      <w:tr>
        <w:trPr>
          <w:trHeight w:val="26"/>
        </w:trPr>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1060" w:type="dxa"/>
            <w:vAlign w:val="bottom"/>
          </w:tcPr>
          <w:p>
            <w:pPr>
              <w:jc w:val="right"/>
              <w:ind w:right="8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0"/>
                <w:szCs w:val="20"/>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0"/>
                <w:szCs w:val="20"/>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0"/>
                <w:szCs w:val="20"/>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0"/>
                <w:szCs w:val="20"/>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0"/>
                <w:szCs w:val="20"/>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0"/>
                <w:szCs w:val="20"/>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0"/>
                <w:szCs w:val="20"/>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(50)</w:t>
            </w:r>
          </w:p>
        </w:tc>
      </w:tr>
      <w:tr>
        <w:trPr>
          <w:trHeight w:val="257"/>
        </w:trPr>
        <w:tc>
          <w:tcPr>
            <w:tcW w:w="106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w:t>
            </w:r>
          </w:p>
        </w:tc>
      </w:tr>
      <w:tr>
        <w:trPr>
          <w:trHeight w:val="26"/>
        </w:trPr>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9"/>
        </w:trPr>
        <w:tc>
          <w:tcPr>
            <w:tcW w:w="1060" w:type="dxa"/>
            <w:vAlign w:val="bottom"/>
          </w:tcPr>
          <w:p>
            <w:pPr>
              <w:jc w:val="right"/>
              <w:ind w:right="8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4"/>
                <w:szCs w:val="24"/>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4"/>
                <w:szCs w:val="24"/>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4"/>
                <w:szCs w:val="24"/>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4"/>
                <w:szCs w:val="24"/>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(49)</w:t>
            </w:r>
          </w:p>
        </w:tc>
      </w:tr>
      <w:tr>
        <w:trPr>
          <w:trHeight w:val="351"/>
        </w:trPr>
        <w:tc>
          <w:tcPr>
            <w:tcW w:w="106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w:t>
            </w:r>
          </w:p>
        </w:tc>
      </w:tr>
      <w:tr>
        <w:trPr>
          <w:trHeight w:val="26"/>
        </w:trPr>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8"/>
        </w:trPr>
        <w:tc>
          <w:tcPr>
            <w:tcW w:w="106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39"/>
        </w:trPr>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-2872105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-2529205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-2186305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-1843405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-1499870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-1156970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-814070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-419735</wp:posOffset>
            </wp:positionV>
            <wp:extent cx="7246620" cy="231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2080" w:space="120"/>
            <w:col w:w="9220"/>
          </w:cols>
          <w:pgMar w:left="240" w:top="122" w:right="239" w:bottom="1440" w:gutter="0" w:footer="0" w:header="0"/>
        </w:sectPr>
      </w:pPr>
    </w:p>
    <w:p>
      <w:pPr>
        <w:spacing w:after="0"/>
        <w:rPr>
          <w:sz w:val="20"/>
          <w:szCs w:val="20"/>
          <w:color w:val="auto"/>
        </w:rPr>
      </w:pPr>
      <w:r>
        <w:rPr>
          <w:rFonts w:ascii="Arial" w:cs="Arial" w:eastAsia="Arial" w:hAnsi="Arial"/>
          <w:sz w:val="18"/>
          <w:szCs w:val="18"/>
          <w:i w:val="1"/>
          <w:iCs w:val="1"/>
          <w:color w:val="2C2C2C"/>
        </w:rPr>
        <w:t>Seasonality</w:t>
      </w:r>
    </w:p>
    <w:p>
      <w:pPr>
        <w:spacing w:after="0" w:line="171" w:lineRule="exact"/>
        <w:rPr>
          <w:sz w:val="20"/>
          <w:szCs w:val="20"/>
          <w:color w:val="auto"/>
        </w:rPr>
      </w:pPr>
    </w:p>
    <w:p>
      <w:pPr>
        <w:ind w:right="80" w:firstLine="486"/>
        <w:spacing w:after="0" w:line="219" w:lineRule="exact"/>
        <w:rPr>
          <w:sz w:val="20"/>
          <w:szCs w:val="20"/>
          <w:color w:val="auto"/>
        </w:rPr>
      </w:pPr>
      <w:r>
        <w:rPr>
          <w:rFonts w:ascii="Arial" w:cs="Arial" w:eastAsia="Arial" w:hAnsi="Arial"/>
          <w:sz w:val="18"/>
          <w:szCs w:val="18"/>
          <w:color w:val="auto"/>
        </w:rPr>
        <w:t>We have in the past and expect in the future to experience seasonal fluctuations in our revenue and results from time to time. In addition, as a result of the adoption of Accounting Standards Update No. 2014</w:t>
      </w:r>
      <w:r>
        <w:rPr>
          <w:rFonts w:ascii="MS PGothic" w:cs="MS PGothic" w:eastAsia="MS PGothic" w:hAnsi="MS PGothic"/>
          <w:sz w:val="18"/>
          <w:szCs w:val="18"/>
          <w:color w:val="auto"/>
        </w:rPr>
        <w:t>‑</w:t>
      </w:r>
      <w:r>
        <w:rPr>
          <w:rFonts w:ascii="Arial" w:cs="Arial" w:eastAsia="Arial" w:hAnsi="Arial"/>
          <w:sz w:val="18"/>
          <w:szCs w:val="18"/>
          <w:color w:val="auto"/>
        </w:rPr>
        <w:t xml:space="preserve">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we may experience greater variability and reduced comparability of our quarterly revenue and results with respect to the timing and nature of certain of our contracts, particularly multi-year contracts that contain a term license. See Notes 2 and 10 in our Notes to Consolidated Financial Statements in Part II, Item 8, </w:t>
      </w:r>
      <w:r>
        <w:rPr>
          <w:rFonts w:ascii="Arial" w:cs="Arial" w:eastAsia="Arial" w:hAnsi="Arial"/>
          <w:sz w:val="18"/>
          <w:szCs w:val="18"/>
          <w:i w:val="1"/>
          <w:iCs w:val="1"/>
          <w:color w:val="auto"/>
        </w:rPr>
        <w:t>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Data, </w:t>
      </w:r>
      <w:r>
        <w:rPr>
          <w:rFonts w:ascii="Arial" w:cs="Arial" w:eastAsia="Arial" w:hAnsi="Arial"/>
          <w:sz w:val="18"/>
          <w:szCs w:val="18"/>
          <w:color w:val="auto"/>
        </w:rPr>
        <w:t>of this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Quarterly Revenue Trends</w:t>
      </w:r>
    </w:p>
    <w:p>
      <w:pPr>
        <w:spacing w:after="0" w:line="171"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Our quarterly subscription revenue increased sequentially for all periods presented with the exception of the three month period ended January 31, 2018 to the quarter ended April 30, 2018. Under the new revenue standard, revenue is expected to more closely follow the pattern of our historical bookings trends with our largest bookings in the fourth fiscal quarter and our lowest bookings in the first fiscal quarter. Our quarterly services revenue experiences fluctuations as a result of timing of sales of standalone consulting and training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Quarterly Cost of Revenue, Gross Profit and Gross Margin Trends</w:t>
      </w:r>
    </w:p>
    <w:p>
      <w:pPr>
        <w:spacing w:after="0" w:line="171" w:lineRule="exact"/>
        <w:rPr>
          <w:sz w:val="20"/>
          <w:szCs w:val="20"/>
          <w:color w:val="auto"/>
        </w:rPr>
      </w:pPr>
    </w:p>
    <w:p>
      <w:pPr>
        <w:jc w:val="both"/>
        <w:ind w:right="100" w:firstLine="486"/>
        <w:spacing w:after="0" w:line="288" w:lineRule="auto"/>
        <w:rPr>
          <w:sz w:val="20"/>
          <w:szCs w:val="20"/>
          <w:color w:val="auto"/>
        </w:rPr>
      </w:pPr>
      <w:r>
        <w:rPr>
          <w:rFonts w:ascii="Arial" w:cs="Arial" w:eastAsia="Arial" w:hAnsi="Arial"/>
          <w:sz w:val="16"/>
          <w:szCs w:val="16"/>
          <w:color w:val="auto"/>
        </w:rPr>
        <w:t>Cost of revenue has generally increased sequentially as a result of the increase in our subscription and services revenue. Gross profit in absolute dollar terms increased sequentially for all periods presented, primarily due to growth in revenue. Sequential fluctuations in gross margin were primarily driven by a shift in the mix of subscriptions sold to our customers, as well as timing of employee hiring as we continued to build out our technical support organization.</w:t>
      </w:r>
    </w:p>
    <w:p>
      <w:pPr>
        <w:ind w:right="60"/>
        <w:spacing w:after="0" w:line="261" w:lineRule="auto"/>
        <w:rPr>
          <w:sz w:val="20"/>
          <w:szCs w:val="20"/>
          <w:color w:val="auto"/>
        </w:rPr>
      </w:pPr>
      <w:r>
        <w:rPr>
          <w:rFonts w:ascii="Arial" w:cs="Arial" w:eastAsia="Arial" w:hAnsi="Arial"/>
          <w:sz w:val="18"/>
          <w:szCs w:val="18"/>
          <w:color w:val="auto"/>
        </w:rPr>
        <w:t>We expect that the growth of MongoDB Atlas may reduce subscription gross margin due to the third-party cloud infrastructure costs we incur associated with our DBaaS offering.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Quarterly Expense Trends</w:t>
      </w:r>
    </w:p>
    <w:p>
      <w:pPr>
        <w:spacing w:after="0" w:line="17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Total operating expenses generally increased sequentially for all periods presented primarily due to the addition of personnel in connection with the expansion of our business.</w:t>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2" w:right="239" w:bottom="1440" w:gutter="0" w:footer="0" w:header="0"/>
          <w:type w:val="continuous"/>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480" w:firstLine="486"/>
        <w:spacing w:after="0" w:line="221" w:lineRule="exact"/>
        <w:rPr>
          <w:sz w:val="20"/>
          <w:szCs w:val="20"/>
          <w:color w:val="auto"/>
        </w:rPr>
      </w:pPr>
      <w:r>
        <w:rPr>
          <w:rFonts w:ascii="Arial" w:cs="Arial" w:eastAsia="Arial" w:hAnsi="Arial"/>
          <w:sz w:val="18"/>
          <w:szCs w:val="18"/>
          <w:color w:val="auto"/>
        </w:rPr>
        <w:t>As of January 31, 2019, we had cash, cash equivalents, short</w:t>
      </w:r>
      <w:r>
        <w:rPr>
          <w:rFonts w:ascii="MS PGothic" w:cs="MS PGothic" w:eastAsia="MS PGothic" w:hAnsi="MS PGothic"/>
          <w:sz w:val="18"/>
          <w:szCs w:val="18"/>
          <w:color w:val="auto"/>
        </w:rPr>
        <w:t>‑</w:t>
      </w:r>
      <w:r>
        <w:rPr>
          <w:rFonts w:ascii="Arial" w:cs="Arial" w:eastAsia="Arial" w:hAnsi="Arial"/>
          <w:sz w:val="18"/>
          <w:szCs w:val="18"/>
          <w:color w:val="auto"/>
        </w:rPr>
        <w:t>term investments and restricted cash totaling $466.5 million. Our cash and cash equivalents primarily consist of bank deposits and money market funds. Our short</w:t>
      </w:r>
      <w:r>
        <w:rPr>
          <w:rFonts w:ascii="MS PGothic" w:cs="MS PGothic" w:eastAsia="MS PGothic" w:hAnsi="MS PGothic"/>
          <w:sz w:val="18"/>
          <w:szCs w:val="18"/>
          <w:color w:val="auto"/>
        </w:rPr>
        <w:t>‑</w:t>
      </w:r>
      <w:r>
        <w:rPr>
          <w:rFonts w:ascii="Arial" w:cs="Arial" w:eastAsia="Arial" w:hAnsi="Arial"/>
          <w:sz w:val="18"/>
          <w:szCs w:val="18"/>
          <w:color w:val="auto"/>
        </w:rPr>
        <w:t>term investments consist of U.S. government treasury securities. Our restricted cash represents collateral for our available credit on corporate credit cards.</w:t>
      </w:r>
    </w:p>
    <w:p>
      <w:pPr>
        <w:spacing w:after="0" w:line="148"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 xml:space="preserve">In June 2018, we issued $250.0 million aggregate principal amount of the Notes in a private placement and, in July 2018, we issued an additional $50.0 million aggregate principal amount of the Notes pursuant to the exercise in full of the initial purchasers’ option to purchase additional Notes. The total net proceeds from the sale of the Notes, after deducting initial purchase discounts and estimated debt issuance costs, were approximately $291.1 million. In connection with the pricing of the Notes, we entered into privately negotiated capped call transactions with certain counterparties (the “Capped Calls”). The Capped Calls are expected to partially offset the potential dilution to our Class A common stock upon any conversion of the Notes, with such offset subject to a cap based on the cap price. We used $37.1 million of the proceeds from the Notes to purchase the Capped Calls, which was recorded as a reduction to additional paid-in capital. For further discussion on the Capped Calls, please refer to Note 7, </w:t>
      </w:r>
      <w:r>
        <w:rPr>
          <w:rFonts w:ascii="Arial" w:cs="Arial" w:eastAsia="Arial" w:hAnsi="Arial"/>
          <w:sz w:val="17"/>
          <w:szCs w:val="17"/>
          <w:i w:val="1"/>
          <w:iCs w:val="1"/>
          <w:color w:val="auto"/>
        </w:rPr>
        <w:t>Convertible Senior Notes</w:t>
      </w:r>
      <w:r>
        <w:rPr>
          <w:rFonts w:ascii="Arial" w:cs="Arial" w:eastAsia="Arial" w:hAnsi="Arial"/>
          <w:sz w:val="17"/>
          <w:szCs w:val="17"/>
          <w:color w:val="auto"/>
        </w:rPr>
        <w:t xml:space="preserve">, in Part II, Item 8,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 and Supplementary Data</w:t>
      </w:r>
      <w:r>
        <w:rPr>
          <w:rFonts w:ascii="Arial" w:cs="Arial" w:eastAsia="Arial" w:hAnsi="Arial"/>
          <w:sz w:val="17"/>
          <w:szCs w:val="17"/>
          <w:color w:val="auto"/>
        </w:rPr>
        <w:t>, of this Form 10-K.</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October 2017, we closed our initial public offering (“IPO”) of 9,200,000 shares of our Class A common stock at an offering price of $24.00 per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share, including 1,200,000 shares pursuant to the underwriters’ option to purchase additional shares of our Class A common stock, resulting in net proceeds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 of $201.6 million, after deducting underwriting discounts and commissions of $15.5 million and offering expenses of $3.9 million. Prior to our IPO, we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financed our operations principally through private placements of our redeemable convertible preferred stock, which resulted in net proceeds to us of</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$345.3 million. We believe our existing cash and cash equivalents and short</w:t>
      </w:r>
      <w:r>
        <w:rPr>
          <w:rFonts w:ascii="MS PGothic" w:cs="MS PGothic" w:eastAsia="MS PGothic" w:hAnsi="MS PGothic"/>
          <w:sz w:val="16"/>
          <w:szCs w:val="16"/>
          <w:color w:val="auto"/>
        </w:rPr>
        <w:t>‑</w:t>
      </w:r>
      <w:r>
        <w:rPr>
          <w:rFonts w:ascii="Arial" w:cs="Arial" w:eastAsia="Arial" w:hAnsi="Arial"/>
          <w:sz w:val="16"/>
          <w:szCs w:val="16"/>
          <w:color w:val="auto"/>
        </w:rPr>
        <w:t>term investments will be sufficient to fund our operating and capital needs for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least the next 12 months.</w:t>
      </w:r>
    </w:p>
    <w:p>
      <w:pPr>
        <w:spacing w:after="0" w:line="157"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We have generated significant operating losses and negative cash flows from operations as reflected in our accumulated deficit and consolidated statements of cash flows. As of January 31, 2019, we had an accumulated deficit of $488.6 million. We expect to continue to incur operating losses and negative cash flows from operations in the future and may require additional capital resources to execute strategic initiatives to grow our business. Our future capital requirements will depend on many factors including our growth rate, the timing and extent of spending to support development efforts, the expansion of sales and marketing and international operation activities, the timing of new subscription introductions, and the continuing market acceptance of our subscriptions and services.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Years Ended January 31,</w:t>
            </w: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6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8"/>
        </w:trPr>
        <w:tc>
          <w:tcPr>
            <w:tcW w:w="6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20"/>
                <w:szCs w:val="20"/>
                <w:color w:val="auto"/>
              </w:rPr>
            </w:pPr>
          </w:p>
        </w:tc>
        <w:tc>
          <w:tcPr>
            <w:tcW w:w="1380" w:type="dxa"/>
            <w:vAlign w:val="bottom"/>
          </w:tcPr>
          <w:p>
            <w:pPr>
              <w:jc w:val="center"/>
              <w:ind w:right="217"/>
              <w:spacing w:after="0"/>
              <w:rPr>
                <w:sz w:val="20"/>
                <w:szCs w:val="20"/>
                <w:color w:val="auto"/>
              </w:rPr>
            </w:pPr>
            <w:r>
              <w:rPr>
                <w:rFonts w:ascii="Arial" w:cs="Arial" w:eastAsia="Arial" w:hAnsi="Arial"/>
                <w:sz w:val="14"/>
                <w:szCs w:val="14"/>
                <w:b w:val="1"/>
                <w:bCs w:val="1"/>
                <w:color w:val="auto"/>
                <w:w w:val="89"/>
              </w:rPr>
              <w:t>2018</w:t>
            </w:r>
          </w:p>
        </w:tc>
        <w:tc>
          <w:tcPr>
            <w:tcW w:w="380" w:type="dxa"/>
            <w:vAlign w:val="bottom"/>
          </w:tcPr>
          <w:p>
            <w:pPr>
              <w:spacing w:after="0"/>
              <w:rPr>
                <w:sz w:val="20"/>
                <w:szCs w:val="20"/>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6"/>
        </w:trPr>
        <w:tc>
          <w:tcPr>
            <w:tcW w:w="6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center"/>
              <w:ind w:right="217"/>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(41,989)</w:t>
            </w:r>
          </w:p>
        </w:tc>
        <w:tc>
          <w:tcPr>
            <w:tcW w:w="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(44,881)</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(38,078)</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(160,279)</w:t>
            </w:r>
          </w:p>
        </w:tc>
        <w:tc>
          <w:tcPr>
            <w:tcW w:w="28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(172,287)</w:t>
            </w:r>
          </w:p>
        </w:tc>
        <w:tc>
          <w:tcPr>
            <w:tcW w:w="3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31,056</w:t>
            </w: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288,236</w:t>
            </w:r>
          </w:p>
        </w:tc>
        <w:tc>
          <w:tcPr>
            <w:tcW w:w="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209,892</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43,114</w:t>
            </w:r>
          </w:p>
        </w:tc>
      </w:tr>
      <w:tr>
        <w:trPr>
          <w:trHeight w:val="27"/>
        </w:trPr>
        <w:tc>
          <w:tcPr>
            <w:tcW w:w="6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2C2C2C"/>
        </w:rPr>
        <w:t>Non</w:t>
      </w:r>
      <w:r>
        <w:rPr>
          <w:rFonts w:ascii="MS PGothic" w:cs="MS PGothic" w:eastAsia="MS PGothic" w:hAnsi="MS PGothic"/>
          <w:sz w:val="18"/>
          <w:szCs w:val="18"/>
          <w:i w:val="1"/>
          <w:iCs w:val="1"/>
          <w:color w:val="2C2C2C"/>
        </w:rPr>
        <w:t>‑</w:t>
      </w:r>
      <w:r>
        <w:rPr>
          <w:rFonts w:ascii="Arial" w:cs="Arial" w:eastAsia="Arial" w:hAnsi="Arial"/>
          <w:sz w:val="18"/>
          <w:szCs w:val="18"/>
          <w:i w:val="1"/>
          <w:iCs w:val="1"/>
          <w:color w:val="2C2C2C"/>
        </w:rPr>
        <w:t>GAAP Free Cash Flow</w:t>
      </w:r>
    </w:p>
    <w:p>
      <w:pPr>
        <w:spacing w:after="0" w:line="171" w:lineRule="exact"/>
        <w:rPr>
          <w:sz w:val="20"/>
          <w:szCs w:val="20"/>
          <w:color w:val="auto"/>
        </w:rPr>
      </w:pPr>
    </w:p>
    <w:p>
      <w:pPr>
        <w:ind w:right="60" w:firstLine="486"/>
        <w:spacing w:after="0" w:line="218" w:lineRule="exact"/>
        <w:rPr>
          <w:sz w:val="20"/>
          <w:szCs w:val="20"/>
          <w:color w:val="auto"/>
        </w:rPr>
      </w:pPr>
      <w:r>
        <w:rPr>
          <w:rFonts w:ascii="Arial" w:cs="Arial" w:eastAsia="Arial" w:hAnsi="Arial"/>
          <w:sz w:val="18"/>
          <w:szCs w:val="18"/>
          <w:color w:val="auto"/>
        </w:rPr>
        <w:t>To supplement our consolidated financial statements, which are prepared and presented in accordance with generally accepted accounting principles in the United States (“GAAP”), we provide investors with the amount of free cash flow, which is a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Free cash flow represents net cash used in operating activities less capital expenditures and capitalized software development costs, if any. For the fiscal years ended January 31, 2019, 2018 and 2017, we did not capitalize any software development costs. Free cash flow is a measure used by management to understand and evaluate our liquidity and to generate future operating plans. The exclusion of capital expenditures and amounts capitalized for software development facilitates comparisons of our liquidity on a period</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period basis and excludes items that we do not consider to be indicative of our liquidity. We believe that free cash flow is a measure of liquidity that provides useful information to our management, investors and others in understanding and evaluating the strength of our liquidity and future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19" w:lineRule="exact"/>
        <w:rPr>
          <w:sz w:val="20"/>
          <w:szCs w:val="20"/>
          <w:color w:val="auto"/>
        </w:rPr>
      </w:pPr>
      <w:r>
        <w:rPr>
          <w:rFonts w:ascii="Arial" w:cs="Arial" w:eastAsia="Arial" w:hAnsi="Arial"/>
          <w:sz w:val="17"/>
          <w:szCs w:val="17"/>
          <w:color w:val="auto"/>
        </w:rPr>
        <w:t>ability to generate cash that can be used for strategic opportunities or investing in our business in the same manner as our management and board of directors.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w:t>
      </w:r>
      <w:r>
        <w:rPr>
          <w:rFonts w:ascii="MS PGothic" w:cs="MS PGothic" w:eastAsia="MS PGothic" w:hAnsi="MS PGothic"/>
          <w:sz w:val="17"/>
          <w:szCs w:val="17"/>
          <w:color w:val="auto"/>
        </w:rPr>
        <w:t>‑</w:t>
      </w:r>
      <w:r>
        <w:rPr>
          <w:rFonts w:ascii="Arial" w:cs="Arial" w:eastAsia="Arial" w:hAnsi="Arial"/>
          <w:sz w:val="17"/>
          <w:szCs w:val="17"/>
          <w:color w:val="auto"/>
        </w:rPr>
        <w:t>based financial performance measures, such as net cash used in operating activities, and our other GAAP financial results. The following table presents a reconciliation of free cash flow to net cash used in operating activities, the most directly comparable GAAP measure, for each of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Years Ended January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6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8"/>
        </w:trPr>
        <w:tc>
          <w:tcPr>
            <w:tcW w:w="6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6"/>
        </w:trPr>
        <w:tc>
          <w:tcPr>
            <w:tcW w:w="6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(41,989)</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(38,078)</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(1,683)</w:t>
            </w: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ind w:left="200"/>
              <w:spacing w:after="0"/>
              <w:rPr>
                <w:sz w:val="20"/>
                <w:szCs w:val="20"/>
                <w:color w:val="auto"/>
              </w:rPr>
            </w:pPr>
            <w:r>
              <w:rPr>
                <w:rFonts w:ascii="Arial" w:cs="Arial" w:eastAsia="Arial" w:hAnsi="Arial"/>
                <w:sz w:val="18"/>
                <w:szCs w:val="18"/>
                <w:color w:val="auto"/>
              </w:rPr>
              <w:t>Free cash flow</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(48,837)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(47,016)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(39,761)</w:t>
            </w:r>
          </w:p>
        </w:tc>
      </w:tr>
      <w:tr>
        <w:trPr>
          <w:trHeight w:val="41"/>
        </w:trPr>
        <w:tc>
          <w:tcPr>
            <w:tcW w:w="60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
        </w:trPr>
        <w:tc>
          <w:tcPr>
            <w:tcW w:w="6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Operating Activities</w:t>
      </w:r>
    </w:p>
    <w:p>
      <w:pPr>
        <w:spacing w:after="0" w:line="171" w:lineRule="exact"/>
        <w:rPr>
          <w:sz w:val="20"/>
          <w:szCs w:val="20"/>
          <w:color w:val="auto"/>
        </w:rPr>
      </w:pPr>
    </w:p>
    <w:p>
      <w:pPr>
        <w:ind w:firstLine="486"/>
        <w:spacing w:after="0" w:line="218" w:lineRule="exact"/>
        <w:rPr>
          <w:sz w:val="20"/>
          <w:szCs w:val="20"/>
          <w:color w:val="auto"/>
        </w:rPr>
      </w:pPr>
      <w:r>
        <w:rPr>
          <w:rFonts w:ascii="Arial" w:cs="Arial" w:eastAsia="Arial" w:hAnsi="Arial"/>
          <w:sz w:val="17"/>
          <w:szCs w:val="17"/>
          <w:color w:val="auto"/>
        </w:rPr>
        <w:t>Cash used in operating activities during the year ended January 31, 2019 was $42.0 million primarily driven by our net loss of $99.0 million and was partially offset by non</w:t>
      </w:r>
      <w:r>
        <w:rPr>
          <w:rFonts w:ascii="MS PGothic" w:cs="MS PGothic" w:eastAsia="MS PGothic" w:hAnsi="MS PGothic"/>
          <w:sz w:val="17"/>
          <w:szCs w:val="17"/>
          <w:color w:val="auto"/>
        </w:rPr>
        <w:t>‑</w:t>
      </w:r>
      <w:r>
        <w:rPr>
          <w:rFonts w:ascii="Arial" w:cs="Arial" w:eastAsia="Arial" w:hAnsi="Arial"/>
          <w:sz w:val="17"/>
          <w:szCs w:val="17"/>
          <w:color w:val="auto"/>
        </w:rPr>
        <w:t>cash charges of $37.4 million for stock</w:t>
      </w:r>
      <w:r>
        <w:rPr>
          <w:rFonts w:ascii="MS PGothic" w:cs="MS PGothic" w:eastAsia="MS PGothic" w:hAnsi="MS PGothic"/>
          <w:sz w:val="17"/>
          <w:szCs w:val="17"/>
          <w:color w:val="auto"/>
        </w:rPr>
        <w:t>‑</w:t>
      </w:r>
      <w:r>
        <w:rPr>
          <w:rFonts w:ascii="Arial" w:cs="Arial" w:eastAsia="Arial" w:hAnsi="Arial"/>
          <w:sz w:val="17"/>
          <w:szCs w:val="17"/>
          <w:color w:val="auto"/>
        </w:rPr>
        <w:t>based compensation, $7.4 million for the amortization of our debt discount and issuance costs and $5.8 million for depreciation and amortization. In addition, our deferred revenue increased $36.7 million resulting from the overall growth of our sales and our expanding customer base and our accrued liabilities increased $13.6 million primarily related to commissions and bonuses not yet paid. The change in deferred revenue and accrued liabilities was partially offset by an increase of $16.1 million in deferred commissions and $19.4 million in accounts receivable, as a result of the overall increase in revenue and deferred revenue, as well as an increase of $5.4 million in prepaid expenses and other current assets. We also benefited from a non-recurring, non-cash adjustment to our provision for income taxes associated with the acquisition of mLab intangible assets, which reduced our deferred tax asset and the related valuation allowance.</w:t>
      </w:r>
    </w:p>
    <w:p>
      <w:pPr>
        <w:spacing w:after="0" w:line="151" w:lineRule="exact"/>
        <w:rPr>
          <w:sz w:val="20"/>
          <w:szCs w:val="20"/>
          <w:color w:val="auto"/>
        </w:rPr>
      </w:pPr>
    </w:p>
    <w:p>
      <w:pPr>
        <w:ind w:right="140" w:firstLine="486"/>
        <w:spacing w:after="0" w:line="218" w:lineRule="exact"/>
        <w:rPr>
          <w:sz w:val="20"/>
          <w:szCs w:val="20"/>
          <w:color w:val="auto"/>
        </w:rPr>
      </w:pPr>
      <w:r>
        <w:rPr>
          <w:rFonts w:ascii="Arial" w:cs="Arial" w:eastAsia="Arial" w:hAnsi="Arial"/>
          <w:sz w:val="16"/>
          <w:szCs w:val="16"/>
          <w:color w:val="auto"/>
        </w:rPr>
        <w:t>Cash used in operating activities during the year ended January 31, 2018 was $44.9 million primarily driven by our net loss of $84.0 million and was partially offset by non</w:t>
      </w:r>
      <w:r>
        <w:rPr>
          <w:rFonts w:ascii="MS PGothic" w:cs="MS PGothic" w:eastAsia="MS PGothic" w:hAnsi="MS PGothic"/>
          <w:sz w:val="16"/>
          <w:szCs w:val="16"/>
          <w:color w:val="auto"/>
        </w:rPr>
        <w:t>‑</w:t>
      </w:r>
      <w:r>
        <w:rPr>
          <w:rFonts w:ascii="Arial" w:cs="Arial" w:eastAsia="Arial" w:hAnsi="Arial"/>
          <w:sz w:val="16"/>
          <w:szCs w:val="16"/>
          <w:color w:val="auto"/>
        </w:rPr>
        <w:t>cash charges of $21.2 million for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and $3.7 million for depreciation and amortization. In addition, our cash used in operating activities was further offset by an increase of $32.7 million in deferred revenue resulting from the overall growth of our sales and our expanding customer base, and an increase of $8.1 million in accrued liabilities mainly related to commissions and bonuses not yet paid. The change in deferred revenue and accrued liabilities was partially offset by an increase of $15.9 million in accounts receivable and $6.4 million in deferred commissions, as a result of the overall increase in revenue and deferred revenue, as well as an increase of $2.8 million in prepaid expenses and other current assets.</w:t>
      </w:r>
    </w:p>
    <w:p>
      <w:pPr>
        <w:spacing w:after="0" w:line="152" w:lineRule="exact"/>
        <w:rPr>
          <w:sz w:val="20"/>
          <w:szCs w:val="20"/>
          <w:color w:val="auto"/>
        </w:rPr>
      </w:pPr>
    </w:p>
    <w:p>
      <w:pPr>
        <w:ind w:right="200" w:firstLine="486"/>
        <w:spacing w:after="0" w:line="276" w:lineRule="auto"/>
        <w:rPr>
          <w:sz w:val="20"/>
          <w:szCs w:val="20"/>
          <w:color w:val="auto"/>
        </w:rPr>
      </w:pPr>
      <w:r>
        <w:rPr>
          <w:rFonts w:ascii="Arial" w:cs="Arial" w:eastAsia="Arial" w:hAnsi="Arial"/>
          <w:sz w:val="17"/>
          <w:szCs w:val="17"/>
          <w:color w:val="auto"/>
        </w:rPr>
        <w:t>Cash used in operating activities during the year ended January 31, 2017 was $38.1 million primarily driven by our net loss of $70.1 million and was partially offset by non-cash charges of $21.0 million for stock-based compensation and $3.8 million for depreciation and amortization. In addition, our cash used in operating activities was further offset by an increase of $24.9 million in deferred revenue resulting from the overall growth of our sales and our expanding customer base. This change in deferred revenue was partially offset by increases of $11.8 million in accounts receivable and of $9.2 million in deferred commissions, both corresponding with our increased sales and customer expansions.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Investing Activities</w:t>
      </w:r>
    </w:p>
    <w:p>
      <w:pPr>
        <w:spacing w:after="0" w:line="171"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Cash used in investing activities during the year ended January 31, 2019 of $160.3 million resulted primarily from the purchase of marketable securities, net of maturities, as well as $55.5 million of net cash used to acquire mLab.</w:t>
      </w:r>
    </w:p>
    <w:p>
      <w:pPr>
        <w:spacing w:after="0" w:line="116"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Cash used in investing activities during the year ended January 31, 2018 of $172.3 million resulted primarily from the purchase of marketable securities, net of maturities.</w:t>
      </w:r>
    </w:p>
    <w:p>
      <w:pPr>
        <w:spacing w:after="0" w:line="116"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Cash provided by investing activities during the year ended January 31, 2017 of $31.1 million resulted primarily from net proceeds from sales and maturities of marketable securities.</w:t>
      </w:r>
    </w:p>
    <w:p>
      <w:pPr>
        <w:spacing w:after="0" w:line="200" w:lineRule="exact"/>
        <w:rPr>
          <w:sz w:val="20"/>
          <w:szCs w:val="20"/>
          <w:color w:val="auto"/>
        </w:rPr>
      </w:pPr>
    </w:p>
    <w:p>
      <w:pPr>
        <w:spacing w:after="0" w:line="38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Financing Activities</w:t>
      </w:r>
    </w:p>
    <w:p>
      <w:pPr>
        <w:spacing w:after="0" w:line="171"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Cash provided by financing activities during the year ended January 31, 2019 was $288.2 million primarily due to the issuance of the Notes, net of the Capped Calls and issuance costs, as well as proceeds from the exercise of stock options and issuance of common stock under the Employee Stock Purchase Plan.</w:t>
      </w:r>
    </w:p>
    <w:p>
      <w:pPr>
        <w:spacing w:after="0" w:line="12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Cash provided by financing activities during the year ended January 31, 2018 was $209.9 million. This was primarily due to $205.5 million in proceeds from our IPO completed in October 2017.</w:t>
      </w:r>
    </w:p>
    <w:p>
      <w:pPr>
        <w:spacing w:after="0" w:line="116" w:lineRule="exact"/>
        <w:rPr>
          <w:sz w:val="20"/>
          <w:szCs w:val="20"/>
          <w:color w:val="auto"/>
        </w:rPr>
      </w:pPr>
    </w:p>
    <w:p>
      <w:pPr>
        <w:ind w:right="60" w:firstLine="486"/>
        <w:spacing w:after="0" w:line="308" w:lineRule="auto"/>
        <w:rPr>
          <w:sz w:val="20"/>
          <w:szCs w:val="20"/>
          <w:color w:val="auto"/>
        </w:rPr>
      </w:pPr>
      <w:r>
        <w:rPr>
          <w:rFonts w:ascii="Arial" w:cs="Arial" w:eastAsia="Arial" w:hAnsi="Arial"/>
          <w:sz w:val="17"/>
          <w:szCs w:val="17"/>
          <w:color w:val="auto"/>
        </w:rPr>
        <w:t>Cash provided by financing activities of $43.1 million during the year ended January 31, 2017 was primarily due to $34.9 million in net proceeds from the issuances of our Series F redeemable convertible preferred stock, and $8.2 million of proceeds from the exercise of stock options.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75" w:lineRule="exact"/>
        <w:rPr>
          <w:sz w:val="20"/>
          <w:szCs w:val="20"/>
          <w:color w:val="auto"/>
        </w:rPr>
      </w:pPr>
    </w:p>
    <w:p>
      <w:pPr>
        <w:ind w:right="400" w:firstLine="486"/>
        <w:spacing w:after="0" w:line="223" w:lineRule="exact"/>
        <w:rPr>
          <w:sz w:val="20"/>
          <w:szCs w:val="20"/>
          <w:color w:val="auto"/>
        </w:rPr>
      </w:pPr>
      <w:r>
        <w:rPr>
          <w:rFonts w:ascii="Arial" w:cs="Arial" w:eastAsia="Arial" w:hAnsi="Arial"/>
          <w:sz w:val="18"/>
          <w:szCs w:val="18"/>
          <w:color w:val="auto"/>
        </w:rPr>
        <w:t>As of January 31, 2019, we did not have any relationships with any entities or financial partnerships, such as structured finance or special purpose entities that would have been established for the purpose of facilitating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or other purposes.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contractual obligations as of January 31, 2019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center"/>
              <w:ind w:left="717"/>
              <w:spacing w:after="0"/>
              <w:rPr>
                <w:sz w:val="20"/>
                <w:szCs w:val="20"/>
                <w:color w:val="auto"/>
              </w:rPr>
            </w:pPr>
            <w:r>
              <w:rPr>
                <w:rFonts w:ascii="Arial" w:cs="Arial" w:eastAsia="Arial" w:hAnsi="Arial"/>
                <w:sz w:val="14"/>
                <w:szCs w:val="14"/>
                <w:b w:val="1"/>
                <w:bCs w:val="1"/>
                <w:color w:val="auto"/>
                <w:w w:val="92"/>
              </w:rPr>
              <w:t>Payments Due by Period</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10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Less Than 1</w:t>
            </w:r>
          </w:p>
        </w:tc>
        <w:tc>
          <w:tcPr>
            <w:tcW w:w="140" w:type="dxa"/>
            <w:vAlign w:val="bottom"/>
          </w:tcPr>
          <w:p>
            <w:pPr>
              <w:spacing w:after="0"/>
              <w:rPr>
                <w:sz w:val="13"/>
                <w:szCs w:val="13"/>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1 to 3 Years</w:t>
            </w:r>
          </w:p>
        </w:tc>
        <w:tc>
          <w:tcPr>
            <w:tcW w:w="160" w:type="dxa"/>
            <w:vAlign w:val="bottom"/>
          </w:tcPr>
          <w:p>
            <w:pPr>
              <w:spacing w:after="0"/>
              <w:rPr>
                <w:sz w:val="13"/>
                <w:szCs w:val="13"/>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 to 5 Years</w:t>
            </w:r>
          </w:p>
        </w:tc>
        <w:tc>
          <w:tcPr>
            <w:tcW w:w="120" w:type="dxa"/>
            <w:vAlign w:val="bottom"/>
          </w:tcPr>
          <w:p>
            <w:pPr>
              <w:spacing w:after="0"/>
              <w:rPr>
                <w:sz w:val="13"/>
                <w:szCs w:val="13"/>
                <w:color w:val="auto"/>
              </w:rPr>
            </w:pPr>
          </w:p>
        </w:tc>
        <w:tc>
          <w:tcPr>
            <w:tcW w:w="96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w w:val="96"/>
              </w:rPr>
              <w:t>More Than 5</w:t>
            </w: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Year</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295"/>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50"/>
        </w:trPr>
        <w:tc>
          <w:tcPr>
            <w:tcW w:w="3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0.75% convertible senior notes due 2024</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300,844</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Financing lease obligations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87,298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51,274</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38,832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354,267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Our principal contractual obligations and commitments consist of the principal and future interest payments related to our Notes due in 2024, our financing and operating lease obligations under non-cancelable leases for office space expiring through 2029 and our purchase obligations under non-cancelable agreements for subscription and marketing services and cloud infrastructure capacity commitments. In March 2019, we expanded our enterprise partnership arrangement with a cloud infrastructure provider that includes a non-cancelable commitment of $219.0 million over the next five years, commencing on April 1, 2019. Our previous enterprise partnership arrangement with the same cloud provider of $36.0 million over three years will terminate on April 1, 2019.</w:t>
      </w:r>
    </w:p>
    <w:p>
      <w:pPr>
        <w:spacing w:after="0" w:line="139" w:lineRule="exact"/>
        <w:rPr>
          <w:sz w:val="20"/>
          <w:szCs w:val="20"/>
          <w:color w:val="auto"/>
        </w:rPr>
      </w:pPr>
    </w:p>
    <w:p>
      <w:pPr>
        <w:ind w:right="120" w:firstLine="486"/>
        <w:spacing w:after="0" w:line="270" w:lineRule="auto"/>
        <w:rPr>
          <w:sz w:val="20"/>
          <w:szCs w:val="20"/>
          <w:color w:val="auto"/>
        </w:rPr>
      </w:pPr>
      <w:r>
        <w:rPr>
          <w:rFonts w:ascii="Arial" w:cs="Arial" w:eastAsia="Arial" w:hAnsi="Arial"/>
          <w:sz w:val="17"/>
          <w:szCs w:val="17"/>
          <w:color w:val="auto"/>
        </w:rPr>
        <w:t xml:space="preserve">In December 2017, we entered into a lease agreement for 106,230 rentable square feet of office space (the “Premises”) to accommodate our growing employee base in New York City. We received delivery of the Premises on January 1, 2018 to commence renovations of the Premises. Total estimated aggregate base rent payments over the initial 12-year term of the lease are $87.3 million, with payments beginning 18 months after delivery of the Premises. As a result of our involvement during the construction period, whereby we had certain indemnification obligations related to the construction, we were considered, for accounting purposes only, the owner of the construction project under build-to-suit lease accounting. On September 4, 2018, construction of the Premises was completed. We evaluated whether to de-recognize the build-to-suit asset and liability under the “sale-leaseback” accounting guidance. We concluded that we lack transferability of the risks and rewards of ownership, and therefore did not meet with the requirements for sale-leaseback accounting. Accordingly, we account for the New York City office lease as a financing arrangement. For further details, refer to our Notes to Consolidated Financial Statements, within Part II,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of this Form 10-K, specifically Note 4, </w:t>
      </w:r>
      <w:r>
        <w:rPr>
          <w:rFonts w:ascii="Arial" w:cs="Arial" w:eastAsia="Arial" w:hAnsi="Arial"/>
          <w:sz w:val="17"/>
          <w:szCs w:val="17"/>
          <w:i w:val="1"/>
          <w:iCs w:val="1"/>
          <w:color w:val="auto"/>
        </w:rPr>
        <w:t>Property and Equipment, net</w:t>
      </w:r>
      <w:r>
        <w:rPr>
          <w:rFonts w:ascii="Arial" w:cs="Arial" w:eastAsia="Arial" w:hAnsi="Arial"/>
          <w:sz w:val="17"/>
          <w:szCs w:val="17"/>
          <w:color w:val="auto"/>
        </w:rPr>
        <w:t xml:space="preserve"> and Note 8,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w:t>
      </w:r>
    </w:p>
    <w:p>
      <w:pPr>
        <w:spacing w:after="0" w:line="200" w:lineRule="exact"/>
        <w:rPr>
          <w:sz w:val="20"/>
          <w:szCs w:val="20"/>
          <w:color w:val="auto"/>
        </w:rPr>
      </w:pPr>
    </w:p>
    <w:p>
      <w:pPr>
        <w:spacing w:after="0" w:line="40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and various other assumptions that we believe to be reasonable under the circumstances. Our actual results could differ from these estimates.</w:t>
      </w:r>
    </w:p>
    <w:p>
      <w:pPr>
        <w:spacing w:after="0" w:line="17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7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derive our revenue from two sources: (1) sales of subscriptions, including term license and post-contract customer support (“PCS”), and consumption-based database-as-a-service offerings; and (2) services revenue comprised of consulting and training arrangements. We recognize revenue when our customer obtains control of promised goods or services in an amount that reflects the consideration that we expect to receive in exchange for those goods or services. In determining the appropriate amount of revenue to be recognized as we fulfills our obligations under each of our agreements, we perform the following steps:</w:t>
      </w:r>
    </w:p>
    <w:p>
      <w:pPr>
        <w:spacing w:after="0" w:line="130" w:lineRule="exact"/>
        <w:rPr>
          <w:sz w:val="20"/>
          <w:szCs w:val="20"/>
          <w:color w:val="auto"/>
        </w:rPr>
      </w:pPr>
    </w:p>
    <w:p>
      <w:pPr>
        <w:ind w:left="660" w:right="120" w:hanging="328"/>
        <w:spacing w:after="0" w:line="29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Identification of the contract, or contracts, with a customer. </w:t>
      </w:r>
      <w:r>
        <w:rPr>
          <w:rFonts w:ascii="Arial" w:cs="Arial" w:eastAsia="Arial" w:hAnsi="Arial"/>
          <w:sz w:val="16"/>
          <w:szCs w:val="16"/>
          <w:color w:val="auto"/>
        </w:rPr>
        <w:t>We contract with our customers through order forms, which are governed by master</w:t>
      </w:r>
      <w:r>
        <w:rPr>
          <w:rFonts w:ascii="Arial" w:cs="Arial" w:eastAsia="Arial" w:hAnsi="Arial"/>
          <w:sz w:val="16"/>
          <w:szCs w:val="16"/>
          <w:b w:val="1"/>
          <w:bCs w:val="1"/>
          <w:color w:val="auto"/>
        </w:rPr>
        <w:t xml:space="preserve"> </w:t>
      </w:r>
      <w:r>
        <w:rPr>
          <w:rFonts w:ascii="Arial" w:cs="Arial" w:eastAsia="Arial" w:hAnsi="Arial"/>
          <w:sz w:val="16"/>
          <w:szCs w:val="16"/>
          <w:color w:val="auto"/>
        </w:rPr>
        <w:t>sales agreements. We determine we have a contract with a customer when the contract is approved, each party’s rights regarding the products or services to be transferred is identified, the payment terms for the services can be identified, we have determined the customer has the ability and intent to pay and the contract has commercial substance. We apply judgment in determining the customer’s ability and intent to pay, which is based on a variety of factors, including the customer’s historical payment experience or, in the case of a new customer, credit, reputation and financial or other information pertaining to the customer. At contract inception, we evaluate whether two or more contracts should be combined and accounted for as a single contract and whether the combined or single contract includes more than one performance obligation. We have concluded that our contracts with customers do not contain warranties that give rise to a separate performance obligation.</w:t>
      </w:r>
    </w:p>
    <w:p>
      <w:pPr>
        <w:spacing w:after="0" w:line="106" w:lineRule="exact"/>
        <w:rPr>
          <w:rFonts w:ascii="Arial" w:cs="Arial" w:eastAsia="Arial" w:hAnsi="Arial"/>
          <w:sz w:val="16"/>
          <w:szCs w:val="16"/>
          <w:color w:val="auto"/>
        </w:rPr>
      </w:pPr>
    </w:p>
    <w:p>
      <w:pPr>
        <w:ind w:left="660" w:hanging="328"/>
        <w:spacing w:after="0" w:line="25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Identification of the performance obligations in the contract. </w:t>
      </w:r>
      <w:r>
        <w:rPr>
          <w:rFonts w:ascii="Arial" w:cs="Arial" w:eastAsia="Arial" w:hAnsi="Arial"/>
          <w:sz w:val="18"/>
          <w:szCs w:val="18"/>
          <w:color w:val="auto"/>
        </w:rPr>
        <w:t>Performance obligations promised in a contract are identified based on the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or products that will be transferred to the customer that are both (1) capable of being distinct, whereby the customer can benefit from the service or product either on its own or together with other resources that are readily available from third parties or from us, and (2) distinct in the context of the contract, whereby the transfer of the services or products is separately identifiable from other promises in the contract. To the extent a contract includes multiple promised services or products, we apply judgment to determine whether promised services or products are capable of being distinct and distinct in the context of the contract. If these criteria are not met, the promised services or products are accounted for as a combined performance obligation.</w:t>
      </w:r>
    </w:p>
    <w:p>
      <w:pPr>
        <w:spacing w:after="0" w:line="135" w:lineRule="exact"/>
        <w:rPr>
          <w:rFonts w:ascii="Arial" w:cs="Arial" w:eastAsia="Arial" w:hAnsi="Arial"/>
          <w:sz w:val="18"/>
          <w:szCs w:val="18"/>
          <w:color w:val="auto"/>
        </w:rPr>
      </w:pPr>
    </w:p>
    <w:p>
      <w:pPr>
        <w:ind w:left="660" w:right="240" w:hanging="328"/>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Determination of the transaction price. </w:t>
      </w:r>
      <w:r>
        <w:rPr>
          <w:rFonts w:ascii="Arial" w:cs="Arial" w:eastAsia="Arial" w:hAnsi="Arial"/>
          <w:sz w:val="18"/>
          <w:szCs w:val="18"/>
          <w:color w:val="auto"/>
        </w:rPr>
        <w:t>The transaction price is determined based on the consideration to which we expect to be entitled in</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for transferring services and products to the customer. Variable consideration is included in the transaction price if, in our judgment, it is probable that a significant future reversal of cumulative revenue under the contract will not occur. None of our contracts contain a significant financing component.</w:t>
      </w:r>
    </w:p>
    <w:p>
      <w:pPr>
        <w:spacing w:after="0" w:line="126" w:lineRule="exact"/>
        <w:rPr>
          <w:rFonts w:ascii="Arial" w:cs="Arial" w:eastAsia="Arial" w:hAnsi="Arial"/>
          <w:sz w:val="18"/>
          <w:szCs w:val="18"/>
          <w:color w:val="auto"/>
        </w:rPr>
      </w:pPr>
    </w:p>
    <w:p>
      <w:pPr>
        <w:ind w:left="660" w:right="60" w:hanging="328"/>
        <w:spacing w:after="0" w:line="272"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Allocation of the transaction price to the performance obligations in the contract. </w:t>
      </w:r>
      <w:r>
        <w:rPr>
          <w:rFonts w:ascii="Arial" w:cs="Arial" w:eastAsia="Arial" w:hAnsi="Arial"/>
          <w:sz w:val="17"/>
          <w:szCs w:val="17"/>
          <w:color w:val="auto"/>
        </w:rPr>
        <w:t>If the contract contains a single performance obligation,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entire transaction price is allocated to the single performance obligation. For contracts that contain multiple performance obligations, we allocate the transaction price to each performance obligation based on a relative standalone selling price (“SSP”) basis. We also consider if there are any additional material rights inherent in a contract, and if so, we allocate a portion of the transaction price to such rights based on SSP. We determine each SSP based on multiple factors, including past history of selling such performance obligations as stand alone products. We estimate SSP for performance obligations with no observable evidence using adjusted market, cost plus and residual methods to establish the SSPs. In cases where directly observable stand alone sales are not available, we utilize all observable data points including competitor pricing for a similar or identical product, market and industry datapoints, and our pricing practices.</w:t>
      </w:r>
    </w:p>
    <w:p>
      <w:pPr>
        <w:spacing w:after="0" w:line="118" w:lineRule="exact"/>
        <w:rPr>
          <w:rFonts w:ascii="Arial" w:cs="Arial" w:eastAsia="Arial" w:hAnsi="Arial"/>
          <w:sz w:val="17"/>
          <w:szCs w:val="17"/>
          <w:color w:val="auto"/>
        </w:rPr>
      </w:pPr>
    </w:p>
    <w:p>
      <w:pPr>
        <w:ind w:left="660" w:right="80" w:hanging="328"/>
        <w:spacing w:after="0" w:line="289"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Recognition of revenue when, or as, we satisfy a performance obligation. </w:t>
      </w:r>
      <w:r>
        <w:rPr>
          <w:rFonts w:ascii="Arial" w:cs="Arial" w:eastAsia="Arial" w:hAnsi="Arial"/>
          <w:sz w:val="17"/>
          <w:szCs w:val="17"/>
          <w:color w:val="auto"/>
        </w:rPr>
        <w:t>We recognize revenue at the time the related performance obligation is</w:t>
      </w:r>
      <w:r>
        <w:rPr>
          <w:rFonts w:ascii="Arial" w:cs="Arial" w:eastAsia="Arial" w:hAnsi="Arial"/>
          <w:sz w:val="17"/>
          <w:szCs w:val="17"/>
          <w:b w:val="1"/>
          <w:bCs w:val="1"/>
          <w:color w:val="auto"/>
        </w:rPr>
        <w:t xml:space="preserve"> </w:t>
      </w:r>
      <w:r>
        <w:rPr>
          <w:rFonts w:ascii="Arial" w:cs="Arial" w:eastAsia="Arial" w:hAnsi="Arial"/>
          <w:sz w:val="17"/>
          <w:szCs w:val="17"/>
          <w:color w:val="auto"/>
        </w:rPr>
        <w:t>satisfied when control of the services or products are transferred to the customers, in an amount that reflects the consideration we expect to be entitled to in exchange for those services or products. We record our revenue net of any value added or sales tax.</w:t>
      </w:r>
    </w:p>
    <w:p>
      <w:pPr>
        <w:spacing w:after="0" w:line="200" w:lineRule="exact"/>
        <w:rPr>
          <w:sz w:val="20"/>
          <w:szCs w:val="20"/>
          <w:color w:val="auto"/>
        </w:rPr>
      </w:pPr>
    </w:p>
    <w:p>
      <w:pPr>
        <w:spacing w:after="0" w:line="38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2C2C2C"/>
        </w:rPr>
        <w:t>Business Combinations</w:t>
      </w:r>
    </w:p>
    <w:p>
      <w:pPr>
        <w:spacing w:after="0" w:line="171"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use our best estimates and assumptions to assign fair value to the tangible and intangible assets acquired and liabilities assumed as of the acquisition date. These estimates are inherently uncertain and subject to refinement. During the measurement period, which may be up to one year from the acquisition date, we may record adjustments to the fair value of these tangible and intangible assets acquired and liabilities assumed, with the corresponding offset to goodwill. In addition, uncertain tax positions and tax-related valuation allowances are initially established in connection with a business combination as of the acquisition date. Upon the conclusion of the measurement period or final determination of the fair value of assets acquired or liabilities assumed, whichever comes first, any subsequent adjustments are recorded to our consolidated statements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 Expense</w:t>
      </w:r>
    </w:p>
    <w:p>
      <w:pPr>
        <w:spacing w:after="0" w:line="171"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Compensation expense related to stock options granted to employees is calculated based on the fair value of stock-based awards on the date of grant. We determine the grant date fair value of the awards using the Black-Scholes option-pricing model. The related stock-based compensation expense is recognized on a straight-line basis over the period in which an employee is required to provide service in exchange for the stock-based award, which is generally four years.</w:t>
      </w:r>
    </w:p>
    <w:p>
      <w:pPr>
        <w:spacing w:after="0" w:line="133"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For stock-based awards issued to non-employees, including consultants, we record expense related to stock options based on the fair value of the options calculated using the Black-Scholes option-pricing model over the service performance period. We believe that the fair value of the stock options is more reliably measured than the fair value of the services received. The fair value of each non-employee stock-based compensation award is re-measured each period until a commitment date is reached, which is generally the vesting date.</w:t>
      </w:r>
    </w:p>
    <w:p>
      <w:pPr>
        <w:spacing w:after="0" w:line="133" w:lineRule="exact"/>
        <w:rPr>
          <w:sz w:val="20"/>
          <w:szCs w:val="20"/>
          <w:color w:val="auto"/>
        </w:rPr>
      </w:pPr>
    </w:p>
    <w:p>
      <w:pPr>
        <w:ind w:right="240" w:firstLine="486"/>
        <w:spacing w:after="0" w:line="308" w:lineRule="auto"/>
        <w:rPr>
          <w:sz w:val="20"/>
          <w:szCs w:val="20"/>
          <w:color w:val="auto"/>
        </w:rPr>
      </w:pPr>
      <w:r>
        <w:rPr>
          <w:rFonts w:ascii="Arial" w:cs="Arial" w:eastAsia="Arial" w:hAnsi="Arial"/>
          <w:sz w:val="17"/>
          <w:szCs w:val="17"/>
          <w:color w:val="auto"/>
        </w:rPr>
        <w:t>Our stock price volatility and expected option life involve management's best estimates, both of which impact the fair value of the option calculated under the Black-Scholes option pricing model and, ultimately, the expense that will be recognized over the life of the option.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Consolidated Financial Statements included in Part II, Item 8,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of this Form 10-K for a discussion of recent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75" w:lineRule="exact"/>
        <w:rPr>
          <w:sz w:val="20"/>
          <w:szCs w:val="20"/>
          <w:color w:val="auto"/>
        </w:rPr>
      </w:pPr>
    </w:p>
    <w:p>
      <w:pPr>
        <w:ind w:right="420" w:firstLine="486"/>
        <w:spacing w:after="0" w:line="279" w:lineRule="auto"/>
        <w:rPr>
          <w:sz w:val="20"/>
          <w:szCs w:val="20"/>
          <w:color w:val="auto"/>
        </w:rPr>
      </w:pPr>
      <w:r>
        <w:rPr>
          <w:rFonts w:ascii="Arial" w:cs="Arial" w:eastAsia="Arial" w:hAnsi="Arial"/>
          <w:sz w:val="17"/>
          <w:szCs w:val="17"/>
          <w:color w:val="auto"/>
        </w:rPr>
        <w:t>Effective January 31, 2019, we are no longer an “emerging growth company,” as defined in the Jumpstart Our Business Startups Act of 2012 (the “JOBS Act”). Prior to losing our status as an emerging growth company, the JOBS Act allowed us to delay adoption of new or revised accounting pronouncements applicable to public companies until such pronouncements were made applicable to private companies, and we had elected to use this extended transition period. We can no longer take advantage of this extended transition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have operations both within the United States and internationally, and we are exposed to market risk in the ordinary course of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Interest Rate Risk</w:t>
      </w:r>
    </w:p>
    <w:p>
      <w:pPr>
        <w:spacing w:after="0" w:line="171"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Our cash and cash equivalents primarily consist of bank deposits and money market funds, and our short-term investments consist of U.S. government treasury securities. As of January 31, 2019 and 2018, we had cash, cash equivalents and short-term investments of $466.0 million and $279.0 million, respectively.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the fair market value of our investments as of January 31, 2019 and 2018.</w:t>
      </w:r>
    </w:p>
    <w:p>
      <w:pPr>
        <w:spacing w:after="0" w:line="200" w:lineRule="exact"/>
        <w:rPr>
          <w:sz w:val="20"/>
          <w:szCs w:val="20"/>
          <w:color w:val="auto"/>
        </w:rPr>
      </w:pPr>
    </w:p>
    <w:p>
      <w:pPr>
        <w:spacing w:after="0" w:line="38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122" w:right="27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Foreign Currency Risk</w:t>
      </w:r>
    </w:p>
    <w:p>
      <w:pPr>
        <w:spacing w:after="0" w:line="17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sales contracts are primarily denominated in U.S. dollars, British pounds (“GBP”) or Euros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 of operations. The effect of a hypothetical 10% change in foreign currency exchange rates applicable to our business would not have a material impact on our historical consolidated financial statements for the years ended January 31, 2019 and 2018.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spacing w:after="0" w:line="200" w:lineRule="exact"/>
        <w:rPr>
          <w:sz w:val="20"/>
          <w:szCs w:val="20"/>
          <w:color w:val="auto"/>
        </w:rPr>
      </w:pPr>
    </w:p>
    <w:p>
      <w:pPr>
        <w:spacing w:after="0" w:line="39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122" w:right="29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January 31, 2019</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CONSOLIDATED FINANCIAL STATEMENTS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Page</w:t>
            </w:r>
          </w:p>
        </w:tc>
      </w:tr>
      <w:tr>
        <w:trPr>
          <w:trHeight w:val="202"/>
        </w:trPr>
        <w:tc>
          <w:tcPr>
            <w:tcW w:w="4220" w:type="dxa"/>
            <w:vAlign w:val="bottom"/>
            <w:gridSpan w:val="4"/>
          </w:tcPr>
          <w:p>
            <w:pPr>
              <w:spacing w:after="0" w:line="202"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Report of Independent Registered Public Accounting Firm</w:t>
              </w:r>
            </w:hyperlink>
          </w:p>
        </w:tc>
        <w:tc>
          <w:tcPr>
            <w:tcW w:w="6600" w:type="dxa"/>
            <w:vAlign w:val="bottom"/>
            <w:gridSpan w:val="6"/>
          </w:tcPr>
          <w:p>
            <w:pPr>
              <w:spacing w:after="0"/>
              <w:rPr>
                <w:sz w:val="17"/>
                <w:szCs w:val="17"/>
                <w:color w:val="auto"/>
              </w:rPr>
            </w:pPr>
          </w:p>
        </w:tc>
        <w:tc>
          <w:tcPr>
            <w:tcW w:w="560" w:type="dxa"/>
            <w:vAlign w:val="bottom"/>
            <w:gridSpan w:val="3"/>
          </w:tcPr>
          <w:p>
            <w:pPr>
              <w:jc w:val="right"/>
              <w:ind w:right="2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r>
      <w:tr>
        <w:trPr>
          <w:trHeight w:val="291"/>
        </w:trPr>
        <w:tc>
          <w:tcPr>
            <w:tcW w:w="42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660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240" w:type="dxa"/>
            <w:vAlign w:val="bottom"/>
          </w:tcPr>
          <w:p>
            <w:pPr>
              <w:spacing w:after="0"/>
              <w:rPr>
                <w:sz w:val="19"/>
                <w:szCs w:val="19"/>
                <w:color w:val="auto"/>
              </w:rPr>
            </w:pPr>
          </w:p>
        </w:tc>
        <w:tc>
          <w:tcPr>
            <w:tcW w:w="10580" w:type="dxa"/>
            <w:vAlign w:val="bottom"/>
            <w:gridSpan w:val="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Consolidated Balance Sheets as of January 31, 2019 and 2018</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20"/>
        </w:trPr>
        <w:tc>
          <w:tcPr>
            <w:tcW w:w="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680" w:type="dxa"/>
            <w:vAlign w:val="bottom"/>
            <w:gridSpan w:val="6"/>
          </w:tcPr>
          <w:p>
            <w:pPr>
              <w:spacing w:after="0"/>
              <w:rPr>
                <w:rFonts w:ascii="Arial" w:cs="Arial" w:eastAsia="Arial" w:hAnsi="Arial"/>
                <w:sz w:val="18"/>
                <w:szCs w:val="18"/>
                <w:color w:val="0000EE"/>
                <w:w w:val="88"/>
              </w:rPr>
            </w:pPr>
            <w:hyperlink w:anchor="page68">
              <w:r>
                <w:rPr>
                  <w:rFonts w:ascii="Arial" w:cs="Arial" w:eastAsia="Arial" w:hAnsi="Arial"/>
                  <w:sz w:val="18"/>
                  <w:szCs w:val="18"/>
                  <w:color w:val="0000EE"/>
                  <w:w w:val="88"/>
                </w:rPr>
                <w:t>Consolidated Statements of Operations for the years ended January 31, 2019, 2018 and 2017</w:t>
              </w:r>
            </w:hyperlink>
          </w:p>
        </w:tc>
        <w:tc>
          <w:tcPr>
            <w:tcW w:w="3900" w:type="dxa"/>
            <w:vAlign w:val="bottom"/>
            <w:gridSpan w:val="3"/>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r>
      <w:tr>
        <w:trPr>
          <w:trHeight w:val="20"/>
        </w:trPr>
        <w:tc>
          <w:tcPr>
            <w:tcW w:w="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7400" w:type="dxa"/>
            <w:vAlign w:val="bottom"/>
            <w:gridSpan w:val="7"/>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Consolidated Statements of Comprehensive Loss for the years ended January 31, 2019, 2018 and 2017</w:t>
              </w:r>
            </w:hyperlink>
          </w:p>
        </w:tc>
        <w:tc>
          <w:tcPr>
            <w:tcW w:w="3180" w:type="dxa"/>
            <w:vAlign w:val="bottom"/>
            <w:gridSpan w:val="2"/>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r>
      <w:tr>
        <w:trPr>
          <w:trHeight w:val="20"/>
        </w:trPr>
        <w:tc>
          <w:tcPr>
            <w:tcW w:w="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2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70">
              <w:r>
                <w:rPr>
                  <w:rFonts w:ascii="Arial" w:cs="Arial" w:eastAsia="Arial" w:hAnsi="Arial"/>
                  <w:sz w:val="18"/>
                  <w:szCs w:val="18"/>
                  <w:color w:val="0000EE"/>
                  <w:w w:val="90"/>
                </w:rPr>
                <w:t>Consolidated Statement of Redeemable Convertible Preferred Stock and Stockholders’ Equity (Deficit) for the years ended January 31, 2019,</w:t>
              </w:r>
            </w:hyperlink>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10580" w:type="dxa"/>
            <w:vAlign w:val="bottom"/>
            <w:gridSpan w:val="9"/>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2018 and 2017</w:t>
              </w:r>
            </w:hyperlink>
          </w:p>
        </w:tc>
        <w:tc>
          <w:tcPr>
            <w:tcW w:w="560" w:type="dxa"/>
            <w:vAlign w:val="bottom"/>
            <w:gridSpan w:val="3"/>
          </w:tcPr>
          <w:p>
            <w:pPr>
              <w:jc w:val="right"/>
              <w:ind w:right="20"/>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r>
      <w:tr>
        <w:trPr>
          <w:trHeight w:val="20"/>
        </w:trPr>
        <w:tc>
          <w:tcPr>
            <w:tcW w:w="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580" w:type="dxa"/>
            <w:vAlign w:val="bottom"/>
            <w:gridSpan w:val="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Statements of Cash Flows for years ended January 31, 2019, 2018 and 2017</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r>
      <w:tr>
        <w:trPr>
          <w:trHeight w:val="20"/>
        </w:trPr>
        <w:tc>
          <w:tcPr>
            <w:tcW w:w="2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460" w:type="dxa"/>
            <w:vAlign w:val="bottom"/>
            <w:gridSpan w:val="5"/>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Notes to Consolidated Financial Statements</w:t>
              </w:r>
            </w:hyperlink>
          </w:p>
        </w:tc>
        <w:tc>
          <w:tcPr>
            <w:tcW w:w="4120" w:type="dxa"/>
            <w:vAlign w:val="bottom"/>
            <w:gridSpan w:val="4"/>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70</w:t>
              </w:r>
            </w:hyperlink>
          </w:p>
        </w:tc>
      </w:tr>
      <w:tr>
        <w:trPr>
          <w:trHeight w:val="20"/>
        </w:trPr>
        <w:tc>
          <w:tcPr>
            <w:tcW w:w="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The supplementary financial information required by this Item 8, is included in Part II, Item 7, </w:t>
      </w:r>
      <w:r>
        <w:rPr>
          <w:rFonts w:ascii="Arial" w:cs="Arial" w:eastAsia="Arial" w:hAnsi="Arial"/>
          <w:sz w:val="17"/>
          <w:szCs w:val="17"/>
          <w:i w:val="1"/>
          <w:iCs w:val="1"/>
          <w:color w:val="auto"/>
        </w:rPr>
        <w:t>Management’s Discussion and Analysis of Financial Condition</w:t>
      </w:r>
      <w:r>
        <w:rPr>
          <w:rFonts w:ascii="Arial" w:cs="Arial" w:eastAsia="Arial" w:hAnsi="Arial"/>
          <w:sz w:val="17"/>
          <w:szCs w:val="17"/>
          <w:color w:val="auto"/>
        </w:rPr>
        <w:t xml:space="preserve"> </w:t>
      </w:r>
      <w:r>
        <w:rPr>
          <w:rFonts w:ascii="Arial" w:cs="Arial" w:eastAsia="Arial" w:hAnsi="Arial"/>
          <w:sz w:val="17"/>
          <w:szCs w:val="17"/>
          <w:i w:val="1"/>
          <w:iCs w:val="1"/>
          <w:color w:val="auto"/>
        </w:rPr>
        <w:t>and Results of Operations</w:t>
      </w:r>
      <w:r>
        <w:rPr>
          <w:rFonts w:ascii="Arial" w:cs="Arial" w:eastAsia="Arial" w:hAnsi="Arial"/>
          <w:sz w:val="17"/>
          <w:szCs w:val="17"/>
          <w:color w:val="auto"/>
        </w:rPr>
        <w:t>, under the caption “Quarterly Results of Operations Data,”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MongoDB,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We have audited the accompanying consolidated balance sheets of MongoDB, Inc. and its subsidiaries (the “Company”) as of January 31, 2019 and 2018, and the related consolidated statements of operations, of comprehensive loss, of redeemable convertible preferred stock and stockholders’ equity (deficit), and of cash flows for each of the three years in the period ended January 31, 2019, including the related notes and schedule of valuation and qualifying accounts for each of the three years in the period ended January 31, 2019 appearing under Item 15(a)(2) (collectively referred to as the “consolidated financial statements”). We also have audited the Company's internal control over financial reporting as of January 31, 2019,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(2013) issued by the Committee of Sponsoring Organizations of the Treadway Commission (COSO).</w:t>
      </w:r>
    </w:p>
    <w:p>
      <w:pPr>
        <w:spacing w:after="0" w:line="16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January 31, 2019 and 2018, and the results of its operations and its cash flows for each of the three years in the period ended January 31, 2019 in conformity with accounting principles generally accepted in the United States of America. Also in our opinion, the Company maintained, in all material respects, effective internal control over financial reporting as of January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revenues from contracts with customers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ObjectLabs Corporation from its assessment of internal control over financial reporting as of January 31, 2019 because it was acquired by the Company in a purchase business combination during 2019. We have also excluded ObjectLabs Corporation from our audit of internal control over financial reporting. ObjectLabs Corporation is a wholly-owned subsidiary whose total assets</w:t>
      </w:r>
    </w:p>
    <w:p>
      <w:pPr>
        <w:spacing w:after="0" w:line="200" w:lineRule="exact"/>
        <w:rPr>
          <w:sz w:val="20"/>
          <w:szCs w:val="20"/>
          <w:color w:val="auto"/>
        </w:rPr>
      </w:pPr>
    </w:p>
    <w:p>
      <w:pPr>
        <w:spacing w:after="0" w:line="24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2" w:right="25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and total revenues excluded from management's assessment and our audit of internal control over financial reporting represent approximately 1% and 3%, respectively, of the related consolidated financial statement amounts as of and for the year ended January 31,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 2019</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22" w:right="27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left="2520"/>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left="25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left="252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Arial" w:cs="Arial" w:eastAsia="Arial" w:hAnsi="Arial"/>
          <w:sz w:val="15"/>
          <w:szCs w:val="15"/>
          <w:color w:val="auto"/>
        </w:rPr>
        <w:t>Current assets: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8420" w:type="dxa"/>
            <w:vAlign w:val="bottom"/>
          </w:tcPr>
          <w:p>
            <w:pPr>
              <w:ind w:left="180"/>
              <w:spacing w:after="0"/>
              <w:rPr>
                <w:sz w:val="20"/>
                <w:szCs w:val="20"/>
                <w:color w:val="auto"/>
              </w:rPr>
            </w:pPr>
            <w:r>
              <w:rPr>
                <w:rFonts w:ascii="Arial" w:cs="Arial" w:eastAsia="Arial" w:hAnsi="Arial"/>
                <w:sz w:val="15"/>
                <w:szCs w:val="15"/>
                <w:color w:val="auto"/>
              </w:rPr>
              <w:t>Cash and cash equivalents</w:t>
            </w: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4"/>
        </w:trPr>
        <w:tc>
          <w:tcPr>
            <w:tcW w:w="842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180"/>
              <w:spacing w:after="0"/>
              <w:rPr>
                <w:sz w:val="20"/>
                <w:szCs w:val="20"/>
                <w:color w:val="auto"/>
              </w:rPr>
            </w:pPr>
            <w:r>
              <w:rPr>
                <w:rFonts w:ascii="Arial" w:cs="Arial" w:eastAsia="Arial" w:hAnsi="Arial"/>
                <w:sz w:val="15"/>
                <w:szCs w:val="15"/>
                <w:color w:val="auto"/>
              </w:rPr>
              <w:t>Short-term investments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420" w:type="dxa"/>
            <w:vAlign w:val="bottom"/>
          </w:tcPr>
          <w:p>
            <w:pPr>
              <w:ind w:left="180"/>
              <w:spacing w:after="0"/>
              <w:rPr>
                <w:sz w:val="20"/>
                <w:szCs w:val="20"/>
                <w:color w:val="auto"/>
              </w:rPr>
            </w:pPr>
            <w:r>
              <w:rPr>
                <w:rFonts w:ascii="Arial" w:cs="Arial" w:eastAsia="Arial" w:hAnsi="Arial"/>
                <w:sz w:val="15"/>
                <w:szCs w:val="15"/>
                <w:color w:val="auto"/>
                <w:w w:val="96"/>
              </w:rPr>
              <w:t>Accounts receivable, net of allowance for doubtful accounts of $1,539 and $1,238 as of January 31, 2019 and 2018, respectively</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20" w:type="dxa"/>
            <w:vAlign w:val="bottom"/>
          </w:tcPr>
          <w:p>
            <w:pPr>
              <w:ind w:left="180"/>
              <w:spacing w:after="0"/>
              <w:rPr>
                <w:sz w:val="20"/>
                <w:szCs w:val="20"/>
                <w:color w:val="auto"/>
              </w:rPr>
            </w:pPr>
            <w:r>
              <w:rPr>
                <w:rFonts w:ascii="Arial" w:cs="Arial" w:eastAsia="Arial" w:hAnsi="Arial"/>
                <w:sz w:val="15"/>
                <w:szCs w:val="15"/>
                <w:color w:val="auto"/>
              </w:rPr>
              <w:t>Deferred commissions</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20" w:type="dxa"/>
            <w:vAlign w:val="bottom"/>
          </w:tcPr>
          <w:p>
            <w:pPr>
              <w:ind w:left="180"/>
              <w:spacing w:after="0"/>
              <w:rPr>
                <w:sz w:val="20"/>
                <w:szCs w:val="20"/>
                <w:color w:val="auto"/>
              </w:rPr>
            </w:pPr>
            <w:r>
              <w:rPr>
                <w:rFonts w:ascii="Arial" w:cs="Arial" w:eastAsia="Arial" w:hAnsi="Arial"/>
                <w:sz w:val="15"/>
                <w:szCs w:val="15"/>
                <w:color w:val="auto"/>
              </w:rPr>
              <w:t>Prepaid expenses and other current assets</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20" w:type="dxa"/>
            <w:vAlign w:val="bottom"/>
          </w:tcPr>
          <w:p>
            <w:pPr>
              <w:ind w:left="360"/>
              <w:spacing w:after="0"/>
              <w:rPr>
                <w:sz w:val="20"/>
                <w:szCs w:val="20"/>
                <w:color w:val="auto"/>
              </w:rPr>
            </w:pPr>
            <w:r>
              <w:rPr>
                <w:rFonts w:ascii="Arial" w:cs="Arial" w:eastAsia="Arial" w:hAnsi="Arial"/>
                <w:sz w:val="15"/>
                <w:szCs w:val="15"/>
                <w:color w:val="auto"/>
              </w:rPr>
              <w:t>Total current assets</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15"/>
                <w:szCs w:val="15"/>
                <w:color w:val="auto"/>
              </w:rPr>
              <w:t>Property and equipment, net</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15"/>
                <w:szCs w:val="15"/>
                <w:color w:val="auto"/>
              </w:rPr>
              <w:t>Goodwill</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15"/>
                <w:szCs w:val="15"/>
                <w:color w:val="auto"/>
              </w:rPr>
              <w:t>Acquired intangible assets, net</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15"/>
                <w:szCs w:val="15"/>
                <w:color w:val="auto"/>
              </w:rPr>
              <w:t>Deferred tax assets</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15"/>
                <w:szCs w:val="15"/>
                <w:color w:val="auto"/>
              </w:rPr>
              <w:t>Other assets</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8420" w:type="dxa"/>
            <w:vAlign w:val="bottom"/>
          </w:tcPr>
          <w:p>
            <w:pPr>
              <w:spacing w:after="0"/>
              <w:rPr>
                <w:sz w:val="20"/>
                <w:szCs w:val="20"/>
                <w:color w:val="auto"/>
              </w:rPr>
            </w:pPr>
            <w:r>
              <w:rPr>
                <w:rFonts w:ascii="Arial" w:cs="Arial" w:eastAsia="Arial" w:hAnsi="Arial"/>
                <w:sz w:val="15"/>
                <w:szCs w:val="15"/>
                <w:color w:val="auto"/>
              </w:rPr>
              <w:t>Total assets</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7"/>
        </w:trPr>
        <w:tc>
          <w:tcPr>
            <w:tcW w:w="8420" w:type="dxa"/>
            <w:vAlign w:val="bottom"/>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420" w:type="dxa"/>
            <w:vAlign w:val="bottom"/>
          </w:tcPr>
          <w:p>
            <w:pPr>
              <w:spacing w:after="0"/>
              <w:rPr>
                <w:sz w:val="20"/>
                <w:szCs w:val="20"/>
                <w:color w:val="auto"/>
              </w:rPr>
            </w:pPr>
            <w:r>
              <w:rPr>
                <w:rFonts w:ascii="Arial" w:cs="Arial" w:eastAsia="Arial" w:hAnsi="Arial"/>
                <w:sz w:val="15"/>
                <w:szCs w:val="15"/>
                <w:color w:val="auto"/>
              </w:rPr>
              <w:t>Current liabilities: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20" w:type="dxa"/>
            <w:vAlign w:val="bottom"/>
          </w:tcPr>
          <w:p>
            <w:pPr>
              <w:ind w:left="180"/>
              <w:spacing w:after="0"/>
              <w:rPr>
                <w:sz w:val="20"/>
                <w:szCs w:val="20"/>
                <w:color w:val="auto"/>
              </w:rPr>
            </w:pPr>
            <w:r>
              <w:rPr>
                <w:rFonts w:ascii="Arial" w:cs="Arial" w:eastAsia="Arial" w:hAnsi="Arial"/>
                <w:sz w:val="15"/>
                <w:szCs w:val="15"/>
                <w:color w:val="auto"/>
              </w:rPr>
              <w:t>Accounts payable</w:t>
            </w: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4"/>
        </w:trPr>
        <w:tc>
          <w:tcPr>
            <w:tcW w:w="842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180"/>
              <w:spacing w:after="0"/>
              <w:rPr>
                <w:sz w:val="20"/>
                <w:szCs w:val="20"/>
                <w:color w:val="auto"/>
              </w:rPr>
            </w:pPr>
            <w:r>
              <w:rPr>
                <w:rFonts w:ascii="Arial" w:cs="Arial" w:eastAsia="Arial" w:hAnsi="Arial"/>
                <w:sz w:val="15"/>
                <w:szCs w:val="15"/>
                <w:color w:val="auto"/>
              </w:rPr>
              <w:t>Accrued compensation and benefits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420" w:type="dxa"/>
            <w:vAlign w:val="bottom"/>
          </w:tcPr>
          <w:p>
            <w:pPr>
              <w:ind w:left="180"/>
              <w:spacing w:after="0"/>
              <w:rPr>
                <w:sz w:val="20"/>
                <w:szCs w:val="20"/>
                <w:color w:val="auto"/>
              </w:rPr>
            </w:pPr>
            <w:r>
              <w:rPr>
                <w:rFonts w:ascii="Arial" w:cs="Arial" w:eastAsia="Arial" w:hAnsi="Arial"/>
                <w:sz w:val="15"/>
                <w:szCs w:val="15"/>
                <w:color w:val="auto"/>
              </w:rPr>
              <w:t>Other accrued liabilities</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20" w:type="dxa"/>
            <w:vAlign w:val="bottom"/>
          </w:tcPr>
          <w:p>
            <w:pPr>
              <w:ind w:left="180"/>
              <w:spacing w:after="0"/>
              <w:rPr>
                <w:sz w:val="20"/>
                <w:szCs w:val="20"/>
                <w:color w:val="auto"/>
              </w:rPr>
            </w:pPr>
            <w:r>
              <w:rPr>
                <w:rFonts w:ascii="Arial" w:cs="Arial" w:eastAsia="Arial" w:hAnsi="Arial"/>
                <w:sz w:val="15"/>
                <w:szCs w:val="15"/>
                <w:color w:val="auto"/>
              </w:rPr>
              <w:t>Deferred revenue</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20" w:type="dxa"/>
            <w:vAlign w:val="bottom"/>
          </w:tcPr>
          <w:p>
            <w:pPr>
              <w:ind w:left="360"/>
              <w:spacing w:after="0"/>
              <w:rPr>
                <w:sz w:val="20"/>
                <w:szCs w:val="20"/>
                <w:color w:val="auto"/>
              </w:rPr>
            </w:pPr>
            <w:r>
              <w:rPr>
                <w:rFonts w:ascii="Arial" w:cs="Arial" w:eastAsia="Arial" w:hAnsi="Arial"/>
                <w:sz w:val="15"/>
                <w:szCs w:val="15"/>
                <w:color w:val="auto"/>
              </w:rPr>
              <w:t>Total current liabilities</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15"/>
                <w:szCs w:val="15"/>
                <w:color w:val="auto"/>
              </w:rPr>
              <w:t>Deferred rent, non-current</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15"/>
                <w:szCs w:val="15"/>
                <w:color w:val="auto"/>
              </w:rPr>
              <w:t>Deferred tax liability, non-current</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15"/>
                <w:szCs w:val="15"/>
                <w:color w:val="auto"/>
              </w:rPr>
              <w:t>Deferred revenue, non-current</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15"/>
                <w:szCs w:val="15"/>
                <w:color w:val="auto"/>
              </w:rPr>
              <w:t>Convertible senior notes, net</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15"/>
                <w:szCs w:val="15"/>
                <w:color w:val="auto"/>
              </w:rPr>
              <w:t>Other liabilities, non-current</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15"/>
                <w:szCs w:val="15"/>
                <w:color w:val="auto"/>
              </w:rPr>
              <w:t>Total liabilities</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15"/>
                <w:szCs w:val="15"/>
                <w:color w:val="auto"/>
              </w:rPr>
              <w:t>Commitments and contingencies (Note 8)</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20" w:type="dxa"/>
            <w:vAlign w:val="bottom"/>
          </w:tcPr>
          <w:p>
            <w:pPr>
              <w:spacing w:after="0"/>
              <w:rPr>
                <w:sz w:val="20"/>
                <w:szCs w:val="20"/>
                <w:color w:val="auto"/>
              </w:rPr>
            </w:pPr>
            <w:r>
              <w:rPr>
                <w:rFonts w:ascii="Arial" w:cs="Arial" w:eastAsia="Arial" w:hAnsi="Arial"/>
                <w:sz w:val="15"/>
                <w:szCs w:val="15"/>
                <w:color w:val="auto"/>
              </w:rPr>
              <w:t>Stockholders’ equity:</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-4436745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-4093210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-3407410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-3064510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-2360930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-2018030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-1675130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-1332230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-989330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-2721610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-3750310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6" w:lineRule="exact"/>
        <w:rPr>
          <w:sz w:val="20"/>
          <w:szCs w:val="20"/>
          <w:color w:val="auto"/>
        </w:rPr>
      </w:pPr>
    </w:p>
    <w:p>
      <w:pPr>
        <w:ind w:left="380" w:right="320" w:hanging="188"/>
        <w:spacing w:after="0" w:line="255" w:lineRule="auto"/>
        <w:rPr>
          <w:sz w:val="20"/>
          <w:szCs w:val="20"/>
          <w:color w:val="auto"/>
        </w:rPr>
      </w:pPr>
      <w:r>
        <w:rPr>
          <w:rFonts w:ascii="Arial" w:cs="Arial" w:eastAsia="Arial" w:hAnsi="Arial"/>
          <w:sz w:val="15"/>
          <w:szCs w:val="15"/>
          <w:color w:val="auto"/>
        </w:rPr>
        <w:t>Class A common stock, par value of $0.001 per share; 1,000,000,000 shares authorized as of January 31, 2019 and 2018; 36,286,573 and 13,303,028 shares issued and outstanding as of January 31, 2019 and 2018, respectively</w:t>
      </w:r>
    </w:p>
    <w:p>
      <w:pPr>
        <w:spacing w:after="0" w:line="12" w:lineRule="exact"/>
        <w:rPr>
          <w:sz w:val="20"/>
          <w:szCs w:val="20"/>
          <w:color w:val="auto"/>
        </w:rPr>
      </w:pPr>
    </w:p>
    <w:p>
      <w:pPr>
        <w:ind w:left="380" w:right="140" w:hanging="188"/>
        <w:spacing w:after="0"/>
        <w:rPr>
          <w:sz w:val="20"/>
          <w:szCs w:val="20"/>
          <w:color w:val="auto"/>
        </w:rPr>
      </w:pPr>
      <w:r>
        <w:rPr>
          <w:rFonts w:ascii="Arial" w:cs="Arial" w:eastAsia="Arial" w:hAnsi="Arial"/>
          <w:sz w:val="15"/>
          <w:szCs w:val="15"/>
          <w:color w:val="auto"/>
        </w:rPr>
        <w:t>Class B common stock, par value of $0.001 per share; 100,000,000 shares authorized as of January 31, 2019 and 2018; 18,134,608 and 37,371,914 shares issued as of January 31, 2019 and 2018, respectively; 18,035,237 and 37,272,543 shares outstanding as of January 31,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Additional paid-in capital</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Treasury stock, 99,371 shares (repurchased at an average of $13.27 per share) as of January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Accumulated other comprehensive loss</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As of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32385</wp:posOffset>
            </wp:positionV>
            <wp:extent cx="1663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w w:val="83"/>
              </w:rPr>
              <w:t>2019</w:t>
            </w:r>
          </w:p>
        </w:tc>
        <w:tc>
          <w:tcPr>
            <w:tcW w:w="124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6"/>
        </w:trPr>
        <w:tc>
          <w:tcPr>
            <w:tcW w:w="880" w:type="dxa"/>
            <w:vAlign w:val="bottom"/>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6"/>
              </w:rPr>
              <w:t>*As Adjusted</w:t>
            </w:r>
          </w:p>
        </w:tc>
        <w:tc>
          <w:tcPr>
            <w:tcW w:w="0" w:type="dxa"/>
            <w:vAlign w:val="bottom"/>
          </w:tcPr>
          <w:p>
            <w:pPr>
              <w:spacing w:after="0"/>
              <w:rPr>
                <w:sz w:val="1"/>
                <w:szCs w:val="1"/>
                <w:color w:val="auto"/>
              </w:rPr>
            </w:pPr>
          </w:p>
        </w:tc>
      </w:tr>
      <w:tr>
        <w:trPr>
          <w:trHeight w:val="26"/>
        </w:trPr>
        <w:tc>
          <w:tcPr>
            <w:tcW w:w="8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-8255</wp:posOffset>
            </wp:positionV>
            <wp:extent cx="8058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tbl>
      <w:tblPr>
        <w:tblLayout w:type="fixed"/>
        <w:tblInd w:w="160" w:type="dxa"/>
        <w:tblCellMar>
          <w:top w:w="0" w:type="dxa"/>
          <w:left w:w="0" w:type="dxa"/>
          <w:bottom w:w="0" w:type="dxa"/>
          <w:right w:w="0" w:type="dxa"/>
        </w:tblCellMar>
      </w:tblPr>
      <w:tr>
        <w:trPr>
          <w:trHeight w:val="194"/>
        </w:trPr>
        <w:tc>
          <w:tcPr>
            <w:tcW w:w="720" w:type="dxa"/>
            <w:vAlign w:val="bottom"/>
          </w:tcPr>
          <w:p>
            <w:pPr>
              <w:jc w:val="right"/>
              <w:ind w:right="143"/>
              <w:spacing w:after="0"/>
              <w:rPr>
                <w:sz w:val="20"/>
                <w:szCs w:val="20"/>
                <w:color w:val="auto"/>
              </w:rPr>
            </w:pPr>
            <w:r>
              <w:rPr>
                <w:rFonts w:ascii="Arial" w:cs="Arial" w:eastAsia="Arial" w:hAnsi="Arial"/>
                <w:sz w:val="15"/>
                <w:szCs w:val="15"/>
                <w:color w:val="auto"/>
                <w:w w:val="88"/>
              </w:rPr>
              <w:t>147,831</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61,902</w:t>
            </w:r>
          </w:p>
        </w:tc>
      </w:tr>
      <w:tr>
        <w:trPr>
          <w:trHeight w:val="270"/>
        </w:trPr>
        <w:tc>
          <w:tcPr>
            <w:tcW w:w="720" w:type="dxa"/>
            <w:vAlign w:val="bottom"/>
          </w:tcPr>
          <w:p>
            <w:pPr>
              <w:jc w:val="right"/>
              <w:ind w:right="143"/>
              <w:spacing w:after="0"/>
              <w:rPr>
                <w:sz w:val="20"/>
                <w:szCs w:val="20"/>
                <w:color w:val="auto"/>
              </w:rPr>
            </w:pPr>
            <w:r>
              <w:rPr>
                <w:rFonts w:ascii="Arial" w:cs="Arial" w:eastAsia="Arial" w:hAnsi="Arial"/>
                <w:sz w:val="15"/>
                <w:szCs w:val="15"/>
                <w:color w:val="auto"/>
                <w:w w:val="88"/>
              </w:rPr>
              <w:t>318,139</w:t>
            </w:r>
          </w:p>
        </w:tc>
        <w:tc>
          <w:tcPr>
            <w:tcW w:w="3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217,072</w:t>
            </w:r>
          </w:p>
        </w:tc>
      </w:tr>
      <w:tr>
        <w:trPr>
          <w:trHeight w:val="270"/>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72,808</w:t>
            </w:r>
          </w:p>
        </w:tc>
        <w:tc>
          <w:tcPr>
            <w:tcW w:w="3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50,626</w:t>
            </w:r>
          </w:p>
        </w:tc>
      </w:tr>
      <w:tr>
        <w:trPr>
          <w:trHeight w:val="270"/>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15,878</w:t>
            </w:r>
          </w:p>
        </w:tc>
        <w:tc>
          <w:tcPr>
            <w:tcW w:w="3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11,798</w:t>
            </w:r>
          </w:p>
        </w:tc>
      </w:tr>
      <w:tr>
        <w:trPr>
          <w:trHeight w:val="257"/>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11,580</w:t>
            </w:r>
          </w:p>
        </w:tc>
        <w:tc>
          <w:tcPr>
            <w:tcW w:w="360" w:type="dxa"/>
            <w:vAlign w:val="bottom"/>
          </w:tcPr>
          <w:p>
            <w:pPr>
              <w:spacing w:after="0"/>
              <w:rPr>
                <w:sz w:val="22"/>
                <w:szCs w:val="22"/>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5,884</w:t>
            </w:r>
          </w:p>
        </w:tc>
      </w:tr>
      <w:tr>
        <w:trPr>
          <w:trHeight w:val="22"/>
        </w:trPr>
        <w:tc>
          <w:tcPr>
            <w:tcW w:w="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2"/>
        </w:trPr>
        <w:tc>
          <w:tcPr>
            <w:tcW w:w="720" w:type="dxa"/>
            <w:vAlign w:val="bottom"/>
          </w:tcPr>
          <w:p>
            <w:pPr>
              <w:jc w:val="right"/>
              <w:ind w:right="143"/>
              <w:spacing w:after="0"/>
              <w:rPr>
                <w:sz w:val="20"/>
                <w:szCs w:val="20"/>
                <w:color w:val="auto"/>
              </w:rPr>
            </w:pPr>
            <w:r>
              <w:rPr>
                <w:rFonts w:ascii="Arial" w:cs="Arial" w:eastAsia="Arial" w:hAnsi="Arial"/>
                <w:sz w:val="15"/>
                <w:szCs w:val="15"/>
                <w:color w:val="auto"/>
                <w:w w:val="88"/>
              </w:rPr>
              <w:t>566,236</w:t>
            </w:r>
          </w:p>
        </w:tc>
        <w:tc>
          <w:tcPr>
            <w:tcW w:w="360" w:type="dxa"/>
            <w:vAlign w:val="bottom"/>
          </w:tcPr>
          <w:p>
            <w:pPr>
              <w:spacing w:after="0"/>
              <w:rPr>
                <w:sz w:val="21"/>
                <w:szCs w:val="21"/>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347,282</w:t>
            </w:r>
          </w:p>
        </w:tc>
      </w:tr>
      <w:tr>
        <w:trPr>
          <w:trHeight w:val="270"/>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73,664</w:t>
            </w:r>
          </w:p>
        </w:tc>
        <w:tc>
          <w:tcPr>
            <w:tcW w:w="3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59,557</w:t>
            </w:r>
          </w:p>
        </w:tc>
      </w:tr>
      <w:tr>
        <w:trPr>
          <w:trHeight w:val="270"/>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41,878</w:t>
            </w:r>
          </w:p>
        </w:tc>
        <w:tc>
          <w:tcPr>
            <w:tcW w:w="3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1,700</w:t>
            </w:r>
          </w:p>
        </w:tc>
      </w:tr>
      <w:tr>
        <w:trPr>
          <w:trHeight w:val="270"/>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15,894</w:t>
            </w:r>
          </w:p>
        </w:tc>
        <w:tc>
          <w:tcPr>
            <w:tcW w:w="3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1,627</w:t>
            </w:r>
          </w:p>
        </w:tc>
      </w:tr>
      <w:tr>
        <w:trPr>
          <w:trHeight w:val="270"/>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1,193</w:t>
            </w:r>
          </w:p>
        </w:tc>
        <w:tc>
          <w:tcPr>
            <w:tcW w:w="3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326</w:t>
            </w:r>
          </w:p>
        </w:tc>
      </w:tr>
      <w:tr>
        <w:trPr>
          <w:trHeight w:val="257"/>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34,611</w:t>
            </w:r>
          </w:p>
        </w:tc>
        <w:tc>
          <w:tcPr>
            <w:tcW w:w="360" w:type="dxa"/>
            <w:vAlign w:val="bottom"/>
          </w:tcPr>
          <w:p>
            <w:pPr>
              <w:spacing w:after="0"/>
              <w:rPr>
                <w:sz w:val="22"/>
                <w:szCs w:val="22"/>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22,352</w:t>
            </w:r>
          </w:p>
        </w:tc>
      </w:tr>
      <w:tr>
        <w:trPr>
          <w:trHeight w:val="22"/>
        </w:trPr>
        <w:tc>
          <w:tcPr>
            <w:tcW w:w="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2"/>
        </w:trPr>
        <w:tc>
          <w:tcPr>
            <w:tcW w:w="720" w:type="dxa"/>
            <w:vAlign w:val="bottom"/>
          </w:tcPr>
          <w:p>
            <w:pPr>
              <w:jc w:val="right"/>
              <w:ind w:right="143"/>
              <w:spacing w:after="0"/>
              <w:rPr>
                <w:sz w:val="20"/>
                <w:szCs w:val="20"/>
                <w:color w:val="auto"/>
              </w:rPr>
            </w:pPr>
            <w:r>
              <w:rPr>
                <w:rFonts w:ascii="Arial" w:cs="Arial" w:eastAsia="Arial" w:hAnsi="Arial"/>
                <w:sz w:val="15"/>
                <w:szCs w:val="15"/>
                <w:color w:val="auto"/>
                <w:w w:val="88"/>
              </w:rPr>
              <w:t>733,476</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432,844</w:t>
            </w:r>
          </w:p>
        </w:tc>
      </w:tr>
      <w:tr>
        <w:trPr>
          <w:trHeight w:val="35"/>
        </w:trPr>
        <w:tc>
          <w:tcPr>
            <w:tcW w:w="7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0"/>
        </w:trPr>
        <w:tc>
          <w:tcPr>
            <w:tcW w:w="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83"/>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2,153</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2,261</w:t>
            </w:r>
          </w:p>
        </w:tc>
      </w:tr>
      <w:tr>
        <w:trPr>
          <w:trHeight w:val="270"/>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25,982</w:t>
            </w:r>
          </w:p>
        </w:tc>
        <w:tc>
          <w:tcPr>
            <w:tcW w:w="3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17,433</w:t>
            </w:r>
          </w:p>
        </w:tc>
      </w:tr>
      <w:tr>
        <w:trPr>
          <w:trHeight w:val="270"/>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14,169</w:t>
            </w:r>
          </w:p>
        </w:tc>
        <w:tc>
          <w:tcPr>
            <w:tcW w:w="3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8,423</w:t>
            </w:r>
          </w:p>
        </w:tc>
      </w:tr>
      <w:tr>
        <w:trPr>
          <w:trHeight w:val="257"/>
        </w:trPr>
        <w:tc>
          <w:tcPr>
            <w:tcW w:w="720" w:type="dxa"/>
            <w:vAlign w:val="bottom"/>
          </w:tcPr>
          <w:p>
            <w:pPr>
              <w:jc w:val="right"/>
              <w:ind w:right="143"/>
              <w:spacing w:after="0"/>
              <w:rPr>
                <w:sz w:val="20"/>
                <w:szCs w:val="20"/>
                <w:color w:val="auto"/>
              </w:rPr>
            </w:pPr>
            <w:r>
              <w:rPr>
                <w:rFonts w:ascii="Arial" w:cs="Arial" w:eastAsia="Arial" w:hAnsi="Arial"/>
                <w:sz w:val="15"/>
                <w:szCs w:val="15"/>
                <w:color w:val="auto"/>
                <w:w w:val="88"/>
              </w:rPr>
              <w:t>122,333</w:t>
            </w:r>
          </w:p>
        </w:tc>
        <w:tc>
          <w:tcPr>
            <w:tcW w:w="360" w:type="dxa"/>
            <w:vAlign w:val="bottom"/>
          </w:tcPr>
          <w:p>
            <w:pPr>
              <w:spacing w:after="0"/>
              <w:rPr>
                <w:sz w:val="22"/>
                <w:szCs w:val="22"/>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84,415</w:t>
            </w:r>
          </w:p>
        </w:tc>
      </w:tr>
      <w:tr>
        <w:trPr>
          <w:trHeight w:val="22"/>
        </w:trPr>
        <w:tc>
          <w:tcPr>
            <w:tcW w:w="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2"/>
        </w:trPr>
        <w:tc>
          <w:tcPr>
            <w:tcW w:w="720" w:type="dxa"/>
            <w:vAlign w:val="bottom"/>
          </w:tcPr>
          <w:p>
            <w:pPr>
              <w:jc w:val="right"/>
              <w:ind w:right="143"/>
              <w:spacing w:after="0"/>
              <w:rPr>
                <w:sz w:val="20"/>
                <w:szCs w:val="20"/>
                <w:color w:val="auto"/>
              </w:rPr>
            </w:pPr>
            <w:r>
              <w:rPr>
                <w:rFonts w:ascii="Arial" w:cs="Arial" w:eastAsia="Arial" w:hAnsi="Arial"/>
                <w:sz w:val="15"/>
                <w:szCs w:val="15"/>
                <w:color w:val="auto"/>
                <w:w w:val="88"/>
              </w:rPr>
              <w:t>164,637</w:t>
            </w:r>
          </w:p>
        </w:tc>
        <w:tc>
          <w:tcPr>
            <w:tcW w:w="360" w:type="dxa"/>
            <w:vAlign w:val="bottom"/>
          </w:tcPr>
          <w:p>
            <w:pPr>
              <w:spacing w:after="0"/>
              <w:rPr>
                <w:sz w:val="21"/>
                <w:szCs w:val="21"/>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112,532</w:t>
            </w:r>
          </w:p>
        </w:tc>
      </w:tr>
      <w:tr>
        <w:trPr>
          <w:trHeight w:val="270"/>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2,567</w:t>
            </w:r>
          </w:p>
        </w:tc>
        <w:tc>
          <w:tcPr>
            <w:tcW w:w="3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925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-337185</wp:posOffset>
            </wp:positionV>
            <wp:extent cx="8058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-1374775</wp:posOffset>
            </wp:positionV>
            <wp:extent cx="8058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56" w:lineRule="exact"/>
        <w:rPr>
          <w:sz w:val="20"/>
          <w:szCs w:val="20"/>
          <w:color w:val="auto"/>
        </w:rPr>
      </w:pPr>
    </w:p>
    <w:p>
      <w:pPr>
        <w:ind w:left="1860" w:hanging="1428"/>
        <w:spacing w:after="0"/>
        <w:tabs>
          <w:tab w:leader="none" w:pos="18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18</w:t>
      </w:r>
    </w:p>
    <w:p>
      <w:pPr>
        <w:spacing w:after="0" w:line="84" w:lineRule="exact"/>
        <w:rPr>
          <w:rFonts w:ascii="Arial" w:cs="Arial" w:eastAsia="Arial" w:hAnsi="Arial"/>
          <w:sz w:val="15"/>
          <w:szCs w:val="15"/>
          <w:color w:val="auto"/>
        </w:rPr>
      </w:pPr>
    </w:p>
    <w:p>
      <w:pPr>
        <w:ind w:left="240"/>
        <w:spacing w:after="0"/>
        <w:rPr>
          <w:rFonts w:ascii="Arial" w:cs="Arial" w:eastAsia="Arial" w:hAnsi="Arial"/>
          <w:sz w:val="15"/>
          <w:szCs w:val="15"/>
          <w:color w:val="auto"/>
        </w:rPr>
      </w:pPr>
      <w:r>
        <w:rPr>
          <w:rFonts w:ascii="Arial" w:cs="Arial" w:eastAsia="Arial" w:hAnsi="Arial"/>
          <w:sz w:val="15"/>
          <w:szCs w:val="15"/>
          <w:color w:val="auto"/>
        </w:rPr>
        <w:t>15,343</w:t>
      </w:r>
      <w:r>
        <w:rPr>
          <w:rFonts w:ascii="Arial" w:cs="Arial" w:eastAsia="Arial" w:hAnsi="Arial"/>
          <w:sz w:val="13"/>
          <w:szCs w:val="13"/>
          <w:color w:val="auto"/>
        </w:rPr>
        <w:t>16,499</w:t>
      </w:r>
    </w:p>
    <w:p>
      <w:pPr>
        <w:spacing w:after="0" w:line="98" w:lineRule="exact"/>
        <w:rPr>
          <w:sz w:val="20"/>
          <w:szCs w:val="20"/>
          <w:color w:val="auto"/>
        </w:rPr>
      </w:pPr>
    </w:p>
    <w:p>
      <w:pPr>
        <w:ind w:left="160"/>
        <w:spacing w:after="0"/>
        <w:tabs>
          <w:tab w:leader="none" w:pos="1840" w:val="left"/>
        </w:tabs>
        <w:rPr>
          <w:sz w:val="20"/>
          <w:szCs w:val="20"/>
          <w:color w:val="auto"/>
        </w:rPr>
      </w:pPr>
      <w:r>
        <w:rPr>
          <w:rFonts w:ascii="Arial" w:cs="Arial" w:eastAsia="Arial" w:hAnsi="Arial"/>
          <w:sz w:val="15"/>
          <w:szCs w:val="15"/>
          <w:color w:val="auto"/>
        </w:rPr>
        <w:t>216,858</w:t>
      </w:r>
      <w:r>
        <w:rPr>
          <w:sz w:val="20"/>
          <w:szCs w:val="20"/>
          <w:color w:val="auto"/>
        </w:rPr>
        <w:tab/>
      </w:r>
      <w:r>
        <w:rPr>
          <w:rFonts w:ascii="Arial" w:cs="Arial" w:eastAsia="Arial" w:hAnsi="Arial"/>
          <w:sz w:val="15"/>
          <w:szCs w:val="15"/>
          <w:color w:val="auto"/>
        </w:rPr>
        <w:t>—</w:t>
      </w:r>
    </w:p>
    <w:p>
      <w:pPr>
        <w:spacing w:after="0" w:line="98" w:lineRule="exact"/>
        <w:rPr>
          <w:sz w:val="20"/>
          <w:szCs w:val="20"/>
          <w:color w:val="auto"/>
        </w:rPr>
      </w:pPr>
    </w:p>
    <w:p>
      <w:pPr>
        <w:ind w:left="240"/>
        <w:spacing w:after="0"/>
        <w:tabs>
          <w:tab w:leader="none" w:pos="1580" w:val="left"/>
        </w:tabs>
        <w:rPr>
          <w:sz w:val="20"/>
          <w:szCs w:val="20"/>
          <w:color w:val="auto"/>
        </w:rPr>
      </w:pPr>
      <w:r>
        <w:rPr>
          <w:rFonts w:ascii="Arial" w:cs="Arial" w:eastAsia="Arial" w:hAnsi="Arial"/>
          <w:sz w:val="15"/>
          <w:szCs w:val="15"/>
          <w:color w:val="auto"/>
        </w:rPr>
        <w:t>69,399</w:t>
      </w:r>
      <w:r>
        <w:rPr>
          <w:sz w:val="20"/>
          <w:szCs w:val="20"/>
          <w:color w:val="auto"/>
        </w:rPr>
        <w:tab/>
      </w:r>
      <w:r>
        <w:rPr>
          <w:rFonts w:ascii="Arial" w:cs="Arial" w:eastAsia="Arial" w:hAnsi="Arial"/>
          <w:sz w:val="15"/>
          <w:szCs w:val="15"/>
          <w:color w:val="auto"/>
        </w:rPr>
        <w:t>55,213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27305</wp:posOffset>
            </wp:positionV>
            <wp:extent cx="1663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8" w:lineRule="exact"/>
        <w:rPr>
          <w:sz w:val="20"/>
          <w:szCs w:val="20"/>
          <w:color w:val="auto"/>
        </w:rPr>
      </w:pPr>
    </w:p>
    <w:p>
      <w:pPr>
        <w:ind w:left="160"/>
        <w:spacing w:after="0"/>
        <w:tabs>
          <w:tab w:leader="none" w:pos="1500" w:val="left"/>
        </w:tabs>
        <w:rPr>
          <w:sz w:val="20"/>
          <w:szCs w:val="20"/>
          <w:color w:val="auto"/>
        </w:rPr>
      </w:pPr>
      <w:r>
        <w:rPr>
          <w:rFonts w:ascii="Arial" w:cs="Arial" w:eastAsia="Arial" w:hAnsi="Arial"/>
          <w:sz w:val="15"/>
          <w:szCs w:val="15"/>
          <w:color w:val="auto"/>
        </w:rPr>
        <w:t>468,910</w:t>
      </w:r>
      <w:r>
        <w:rPr>
          <w:sz w:val="20"/>
          <w:szCs w:val="20"/>
          <w:color w:val="auto"/>
        </w:rPr>
        <w:tab/>
      </w:r>
      <w:r>
        <w:rPr>
          <w:rFonts w:ascii="Arial" w:cs="Arial" w:eastAsia="Arial" w:hAnsi="Arial"/>
          <w:sz w:val="15"/>
          <w:szCs w:val="15"/>
          <w:color w:val="auto"/>
        </w:rPr>
        <w:t>185,187</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00"/>
        <w:spacing w:after="0"/>
        <w:tabs>
          <w:tab w:leader="none" w:pos="1840" w:val="left"/>
        </w:tabs>
        <w:rPr>
          <w:sz w:val="20"/>
          <w:szCs w:val="20"/>
          <w:color w:val="auto"/>
        </w:rPr>
      </w:pPr>
      <w:r>
        <w:rPr>
          <w:rFonts w:ascii="Arial" w:cs="Arial" w:eastAsia="Arial" w:hAnsi="Arial"/>
          <w:sz w:val="15"/>
          <w:szCs w:val="15"/>
          <w:color w:val="auto"/>
        </w:rPr>
        <w:t>36</w:t>
      </w:r>
      <w:r>
        <w:rPr>
          <w:sz w:val="20"/>
          <w:szCs w:val="20"/>
          <w:color w:val="auto"/>
        </w:rPr>
        <w:tab/>
      </w:r>
      <w:r>
        <w:rPr>
          <w:rFonts w:ascii="Arial" w:cs="Arial" w:eastAsia="Arial" w:hAnsi="Arial"/>
          <w:sz w:val="15"/>
          <w:szCs w:val="15"/>
          <w:color w:val="auto"/>
        </w:rPr>
        <w:t>13</w:t>
      </w:r>
    </w:p>
    <w:p>
      <w:pPr>
        <w:spacing w:after="0" w:line="368" w:lineRule="exact"/>
        <w:rPr>
          <w:sz w:val="20"/>
          <w:szCs w:val="20"/>
          <w:color w:val="auto"/>
        </w:rPr>
      </w:pPr>
    </w:p>
    <w:p>
      <w:pPr>
        <w:ind w:left="1860" w:hanging="1352"/>
        <w:spacing w:after="0"/>
        <w:tabs>
          <w:tab w:leader="none" w:pos="18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38</w:t>
      </w:r>
    </w:p>
    <w:p>
      <w:pPr>
        <w:spacing w:after="0" w:line="97" w:lineRule="exact"/>
        <w:rPr>
          <w:rFonts w:ascii="Arial" w:cs="Arial" w:eastAsia="Arial" w:hAnsi="Arial"/>
          <w:sz w:val="15"/>
          <w:szCs w:val="15"/>
          <w:color w:val="auto"/>
        </w:rPr>
      </w:pPr>
    </w:p>
    <w:p>
      <w:pPr>
        <w:ind w:left="160"/>
        <w:spacing w:after="0"/>
        <w:rPr>
          <w:rFonts w:ascii="Arial" w:cs="Arial" w:eastAsia="Arial" w:hAnsi="Arial"/>
          <w:sz w:val="15"/>
          <w:szCs w:val="15"/>
          <w:color w:val="auto"/>
        </w:rPr>
      </w:pPr>
      <w:r>
        <w:rPr>
          <w:rFonts w:ascii="Arial" w:cs="Arial" w:eastAsia="Arial" w:hAnsi="Arial"/>
          <w:sz w:val="15"/>
          <w:szCs w:val="15"/>
          <w:color w:val="auto"/>
        </w:rPr>
        <w:t>754,612</w:t>
      </w:r>
      <w:r>
        <w:rPr>
          <w:rFonts w:ascii="Arial" w:cs="Arial" w:eastAsia="Arial" w:hAnsi="Arial"/>
          <w:sz w:val="13"/>
          <w:szCs w:val="13"/>
          <w:color w:val="auto"/>
        </w:rPr>
        <w:t>638,680</w:t>
      </w:r>
    </w:p>
    <w:p>
      <w:pPr>
        <w:spacing w:after="0" w:line="98" w:lineRule="exact"/>
        <w:rPr>
          <w:sz w:val="20"/>
          <w:szCs w:val="20"/>
          <w:color w:val="auto"/>
        </w:rPr>
      </w:pPr>
    </w:p>
    <w:p>
      <w:pPr>
        <w:ind w:left="260"/>
        <w:spacing w:after="0"/>
        <w:tabs>
          <w:tab w:leader="none" w:pos="1600" w:val="left"/>
        </w:tabs>
        <w:rPr>
          <w:sz w:val="20"/>
          <w:szCs w:val="20"/>
          <w:color w:val="auto"/>
        </w:rPr>
      </w:pPr>
      <w:r>
        <w:rPr>
          <w:rFonts w:ascii="Arial" w:cs="Arial" w:eastAsia="Arial" w:hAnsi="Arial"/>
          <w:sz w:val="15"/>
          <w:szCs w:val="15"/>
          <w:color w:val="auto"/>
        </w:rPr>
        <w:t>(1,319)</w:t>
      </w:r>
      <w:r>
        <w:rPr>
          <w:sz w:val="20"/>
          <w:szCs w:val="20"/>
          <w:color w:val="auto"/>
        </w:rPr>
        <w:tab/>
      </w:r>
      <w:r>
        <w:rPr>
          <w:rFonts w:ascii="Arial" w:cs="Arial" w:eastAsia="Arial" w:hAnsi="Arial"/>
          <w:sz w:val="15"/>
          <w:szCs w:val="15"/>
          <w:color w:val="auto"/>
        </w:rPr>
        <w:t>(1,319)</w:t>
      </w:r>
    </w:p>
    <w:p>
      <w:pPr>
        <w:spacing w:after="0" w:line="98" w:lineRule="exact"/>
        <w:rPr>
          <w:sz w:val="20"/>
          <w:szCs w:val="20"/>
          <w:color w:val="auto"/>
        </w:rPr>
      </w:pPr>
    </w:p>
    <w:p>
      <w:pPr>
        <w:ind w:left="1740" w:hanging="1359"/>
        <w:spacing w:after="0"/>
        <w:tabs>
          <w:tab w:leader="none" w:pos="17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(159)</w:t>
      </w:r>
    </w:p>
    <w:p>
      <w:pPr>
        <w:spacing w:after="0" w:line="84" w:lineRule="exact"/>
        <w:rPr>
          <w:rFonts w:ascii="Arial" w:cs="Arial" w:eastAsia="Arial" w:hAnsi="Arial"/>
          <w:sz w:val="15"/>
          <w:szCs w:val="15"/>
          <w:color w:val="auto"/>
        </w:rPr>
      </w:pPr>
    </w:p>
    <w:p>
      <w:pPr>
        <w:ind w:left="120"/>
        <w:spacing w:after="0"/>
        <w:rPr>
          <w:rFonts w:ascii="Arial" w:cs="Arial" w:eastAsia="Arial" w:hAnsi="Arial"/>
          <w:sz w:val="15"/>
          <w:szCs w:val="15"/>
          <w:color w:val="auto"/>
        </w:rPr>
      </w:pPr>
      <w:r>
        <w:rPr>
          <w:rFonts w:ascii="Arial" w:cs="Arial" w:eastAsia="Arial" w:hAnsi="Arial"/>
          <w:sz w:val="15"/>
          <w:szCs w:val="15"/>
          <w:color w:val="auto"/>
        </w:rPr>
        <w:t>(488,607)</w:t>
      </w:r>
      <w:r>
        <w:rPr>
          <w:rFonts w:ascii="Arial" w:cs="Arial" w:eastAsia="Arial" w:hAnsi="Arial"/>
          <w:sz w:val="14"/>
          <w:szCs w:val="14"/>
          <w:color w:val="auto"/>
        </w:rPr>
        <w:t>(389,596)</w:t>
      </w:r>
    </w:p>
    <w:p>
      <w:pPr>
        <w:spacing w:after="0" w:line="23" w:lineRule="exact"/>
        <w:rPr>
          <w:sz w:val="20"/>
          <w:szCs w:val="20"/>
          <w:color w:val="auto"/>
        </w:rPr>
      </w:pPr>
    </w:p>
    <w:p>
      <w:pPr>
        <w:sectPr>
          <w:pgSz w:w="11900" w:h="16838" w:orient="portrait"/>
          <w:cols w:equalWidth="0" w:num="2">
            <w:col w:w="8900" w:space="400"/>
            <w:col w:w="2120"/>
          </w:cols>
          <w:pgMar w:left="240" w:top="122" w:right="239" w:bottom="1440" w:gutter="0" w:footer="0" w:header="0"/>
        </w:sectPr>
      </w:pPr>
    </w:p>
    <w:tbl>
      <w:tblPr>
        <w:tblLayout w:type="fixed"/>
        <w:tblInd w:w="0" w:type="dxa"/>
        <w:tblCellMar>
          <w:top w:w="0" w:type="dxa"/>
          <w:left w:w="0" w:type="dxa"/>
          <w:bottom w:w="0" w:type="dxa"/>
          <w:right w:w="0" w:type="dxa"/>
        </w:tblCellMar>
      </w:tblPr>
      <w:tr>
        <w:trPr>
          <w:trHeight w:val="270"/>
        </w:trPr>
        <w:tc>
          <w:tcPr>
            <w:tcW w:w="8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stockholders’ equity</w:t>
            </w:r>
          </w:p>
        </w:tc>
        <w:tc>
          <w:tcPr>
            <w:tcW w:w="380" w:type="dxa"/>
            <w:vAlign w:val="bottom"/>
            <w:tcBorders>
              <w:top w:val="single" w:sz="8" w:color="auto"/>
              <w:bottom w:val="single" w:sz="8" w:color="CCEEFF"/>
            </w:tcBorders>
            <w:shd w:val="clear" w:color="auto" w:fill="CCEEFF"/>
          </w:tcPr>
          <w:p>
            <w:pPr>
              <w:spacing w:after="0"/>
              <w:rPr>
                <w:sz w:val="23"/>
                <w:szCs w:val="23"/>
                <w:color w:val="auto"/>
              </w:rPr>
            </w:pPr>
          </w:p>
        </w:tc>
        <w:tc>
          <w:tcPr>
            <w:tcW w:w="88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264,566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spacing w:after="0"/>
              <w:rPr>
                <w:sz w:val="23"/>
                <w:szCs w:val="23"/>
                <w:color w:val="auto"/>
              </w:rPr>
            </w:pPr>
          </w:p>
        </w:tc>
        <w:tc>
          <w:tcPr>
            <w:tcW w:w="88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247,657</w:t>
            </w:r>
          </w:p>
        </w:tc>
      </w:tr>
      <w:tr>
        <w:trPr>
          <w:trHeight w:val="202"/>
        </w:trPr>
        <w:tc>
          <w:tcPr>
            <w:tcW w:w="8800" w:type="dxa"/>
            <w:vAlign w:val="bottom"/>
          </w:tcPr>
          <w:p>
            <w:pPr>
              <w:ind w:left="20"/>
              <w:spacing w:after="0"/>
              <w:rPr>
                <w:sz w:val="20"/>
                <w:szCs w:val="20"/>
                <w:color w:val="auto"/>
              </w:rPr>
            </w:pPr>
            <w:r>
              <w:rPr>
                <w:rFonts w:ascii="Arial" w:cs="Arial" w:eastAsia="Arial" w:hAnsi="Arial"/>
                <w:sz w:val="15"/>
                <w:szCs w:val="15"/>
                <w:color w:val="auto"/>
              </w:rPr>
              <w:t>Total liabilities and stockholders’ equity</w:t>
            </w:r>
          </w:p>
        </w:tc>
        <w:tc>
          <w:tcPr>
            <w:tcW w:w="380" w:type="dxa"/>
            <w:vAlign w:val="bottom"/>
            <w:tcBorders>
              <w:top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733,476</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432,844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22225</wp:posOffset>
            </wp:positionV>
            <wp:extent cx="166370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63700" cy="2603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 See Note 2 for a summary of adjustments.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2" w:right="239" w:bottom="1440" w:gutter="0" w:footer="0" w:header="0"/>
          <w:type w:val="continuous"/>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January 31,</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2"/>
              <w:spacing w:after="0" w:line="147"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512"/>
              <w:spacing w:after="0" w:line="147"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6"/>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*As Adjusted</w:t>
            </w:r>
          </w:p>
        </w:tc>
        <w:tc>
          <w:tcPr>
            <w:tcW w:w="220" w:type="dxa"/>
            <w:vAlign w:val="bottom"/>
          </w:tcPr>
          <w:p>
            <w:pPr>
              <w:spacing w:after="0"/>
              <w:rPr>
                <w:sz w:val="16"/>
                <w:szCs w:val="16"/>
                <w:color w:val="auto"/>
              </w:rPr>
            </w:pPr>
          </w:p>
        </w:tc>
        <w:tc>
          <w:tcPr>
            <w:tcW w:w="1260" w:type="dxa"/>
            <w:vAlign w:val="bottom"/>
          </w:tcPr>
          <w:p>
            <w:pPr>
              <w:jc w:val="right"/>
              <w:ind w:right="232"/>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6"/>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Subscription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248,391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151,853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104,033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18,625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14,175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10,772</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267,016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166,028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114,805</w:t>
            </w:r>
          </w:p>
        </w:tc>
        <w:tc>
          <w:tcPr>
            <w:tcW w:w="0" w:type="dxa"/>
            <w:vAlign w:val="bottom"/>
          </w:tcPr>
          <w:p>
            <w:pPr>
              <w:spacing w:after="0"/>
              <w:rPr>
                <w:sz w:val="1"/>
                <w:szCs w:val="1"/>
                <w:color w:val="auto"/>
              </w:rPr>
            </w:pPr>
          </w:p>
        </w:tc>
      </w:tr>
      <w:tr>
        <w:trPr>
          <w:trHeight w:val="41"/>
        </w:trPr>
        <w:tc>
          <w:tcPr>
            <w:tcW w:w="67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Subscription</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56,255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30,766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19,352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17,313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12,093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10,515</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73,568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42,859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29,867</w:t>
            </w:r>
          </w:p>
        </w:tc>
        <w:tc>
          <w:tcPr>
            <w:tcW w:w="0" w:type="dxa"/>
            <w:vAlign w:val="bottom"/>
          </w:tcPr>
          <w:p>
            <w:pPr>
              <w:spacing w:after="0"/>
              <w:rPr>
                <w:sz w:val="1"/>
                <w:szCs w:val="1"/>
                <w:color w:val="auto"/>
              </w:rPr>
            </w:pPr>
          </w:p>
        </w:tc>
      </w:tr>
      <w:tr>
        <w:trPr>
          <w:trHeight w:val="41"/>
        </w:trPr>
        <w:tc>
          <w:tcPr>
            <w:tcW w:w="67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193,448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84,938</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148,296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109,073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75,413</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89,854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62,202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51,772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53,063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36,775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27,082</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291,213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208,050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154,267</w:t>
            </w:r>
          </w:p>
        </w:tc>
        <w:tc>
          <w:tcPr>
            <w:tcW w:w="0" w:type="dxa"/>
            <w:vAlign w:val="bottom"/>
          </w:tcPr>
          <w:p>
            <w:pPr>
              <w:spacing w:after="0"/>
              <w:rPr>
                <w:sz w:val="1"/>
                <w:szCs w:val="1"/>
                <w:color w:val="auto"/>
              </w:rPr>
            </w:pPr>
          </w:p>
        </w:tc>
      </w:tr>
      <w:tr>
        <w:trPr>
          <w:trHeight w:val="41"/>
        </w:trPr>
        <w:tc>
          <w:tcPr>
            <w:tcW w:w="67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(69,329)</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color w:val="auto"/>
              </w:rPr>
              <w:t>Loss before provision for (benefit from) income taxes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(82,686)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(69,344)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50"/>
        </w:trPr>
        <w:tc>
          <w:tcPr>
            <w:tcW w:w="6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(99,011)</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(83,973)</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(70,063)</w:t>
            </w:r>
          </w:p>
        </w:tc>
        <w:tc>
          <w:tcPr>
            <w:tcW w:w="0" w:type="dxa"/>
            <w:vAlign w:val="bottom"/>
          </w:tcPr>
          <w:p>
            <w:pPr>
              <w:spacing w:after="0"/>
              <w:rPr>
                <w:sz w:val="1"/>
                <w:szCs w:val="1"/>
                <w:color w:val="auto"/>
              </w:rPr>
            </w:pPr>
          </w:p>
        </w:tc>
      </w:tr>
      <w:tr>
        <w:trPr>
          <w:trHeight w:val="81"/>
        </w:trPr>
        <w:tc>
          <w:tcPr>
            <w:tcW w:w="674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36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52,034,596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23,718,391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12,211,711</w:t>
            </w: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color w:val="auto"/>
        </w:rPr>
        <w:t>* See Note 2 for a summary of adjustments.</w:t>
      </w:r>
    </w:p>
    <w:p>
      <w:pPr>
        <w:spacing w:after="0" w:line="63"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January 31,</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5"/>
              <w:spacing w:after="0" w:line="147"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515"/>
              <w:spacing w:after="0" w:line="147"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6"/>
        </w:trPr>
        <w:tc>
          <w:tcPr>
            <w:tcW w:w="6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*As Adjusted</w:t>
            </w:r>
          </w:p>
        </w:tc>
        <w:tc>
          <w:tcPr>
            <w:tcW w:w="220" w:type="dxa"/>
            <w:vAlign w:val="bottom"/>
          </w:tcPr>
          <w:p>
            <w:pPr>
              <w:spacing w:after="0"/>
              <w:rPr>
                <w:sz w:val="16"/>
                <w:szCs w:val="16"/>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6"/>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(99,011)</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(70,063)</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Unrealized gain (loss) on available-for-sale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
        </w:trPr>
        <w:tc>
          <w:tcPr>
            <w:tcW w:w="67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(99,026)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(83,768)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34290</wp:posOffset>
            </wp:positionV>
            <wp:extent cx="296735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67355" cy="26035"/>
                    </a:xfrm>
                    <a:prstGeom prst="rect">
                      <a:avLst/>
                    </a:prstGeom>
                    <a:noFill/>
                  </pic:spPr>
                </pic:pic>
              </a:graphicData>
            </a:graphic>
          </wp:anchor>
        </w:drawing>
      </w:r>
    </w:p>
    <w:p>
      <w:pPr>
        <w:spacing w:after="0" w:line="114" w:lineRule="exact"/>
        <w:rPr>
          <w:sz w:val="20"/>
          <w:szCs w:val="20"/>
          <w:color w:val="auto"/>
        </w:rPr>
      </w:pPr>
    </w:p>
    <w:p>
      <w:pPr>
        <w:ind w:left="80"/>
        <w:spacing w:after="0"/>
        <w:rPr>
          <w:sz w:val="20"/>
          <w:szCs w:val="20"/>
          <w:color w:val="auto"/>
        </w:rPr>
      </w:pPr>
      <w:r>
        <w:rPr>
          <w:rFonts w:ascii="Arial" w:cs="Arial" w:eastAsia="Arial" w:hAnsi="Arial"/>
          <w:sz w:val="18"/>
          <w:szCs w:val="18"/>
          <w:color w:val="auto"/>
        </w:rPr>
        <w:t>* See Note 2 for a summary of adjustments.</w:t>
      </w:r>
    </w:p>
    <w:p>
      <w:pPr>
        <w:spacing w:after="0" w:line="63"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 OF REDEEMABLE CONVERTIBLE PREFERRED STOCK AND STOCKHOLDERS’ EQUITY (DEFICIT)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8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6"/>
              </w:rPr>
              <w:t>Redeemable</w:t>
            </w:r>
          </w:p>
        </w:tc>
        <w:tc>
          <w:tcPr>
            <w:tcW w:w="182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5"/>
              </w:rPr>
              <w:t>Class A and</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73"/>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0"/>
        </w:trPr>
        <w:tc>
          <w:tcPr>
            <w:tcW w:w="3200" w:type="dxa"/>
            <w:vAlign w:val="bottom"/>
          </w:tcPr>
          <w:p>
            <w:pPr>
              <w:spacing w:after="0"/>
              <w:rPr>
                <w:sz w:val="12"/>
                <w:szCs w:val="12"/>
                <w:color w:val="auto"/>
              </w:rPr>
            </w:pPr>
          </w:p>
        </w:tc>
        <w:tc>
          <w:tcPr>
            <w:tcW w:w="1880" w:type="dxa"/>
            <w:vAlign w:val="bottom"/>
            <w:gridSpan w:val="5"/>
          </w:tcPr>
          <w:p>
            <w:pPr>
              <w:jc w:val="center"/>
              <w:ind w:right="120"/>
              <w:spacing w:after="0" w:line="140" w:lineRule="exact"/>
              <w:rPr>
                <w:sz w:val="20"/>
                <w:szCs w:val="20"/>
                <w:color w:val="auto"/>
              </w:rPr>
            </w:pPr>
            <w:r>
              <w:rPr>
                <w:rFonts w:ascii="Arial" w:cs="Arial" w:eastAsia="Arial" w:hAnsi="Arial"/>
                <w:sz w:val="13"/>
                <w:szCs w:val="13"/>
                <w:b w:val="1"/>
                <w:bCs w:val="1"/>
                <w:color w:val="auto"/>
                <w:w w:val="89"/>
              </w:rPr>
              <w:t>Convertible</w:t>
            </w:r>
          </w:p>
        </w:tc>
        <w:tc>
          <w:tcPr>
            <w:tcW w:w="1080" w:type="dxa"/>
            <w:vAlign w:val="bottom"/>
            <w:gridSpan w:val="3"/>
          </w:tcPr>
          <w:p>
            <w:pPr>
              <w:jc w:val="center"/>
              <w:ind w:left="573"/>
              <w:spacing w:after="0" w:line="140" w:lineRule="exact"/>
              <w:rPr>
                <w:sz w:val="20"/>
                <w:szCs w:val="20"/>
                <w:color w:val="auto"/>
              </w:rPr>
            </w:pPr>
            <w:r>
              <w:rPr>
                <w:rFonts w:ascii="Arial" w:cs="Arial" w:eastAsia="Arial" w:hAnsi="Arial"/>
                <w:sz w:val="13"/>
                <w:szCs w:val="13"/>
                <w:b w:val="1"/>
                <w:bCs w:val="1"/>
                <w:color w:val="auto"/>
                <w:w w:val="83"/>
              </w:rPr>
              <w:t>Class B</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880" w:type="dxa"/>
            <w:vAlign w:val="bottom"/>
            <w:gridSpan w:val="5"/>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Preferred Stock</w:t>
            </w:r>
          </w:p>
        </w:tc>
        <w:tc>
          <w:tcPr>
            <w:tcW w:w="1820" w:type="dxa"/>
            <w:vAlign w:val="bottom"/>
            <w:gridSpan w:val="5"/>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Common Stock</w:t>
            </w: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8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1"/>
                <w:szCs w:val="11"/>
                <w:color w:val="auto"/>
              </w:rPr>
            </w:pPr>
          </w:p>
        </w:tc>
        <w:tc>
          <w:tcPr>
            <w:tcW w:w="660" w:type="dxa"/>
            <w:vAlign w:val="bottom"/>
          </w:tcPr>
          <w:p>
            <w:pPr>
              <w:jc w:val="center"/>
              <w:ind w:right="73"/>
              <w:spacing w:after="0" w:line="135"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restart"/>
          </w:tcPr>
          <w:p>
            <w:pPr>
              <w:jc w:val="center"/>
              <w:ind w:right="200"/>
              <w:spacing w:after="0" w:line="144" w:lineRule="exact"/>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4"/>
                <w:szCs w:val="4"/>
                <w:color w:val="auto"/>
              </w:rPr>
            </w:pPr>
          </w:p>
        </w:tc>
        <w:tc>
          <w:tcPr>
            <w:tcW w:w="780" w:type="dxa"/>
            <w:vAlign w:val="bottom"/>
            <w:gridSpan w:val="2"/>
            <w:vMerge w:val="restart"/>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Treasury</w:t>
            </w:r>
          </w:p>
        </w:tc>
        <w:tc>
          <w:tcPr>
            <w:tcW w:w="1000" w:type="dxa"/>
            <w:vAlign w:val="bottom"/>
            <w:gridSpan w:val="3"/>
            <w:vMerge w:val="restart"/>
          </w:tcPr>
          <w:p>
            <w:pPr>
              <w:jc w:val="center"/>
              <w:ind w:right="120"/>
              <w:spacing w:after="0" w:line="144"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4"/>
                <w:szCs w:val="4"/>
                <w:color w:val="auto"/>
              </w:rPr>
            </w:pPr>
          </w:p>
        </w:tc>
        <w:tc>
          <w:tcPr>
            <w:tcW w:w="740" w:type="dxa"/>
            <w:vAlign w:val="bottom"/>
            <w:gridSpan w:val="2"/>
            <w:vMerge w:val="restart"/>
          </w:tcPr>
          <w:p>
            <w:pPr>
              <w:ind w:left="80"/>
              <w:spacing w:after="0" w:line="144" w:lineRule="exact"/>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4"/>
                <w:szCs w:val="4"/>
                <w:color w:val="auto"/>
              </w:rPr>
            </w:pPr>
          </w:p>
        </w:tc>
        <w:tc>
          <w:tcPr>
            <w:tcW w:w="660" w:type="dxa"/>
            <w:vAlign w:val="bottom"/>
            <w:vMerge w:val="restart"/>
          </w:tcPr>
          <w:p>
            <w:pPr>
              <w:jc w:val="center"/>
              <w:ind w:right="73"/>
              <w:spacing w:after="0" w:line="144" w:lineRule="exact"/>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70"/>
        </w:trPr>
        <w:tc>
          <w:tcPr>
            <w:tcW w:w="3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3200" w:type="dxa"/>
            <w:vAlign w:val="bottom"/>
          </w:tcPr>
          <w:p>
            <w:pPr>
              <w:spacing w:after="0"/>
              <w:rPr>
                <w:sz w:val="14"/>
                <w:szCs w:val="14"/>
                <w:color w:val="auto"/>
              </w:rPr>
            </w:pPr>
          </w:p>
        </w:tc>
        <w:tc>
          <w:tcPr>
            <w:tcW w:w="94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92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Stock</w:t>
            </w:r>
          </w:p>
        </w:tc>
        <w:tc>
          <w:tcPr>
            <w:tcW w:w="18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78"/>
              </w:rPr>
              <w:t>Loss</w:t>
            </w: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rPr>
              <w:t>*As Adjusted</w:t>
            </w: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*As Adjusted</w:t>
            </w:r>
          </w:p>
        </w:tc>
        <w:tc>
          <w:tcPr>
            <w:tcW w:w="0" w:type="dxa"/>
            <w:vAlign w:val="bottom"/>
          </w:tcPr>
          <w:p>
            <w:pPr>
              <w:spacing w:after="0"/>
              <w:rPr>
                <w:sz w:val="1"/>
                <w:szCs w:val="1"/>
                <w:color w:val="auto"/>
              </w:rPr>
            </w:pPr>
          </w:p>
        </w:tc>
      </w:tr>
      <w:tr>
        <w:trPr>
          <w:trHeight w:val="30"/>
        </w:trPr>
        <w:tc>
          <w:tcPr>
            <w:tcW w:w="3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200" w:type="dxa"/>
            <w:vAlign w:val="bottom"/>
            <w:shd w:val="clear" w:color="auto" w:fill="CCEEFF"/>
          </w:tcPr>
          <w:p>
            <w:pPr>
              <w:jc w:val="center"/>
              <w:ind w:right="1252"/>
              <w:spacing w:after="0"/>
              <w:rPr>
                <w:sz w:val="20"/>
                <w:szCs w:val="20"/>
                <w:color w:val="auto"/>
              </w:rPr>
            </w:pPr>
            <w:r>
              <w:rPr>
                <w:rFonts w:ascii="Arial" w:cs="Arial" w:eastAsia="Arial" w:hAnsi="Arial"/>
                <w:sz w:val="14"/>
                <w:szCs w:val="14"/>
                <w:b w:val="1"/>
                <w:bCs w:val="1"/>
                <w:color w:val="auto"/>
                <w:w w:val="85"/>
              </w:rPr>
              <w:t>Balances as of January 31, 2016</w:t>
            </w:r>
          </w:p>
        </w:tc>
        <w:tc>
          <w:tcPr>
            <w:tcW w:w="82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w w:val="96"/>
              </w:rPr>
              <w:t>39,055,497</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310,315</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w w:val="96"/>
              </w:rPr>
              <w:t>11,565,764</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32,422</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(1,319)</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(259,269)</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w w:val="93"/>
              </w:rPr>
              <w:t>(228,505)</w:t>
            </w:r>
          </w:p>
        </w:tc>
        <w:tc>
          <w:tcPr>
            <w:tcW w:w="0" w:type="dxa"/>
            <w:vAlign w:val="bottom"/>
          </w:tcPr>
          <w:p>
            <w:pPr>
              <w:spacing w:after="0"/>
              <w:rPr>
                <w:sz w:val="1"/>
                <w:szCs w:val="1"/>
                <w:color w:val="auto"/>
              </w:rPr>
            </w:pPr>
          </w:p>
        </w:tc>
      </w:tr>
      <w:tr>
        <w:trPr>
          <w:trHeight w:val="82"/>
        </w:trPr>
        <w:tc>
          <w:tcPr>
            <w:tcW w:w="3200" w:type="dxa"/>
            <w:vAlign w:val="bottom"/>
            <w:shd w:val="clear" w:color="auto" w:fill="CCEEFF"/>
          </w:tcPr>
          <w:p>
            <w:pPr>
              <w:spacing w:after="0"/>
              <w:rPr>
                <w:sz w:val="7"/>
                <w:szCs w:val="7"/>
                <w:color w:val="auto"/>
              </w:rPr>
            </w:pPr>
          </w:p>
        </w:tc>
        <w:tc>
          <w:tcPr>
            <w:tcW w:w="8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200"/>
              <w:spacing w:after="0"/>
              <w:rPr>
                <w:sz w:val="20"/>
                <w:szCs w:val="20"/>
                <w:color w:val="auto"/>
              </w:rPr>
            </w:pPr>
            <w:r>
              <w:rPr>
                <w:rFonts w:ascii="Arial" w:cs="Arial" w:eastAsia="Arial" w:hAnsi="Arial"/>
                <w:sz w:val="14"/>
                <w:szCs w:val="14"/>
                <w:color w:val="auto"/>
              </w:rPr>
              <w:t>Cumulative effect of accounting change</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1,451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vMerge w:val="restart"/>
          </w:tcPr>
          <w:p>
            <w:pPr>
              <w:jc w:val="right"/>
              <w:ind w:right="33"/>
              <w:spacing w:after="0"/>
              <w:rPr>
                <w:sz w:val="20"/>
                <w:szCs w:val="20"/>
                <w:color w:val="auto"/>
              </w:rPr>
            </w:pPr>
            <w:r>
              <w:rPr>
                <w:rFonts w:ascii="Arial" w:cs="Arial" w:eastAsia="Arial" w:hAnsi="Arial"/>
                <w:sz w:val="14"/>
                <w:szCs w:val="14"/>
                <w:color w:val="auto"/>
              </w:rPr>
              <w:t>23,709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53"/>
              <w:spacing w:after="0"/>
              <w:rPr>
                <w:sz w:val="20"/>
                <w:szCs w:val="20"/>
                <w:color w:val="auto"/>
              </w:rPr>
            </w:pPr>
            <w:r>
              <w:rPr>
                <w:rFonts w:ascii="Arial" w:cs="Arial" w:eastAsia="Arial" w:hAnsi="Arial"/>
                <w:sz w:val="14"/>
                <w:szCs w:val="14"/>
                <w:color w:val="auto"/>
              </w:rPr>
              <w:t>25,160</w:t>
            </w:r>
          </w:p>
        </w:tc>
        <w:tc>
          <w:tcPr>
            <w:tcW w:w="0" w:type="dxa"/>
            <w:vAlign w:val="bottom"/>
          </w:tcPr>
          <w:p>
            <w:pPr>
              <w:spacing w:after="0"/>
              <w:rPr>
                <w:sz w:val="1"/>
                <w:szCs w:val="1"/>
                <w:color w:val="auto"/>
              </w:rPr>
            </w:pPr>
          </w:p>
        </w:tc>
      </w:tr>
      <w:tr>
        <w:trPr>
          <w:trHeight w:val="75"/>
        </w:trPr>
        <w:tc>
          <w:tcPr>
            <w:tcW w:w="32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6"/>
              </w:rPr>
              <w:t>Proceeds from Series F financing, net of issuance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costs of $58</w:t>
            </w: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2,092,785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34,942</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200" w:type="dxa"/>
            <w:vAlign w:val="bottom"/>
          </w:tcPr>
          <w:p>
            <w:pPr>
              <w:ind w:left="200"/>
              <w:spacing w:after="0"/>
              <w:rPr>
                <w:sz w:val="20"/>
                <w:szCs w:val="20"/>
                <w:color w:val="auto"/>
              </w:rPr>
            </w:pPr>
            <w:r>
              <w:rPr>
                <w:rFonts w:ascii="Arial" w:cs="Arial" w:eastAsia="Arial" w:hAnsi="Arial"/>
                <w:sz w:val="14"/>
                <w:szCs w:val="14"/>
                <w:color w:val="auto"/>
              </w:rPr>
              <w:t>Stock option exercises</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53"/>
              <w:spacing w:after="0"/>
              <w:rPr>
                <w:sz w:val="20"/>
                <w:szCs w:val="20"/>
                <w:color w:val="auto"/>
              </w:rPr>
            </w:pPr>
            <w:r>
              <w:rPr>
                <w:rFonts w:ascii="Arial" w:cs="Arial" w:eastAsia="Arial" w:hAnsi="Arial"/>
                <w:sz w:val="14"/>
                <w:szCs w:val="14"/>
                <w:color w:val="auto"/>
              </w:rPr>
              <w:t>1,534,211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ind w:right="33"/>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6,777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vMerge w:val="restart"/>
          </w:tcPr>
          <w:p>
            <w:pPr>
              <w:jc w:val="right"/>
              <w:ind w:right="53"/>
              <w:spacing w:after="0"/>
              <w:rPr>
                <w:sz w:val="20"/>
                <w:szCs w:val="20"/>
                <w:color w:val="auto"/>
              </w:rPr>
            </w:pPr>
            <w:r>
              <w:rPr>
                <w:rFonts w:ascii="Arial" w:cs="Arial" w:eastAsia="Arial" w:hAnsi="Arial"/>
                <w:sz w:val="14"/>
                <w:szCs w:val="14"/>
                <w:color w:val="auto"/>
              </w:rPr>
              <w:t>6,778</w:t>
            </w:r>
          </w:p>
        </w:tc>
        <w:tc>
          <w:tcPr>
            <w:tcW w:w="0" w:type="dxa"/>
            <w:vAlign w:val="bottom"/>
          </w:tcPr>
          <w:p>
            <w:pPr>
              <w:spacing w:after="0"/>
              <w:rPr>
                <w:sz w:val="1"/>
                <w:szCs w:val="1"/>
                <w:color w:val="auto"/>
              </w:rPr>
            </w:pPr>
          </w:p>
        </w:tc>
      </w:tr>
      <w:tr>
        <w:trPr>
          <w:trHeight w:val="75"/>
        </w:trPr>
        <w:tc>
          <w:tcPr>
            <w:tcW w:w="32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Vesting of early exercised stock options</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903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82"/>
        </w:trPr>
        <w:tc>
          <w:tcPr>
            <w:tcW w:w="3200" w:type="dxa"/>
            <w:vAlign w:val="bottom"/>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200"/>
              <w:spacing w:after="0"/>
              <w:rPr>
                <w:sz w:val="20"/>
                <w:szCs w:val="20"/>
                <w:color w:val="auto"/>
              </w:rPr>
            </w:pPr>
            <w:r>
              <w:rPr>
                <w:rFonts w:ascii="Arial" w:cs="Arial" w:eastAsia="Arial" w:hAnsi="Arial"/>
                <w:sz w:val="14"/>
                <w:szCs w:val="14"/>
                <w:color w:val="auto"/>
              </w:rPr>
              <w:t>Repurchase of common stock</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3"/>
              <w:spacing w:after="0"/>
              <w:rPr>
                <w:sz w:val="20"/>
                <w:szCs w:val="20"/>
                <w:color w:val="auto"/>
              </w:rPr>
            </w:pPr>
            <w:r>
              <w:rPr>
                <w:rFonts w:ascii="Arial" w:cs="Arial" w:eastAsia="Arial" w:hAnsi="Arial"/>
                <w:sz w:val="14"/>
                <w:szCs w:val="14"/>
                <w:color w:val="auto"/>
              </w:rPr>
              <w:t>(6,354)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vMerge w:val="restart"/>
          </w:tcPr>
          <w:p>
            <w:pPr>
              <w:jc w:val="right"/>
              <w:ind w:right="5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32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21,004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21,004</w:t>
            </w:r>
          </w:p>
        </w:tc>
        <w:tc>
          <w:tcPr>
            <w:tcW w:w="0" w:type="dxa"/>
            <w:vAlign w:val="bottom"/>
          </w:tcPr>
          <w:p>
            <w:pPr>
              <w:spacing w:after="0"/>
              <w:rPr>
                <w:sz w:val="1"/>
                <w:szCs w:val="1"/>
                <w:color w:val="auto"/>
              </w:rPr>
            </w:pPr>
          </w:p>
        </w:tc>
      </w:tr>
      <w:tr>
        <w:trPr>
          <w:trHeight w:val="82"/>
        </w:trPr>
        <w:tc>
          <w:tcPr>
            <w:tcW w:w="3200" w:type="dxa"/>
            <w:vAlign w:val="bottom"/>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200"/>
              <w:spacing w:after="0"/>
              <w:rPr>
                <w:sz w:val="20"/>
                <w:szCs w:val="20"/>
                <w:color w:val="auto"/>
              </w:rPr>
            </w:pPr>
            <w:r>
              <w:rPr>
                <w:rFonts w:ascii="Arial" w:cs="Arial" w:eastAsia="Arial" w:hAnsi="Arial"/>
                <w:sz w:val="14"/>
                <w:szCs w:val="14"/>
                <w:color w:val="auto"/>
              </w:rPr>
              <w:t>Unrealized gain on available-for-sale securities</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vMerge w:val="restart"/>
          </w:tcPr>
          <w:p>
            <w:pPr>
              <w:jc w:val="right"/>
              <w:ind w:right="33"/>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vMerge w:val="restart"/>
          </w:tcPr>
          <w:p>
            <w:pPr>
              <w:jc w:val="right"/>
              <w:ind w:right="53"/>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75"/>
        </w:trPr>
        <w:tc>
          <w:tcPr>
            <w:tcW w:w="32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82"/>
        </w:trPr>
        <w:tc>
          <w:tcPr>
            <w:tcW w:w="3200" w:type="dxa"/>
            <w:vAlign w:val="bottom"/>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(70,063)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13"/>
              <w:spacing w:after="0"/>
              <w:rPr>
                <w:sz w:val="20"/>
                <w:szCs w:val="20"/>
                <w:color w:val="auto"/>
              </w:rPr>
            </w:pPr>
            <w:r>
              <w:rPr>
                <w:rFonts w:ascii="Arial" w:cs="Arial" w:eastAsia="Arial" w:hAnsi="Arial"/>
                <w:sz w:val="14"/>
                <w:szCs w:val="14"/>
                <w:color w:val="auto"/>
              </w:rPr>
              <w:t>(70,063)</w:t>
            </w:r>
          </w:p>
        </w:tc>
        <w:tc>
          <w:tcPr>
            <w:tcW w:w="0" w:type="dxa"/>
            <w:vAlign w:val="bottom"/>
          </w:tcPr>
          <w:p>
            <w:pPr>
              <w:spacing w:after="0"/>
              <w:rPr>
                <w:sz w:val="1"/>
                <w:szCs w:val="1"/>
                <w:color w:val="auto"/>
              </w:rPr>
            </w:pPr>
          </w:p>
        </w:tc>
      </w:tr>
      <w:tr>
        <w:trPr>
          <w:trHeight w:val="75"/>
        </w:trPr>
        <w:tc>
          <w:tcPr>
            <w:tcW w:w="32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200" w:type="dxa"/>
            <w:vAlign w:val="bottom"/>
            <w:tcBorders>
              <w:top w:val="single" w:sz="8" w:color="CCEEFF"/>
            </w:tcBorders>
            <w:shd w:val="clear" w:color="auto" w:fill="CCEEFF"/>
          </w:tcPr>
          <w:p>
            <w:pPr>
              <w:jc w:val="center"/>
              <w:ind w:right="1252"/>
              <w:spacing w:after="0"/>
              <w:rPr>
                <w:sz w:val="20"/>
                <w:szCs w:val="20"/>
                <w:color w:val="auto"/>
              </w:rPr>
            </w:pPr>
            <w:r>
              <w:rPr>
                <w:rFonts w:ascii="Arial" w:cs="Arial" w:eastAsia="Arial" w:hAnsi="Arial"/>
                <w:sz w:val="14"/>
                <w:szCs w:val="14"/>
                <w:b w:val="1"/>
                <w:bCs w:val="1"/>
                <w:color w:val="auto"/>
                <w:w w:val="85"/>
              </w:rPr>
              <w:t>Balances as of January 31, 2017</w:t>
            </w:r>
          </w:p>
        </w:tc>
        <w:tc>
          <w:tcPr>
            <w:tcW w:w="820" w:type="dxa"/>
            <w:vAlign w:val="bottom"/>
            <w:tcBorders>
              <w:top w:val="single" w:sz="8" w:color="auto"/>
            </w:tcBorders>
            <w:vMerge w:val="restart"/>
            <w:shd w:val="clear" w:color="auto" w:fill="CCEEFF"/>
          </w:tcPr>
          <w:p>
            <w:pPr>
              <w:jc w:val="right"/>
              <w:ind w:right="53"/>
              <w:spacing w:after="0"/>
              <w:rPr>
                <w:sz w:val="20"/>
                <w:szCs w:val="20"/>
                <w:color w:val="auto"/>
              </w:rPr>
            </w:pPr>
            <w:r>
              <w:rPr>
                <w:rFonts w:ascii="Arial" w:cs="Arial" w:eastAsia="Arial" w:hAnsi="Arial"/>
                <w:sz w:val="14"/>
                <w:szCs w:val="14"/>
                <w:color w:val="auto"/>
                <w:w w:val="96"/>
              </w:rPr>
              <w:t>41,148,282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345,257</w:t>
            </w: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vMerge w:val="restart"/>
            <w:shd w:val="clear" w:color="auto" w:fill="CCEEFF"/>
          </w:tcPr>
          <w:p>
            <w:pPr>
              <w:jc w:val="right"/>
              <w:ind w:right="53"/>
              <w:spacing w:after="0"/>
              <w:rPr>
                <w:sz w:val="20"/>
                <w:szCs w:val="20"/>
                <w:color w:val="auto"/>
              </w:rPr>
            </w:pPr>
            <w:r>
              <w:rPr>
                <w:rFonts w:ascii="Arial" w:cs="Arial" w:eastAsia="Arial" w:hAnsi="Arial"/>
                <w:sz w:val="14"/>
                <w:szCs w:val="14"/>
                <w:color w:val="auto"/>
                <w:w w:val="96"/>
              </w:rPr>
              <w:t>13,093,621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62,557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(1,319)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(305,623)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4"/>
                <w:szCs w:val="14"/>
                <w:color w:val="auto"/>
                <w:w w:val="93"/>
              </w:rPr>
              <w:t>(244,736)</w:t>
            </w:r>
          </w:p>
        </w:tc>
        <w:tc>
          <w:tcPr>
            <w:tcW w:w="0" w:type="dxa"/>
            <w:vAlign w:val="bottom"/>
          </w:tcPr>
          <w:p>
            <w:pPr>
              <w:spacing w:after="0"/>
              <w:rPr>
                <w:sz w:val="1"/>
                <w:szCs w:val="1"/>
                <w:color w:val="auto"/>
              </w:rPr>
            </w:pPr>
          </w:p>
        </w:tc>
      </w:tr>
      <w:tr>
        <w:trPr>
          <w:trHeight w:val="82"/>
        </w:trPr>
        <w:tc>
          <w:tcPr>
            <w:tcW w:w="3200" w:type="dxa"/>
            <w:vAlign w:val="bottom"/>
            <w:shd w:val="clear" w:color="auto" w:fill="CCEEFF"/>
          </w:tcPr>
          <w:p>
            <w:pPr>
              <w:spacing w:after="0"/>
              <w:rPr>
                <w:sz w:val="7"/>
                <w:szCs w:val="7"/>
                <w:color w:val="auto"/>
              </w:rPr>
            </w:pPr>
          </w:p>
        </w:tc>
        <w:tc>
          <w:tcPr>
            <w:tcW w:w="8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200"/>
              <w:spacing w:after="0"/>
              <w:rPr>
                <w:sz w:val="20"/>
                <w:szCs w:val="20"/>
                <w:color w:val="auto"/>
              </w:rPr>
            </w:pPr>
            <w:r>
              <w:rPr>
                <w:rFonts w:ascii="Arial" w:cs="Arial" w:eastAsia="Arial" w:hAnsi="Arial"/>
                <w:sz w:val="14"/>
                <w:szCs w:val="14"/>
                <w:color w:val="auto"/>
              </w:rPr>
              <w:t>Exercise of preferred stock warrants</w:t>
            </w:r>
          </w:p>
        </w:tc>
        <w:tc>
          <w:tcPr>
            <w:tcW w:w="820" w:type="dxa"/>
            <w:vAlign w:val="bottom"/>
            <w:vMerge w:val="restart"/>
          </w:tcPr>
          <w:p>
            <w:pPr>
              <w:jc w:val="right"/>
              <w:ind w:right="53"/>
              <w:spacing w:after="0"/>
              <w:rPr>
                <w:sz w:val="20"/>
                <w:szCs w:val="20"/>
                <w:color w:val="auto"/>
              </w:rPr>
            </w:pPr>
            <w:r>
              <w:rPr>
                <w:rFonts w:ascii="Arial" w:cs="Arial" w:eastAsia="Arial" w:hAnsi="Arial"/>
                <w:sz w:val="14"/>
                <w:szCs w:val="14"/>
                <w:color w:val="auto"/>
              </w:rPr>
              <w:t>85,170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1,171</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vMerge w:val="restart"/>
          </w:tcPr>
          <w:p>
            <w:pPr>
              <w:jc w:val="right"/>
              <w:ind w:right="5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3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Exercise of common stock warrants</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99,534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2"/>
        </w:trPr>
        <w:tc>
          <w:tcPr>
            <w:tcW w:w="3200" w:type="dxa"/>
            <w:vAlign w:val="bottom"/>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8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200"/>
              <w:spacing w:after="0"/>
              <w:rPr>
                <w:sz w:val="20"/>
                <w:szCs w:val="20"/>
                <w:color w:val="auto"/>
              </w:rPr>
            </w:pPr>
            <w:r>
              <w:rPr>
                <w:rFonts w:ascii="Arial" w:cs="Arial" w:eastAsia="Arial" w:hAnsi="Arial"/>
                <w:sz w:val="14"/>
                <w:szCs w:val="14"/>
                <w:color w:val="auto"/>
              </w:rPr>
              <w:t>Stock option exercises</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53"/>
              <w:spacing w:after="0"/>
              <w:rPr>
                <w:sz w:val="20"/>
                <w:szCs w:val="20"/>
                <w:color w:val="auto"/>
              </w:rPr>
            </w:pPr>
            <w:r>
              <w:rPr>
                <w:rFonts w:ascii="Arial" w:cs="Arial" w:eastAsia="Arial" w:hAnsi="Arial"/>
                <w:sz w:val="14"/>
                <w:szCs w:val="14"/>
                <w:color w:val="auto"/>
              </w:rPr>
              <w:t>1,263,722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ind w:right="33"/>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5,596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vMerge w:val="restart"/>
          </w:tcPr>
          <w:p>
            <w:pPr>
              <w:jc w:val="right"/>
              <w:ind w:right="53"/>
              <w:spacing w:after="0"/>
              <w:rPr>
                <w:sz w:val="20"/>
                <w:szCs w:val="20"/>
                <w:color w:val="auto"/>
              </w:rPr>
            </w:pPr>
            <w:r>
              <w:rPr>
                <w:rFonts w:ascii="Arial" w:cs="Arial" w:eastAsia="Arial" w:hAnsi="Arial"/>
                <w:sz w:val="14"/>
                <w:szCs w:val="14"/>
                <w:color w:val="auto"/>
              </w:rPr>
              <w:t>5,597</w:t>
            </w: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Repurchase of early exercised options</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(34,710)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3200" w:type="dxa"/>
            <w:vAlign w:val="bottom"/>
          </w:tcPr>
          <w:p>
            <w:pPr>
              <w:ind w:left="200"/>
              <w:spacing w:after="0"/>
              <w:rPr>
                <w:sz w:val="20"/>
                <w:szCs w:val="20"/>
                <w:color w:val="auto"/>
              </w:rPr>
            </w:pPr>
            <w:r>
              <w:rPr>
                <w:rFonts w:ascii="Arial" w:cs="Arial" w:eastAsia="Arial" w:hAnsi="Arial"/>
                <w:sz w:val="14"/>
                <w:szCs w:val="14"/>
                <w:color w:val="auto"/>
                <w:w w:val="89"/>
              </w:rPr>
              <w:t>Conversion of redeemable convertible preferred stock</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53"/>
              <w:spacing w:after="0"/>
              <w:rPr>
                <w:sz w:val="20"/>
                <w:szCs w:val="20"/>
                <w:color w:val="auto"/>
              </w:rPr>
            </w:pPr>
            <w:r>
              <w:rPr>
                <w:rFonts w:ascii="Arial" w:cs="Arial" w:eastAsia="Arial" w:hAnsi="Arial"/>
                <w:sz w:val="14"/>
                <w:szCs w:val="14"/>
                <w:color w:val="auto"/>
                <w:w w:val="96"/>
              </w:rPr>
              <w:t>26,953,404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ind w:right="33"/>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346,401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vMerge w:val="restart"/>
          </w:tcPr>
          <w:p>
            <w:pPr>
              <w:jc w:val="right"/>
              <w:ind w:right="53"/>
              <w:spacing w:after="0"/>
              <w:rPr>
                <w:sz w:val="20"/>
                <w:szCs w:val="20"/>
                <w:color w:val="auto"/>
              </w:rPr>
            </w:pPr>
            <w:r>
              <w:rPr>
                <w:rFonts w:ascii="Arial" w:cs="Arial" w:eastAsia="Arial" w:hAnsi="Arial"/>
                <w:sz w:val="14"/>
                <w:szCs w:val="14"/>
                <w:color w:val="auto"/>
              </w:rPr>
              <w:t>346,428</w:t>
            </w:r>
          </w:p>
        </w:tc>
        <w:tc>
          <w:tcPr>
            <w:tcW w:w="0" w:type="dxa"/>
            <w:vAlign w:val="bottom"/>
          </w:tcPr>
          <w:p>
            <w:pPr>
              <w:spacing w:after="0"/>
              <w:rPr>
                <w:sz w:val="1"/>
                <w:szCs w:val="1"/>
                <w:color w:val="auto"/>
              </w:rPr>
            </w:pPr>
          </w:p>
        </w:tc>
      </w:tr>
      <w:tr>
        <w:trPr>
          <w:trHeight w:val="172"/>
        </w:trPr>
        <w:tc>
          <w:tcPr>
            <w:tcW w:w="3200" w:type="dxa"/>
            <w:vAlign w:val="bottom"/>
          </w:tcPr>
          <w:p>
            <w:pPr>
              <w:ind w:left="380"/>
              <w:spacing w:after="0"/>
              <w:rPr>
                <w:sz w:val="20"/>
                <w:szCs w:val="20"/>
                <w:color w:val="auto"/>
              </w:rPr>
            </w:pPr>
            <w:r>
              <w:rPr>
                <w:rFonts w:ascii="Arial" w:cs="Arial" w:eastAsia="Arial" w:hAnsi="Arial"/>
                <w:sz w:val="14"/>
                <w:szCs w:val="14"/>
                <w:color w:val="auto"/>
              </w:rPr>
              <w:t>to common stock</w:t>
            </w:r>
          </w:p>
        </w:tc>
        <w:tc>
          <w:tcPr>
            <w:tcW w:w="820" w:type="dxa"/>
            <w:vAlign w:val="bottom"/>
          </w:tcPr>
          <w:p>
            <w:pPr>
              <w:jc w:val="right"/>
              <w:ind w:right="13"/>
              <w:spacing w:after="0"/>
              <w:rPr>
                <w:sz w:val="20"/>
                <w:szCs w:val="20"/>
                <w:color w:val="auto"/>
              </w:rPr>
            </w:pPr>
            <w:r>
              <w:rPr>
                <w:rFonts w:ascii="Arial" w:cs="Arial" w:eastAsia="Arial" w:hAnsi="Arial"/>
                <w:sz w:val="14"/>
                <w:szCs w:val="14"/>
                <w:color w:val="auto"/>
                <w:w w:val="90"/>
              </w:rPr>
              <w:t>(41,233,452)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3"/>
              <w:spacing w:after="0"/>
              <w:rPr>
                <w:sz w:val="20"/>
                <w:szCs w:val="20"/>
                <w:color w:val="auto"/>
              </w:rPr>
            </w:pPr>
            <w:r>
              <w:rPr>
                <w:rFonts w:ascii="Arial" w:cs="Arial" w:eastAsia="Arial" w:hAnsi="Arial"/>
                <w:sz w:val="14"/>
                <w:szCs w:val="14"/>
                <w:color w:val="auto"/>
                <w:w w:val="96"/>
              </w:rPr>
              <w:t>(346,428)</w:t>
            </w: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w w:val="89"/>
              </w:rPr>
              <w:t>Issuance of common stock upon initial public offering,</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9,200,000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201,611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201,620</w:t>
            </w:r>
          </w:p>
        </w:tc>
        <w:tc>
          <w:tcPr>
            <w:tcW w:w="0" w:type="dxa"/>
            <w:vAlign w:val="bottom"/>
          </w:tcPr>
          <w:p>
            <w:pPr>
              <w:spacing w:after="0"/>
              <w:rPr>
                <w:sz w:val="1"/>
                <w:szCs w:val="1"/>
                <w:color w:val="auto"/>
              </w:rPr>
            </w:pPr>
          </w:p>
        </w:tc>
      </w:tr>
      <w:tr>
        <w:trPr>
          <w:trHeight w:val="180"/>
        </w:trPr>
        <w:tc>
          <w:tcPr>
            <w:tcW w:w="3200" w:type="dxa"/>
            <w:vAlign w:val="bottom"/>
            <w:tcBorders>
              <w:bottom w:val="single" w:sz="8" w:color="CCEEFF"/>
            </w:tcBorders>
            <w:shd w:val="clear" w:color="auto" w:fill="CCEEFF"/>
          </w:tcPr>
          <w:p>
            <w:pPr>
              <w:jc w:val="center"/>
              <w:ind w:right="1292"/>
              <w:spacing w:after="0"/>
              <w:rPr>
                <w:sz w:val="20"/>
                <w:szCs w:val="20"/>
                <w:color w:val="auto"/>
              </w:rPr>
            </w:pPr>
            <w:r>
              <w:rPr>
                <w:rFonts w:ascii="Arial" w:cs="Arial" w:eastAsia="Arial" w:hAnsi="Arial"/>
                <w:sz w:val="14"/>
                <w:szCs w:val="14"/>
                <w:color w:val="auto"/>
                <w:w w:val="88"/>
              </w:rPr>
              <w:t>net of offering costs</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200"/>
              <w:spacing w:after="0"/>
              <w:rPr>
                <w:sz w:val="20"/>
                <w:szCs w:val="20"/>
                <w:color w:val="auto"/>
              </w:rPr>
            </w:pPr>
            <w:r>
              <w:rPr>
                <w:rFonts w:ascii="Arial" w:cs="Arial" w:eastAsia="Arial" w:hAnsi="Arial"/>
                <w:sz w:val="14"/>
                <w:szCs w:val="14"/>
                <w:color w:val="auto"/>
              </w:rPr>
              <w:t>Vesting of early exercised stock options</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1,280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vMerge w:val="restart"/>
          </w:tcPr>
          <w:p>
            <w:pPr>
              <w:jc w:val="right"/>
              <w:ind w:right="53"/>
              <w:spacing w:after="0"/>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75"/>
        </w:trPr>
        <w:tc>
          <w:tcPr>
            <w:tcW w:w="32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21,235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21,235</w:t>
            </w:r>
          </w:p>
        </w:tc>
        <w:tc>
          <w:tcPr>
            <w:tcW w:w="0" w:type="dxa"/>
            <w:vAlign w:val="bottom"/>
          </w:tcPr>
          <w:p>
            <w:pPr>
              <w:spacing w:after="0"/>
              <w:rPr>
                <w:sz w:val="1"/>
                <w:szCs w:val="1"/>
                <w:color w:val="auto"/>
              </w:rPr>
            </w:pPr>
          </w:p>
        </w:tc>
      </w:tr>
      <w:tr>
        <w:trPr>
          <w:trHeight w:val="82"/>
        </w:trPr>
        <w:tc>
          <w:tcPr>
            <w:tcW w:w="3200" w:type="dxa"/>
            <w:vAlign w:val="bottom"/>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200"/>
              <w:spacing w:after="0"/>
              <w:rPr>
                <w:sz w:val="20"/>
                <w:szCs w:val="20"/>
                <w:color w:val="auto"/>
              </w:rPr>
            </w:pPr>
            <w:r>
              <w:rPr>
                <w:rFonts w:ascii="Arial" w:cs="Arial" w:eastAsia="Arial" w:hAnsi="Arial"/>
                <w:sz w:val="14"/>
                <w:szCs w:val="14"/>
                <w:color w:val="auto"/>
              </w:rPr>
              <w:t>Unrealized loss on available-for-sale securities</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vMerge w:val="restart"/>
          </w:tcPr>
          <w:p>
            <w:pPr>
              <w:jc w:val="right"/>
              <w:ind w:right="13"/>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75"/>
        </w:trPr>
        <w:tc>
          <w:tcPr>
            <w:tcW w:w="32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82"/>
        </w:trPr>
        <w:tc>
          <w:tcPr>
            <w:tcW w:w="3200" w:type="dxa"/>
            <w:vAlign w:val="bottom"/>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820" w:type="dxa"/>
            <w:vAlign w:val="bottom"/>
            <w:vMerge w:val="restart"/>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820" w:type="dxa"/>
            <w:vAlign w:val="bottom"/>
            <w:vMerge w:val="restart"/>
          </w:tcPr>
          <w:p>
            <w:pPr>
              <w:jc w:val="right"/>
              <w:ind w:right="53"/>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ind w:right="33"/>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ind w:right="33"/>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(83,973)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13"/>
              <w:spacing w:after="0"/>
              <w:rPr>
                <w:sz w:val="20"/>
                <w:szCs w:val="20"/>
                <w:color w:val="auto"/>
              </w:rPr>
            </w:pPr>
            <w:r>
              <w:rPr>
                <w:rFonts w:ascii="Arial" w:cs="Arial" w:eastAsia="Arial" w:hAnsi="Arial"/>
                <w:sz w:val="14"/>
                <w:szCs w:val="14"/>
                <w:color w:val="auto"/>
              </w:rPr>
              <w:t>(83,973)</w:t>
            </w:r>
          </w:p>
        </w:tc>
        <w:tc>
          <w:tcPr>
            <w:tcW w:w="0" w:type="dxa"/>
            <w:vAlign w:val="bottom"/>
          </w:tcPr>
          <w:p>
            <w:pPr>
              <w:spacing w:after="0"/>
              <w:rPr>
                <w:sz w:val="1"/>
                <w:szCs w:val="1"/>
                <w:color w:val="auto"/>
              </w:rPr>
            </w:pPr>
          </w:p>
        </w:tc>
      </w:tr>
      <w:tr>
        <w:trPr>
          <w:trHeight w:val="75"/>
        </w:trPr>
        <w:tc>
          <w:tcPr>
            <w:tcW w:w="320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jc w:val="center"/>
              <w:ind w:right="1252"/>
              <w:spacing w:after="0"/>
              <w:rPr>
                <w:sz w:val="20"/>
                <w:szCs w:val="20"/>
                <w:color w:val="auto"/>
              </w:rPr>
            </w:pPr>
            <w:r>
              <w:rPr>
                <w:rFonts w:ascii="Arial" w:cs="Arial" w:eastAsia="Arial" w:hAnsi="Arial"/>
                <w:sz w:val="14"/>
                <w:szCs w:val="14"/>
                <w:b w:val="1"/>
                <w:bCs w:val="1"/>
                <w:color w:val="auto"/>
                <w:w w:val="85"/>
              </w:rPr>
              <w:t>Balances as of January 31, 2018</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w w:val="96"/>
              </w:rPr>
              <w:t>50,575,571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638,680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(1,319)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(389,596)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247,657</w:t>
            </w:r>
          </w:p>
        </w:tc>
        <w:tc>
          <w:tcPr>
            <w:tcW w:w="0" w:type="dxa"/>
            <w:vAlign w:val="bottom"/>
          </w:tcPr>
          <w:p>
            <w:pPr>
              <w:spacing w:after="0"/>
              <w:rPr>
                <w:sz w:val="1"/>
                <w:szCs w:val="1"/>
                <w:color w:val="auto"/>
              </w:rPr>
            </w:pPr>
          </w:p>
        </w:tc>
      </w:tr>
      <w:tr>
        <w:trPr>
          <w:trHeight w:val="82"/>
        </w:trPr>
        <w:tc>
          <w:tcPr>
            <w:tcW w:w="3200" w:type="dxa"/>
            <w:vAlign w:val="bottom"/>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8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200"/>
              <w:spacing w:after="0"/>
              <w:rPr>
                <w:sz w:val="20"/>
                <w:szCs w:val="20"/>
                <w:color w:val="auto"/>
              </w:rPr>
            </w:pPr>
            <w:r>
              <w:rPr>
                <w:rFonts w:ascii="Arial" w:cs="Arial" w:eastAsia="Arial" w:hAnsi="Arial"/>
                <w:sz w:val="14"/>
                <w:szCs w:val="14"/>
                <w:color w:val="auto"/>
              </w:rPr>
              <w:t>Stock option exercises</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53"/>
              <w:spacing w:after="0"/>
              <w:rPr>
                <w:sz w:val="20"/>
                <w:szCs w:val="20"/>
                <w:color w:val="auto"/>
              </w:rPr>
            </w:pPr>
            <w:r>
              <w:rPr>
                <w:rFonts w:ascii="Arial" w:cs="Arial" w:eastAsia="Arial" w:hAnsi="Arial"/>
                <w:sz w:val="14"/>
                <w:szCs w:val="14"/>
                <w:color w:val="auto"/>
              </w:rPr>
              <w:t>3,144,202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ind w:right="33"/>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22,197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vMerge w:val="restart"/>
          </w:tcPr>
          <w:p>
            <w:pPr>
              <w:jc w:val="right"/>
              <w:ind w:right="53"/>
              <w:spacing w:after="0"/>
              <w:rPr>
                <w:sz w:val="20"/>
                <w:szCs w:val="20"/>
                <w:color w:val="auto"/>
              </w:rPr>
            </w:pPr>
            <w:r>
              <w:rPr>
                <w:rFonts w:ascii="Arial" w:cs="Arial" w:eastAsia="Arial" w:hAnsi="Arial"/>
                <w:sz w:val="14"/>
                <w:szCs w:val="14"/>
                <w:color w:val="auto"/>
              </w:rPr>
              <w:t>22,200</w:t>
            </w:r>
          </w:p>
        </w:tc>
        <w:tc>
          <w:tcPr>
            <w:tcW w:w="0" w:type="dxa"/>
            <w:vAlign w:val="bottom"/>
          </w:tcPr>
          <w:p>
            <w:pPr>
              <w:spacing w:after="0"/>
              <w:rPr>
                <w:sz w:val="1"/>
                <w:szCs w:val="1"/>
                <w:color w:val="auto"/>
              </w:rPr>
            </w:pPr>
          </w:p>
        </w:tc>
      </w:tr>
      <w:tr>
        <w:trPr>
          <w:trHeight w:val="75"/>
        </w:trPr>
        <w:tc>
          <w:tcPr>
            <w:tcW w:w="32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Repurchase of early exercised options</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(35,668)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2"/>
        </w:trPr>
        <w:tc>
          <w:tcPr>
            <w:tcW w:w="3200" w:type="dxa"/>
            <w:vAlign w:val="bottom"/>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8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200"/>
              <w:spacing w:after="0"/>
              <w:rPr>
                <w:sz w:val="20"/>
                <w:szCs w:val="20"/>
                <w:color w:val="auto"/>
              </w:rPr>
            </w:pPr>
            <w:r>
              <w:rPr>
                <w:rFonts w:ascii="Arial" w:cs="Arial" w:eastAsia="Arial" w:hAnsi="Arial"/>
                <w:sz w:val="14"/>
                <w:szCs w:val="14"/>
                <w:color w:val="auto"/>
              </w:rPr>
              <w:t>Vesting of early exercised stock options</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1,204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vMerge w:val="restart"/>
          </w:tcPr>
          <w:p>
            <w:pPr>
              <w:jc w:val="right"/>
              <w:ind w:right="53"/>
              <w:spacing w:after="0"/>
              <w:rPr>
                <w:sz w:val="20"/>
                <w:szCs w:val="20"/>
                <w:color w:val="auto"/>
              </w:rPr>
            </w:pPr>
            <w:r>
              <w:rPr>
                <w:rFonts w:ascii="Arial" w:cs="Arial" w:eastAsia="Arial" w:hAnsi="Arial"/>
                <w:sz w:val="14"/>
                <w:szCs w:val="14"/>
                <w:color w:val="auto"/>
              </w:rPr>
              <w:t>1,204</w:t>
            </w:r>
          </w:p>
        </w:tc>
        <w:tc>
          <w:tcPr>
            <w:tcW w:w="0" w:type="dxa"/>
            <w:vAlign w:val="bottom"/>
          </w:tcPr>
          <w:p>
            <w:pPr>
              <w:spacing w:after="0"/>
              <w:rPr>
                <w:sz w:val="1"/>
                <w:szCs w:val="1"/>
                <w:color w:val="auto"/>
              </w:rPr>
            </w:pPr>
          </w:p>
        </w:tc>
      </w:tr>
      <w:tr>
        <w:trPr>
          <w:trHeight w:val="75"/>
        </w:trPr>
        <w:tc>
          <w:tcPr>
            <w:tcW w:w="32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Vesting of restricted stock units</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263,129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2"/>
        </w:trPr>
        <w:tc>
          <w:tcPr>
            <w:tcW w:w="3200" w:type="dxa"/>
            <w:vAlign w:val="bottom"/>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8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37,403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vMerge w:val="restart"/>
          </w:tcPr>
          <w:p>
            <w:pPr>
              <w:jc w:val="right"/>
              <w:ind w:right="53"/>
              <w:spacing w:after="0"/>
              <w:rPr>
                <w:sz w:val="20"/>
                <w:szCs w:val="20"/>
                <w:color w:val="auto"/>
              </w:rPr>
            </w:pPr>
            <w:r>
              <w:rPr>
                <w:rFonts w:ascii="Arial" w:cs="Arial" w:eastAsia="Arial" w:hAnsi="Arial"/>
                <w:sz w:val="14"/>
                <w:szCs w:val="14"/>
                <w:color w:val="auto"/>
              </w:rPr>
              <w:t>37,403</w:t>
            </w:r>
          </w:p>
        </w:tc>
        <w:tc>
          <w:tcPr>
            <w:tcW w:w="0" w:type="dxa"/>
            <w:vAlign w:val="bottom"/>
          </w:tcPr>
          <w:p>
            <w:pPr>
              <w:spacing w:after="0"/>
              <w:rPr>
                <w:sz w:val="1"/>
                <w:szCs w:val="1"/>
                <w:color w:val="auto"/>
              </w:rPr>
            </w:pPr>
          </w:p>
        </w:tc>
      </w:tr>
      <w:tr>
        <w:trPr>
          <w:trHeight w:val="75"/>
        </w:trPr>
        <w:tc>
          <w:tcPr>
            <w:tcW w:w="32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w w:val="89"/>
              </w:rPr>
              <w:t>Issuance of common stock under the Employee Stock</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Plan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374,576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10,531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10,531</w:t>
            </w:r>
          </w:p>
        </w:tc>
        <w:tc>
          <w:tcPr>
            <w:tcW w:w="0" w:type="dxa"/>
            <w:vAlign w:val="bottom"/>
          </w:tcPr>
          <w:p>
            <w:pPr>
              <w:spacing w:after="0"/>
              <w:rPr>
                <w:sz w:val="1"/>
                <w:szCs w:val="1"/>
                <w:color w:val="auto"/>
              </w:rPr>
            </w:pPr>
          </w:p>
        </w:tc>
      </w:tr>
      <w:tr>
        <w:trPr>
          <w:trHeight w:val="189"/>
        </w:trPr>
        <w:tc>
          <w:tcPr>
            <w:tcW w:w="3200" w:type="dxa"/>
            <w:vAlign w:val="bottom"/>
          </w:tcPr>
          <w:p>
            <w:pPr>
              <w:ind w:left="200"/>
              <w:spacing w:after="0"/>
              <w:rPr>
                <w:sz w:val="20"/>
                <w:szCs w:val="20"/>
                <w:color w:val="auto"/>
              </w:rPr>
            </w:pPr>
            <w:r>
              <w:rPr>
                <w:rFonts w:ascii="Arial" w:cs="Arial" w:eastAsia="Arial" w:hAnsi="Arial"/>
                <w:sz w:val="14"/>
                <w:szCs w:val="14"/>
                <w:color w:val="auto"/>
              </w:rPr>
              <w:t>Equity component of convertible senior notes</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33"/>
              <w:spacing w:after="0"/>
              <w:rPr>
                <w:sz w:val="20"/>
                <w:szCs w:val="20"/>
                <w:color w:val="auto"/>
              </w:rPr>
            </w:pPr>
            <w:r>
              <w:rPr>
                <w:rFonts w:ascii="Arial" w:cs="Arial" w:eastAsia="Arial" w:hAnsi="Arial"/>
                <w:sz w:val="14"/>
                <w:szCs w:val="14"/>
                <w:color w:val="auto"/>
              </w:rPr>
              <w:t>81,683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vMerge w:val="restart"/>
          </w:tcPr>
          <w:p>
            <w:pPr>
              <w:jc w:val="right"/>
              <w:ind w:right="53"/>
              <w:spacing w:after="0"/>
              <w:rPr>
                <w:sz w:val="20"/>
                <w:szCs w:val="20"/>
                <w:color w:val="auto"/>
              </w:rPr>
            </w:pPr>
            <w:r>
              <w:rPr>
                <w:rFonts w:ascii="Arial" w:cs="Arial" w:eastAsia="Arial" w:hAnsi="Arial"/>
                <w:sz w:val="14"/>
                <w:szCs w:val="14"/>
                <w:color w:val="auto"/>
              </w:rPr>
              <w:t>81,683</w:t>
            </w:r>
          </w:p>
        </w:tc>
        <w:tc>
          <w:tcPr>
            <w:tcW w:w="0" w:type="dxa"/>
            <w:vAlign w:val="bottom"/>
          </w:tcPr>
          <w:p>
            <w:pPr>
              <w:spacing w:after="0"/>
              <w:rPr>
                <w:sz w:val="1"/>
                <w:szCs w:val="1"/>
                <w:color w:val="auto"/>
              </w:rPr>
            </w:pPr>
          </w:p>
        </w:tc>
      </w:tr>
      <w:tr>
        <w:trPr>
          <w:trHeight w:val="75"/>
        </w:trPr>
        <w:tc>
          <w:tcPr>
            <w:tcW w:w="32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Purchase of capped calls</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(37,086)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(37,086)</w:t>
            </w:r>
          </w:p>
        </w:tc>
        <w:tc>
          <w:tcPr>
            <w:tcW w:w="0" w:type="dxa"/>
            <w:vAlign w:val="bottom"/>
          </w:tcPr>
          <w:p>
            <w:pPr>
              <w:spacing w:after="0"/>
              <w:rPr>
                <w:sz w:val="1"/>
                <w:szCs w:val="1"/>
                <w:color w:val="auto"/>
              </w:rPr>
            </w:pPr>
          </w:p>
        </w:tc>
      </w:tr>
      <w:tr>
        <w:trPr>
          <w:trHeight w:val="82"/>
        </w:trPr>
        <w:tc>
          <w:tcPr>
            <w:tcW w:w="3200" w:type="dxa"/>
            <w:vAlign w:val="bottom"/>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200"/>
              <w:spacing w:after="0"/>
              <w:rPr>
                <w:sz w:val="20"/>
                <w:szCs w:val="20"/>
                <w:color w:val="auto"/>
              </w:rPr>
            </w:pPr>
            <w:r>
              <w:rPr>
                <w:rFonts w:ascii="Arial" w:cs="Arial" w:eastAsia="Arial" w:hAnsi="Arial"/>
                <w:sz w:val="14"/>
                <w:szCs w:val="14"/>
                <w:color w:val="auto"/>
              </w:rPr>
              <w:t>Unrealized gain on available-for-sale securities</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vMerge w:val="restart"/>
          </w:tcPr>
          <w:p>
            <w:pPr>
              <w:jc w:val="right"/>
              <w:ind w:right="33"/>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vMerge w:val="restart"/>
          </w:tcPr>
          <w:p>
            <w:pPr>
              <w:jc w:val="right"/>
              <w:ind w:right="53"/>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75"/>
        </w:trPr>
        <w:tc>
          <w:tcPr>
            <w:tcW w:w="32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82"/>
        </w:trPr>
        <w:tc>
          <w:tcPr>
            <w:tcW w:w="3200" w:type="dxa"/>
            <w:vAlign w:val="bottom"/>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(99,011)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13"/>
              <w:spacing w:after="0"/>
              <w:rPr>
                <w:sz w:val="20"/>
                <w:szCs w:val="20"/>
                <w:color w:val="auto"/>
              </w:rPr>
            </w:pPr>
            <w:r>
              <w:rPr>
                <w:rFonts w:ascii="Arial" w:cs="Arial" w:eastAsia="Arial" w:hAnsi="Arial"/>
                <w:sz w:val="14"/>
                <w:szCs w:val="14"/>
                <w:color w:val="auto"/>
              </w:rPr>
              <w:t>(99,011)</w:t>
            </w: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3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3200" w:type="dxa"/>
            <w:vAlign w:val="bottom"/>
            <w:tcBorders>
              <w:bottom w:val="single" w:sz="8" w:color="CCEEFF"/>
            </w:tcBorders>
            <w:shd w:val="clear" w:color="auto" w:fill="CCEEFF"/>
          </w:tcPr>
          <w:p>
            <w:pPr>
              <w:jc w:val="center"/>
              <w:ind w:right="1252"/>
              <w:spacing w:after="0"/>
              <w:rPr>
                <w:sz w:val="20"/>
                <w:szCs w:val="20"/>
                <w:color w:val="auto"/>
              </w:rPr>
            </w:pPr>
            <w:r>
              <w:rPr>
                <w:rFonts w:ascii="Arial" w:cs="Arial" w:eastAsia="Arial" w:hAnsi="Arial"/>
                <w:sz w:val="14"/>
                <w:szCs w:val="14"/>
                <w:b w:val="1"/>
                <w:bCs w:val="1"/>
                <w:color w:val="auto"/>
                <w:w w:val="85"/>
              </w:rPr>
              <w:t>Balances as of January 31, 2019</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w w:val="96"/>
              </w:rPr>
              <w:t>54,321,810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754,612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(1,319)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(488,607)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264,566</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ind w:left="80"/>
        <w:spacing w:after="0"/>
        <w:rPr>
          <w:sz w:val="20"/>
          <w:szCs w:val="20"/>
          <w:color w:val="auto"/>
        </w:rPr>
      </w:pPr>
      <w:r>
        <w:rPr>
          <w:rFonts w:ascii="Arial" w:cs="Arial" w:eastAsia="Arial" w:hAnsi="Arial"/>
          <w:sz w:val="14"/>
          <w:szCs w:val="14"/>
          <w:color w:val="auto"/>
        </w:rPr>
        <w:t>* See Note 2 for a summary of adjustments.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8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122" w:right="29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January 31,</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right="139"/>
              <w:spacing w:after="0" w:line="147"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ind w:right="499"/>
              <w:spacing w:after="0" w:line="147"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6"/>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*As Adjusted</w:t>
            </w:r>
          </w:p>
        </w:tc>
        <w:tc>
          <w:tcPr>
            <w:tcW w:w="220" w:type="dxa"/>
            <w:vAlign w:val="bottom"/>
          </w:tcPr>
          <w:p>
            <w:pPr>
              <w:spacing w:after="0"/>
              <w:rPr>
                <w:sz w:val="16"/>
                <w:szCs w:val="16"/>
                <w:color w:val="auto"/>
              </w:rPr>
            </w:pPr>
          </w:p>
        </w:tc>
        <w:tc>
          <w:tcPr>
            <w:tcW w:w="1240" w:type="dxa"/>
            <w:vAlign w:val="bottom"/>
          </w:tcPr>
          <w:p>
            <w:pPr>
              <w:jc w:val="right"/>
              <w:ind w:right="239"/>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6"/>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(99,011)</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(83,973)</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(70,063)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5,792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3,703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3,751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21,004</w:t>
            </w:r>
          </w:p>
        </w:tc>
        <w:tc>
          <w:tcPr>
            <w:tcW w:w="0" w:type="dxa"/>
            <w:vAlign w:val="bottom"/>
          </w:tcPr>
          <w:p>
            <w:pPr>
              <w:spacing w:after="0"/>
              <w:rPr>
                <w:sz w:val="1"/>
                <w:szCs w:val="1"/>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Amortization of debt discount and issuance costs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7,399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Non-cash interest on office financing lease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Change in fair value of warrant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7"/>
        </w:trPr>
        <w:tc>
          <w:tcPr>
            <w:tcW w:w="6740" w:type="dxa"/>
            <w:vAlign w:val="bottom"/>
          </w:tcPr>
          <w:p>
            <w:pPr>
              <w:ind w:left="20"/>
              <w:spacing w:after="0"/>
              <w:rPr>
                <w:sz w:val="20"/>
                <w:szCs w:val="20"/>
                <w:color w:val="auto"/>
              </w:rPr>
            </w:pPr>
            <w:r>
              <w:rPr>
                <w:rFonts w:ascii="Arial" w:cs="Arial" w:eastAsia="Arial" w:hAnsi="Arial"/>
                <w:sz w:val="16"/>
                <w:szCs w:val="16"/>
                <w:color w:val="auto"/>
              </w:rPr>
              <w:t>Change in operating assets and liabilities, net of the impact from the acquisition:</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(11,804)</w:t>
            </w:r>
          </w:p>
        </w:tc>
        <w:tc>
          <w:tcPr>
            <w:tcW w:w="0" w:type="dxa"/>
            <w:vAlign w:val="bottom"/>
          </w:tcPr>
          <w:p>
            <w:pPr>
              <w:spacing w:after="0"/>
              <w:rPr>
                <w:sz w:val="1"/>
                <w:szCs w:val="1"/>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Deferred commissions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(9,190)</w:t>
            </w:r>
          </w:p>
        </w:tc>
        <w:tc>
          <w:tcPr>
            <w:tcW w:w="0" w:type="dxa"/>
            <w:vAlign w:val="bottom"/>
          </w:tcPr>
          <w:p>
            <w:pPr>
              <w:spacing w:after="0"/>
              <w:rPr>
                <w:sz w:val="1"/>
                <w:szCs w:val="1"/>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Other long-term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Deferred rent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3,948</w:t>
            </w:r>
          </w:p>
        </w:tc>
        <w:tc>
          <w:tcPr>
            <w:tcW w:w="0" w:type="dxa"/>
            <w:vAlign w:val="bottom"/>
          </w:tcPr>
          <w:p>
            <w:pPr>
              <w:spacing w:after="0"/>
              <w:rPr>
                <w:sz w:val="1"/>
                <w:szCs w:val="1"/>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36,680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32,738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24,928</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(38,078)</w:t>
            </w:r>
          </w:p>
        </w:tc>
        <w:tc>
          <w:tcPr>
            <w:tcW w:w="0" w:type="dxa"/>
            <w:vAlign w:val="bottom"/>
          </w:tcPr>
          <w:p>
            <w:pPr>
              <w:spacing w:after="0"/>
              <w:rPr>
                <w:sz w:val="1"/>
                <w:szCs w:val="1"/>
                <w:color w:val="auto"/>
              </w:rPr>
            </w:pPr>
          </w:p>
        </w:tc>
      </w:tr>
      <w:tr>
        <w:trPr>
          <w:trHeight w:val="231"/>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(1,683)</w:t>
            </w:r>
          </w:p>
        </w:tc>
        <w:tc>
          <w:tcPr>
            <w:tcW w:w="0" w:type="dxa"/>
            <w:vAlign w:val="bottom"/>
          </w:tcPr>
          <w:p>
            <w:pPr>
              <w:spacing w:after="0"/>
              <w:rPr>
                <w:sz w:val="1"/>
                <w:szCs w:val="1"/>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Acquisition, net of cash acquired</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(55,517)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Proceeds from maturities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114,775</w:t>
            </w:r>
          </w:p>
        </w:tc>
        <w:tc>
          <w:tcPr>
            <w:tcW w:w="0" w:type="dxa"/>
            <w:vAlign w:val="bottom"/>
          </w:tcPr>
          <w:p>
            <w:pPr>
              <w:spacing w:after="0"/>
              <w:rPr>
                <w:sz w:val="1"/>
                <w:szCs w:val="1"/>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(547,914)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(252,382)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(82,036)</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in) provided by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(160,279)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(172,287)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31,056</w:t>
            </w:r>
          </w:p>
        </w:tc>
        <w:tc>
          <w:tcPr>
            <w:tcW w:w="0" w:type="dxa"/>
            <w:vAlign w:val="bottom"/>
          </w:tcPr>
          <w:p>
            <w:pPr>
              <w:spacing w:after="0"/>
              <w:rPr>
                <w:sz w:val="1"/>
                <w:szCs w:val="1"/>
                <w:color w:val="auto"/>
              </w:rPr>
            </w:pPr>
          </w:p>
        </w:tc>
      </w:tr>
      <w:tr>
        <w:trPr>
          <w:trHeight w:val="231"/>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Proceeds from exercise of stock options, including early exercised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8,220</w:t>
            </w:r>
          </w:p>
        </w:tc>
        <w:tc>
          <w:tcPr>
            <w:tcW w:w="0" w:type="dxa"/>
            <w:vAlign w:val="bottom"/>
          </w:tcPr>
          <w:p>
            <w:pPr>
              <w:spacing w:after="0"/>
              <w:rPr>
                <w:sz w:val="1"/>
                <w:szCs w:val="1"/>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Proceeds from the issuance of common stock under the Employee Stock Purchase Plan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10,532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Repurchase of early exercised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4"/>
        </w:trPr>
        <w:tc>
          <w:tcPr>
            <w:tcW w:w="6740" w:type="dxa"/>
            <w:vAlign w:val="bottom"/>
          </w:tcPr>
          <w:p>
            <w:pPr>
              <w:ind w:left="200"/>
              <w:spacing w:after="0"/>
              <w:rPr>
                <w:sz w:val="20"/>
                <w:szCs w:val="20"/>
                <w:color w:val="auto"/>
              </w:rPr>
            </w:pPr>
            <w:r>
              <w:rPr>
                <w:rFonts w:ascii="Arial" w:cs="Arial" w:eastAsia="Arial" w:hAnsi="Arial"/>
                <w:sz w:val="16"/>
                <w:szCs w:val="16"/>
                <w:color w:val="auto"/>
              </w:rPr>
              <w:t>Proceeds from convertible senior notes, net of issuance costs</w:t>
            </w: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291,145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Payment for purchase of capped calls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740" w:type="dxa"/>
            <w:vAlign w:val="bottom"/>
          </w:tcPr>
          <w:p>
            <w:pPr>
              <w:ind w:left="200"/>
              <w:spacing w:after="0"/>
              <w:rPr>
                <w:sz w:val="20"/>
                <w:szCs w:val="20"/>
                <w:color w:val="auto"/>
              </w:rPr>
            </w:pPr>
            <w:r>
              <w:rPr>
                <w:rFonts w:ascii="Arial" w:cs="Arial" w:eastAsia="Arial" w:hAnsi="Arial"/>
                <w:sz w:val="16"/>
                <w:szCs w:val="16"/>
                <w:color w:val="auto"/>
              </w:rPr>
              <w:t>Proceeds from tenant improvement allowance on build-to-suit lease</w:t>
            </w: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Proceeds from issuance of Series F financing, net of issuance cost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34,942</w:t>
            </w:r>
          </w:p>
        </w:tc>
        <w:tc>
          <w:tcPr>
            <w:tcW w:w="0" w:type="dxa"/>
            <w:vAlign w:val="bottom"/>
          </w:tcPr>
          <w:p>
            <w:pPr>
              <w:spacing w:after="0"/>
              <w:rPr>
                <w:sz w:val="1"/>
                <w:szCs w:val="1"/>
                <w:color w:val="auto"/>
              </w:rPr>
            </w:pPr>
          </w:p>
        </w:tc>
      </w:tr>
      <w:tr>
        <w:trPr>
          <w:trHeight w:val="224"/>
        </w:trPr>
        <w:tc>
          <w:tcPr>
            <w:tcW w:w="6740" w:type="dxa"/>
            <w:vAlign w:val="bottom"/>
          </w:tcPr>
          <w:p>
            <w:pPr>
              <w:ind w:left="200"/>
              <w:spacing w:after="0"/>
              <w:rPr>
                <w:sz w:val="20"/>
                <w:szCs w:val="20"/>
                <w:color w:val="auto"/>
              </w:rPr>
            </w:pPr>
            <w:r>
              <w:rPr>
                <w:rFonts w:ascii="Arial" w:cs="Arial" w:eastAsia="Arial" w:hAnsi="Arial"/>
                <w:sz w:val="16"/>
                <w:szCs w:val="16"/>
                <w:color w:val="auto"/>
              </w:rPr>
              <w:t>Proceeds from initial public offering, net of underwriting discounts and commissions</w:t>
            </w: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205,494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Proceeds from exercise of redeemable convertible preferred stock warrants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740" w:type="dxa"/>
            <w:vAlign w:val="bottom"/>
          </w:tcPr>
          <w:p>
            <w:pPr>
              <w:ind w:left="200"/>
              <w:spacing w:after="0"/>
              <w:rPr>
                <w:sz w:val="20"/>
                <w:szCs w:val="20"/>
                <w:color w:val="auto"/>
              </w:rPr>
            </w:pPr>
            <w:r>
              <w:rPr>
                <w:rFonts w:ascii="Arial" w:cs="Arial" w:eastAsia="Arial" w:hAnsi="Arial"/>
                <w:sz w:val="16"/>
                <w:szCs w:val="16"/>
                <w:color w:val="auto"/>
              </w:rPr>
              <w:t>Payment of initial public offering costs</w:t>
            </w: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674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288,236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209,892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43,114</w:t>
            </w:r>
          </w:p>
        </w:tc>
        <w:tc>
          <w:tcPr>
            <w:tcW w:w="0" w:type="dxa"/>
            <w:vAlign w:val="bottom"/>
          </w:tcPr>
          <w:p>
            <w:pPr>
              <w:spacing w:after="0"/>
              <w:rPr>
                <w:sz w:val="1"/>
                <w:szCs w:val="1"/>
                <w:color w:val="auto"/>
              </w:rPr>
            </w:pPr>
          </w:p>
        </w:tc>
      </w:tr>
      <w:tr>
        <w:trPr>
          <w:trHeight w:val="217"/>
        </w:trPr>
        <w:tc>
          <w:tcPr>
            <w:tcW w:w="674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7"/>
        </w:trPr>
        <w:tc>
          <w:tcPr>
            <w:tcW w:w="674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85,920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36,099</w:t>
            </w:r>
          </w:p>
        </w:tc>
        <w:tc>
          <w:tcPr>
            <w:tcW w:w="0" w:type="dxa"/>
            <w:vAlign w:val="bottom"/>
          </w:tcPr>
          <w:p>
            <w:pPr>
              <w:spacing w:after="0"/>
              <w:rPr>
                <w:sz w:val="1"/>
                <w:szCs w:val="1"/>
                <w:color w:val="auto"/>
              </w:rPr>
            </w:pPr>
          </w:p>
        </w:tc>
      </w:tr>
      <w:tr>
        <w:trPr>
          <w:trHeight w:val="224"/>
        </w:trPr>
        <w:tc>
          <w:tcPr>
            <w:tcW w:w="67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62,427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69,412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33,313</w:t>
            </w: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312"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2" w:right="23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674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2"/>
        </w:trPr>
        <w:tc>
          <w:tcPr>
            <w:tcW w:w="1020" w:type="dxa"/>
            <w:vAlign w:val="bottom"/>
            <w:tcBorders>
              <w:top w:val="single" w:sz="8" w:color="0000EE"/>
            </w:tcBorders>
          </w:tcPr>
          <w:p>
            <w:pPr>
              <w:spacing w:after="0"/>
              <w:rPr>
                <w:sz w:val="24"/>
                <w:szCs w:val="24"/>
                <w:color w:val="auto"/>
              </w:rPr>
            </w:pPr>
          </w:p>
        </w:tc>
        <w:tc>
          <w:tcPr>
            <w:tcW w:w="5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January 31,</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restart"/>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right="140"/>
              <w:spacing w:after="0" w:line="147"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ind w:right="500"/>
              <w:spacing w:after="0" w:line="147"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*As Adjusted</w:t>
            </w:r>
          </w:p>
        </w:tc>
        <w:tc>
          <w:tcPr>
            <w:tcW w:w="220" w:type="dxa"/>
            <w:vAlign w:val="bottom"/>
          </w:tcPr>
          <w:p>
            <w:pPr>
              <w:spacing w:after="0"/>
              <w:rPr>
                <w:sz w:val="16"/>
                <w:szCs w:val="16"/>
                <w:color w:val="auto"/>
              </w:rPr>
            </w:pPr>
          </w:p>
        </w:tc>
        <w:tc>
          <w:tcPr>
            <w:tcW w:w="1240" w:type="dxa"/>
            <w:vAlign w:val="bottom"/>
          </w:tcPr>
          <w:p>
            <w:pPr>
              <w:jc w:val="right"/>
              <w:ind w:right="24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6"/>
        </w:trPr>
        <w:tc>
          <w:tcPr>
            <w:tcW w:w="102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year</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148,347</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62,427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69,412</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0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740" w:type="dxa"/>
            <w:vAlign w:val="bottom"/>
            <w:gridSpan w:val="2"/>
          </w:tcPr>
          <w:p>
            <w:pPr>
              <w:ind w:left="200"/>
              <w:spacing w:after="0"/>
              <w:rPr>
                <w:sz w:val="20"/>
                <w:szCs w:val="20"/>
                <w:color w:val="auto"/>
              </w:rPr>
            </w:pPr>
            <w:r>
              <w:rPr>
                <w:rFonts w:ascii="Arial" w:cs="Arial" w:eastAsia="Arial" w:hAnsi="Arial"/>
                <w:sz w:val="16"/>
                <w:szCs w:val="16"/>
                <w:color w:val="auto"/>
              </w:rPr>
              <w:t>Cash paid during the period for:</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1020" w:type="dxa"/>
            <w:vAlign w:val="bottom"/>
          </w:tcPr>
          <w:p>
            <w:pPr>
              <w:spacing w:after="0"/>
              <w:rPr>
                <w:sz w:val="5"/>
                <w:szCs w:val="5"/>
                <w:color w:val="auto"/>
              </w:rPr>
            </w:pPr>
          </w:p>
        </w:tc>
        <w:tc>
          <w:tcPr>
            <w:tcW w:w="5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Income taxes, net of refunds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984</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740" w:type="dxa"/>
            <w:vAlign w:val="bottom"/>
            <w:gridSpan w:val="2"/>
          </w:tcPr>
          <w:p>
            <w:pPr>
              <w:ind w:left="380"/>
              <w:spacing w:after="0"/>
              <w:rPr>
                <w:sz w:val="20"/>
                <w:szCs w:val="20"/>
                <w:color w:val="auto"/>
              </w:rPr>
            </w:pPr>
            <w:r>
              <w:rPr>
                <w:rFonts w:ascii="Arial" w:cs="Arial" w:eastAsia="Arial" w:hAnsi="Arial"/>
                <w:sz w:val="16"/>
                <w:szCs w:val="16"/>
                <w:color w:val="auto"/>
              </w:rPr>
              <w:t>Interest expense, net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1,044</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87"/>
        </w:trPr>
        <w:tc>
          <w:tcPr>
            <w:tcW w:w="1020" w:type="dxa"/>
            <w:vAlign w:val="bottom"/>
            <w:tcBorders>
              <w:bottom w:val="single" w:sz="8" w:color="CCEEFF"/>
            </w:tcBorders>
          </w:tcPr>
          <w:p>
            <w:pPr>
              <w:spacing w:after="0"/>
              <w:rPr>
                <w:sz w:val="7"/>
                <w:szCs w:val="7"/>
                <w:color w:val="auto"/>
              </w:rPr>
            </w:pPr>
          </w:p>
        </w:tc>
        <w:tc>
          <w:tcPr>
            <w:tcW w:w="572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Construction costs related to build-to-suit lease obligations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11,683</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7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9"/>
        </w:trPr>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Vesting of early exercised stock options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1,204</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ind w:left="200"/>
              <w:spacing w:after="0"/>
              <w:rPr>
                <w:sz w:val="20"/>
                <w:szCs w:val="20"/>
                <w:color w:val="auto"/>
              </w:rPr>
            </w:pPr>
            <w:r>
              <w:rPr>
                <w:rFonts w:ascii="Arial" w:cs="Arial" w:eastAsia="Arial" w:hAnsi="Arial"/>
                <w:sz w:val="16"/>
                <w:szCs w:val="16"/>
                <w:color w:val="auto"/>
                <w:w w:val="95"/>
              </w:rPr>
              <w:t>Conversion of redeemable convertible preferred stock warrant liability to redeemable convertible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740" w:type="dxa"/>
            <w:vAlign w:val="bottom"/>
            <w:gridSpan w:val="2"/>
            <w:vMerge w:val="continue"/>
          </w:tcPr>
          <w:p>
            <w:pPr>
              <w:spacing w:after="0"/>
              <w:rPr>
                <w:sz w:val="15"/>
                <w:szCs w:val="15"/>
                <w:color w:val="auto"/>
              </w:rPr>
            </w:pPr>
          </w:p>
        </w:tc>
        <w:tc>
          <w:tcPr>
            <w:tcW w:w="36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40"/>
              <w:spacing w:after="0"/>
              <w:rPr>
                <w:sz w:val="20"/>
                <w:szCs w:val="20"/>
                <w:color w:val="auto"/>
              </w:rPr>
            </w:pPr>
            <w:r>
              <w:rPr>
                <w:rFonts w:ascii="Arial" w:cs="Arial" w:eastAsia="Arial" w:hAnsi="Arial"/>
                <w:sz w:val="16"/>
                <w:szCs w:val="16"/>
                <w:color w:val="auto"/>
              </w:rPr>
              <w:t>1,171</w:t>
            </w:r>
          </w:p>
        </w:tc>
        <w:tc>
          <w:tcPr>
            <w:tcW w:w="100" w:type="dxa"/>
            <w:vAlign w:val="bottom"/>
          </w:tcPr>
          <w:p>
            <w:pPr>
              <w:spacing w:after="0"/>
              <w:rPr>
                <w:sz w:val="15"/>
                <w:szCs w:val="15"/>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740" w:type="dxa"/>
            <w:vAlign w:val="bottom"/>
            <w:gridSpan w:val="2"/>
          </w:tcPr>
          <w:p>
            <w:pPr>
              <w:ind w:left="380"/>
              <w:spacing w:after="0"/>
              <w:rPr>
                <w:sz w:val="20"/>
                <w:szCs w:val="20"/>
                <w:color w:val="auto"/>
              </w:rPr>
            </w:pPr>
            <w:r>
              <w:rPr>
                <w:rFonts w:ascii="Arial" w:cs="Arial" w:eastAsia="Arial" w:hAnsi="Arial"/>
                <w:sz w:val="16"/>
                <w:szCs w:val="16"/>
                <w:color w:val="auto"/>
              </w:rPr>
              <w:t>preferred stock as a result of warrant exercise</w:t>
            </w:r>
          </w:p>
        </w:tc>
        <w:tc>
          <w:tcPr>
            <w:tcW w:w="3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1020" w:type="dxa"/>
            <w:vAlign w:val="bottom"/>
            <w:tcBorders>
              <w:bottom w:val="single" w:sz="8" w:color="CCEEFF"/>
            </w:tcBorders>
          </w:tcPr>
          <w:p>
            <w:pPr>
              <w:spacing w:after="0"/>
              <w:rPr>
                <w:sz w:val="7"/>
                <w:szCs w:val="7"/>
                <w:color w:val="auto"/>
              </w:rPr>
            </w:pPr>
          </w:p>
        </w:tc>
        <w:tc>
          <w:tcPr>
            <w:tcW w:w="572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Conversion of redeemable convertible preferred stock to common stock</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346,428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740" w:type="dxa"/>
            <w:vAlign w:val="bottom"/>
            <w:gridSpan w:val="2"/>
          </w:tcPr>
          <w:p>
            <w:pPr>
              <w:ind w:left="200"/>
              <w:spacing w:after="0"/>
              <w:rPr>
                <w:sz w:val="20"/>
                <w:szCs w:val="20"/>
                <w:color w:val="auto"/>
              </w:rPr>
            </w:pPr>
            <w:r>
              <w:rPr>
                <w:rFonts w:ascii="Arial" w:cs="Arial" w:eastAsia="Arial" w:hAnsi="Arial"/>
                <w:sz w:val="16"/>
                <w:szCs w:val="16"/>
                <w:color w:val="auto"/>
              </w:rPr>
              <w:t>Purchases of property and equipment included in accounts payable and accrued liabilities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66</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87"/>
        </w:trPr>
        <w:tc>
          <w:tcPr>
            <w:tcW w:w="1020" w:type="dxa"/>
            <w:vAlign w:val="bottom"/>
            <w:tcBorders>
              <w:bottom w:val="single" w:sz="8" w:color="CCEEFF"/>
            </w:tcBorders>
          </w:tcPr>
          <w:p>
            <w:pPr>
              <w:spacing w:after="0"/>
              <w:rPr>
                <w:sz w:val="7"/>
                <w:szCs w:val="7"/>
                <w:color w:val="auto"/>
              </w:rPr>
            </w:pPr>
          </w:p>
        </w:tc>
        <w:tc>
          <w:tcPr>
            <w:tcW w:w="572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Estimated fair value of office space under a build-to-suit lease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54,709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w w:val="94"/>
              </w:rPr>
              <w:t>Reconciliation of cash, cash equivalents, and restricted cash within the consolidated balance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40" w:type="dxa"/>
            <w:vAlign w:val="bottom"/>
            <w:gridSpan w:val="2"/>
          </w:tcPr>
          <w:p>
            <w:pPr>
              <w:ind w:left="220"/>
              <w:spacing w:after="0"/>
              <w:rPr>
                <w:sz w:val="20"/>
                <w:szCs w:val="20"/>
                <w:color w:val="auto"/>
              </w:rPr>
            </w:pPr>
            <w:r>
              <w:rPr>
                <w:rFonts w:ascii="Arial" w:cs="Arial" w:eastAsia="Arial" w:hAnsi="Arial"/>
                <w:sz w:val="16"/>
                <w:szCs w:val="16"/>
                <w:b w:val="1"/>
                <w:bCs w:val="1"/>
                <w:color w:val="auto"/>
              </w:rPr>
              <w:t>sheets to the amounts shown in the statements of cash flows above: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147,831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61,902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69,305</w:t>
            </w:r>
          </w:p>
        </w:tc>
        <w:tc>
          <w:tcPr>
            <w:tcW w:w="0" w:type="dxa"/>
            <w:vAlign w:val="bottom"/>
          </w:tcPr>
          <w:p>
            <w:pPr>
              <w:spacing w:after="0"/>
              <w:rPr>
                <w:sz w:val="1"/>
                <w:szCs w:val="1"/>
                <w:color w:val="auto"/>
              </w:rPr>
            </w:pPr>
          </w:p>
        </w:tc>
      </w:tr>
      <w:tr>
        <w:trPr>
          <w:trHeight w:val="60"/>
        </w:trPr>
        <w:tc>
          <w:tcPr>
            <w:tcW w:w="1020" w:type="dxa"/>
            <w:vAlign w:val="bottom"/>
            <w:shd w:val="clear" w:color="auto" w:fill="CCEEFF"/>
          </w:tcPr>
          <w:p>
            <w:pPr>
              <w:spacing w:after="0"/>
              <w:rPr>
                <w:sz w:val="5"/>
                <w:szCs w:val="5"/>
                <w:color w:val="auto"/>
              </w:rPr>
            </w:pPr>
          </w:p>
        </w:tc>
        <w:tc>
          <w:tcPr>
            <w:tcW w:w="57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740" w:type="dxa"/>
            <w:vAlign w:val="bottom"/>
            <w:gridSpan w:val="2"/>
          </w:tcPr>
          <w:p>
            <w:pPr>
              <w:ind w:left="200"/>
              <w:spacing w:after="0"/>
              <w:rPr>
                <w:sz w:val="20"/>
                <w:szCs w:val="20"/>
                <w:color w:val="auto"/>
              </w:rPr>
            </w:pPr>
            <w:r>
              <w:rPr>
                <w:rFonts w:ascii="Arial" w:cs="Arial" w:eastAsia="Arial" w:hAnsi="Arial"/>
                <w:sz w:val="16"/>
                <w:szCs w:val="16"/>
                <w:color w:val="auto"/>
              </w:rPr>
              <w:t>Restricted cash, non-current</w:t>
            </w:r>
          </w:p>
        </w:tc>
        <w:tc>
          <w:tcPr>
            <w:tcW w:w="360" w:type="dxa"/>
            <w:vAlign w:val="bottom"/>
          </w:tcPr>
          <w:p>
            <w:pPr>
              <w:spacing w:after="0"/>
              <w:rPr>
                <w:sz w:val="19"/>
                <w:szCs w:val="19"/>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60"/>
        </w:trPr>
        <w:tc>
          <w:tcPr>
            <w:tcW w:w="1020" w:type="dxa"/>
            <w:vAlign w:val="bottom"/>
            <w:tcBorders>
              <w:bottom w:val="single" w:sz="8" w:color="CCEEFF"/>
            </w:tcBorders>
          </w:tcPr>
          <w:p>
            <w:pPr>
              <w:spacing w:after="0"/>
              <w:rPr>
                <w:sz w:val="5"/>
                <w:szCs w:val="5"/>
                <w:color w:val="auto"/>
              </w:rPr>
            </w:pPr>
          </w:p>
        </w:tc>
        <w:tc>
          <w:tcPr>
            <w:tcW w:w="57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cash, cash equivalents and restricted cash</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148,347</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62,427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69,412</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80"/>
        <w:spacing w:after="0"/>
        <w:rPr>
          <w:sz w:val="20"/>
          <w:szCs w:val="20"/>
          <w:color w:val="auto"/>
        </w:rPr>
      </w:pPr>
      <w:r>
        <w:rPr>
          <w:rFonts w:ascii="Arial" w:cs="Arial" w:eastAsia="Arial" w:hAnsi="Arial"/>
          <w:sz w:val="14"/>
          <w:szCs w:val="14"/>
          <w:color w:val="auto"/>
        </w:rPr>
        <w:t>* See Note 2 for a summary of adjustments.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14"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75"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MongoDB, Inc. (“MongoDB” or the “Company”) was originally incorporated in the state of Delaware in November 2007 under the name 10Gen, Inc. In August 2013, the Company changed its name to MongoDB, Inc. The Company is headquartered in New York City. MongoDB is the leading, modern, general purpose database platform. The Company’s robust platform enables developers to build and modernize applications rapidly and cost-effectively across a broad range of use cases. Organizations can deploy our platform at scale in the cloud, on-premise or in a hybrid environment. In addition to selling its software, the Company provides post-contract support, training, and consulting services for its offerings. The Company’s fiscal year ends January 31.</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Basis of Presentation</w:t>
      </w:r>
    </w:p>
    <w:p>
      <w:pPr>
        <w:spacing w:after="0" w:line="171"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(“U.S. GAAP”) and include the accounts of the Company and its wholly owned subsidiaries. All intercompany transactions and accounts have been eliminated.</w:t>
      </w:r>
    </w:p>
    <w:p>
      <w:pPr>
        <w:spacing w:after="0" w:line="127" w:lineRule="exact"/>
        <w:rPr>
          <w:sz w:val="20"/>
          <w:szCs w:val="20"/>
          <w:color w:val="auto"/>
        </w:rPr>
      </w:pPr>
    </w:p>
    <w:p>
      <w:pPr>
        <w:ind w:right="180" w:firstLine="486"/>
        <w:spacing w:after="0" w:line="312" w:lineRule="auto"/>
        <w:rPr>
          <w:sz w:val="20"/>
          <w:szCs w:val="20"/>
          <w:color w:val="auto"/>
        </w:rPr>
      </w:pPr>
      <w:r>
        <w:rPr>
          <w:rFonts w:ascii="Arial" w:cs="Arial" w:eastAsia="Arial" w:hAnsi="Arial"/>
          <w:sz w:val="16"/>
          <w:szCs w:val="16"/>
          <w:color w:val="auto"/>
        </w:rPr>
        <w:t xml:space="preserve">Effective February 1, 2018, the Company adopted Accounting Standards Update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606) </w:t>
      </w:r>
      <w:r>
        <w:rPr>
          <w:rFonts w:ascii="Arial" w:cs="Arial" w:eastAsia="Arial" w:hAnsi="Arial"/>
          <w:sz w:val="16"/>
          <w:szCs w:val="16"/>
          <w:color w:val="auto"/>
        </w:rPr>
        <w:t>as discussed in “</w:t>
      </w:r>
      <w:r>
        <w:rPr>
          <w:rFonts w:ascii="Arial" w:cs="Arial" w:eastAsia="Arial" w:hAnsi="Arial"/>
          <w:sz w:val="16"/>
          <w:szCs w:val="16"/>
          <w:color w:val="2C2C2C"/>
        </w:rPr>
        <w:t>Recently Adopted Accounting Pronouncements”</w:t>
      </w:r>
      <w:r>
        <w:rPr>
          <w:rFonts w:ascii="Arial" w:cs="Arial" w:eastAsia="Arial" w:hAnsi="Arial"/>
          <w:sz w:val="16"/>
          <w:szCs w:val="16"/>
          <w:i w:val="1"/>
          <w:iCs w:val="1"/>
          <w:color w:val="auto"/>
        </w:rPr>
        <w:t xml:space="preserve"> </w:t>
      </w:r>
      <w:r>
        <w:rPr>
          <w:rFonts w:ascii="Arial" w:cs="Arial" w:eastAsia="Arial" w:hAnsi="Arial"/>
          <w:sz w:val="16"/>
          <w:szCs w:val="16"/>
          <w:color w:val="auto"/>
        </w:rPr>
        <w:t>below. All amounts and disclosures in this Annual Report on Form 10-K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updated to comply with the new standards, as indicated by the “As Adjusted” reference in these consolidated financial statements and related notes.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Use of Estimates</w:t>
      </w:r>
    </w:p>
    <w:p>
      <w:pPr>
        <w:spacing w:after="0" w:line="171"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Such estimates include, but are not limited to, revenue recognition, allowances for doubtful accounts, stock-based compensation, fair value of common stock and redeemable convertible preferred stock warrants prior to the initial public offering, legal contingencies, fair value of acquired intangible assets and goodwill, useful lives of acquired intangible assets and property and equipment, and accounting for income taxes. The Company bases these estimates on historical and anticipated results, trends and various other assumptions that it believes are reasonable under the circumstances, including assumptions as to future events. Actual results could differ from those estimates.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Emerging Growth Company Status</w:t>
      </w:r>
    </w:p>
    <w:p>
      <w:pPr>
        <w:spacing w:after="0" w:line="17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Company was an “emerging growth company” (“EGC”), under the Jumpstart Our Business Startups Act of 2012 (“JOBS Act”), and had previously elected to delay adoption of new or revised accounting pronouncements applicable to public companies until such pronouncements are made applicable to private companies. As a result of its market capitalization as of July 31, 2018, the Company ceased to qualify as an EGC as of January 31, 2019 and can no longer take advantage of the extended transition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Foreign Currency</w:t>
      </w:r>
    </w:p>
    <w:p>
      <w:pPr>
        <w:spacing w:after="0" w:line="171"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The functional currency of the Company’s international subsidiaries is either the U.S. dollar or the local currency in which the international subsidiary operates. For these subsidiaries where the U.S. dollar is the functional currency, foreign currency denominated monetary assets and liabilities are re-measured into U.S. dollars at current exchange rates and foreign currency denominated nonmonetary assets and liabilities are re-measured into U.S. dollars at historical exchange rates. Gains or losses from foreign currency re-measurement and settlements are included in other income (expense), net in the consolidated statements of operations. For foreign subsidiaries where the functional currency is the local currency, the Company uses the period-end exchange rates to translate assets and liabilities, and the average exchange rates to translate revenue and expenses into U.S. dollars. The Company records translation gains and losses in accumulated other comprehensive income (loss) as a component of stockholders' equity.</w:t>
      </w:r>
    </w:p>
    <w:p>
      <w:pPr>
        <w:spacing w:after="0" w:line="200" w:lineRule="exact"/>
        <w:rPr>
          <w:sz w:val="20"/>
          <w:szCs w:val="20"/>
          <w:color w:val="auto"/>
        </w:rPr>
      </w:pPr>
    </w:p>
    <w:p>
      <w:pPr>
        <w:spacing w:after="0" w:line="38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Comprehensive Loss</w:t>
      </w:r>
    </w:p>
    <w:p>
      <w:pPr>
        <w:spacing w:after="0" w:line="171"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Company’s comprehensive loss includes net loss, unrealized gains and losses on available-for-sale securities and foreign currency translation adjustments.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Cash and Cash Equivalents</w:t>
      </w:r>
    </w:p>
    <w:p>
      <w:pPr>
        <w:spacing w:after="0" w:line="171"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Company considers all highly liquid investments, including money market funds with an original maturity of three months or less at the date of purchase, to be cash equivalents.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Marketable Securities</w:t>
      </w:r>
    </w:p>
    <w:p>
      <w:pPr>
        <w:spacing w:after="0" w:line="171"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Company’s short-term investments consist of U.S. government treasury securities and money market instruments.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within current assets on the consolidated balance sheets.</w:t>
      </w:r>
    </w:p>
    <w:p>
      <w:pPr>
        <w:spacing w:after="0" w:line="134"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Available-for-sale securities are recorded at fair value each reporting period. Unrealized gains and losses on these short-term investments are reported as a separate component of accumulated other comprehensive loss on the consolidated balance sheets until realized. The Company periodically evaluates its short-term investments to assess whether those with unrealized loss positions are other than temporarily impaired. The Company considers various factors in determining whether to recognize an impairment charge. Realized gains and losses are determined based on the specific identification method and are reported in interest income in the consolidated statements of operations. If the Company determines that the decline in an investment's fair value is other-than-temporary, the difference is recognized as an impairment loss in the consolidated statements of operations. As of January 31, 2019 and 2018, the Company has not recorded any other-than-temporary-impairment charges in its consolidated statements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Restricted Cash</w:t>
      </w:r>
    </w:p>
    <w:p>
      <w:pPr>
        <w:spacing w:after="0" w:line="171"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Company pledged $0.5 million of collateral for its available credit on corporate credit cards as of January 31, 2019 and 2018. Restricted cash balances are included in other assets on the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Fair Value of Financial Instruments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Company’s financial instruments consist of cash equivalents, short-term investments, accounts receivable, accounts payable and accrued liabilities. Cash equivalents are stated at amortized cost, which approximates fair value at the balance sheet dates, due to the short period of time to maturity. Short-term investments are recorded at fair value. Accounts receivable, accounts payable and accrued liabilities are stated at their carrying value, which approximates fair value due to the short time to the expected receipt or payment date.</w:t>
      </w:r>
    </w:p>
    <w:p>
      <w:pPr>
        <w:spacing w:after="0" w:line="133"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Assets and liabilities recorded at fair value on a recurring basis in the balance sheets consisting of cash equivalents and short-term investments are categorized based upon the level of judgment associated with the inputs used to measure their fair values.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standard describes a fair value hierarchy based on three levels of inputs, as described below, of which the first two are considered observable and the last unobservable, that may be used to measure fair value:</w:t>
      </w:r>
    </w:p>
    <w:p>
      <w:pPr>
        <w:spacing w:after="0" w:line="11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Level 1: Observable inputs, such as quoted prices (unadjusted) in active markets for identical assets or liabilities at the measurement date.</w:t>
      </w:r>
    </w:p>
    <w:p>
      <w:pPr>
        <w:spacing w:after="0" w:line="182" w:lineRule="exact"/>
        <w:rPr>
          <w:rFonts w:ascii="Arial" w:cs="Arial" w:eastAsia="Arial" w:hAnsi="Arial"/>
          <w:sz w:val="17"/>
          <w:szCs w:val="17"/>
          <w:color w:val="auto"/>
        </w:rPr>
      </w:pPr>
    </w:p>
    <w:p>
      <w:pPr>
        <w:ind w:left="660" w:right="10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2: Observable inputs, other than Level 1 prices, such as quoted prices in active markets for similar assets and liabilities, quoted prices in markets that are not active, or other inputs that are observable or can be corroborated by observable market data for substantially the full term of the assets or liabilities.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Company’s financial instruments that are carried at fair value consist of Level 1 assets, which include highly liquid money market funds classified as cash equivalents and U.S. government treasury securities classified as short-term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Concentration of Credit Risk</w:t>
      </w:r>
    </w:p>
    <w:p>
      <w:pPr>
        <w:spacing w:after="0" w:line="17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Financial instruments that potentially subject the Company to concentrations of credit risk are primarily cash, cash equivalents, restricted cash, short-term investments, and accounts receivable. The primary focus of the Company’s investment strategy is to preserve capital and meet liquidity requirements. The Company maintains its cash accounts with financial institutions where, at times, deposits exceed federal insurance limits. The Company invests its excess cash in highly-rated money market funds and in short-term investments consisting of U.S. government treasury securities. The Company extends credit to customers in the normal course of business. The Company performs credit analyses and monitors the financial health of its customers to reduce credit risk. Trade accounts receivable are recorded at the invoiced amount and do not bear interest. The Company records an allowance for doubtful accounts relating to certain trade accounts receivable. The allowance is based on various factors, including the review of credit profiles of its customers, contractual terms and conditions, current economic trends and historical customer payment experience.</w:t>
      </w:r>
    </w:p>
    <w:p>
      <w:pPr>
        <w:spacing w:after="0" w:line="12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As of January 31, 2019 and 2018, no customer represented 10% or more of net accounts receivable. For the years ended January 31, 2019, 2018 and 2017, no customer represented 10% of more of revenue.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Capitalized Software Costs</w:t>
      </w:r>
    </w:p>
    <w:p>
      <w:pPr>
        <w:spacing w:after="0" w:line="171"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Software development costs for software to be sold, leased, or otherwise marketed are expensed as incurred until the establishment of technological feasibility, at which time those costs are capitalized until the product is available for general release to customers and amortized over the estimated life of the product. Technological feasibility is established upon the completion of a working prototype that has been certified as having no critical bugs and is a release candidate. To date, costs and time incurred between the establishment of technological feasibility and product release have not been material, resulting in software development costs qualifying for capitalization being immaterial. As a result, all software development costs have been recorded in research and development expense in the consolidated statements of operations.</w:t>
      </w:r>
    </w:p>
    <w:p>
      <w:pPr>
        <w:spacing w:after="0" w:line="124"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Costs related to software acquired, developed, or modified solely to meet the Company’s internal requirements, with no substantive plans to market such software at the time of development, or costs related to the development of web-based product are capitalized. Costs incurred during the preliminary planning and evaluation stage of the project and during post implementation operational stage are expensed as incurred. Costs incurred during the application development stage of the project are capitalized. The Company did not capitalize any costs related to computer software developed for internal use or web-based product in the years ended January 31, 2019 and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Property and Equipment</w:t>
      </w:r>
    </w:p>
    <w:p>
      <w:pPr>
        <w:spacing w:after="0" w:line="171"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Property and equipment are recorded at cost and depreciated over their estimated useful lives using the straight-line method and the following estimated useful lives: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Property and Equipment</w:t>
            </w:r>
          </w:p>
        </w:tc>
        <w:tc>
          <w:tcPr>
            <w:tcW w:w="120" w:type="dxa"/>
            <w:vAlign w:val="bottom"/>
            <w:tcBorders>
              <w:bottom w:val="single" w:sz="8" w:color="CCEEFF"/>
            </w:tcBorders>
          </w:tcPr>
          <w:p>
            <w:pPr>
              <w:spacing w:after="0"/>
              <w:rPr>
                <w:sz w:val="16"/>
                <w:szCs w:val="16"/>
                <w:color w:val="auto"/>
              </w:rPr>
            </w:pP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Estimated Useful Life</w:t>
            </w:r>
          </w:p>
        </w:tc>
      </w:tr>
      <w:tr>
        <w:trPr>
          <w:trHeight w:val="250"/>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and office equipment</w:t>
            </w:r>
          </w:p>
        </w:tc>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Two to three years</w:t>
            </w: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color w:val="auto"/>
              </w:rPr>
              <w:t>Purchased software</w:t>
            </w:r>
          </w:p>
        </w:tc>
        <w:tc>
          <w:tcPr>
            <w:tcW w:w="4300" w:type="dxa"/>
            <w:vAlign w:val="bottom"/>
          </w:tcPr>
          <w:p>
            <w:pPr>
              <w:ind w:left="20"/>
              <w:spacing w:after="0"/>
              <w:rPr>
                <w:sz w:val="20"/>
                <w:szCs w:val="20"/>
                <w:color w:val="auto"/>
              </w:rPr>
            </w:pPr>
            <w:r>
              <w:rPr>
                <w:rFonts w:ascii="Arial" w:cs="Arial" w:eastAsia="Arial" w:hAnsi="Arial"/>
                <w:sz w:val="18"/>
                <w:szCs w:val="18"/>
                <w:color w:val="auto"/>
              </w:rPr>
              <w:t>Two to three years</w:t>
            </w:r>
          </w:p>
        </w:tc>
      </w:tr>
      <w:tr>
        <w:trPr>
          <w:trHeight w:val="27"/>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Servers</w:t>
            </w:r>
          </w:p>
        </w:tc>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years</w:t>
            </w: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color w:val="auto"/>
              </w:rPr>
              <w:t>Furniture and fixtures</w:t>
            </w:r>
          </w:p>
        </w:tc>
        <w:tc>
          <w:tcPr>
            <w:tcW w:w="4300" w:type="dxa"/>
            <w:vAlign w:val="bottom"/>
          </w:tcPr>
          <w:p>
            <w:pPr>
              <w:ind w:left="20"/>
              <w:spacing w:after="0"/>
              <w:rPr>
                <w:sz w:val="20"/>
                <w:szCs w:val="20"/>
                <w:color w:val="auto"/>
              </w:rPr>
            </w:pPr>
            <w:r>
              <w:rPr>
                <w:rFonts w:ascii="Arial" w:cs="Arial" w:eastAsia="Arial" w:hAnsi="Arial"/>
                <w:sz w:val="18"/>
                <w:szCs w:val="18"/>
                <w:color w:val="auto"/>
              </w:rPr>
              <w:t>Five years</w:t>
            </w:r>
          </w:p>
        </w:tc>
      </w:tr>
      <w:tr>
        <w:trPr>
          <w:trHeight w:val="27"/>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Lesser of estimated useful life or remaining lease term</w:t>
            </w: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color w:val="auto"/>
              </w:rPr>
              <w:t>Building</w:t>
            </w:r>
          </w:p>
        </w:tc>
        <w:tc>
          <w:tcPr>
            <w:tcW w:w="4300" w:type="dxa"/>
            <w:vAlign w:val="bottom"/>
          </w:tcPr>
          <w:p>
            <w:pPr>
              <w:ind w:left="20"/>
              <w:spacing w:after="0"/>
              <w:rPr>
                <w:sz w:val="20"/>
                <w:szCs w:val="20"/>
                <w:color w:val="auto"/>
              </w:rPr>
            </w:pPr>
            <w:r>
              <w:rPr>
                <w:rFonts w:ascii="Arial" w:cs="Arial" w:eastAsia="Arial" w:hAnsi="Arial"/>
                <w:sz w:val="18"/>
                <w:szCs w:val="18"/>
                <w:color w:val="auto"/>
              </w:rPr>
              <w:t>Forty years</w:t>
            </w:r>
          </w:p>
        </w:tc>
      </w:tr>
    </w:tbl>
    <w:p>
      <w:pPr>
        <w:spacing w:after="0" w:line="175"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Upon retirement or sale, the cost of assets disposed of, and the related accumulated depreciation, is removed from the accounts and any resulting gain or loss is reflected in the consolidated statements of operations. There was no material gain or loss incurred as a result of retirement or sale in the periods presented. Repair and maintenance costs are expensed as incurred.</w:t>
      </w:r>
    </w:p>
    <w:p>
      <w:pPr>
        <w:spacing w:after="0" w:line="200" w:lineRule="exact"/>
        <w:rPr>
          <w:sz w:val="20"/>
          <w:szCs w:val="20"/>
          <w:color w:val="auto"/>
        </w:rPr>
      </w:pPr>
    </w:p>
    <w:p>
      <w:pPr>
        <w:spacing w:after="0" w:line="40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2" w:right="25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Business Combinations</w:t>
      </w:r>
    </w:p>
    <w:p>
      <w:pPr>
        <w:spacing w:after="0" w:line="17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The Company uses its best estimates and assumptions to assign fair value to the tangible and intangible assets acquired and liabilities assumed as of the acquisition date. These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In addition, uncertain tax positions and tax-related valuation allowances are initially established in connection with a business combination as of the acquisition date.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Long-Lived Assets, Including Goodwill and Other Acquired Intangible Assets</w:t>
      </w:r>
    </w:p>
    <w:p>
      <w:pPr>
        <w:spacing w:after="0" w:line="171"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The Company evaluates the recoverability of property and equipment and amortizable intangible assets for possible impairment whenever events or circumstances indicate that the carrying amount of such assets may not be recoverable. Recoverability of these assets is measured by a comparison of the carrying amounts to the future undiscounted cash flows the assets are expected to generate. If such review indicates that the carrying amount of property and equipment and intangible assets is not recoverable, the carrying amount of such assets is reduced to fair value. In addition, the Company tests goodwill for impairment at least annually or more frequently if events or changes in circumstances indicate that this asset may be impaired. These tests are based on the Company’s single operating segment and reporting unit structure. No indications of impairment of goodwill were noted during the years ended January 31, 2019 and 2018.</w:t>
      </w:r>
    </w:p>
    <w:p>
      <w:pPr>
        <w:spacing w:after="0" w:line="135" w:lineRule="exact"/>
        <w:rPr>
          <w:sz w:val="20"/>
          <w:szCs w:val="20"/>
          <w:color w:val="auto"/>
        </w:rPr>
      </w:pPr>
    </w:p>
    <w:p>
      <w:pPr>
        <w:ind w:right="380" w:firstLine="486"/>
        <w:spacing w:after="0" w:line="308" w:lineRule="auto"/>
        <w:rPr>
          <w:sz w:val="20"/>
          <w:szCs w:val="20"/>
          <w:color w:val="auto"/>
        </w:rPr>
      </w:pPr>
      <w:r>
        <w:rPr>
          <w:rFonts w:ascii="Arial" w:cs="Arial" w:eastAsia="Arial" w:hAnsi="Arial"/>
          <w:sz w:val="17"/>
          <w:szCs w:val="17"/>
          <w:color w:val="auto"/>
        </w:rPr>
        <w:t>Acquired amortizable intangible assets are amortized on a straight-line basis over the estimated useful lives of the assets. The estimated remaining useful lives for intangible assets range from 0.8 to 4.8 years as of January 31, 2019 and 1.8 to 2.2 years as of January 31, 2018.</w:t>
      </w:r>
    </w:p>
    <w:p>
      <w:pPr>
        <w:spacing w:after="0" w:line="93" w:lineRule="exact"/>
        <w:rPr>
          <w:sz w:val="20"/>
          <w:szCs w:val="20"/>
          <w:color w:val="auto"/>
        </w:rPr>
      </w:pPr>
    </w:p>
    <w:p>
      <w:pPr>
        <w:jc w:val="both"/>
        <w:ind w:right="300" w:firstLine="486"/>
        <w:spacing w:after="0" w:line="264" w:lineRule="auto"/>
        <w:rPr>
          <w:sz w:val="20"/>
          <w:szCs w:val="20"/>
          <w:color w:val="auto"/>
        </w:rPr>
      </w:pPr>
      <w:r>
        <w:rPr>
          <w:rFonts w:ascii="Arial" w:cs="Arial" w:eastAsia="Arial" w:hAnsi="Arial"/>
          <w:sz w:val="18"/>
          <w:szCs w:val="18"/>
          <w:color w:val="auto"/>
        </w:rPr>
        <w:t>In addition to the recoverability assessment, the Company periodically reviews the remaining estimated useful lives of property and equipment and amortizable intangible assets. If the estimated useful life assumption for any asset is changed, the remaining unamortized balance would be depreciated or amortized over the revised estimated useful life, on a prospective basis.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Deferred Rent</w:t>
      </w:r>
    </w:p>
    <w:p>
      <w:pPr>
        <w:spacing w:after="0" w:line="17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Rent expense is recognized on a straight-line basis over the non-cancelable term of the respective operating lease. The Company records the difference between cash rent payments and recognized rent expense as a deferred rent liability included in accrued liabilities and other liabilities on the consolidated balance sheets. Incentives granted under the Company’s facility leases, including allowances to fund leasehold improvements, are deferred and are recognized as adjustments to rental expense on a straight-line basis over the term of the lease.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Revenue Recognition</w:t>
      </w:r>
    </w:p>
    <w:p>
      <w:pPr>
        <w:spacing w:after="0" w:line="17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Company derives its revenue from two sources: (1) sales of subscriptions, including term license and post-contract customer support (“PCS”), and consumption-based database-as-a-service offerings; and (2) services revenue comprised of consulting and training arrangements. The Company recognizes revenue when its customer obtains control of promised goods or services in an amount that reflects the consideration that the Company expects to receive in exchange for those goods or services. In determining the appropriate amount of revenue to be recognized as it fulfills its obligations under each of its agreements, the Company performs the following steps:</w:t>
      </w:r>
    </w:p>
    <w:p>
      <w:pPr>
        <w:spacing w:after="0" w:line="130" w:lineRule="exact"/>
        <w:rPr>
          <w:sz w:val="20"/>
          <w:szCs w:val="20"/>
          <w:color w:val="auto"/>
        </w:rPr>
      </w:pPr>
    </w:p>
    <w:p>
      <w:pPr>
        <w:ind w:left="660" w:right="20" w:hanging="328"/>
        <w:spacing w:after="0" w:line="271"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 xml:space="preserve">Identification of the contract, or contracts, with a customer </w:t>
      </w:r>
      <w:r>
        <w:rPr>
          <w:rFonts w:ascii="Arial" w:cs="Arial" w:eastAsia="Arial" w:hAnsi="Arial"/>
          <w:sz w:val="17"/>
          <w:szCs w:val="17"/>
          <w:color w:val="auto"/>
        </w:rPr>
        <w:t>- The Company contracts with its customers through order forms, which are</w:t>
      </w:r>
      <w:r>
        <w:rPr>
          <w:rFonts w:ascii="Arial" w:cs="Arial" w:eastAsia="Arial" w:hAnsi="Arial"/>
          <w:sz w:val="17"/>
          <w:szCs w:val="17"/>
          <w:b w:val="1"/>
          <w:bCs w:val="1"/>
          <w:color w:val="auto"/>
        </w:rPr>
        <w:t xml:space="preserve"> </w:t>
      </w:r>
      <w:r>
        <w:rPr>
          <w:rFonts w:ascii="Arial" w:cs="Arial" w:eastAsia="Arial" w:hAnsi="Arial"/>
          <w:sz w:val="17"/>
          <w:szCs w:val="17"/>
          <w:color w:val="auto"/>
        </w:rPr>
        <w:t>governed by master sales agreements. The Company determines it has a contract with a customer when the contract is approved, each party’s rights regarding the products or services to be transferred is identified, the payment terms for the services can be identified, the Company has determined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reputation and financial or other information pertaining to the customer. At contract inception, the Company evaluates whether two or more contracts should be combined and accounted for as a single contract and whether the combined or single contract includes more than one performance obligation. The Company has concluded that its contracts with customers do not contain warranties that give rise to a separate performance obligation.</w:t>
      </w:r>
    </w:p>
    <w:p>
      <w:pPr>
        <w:spacing w:after="0" w:line="200" w:lineRule="exact"/>
        <w:rPr>
          <w:sz w:val="20"/>
          <w:szCs w:val="20"/>
          <w:color w:val="auto"/>
        </w:rPr>
      </w:pPr>
    </w:p>
    <w:p>
      <w:pPr>
        <w:spacing w:after="0" w:line="39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2" w:right="25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left="660" w:right="20" w:hanging="328"/>
        <w:spacing w:after="0" w:line="255"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Identification of the performance obligations in the contract </w:t>
      </w:r>
      <w:r>
        <w:rPr>
          <w:rFonts w:ascii="Arial" w:cs="Arial" w:eastAsia="Arial" w:hAnsi="Arial"/>
          <w:sz w:val="18"/>
          <w:szCs w:val="18"/>
          <w:color w:val="auto"/>
        </w:rPr>
        <w:t>- Performance obligations promised in a contract are identified based on the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or products that will be transferred to the customer that are both 1) capable of being distinct, whereby the customer can benefit from the service or product either on its own or together with other resources that are readily available from third parties or from the Company, and 2) distinct in the context of the contract, whereby the transfer of the services or products is separately identifiable from other promises in the contract. 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accounted for as a combined performance obligation.</w:t>
      </w:r>
    </w:p>
    <w:p>
      <w:pPr>
        <w:spacing w:after="0" w:line="135"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Determination of the transaction price </w:t>
      </w:r>
      <w:r>
        <w:rPr>
          <w:rFonts w:ascii="Arial" w:cs="Arial" w:eastAsia="Arial" w:hAnsi="Arial"/>
          <w:sz w:val="18"/>
          <w:szCs w:val="18"/>
          <w:color w:val="auto"/>
        </w:rPr>
        <w:t>- The transaction price is determined based on the consideration to which the Company expects to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in exchange for transferring services and products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126" w:lineRule="exact"/>
        <w:rPr>
          <w:rFonts w:ascii="Arial" w:cs="Arial" w:eastAsia="Arial" w:hAnsi="Arial"/>
          <w:sz w:val="18"/>
          <w:szCs w:val="18"/>
          <w:color w:val="auto"/>
        </w:rPr>
      </w:pPr>
    </w:p>
    <w:p>
      <w:pPr>
        <w:ind w:left="660" w:hanging="328"/>
        <w:spacing w:after="0" w:line="291"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Allocation of the transaction price to the performance obligations in the contract </w:t>
      </w:r>
      <w:r>
        <w:rPr>
          <w:rFonts w:ascii="Arial" w:cs="Arial" w:eastAsia="Arial" w:hAnsi="Arial"/>
          <w:sz w:val="16"/>
          <w:szCs w:val="16"/>
          <w:color w:val="auto"/>
        </w:rPr>
        <w:t>- If the contract contains a single performance obligation,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entire transaction price is allocated to the single performance obligation. For contracts that contain multiple performance obligations, the Company allocates the transaction price to each performance obligation based on a relative standalone selling price (“SSP”) basis. The Company also considers if there are any additional material rights inherent in a contract, and if so, the Company allocates a portion of the transaction price to such rights based on SSP. The Company determines each SSP based on multiple factors, including past history of selling such performance obligations as stand alone products. The Company estimates SSP for performance obligations with no observable evidence using adjusted market, cost plus and residual methods to establish the SSPs. In cases where directly observable stand alone sales are not available, the Company utilizes all observable data points including competitor pricing for a similar or identical product, market and industry datapoints, and the Company’s pricing practices.</w:t>
      </w:r>
    </w:p>
    <w:p>
      <w:pPr>
        <w:spacing w:after="0" w:line="106" w:lineRule="exact"/>
        <w:rPr>
          <w:rFonts w:ascii="Arial" w:cs="Arial" w:eastAsia="Arial" w:hAnsi="Arial"/>
          <w:sz w:val="16"/>
          <w:szCs w:val="16"/>
          <w:color w:val="auto"/>
        </w:rPr>
      </w:pPr>
    </w:p>
    <w:p>
      <w:pPr>
        <w:ind w:left="660" w:right="120" w:hanging="328"/>
        <w:spacing w:after="0" w:line="261"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Recognition of revenue when, or as, the Company satisfies a performance obligation </w:t>
      </w:r>
      <w:r>
        <w:rPr>
          <w:rFonts w:ascii="Arial" w:cs="Arial" w:eastAsia="Arial" w:hAnsi="Arial"/>
          <w:sz w:val="18"/>
          <w:szCs w:val="18"/>
          <w:color w:val="auto"/>
        </w:rPr>
        <w:t>- The Company recognizes revenue at the time the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obligation is satisfied when control of the services or products are transferred to the customers, in an amount that reflects the consideration the Company expects to be entitled to in exchange for those services or products. The Company records its revenue net of any value added or sales tax.</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Subscription Revenue</w:t>
      </w:r>
    </w:p>
    <w:p>
      <w:pPr>
        <w:spacing w:after="0" w:line="17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Company sells subscriptions directly through its field and inside sales teams and indirectly through channel partners, as well as through its self-serve channel. The majority of the Company’s subscription contracts are one year in duration and are invoiced upfront. When the Company enters into multi-year subscriptions, the Company typically invoices the customer on an annual basis. The Company’s subscription contracts are generally non-cancelable and non-refundable.</w:t>
      </w:r>
    </w:p>
    <w:p>
      <w:pPr>
        <w:spacing w:after="0" w:line="133"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The Company’s subscription revenue includes time-based software licenses sold in conjunction with PCS. These subscription offerings are generally priced on a per server basis, subject to a per server RAM limit. Performance obligations related to subscription revenue for time-based software licenses include a license portion, which represents functional intellectual property under which a customer has the legal right to the license. The license provides significant standalone functionality and is therefore deemed a distinct performance obligation. License revenue is recognized at a point in time, upon delivery and transfer of control of the underlying license to the customer, which is typically the subscription start date.</w:t>
      </w:r>
    </w:p>
    <w:p>
      <w:pPr>
        <w:spacing w:after="0" w:line="119"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Performance obligations related to PCS include unspecified updates, as well as support and maintenance. While separate performance obligations are identified within PCS, the underlying performance obligations generally have a consistent continuous pattern of transfer to a customer during the term of a contract. Revenue from PCS is recognized ratably over the contract duration.</w:t>
      </w:r>
    </w:p>
    <w:p>
      <w:pPr>
        <w:spacing w:after="0" w:line="127" w:lineRule="exact"/>
        <w:rPr>
          <w:sz w:val="20"/>
          <w:szCs w:val="20"/>
          <w:color w:val="auto"/>
        </w:rPr>
      </w:pPr>
    </w:p>
    <w:p>
      <w:pPr>
        <w:ind w:right="200" w:firstLine="486"/>
        <w:spacing w:after="0" w:line="302" w:lineRule="auto"/>
        <w:rPr>
          <w:sz w:val="20"/>
          <w:szCs w:val="20"/>
          <w:color w:val="auto"/>
        </w:rPr>
      </w:pPr>
      <w:r>
        <w:rPr>
          <w:rFonts w:ascii="Arial" w:cs="Arial" w:eastAsia="Arial" w:hAnsi="Arial"/>
          <w:sz w:val="16"/>
          <w:szCs w:val="16"/>
          <w:color w:val="auto"/>
        </w:rPr>
        <w:t>The Company also derives subscription revenue from providing its software to customers with its database-as-a-service offering that includes comprehensive infrastructure and management of the Company’s database and can also be purchased with additional enterprise features. Performance obligations related to database-as-a-service solutions are recognized on a usage-basis, as the consumption of this service represents a direct measurement of the value to the customer of the goods or services transferred to date relative to the remaining goods or services promised under the contract.</w:t>
      </w:r>
    </w:p>
    <w:p>
      <w:pPr>
        <w:spacing w:after="0" w:line="200" w:lineRule="exact"/>
        <w:rPr>
          <w:sz w:val="20"/>
          <w:szCs w:val="20"/>
          <w:color w:val="auto"/>
        </w:rPr>
      </w:pPr>
    </w:p>
    <w:p>
      <w:pPr>
        <w:spacing w:after="0" w:line="37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Services Revenue</w:t>
      </w:r>
    </w:p>
    <w:p>
      <w:pPr>
        <w:spacing w:after="0" w:line="171"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Company’s services contracts are generally provisioned on a time-and-materials basis. Revenue is recognized on a proportional performance basis as the services are delivered to the customers.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Contracts with Multiple Performance Obligations</w:t>
      </w:r>
    </w:p>
    <w:p>
      <w:pPr>
        <w:spacing w:after="0" w:line="171" w:lineRule="exact"/>
        <w:rPr>
          <w:sz w:val="20"/>
          <w:szCs w:val="20"/>
          <w:color w:val="auto"/>
        </w:rPr>
      </w:pPr>
    </w:p>
    <w:p>
      <w:pPr>
        <w:ind w:right="440" w:firstLine="486"/>
        <w:spacing w:after="0" w:line="312" w:lineRule="auto"/>
        <w:rPr>
          <w:sz w:val="20"/>
          <w:szCs w:val="20"/>
          <w:color w:val="auto"/>
        </w:rPr>
      </w:pPr>
      <w:r>
        <w:rPr>
          <w:rFonts w:ascii="Arial" w:cs="Arial" w:eastAsia="Arial" w:hAnsi="Arial"/>
          <w:sz w:val="16"/>
          <w:szCs w:val="16"/>
          <w:color w:val="auto"/>
        </w:rPr>
        <w:t>Certain of the Company’s contracts with customers contain multiple performance obligations, including those described above such as the license portion of time-based software licenses, PCS, database-as-a-service offerings and services. For these contracts, the Company accounts for individual performance obligations separately if they are distinct. The transaction price is allocated to the separate performance obligations based on relative SSP.</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Cost of Revenue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 of Subscription Revenue</w:t>
      </w:r>
    </w:p>
    <w:p>
      <w:pPr>
        <w:spacing w:after="0" w:line="171" w:lineRule="exact"/>
        <w:rPr>
          <w:sz w:val="20"/>
          <w:szCs w:val="20"/>
          <w:color w:val="auto"/>
        </w:rPr>
      </w:pPr>
    </w:p>
    <w:p>
      <w:pPr>
        <w:ind w:firstLine="486"/>
        <w:spacing w:after="0" w:line="221" w:lineRule="exact"/>
        <w:rPr>
          <w:sz w:val="20"/>
          <w:szCs w:val="20"/>
          <w:color w:val="auto"/>
        </w:rPr>
      </w:pPr>
      <w:r>
        <w:rPr>
          <w:rFonts w:ascii="Arial" w:cs="Arial" w:eastAsia="Arial" w:hAnsi="Arial"/>
          <w:sz w:val="16"/>
          <w:szCs w:val="16"/>
          <w:color w:val="auto"/>
        </w:rPr>
        <w:t>Cost of subscription revenue primarily includes personnel costs, including salaries, bonuses and benefits, and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employees associated with the Company’s subscription arrangements principally related to support and allocated shared costs, as well as depreciation and amortization. The cost of subscription revenue for the Company’s database-as-a-service offerings also includes third</w:t>
      </w:r>
      <w:r>
        <w:rPr>
          <w:rFonts w:ascii="MS PGothic" w:cs="MS PGothic" w:eastAsia="MS PGothic" w:hAnsi="MS PGothic"/>
          <w:sz w:val="16"/>
          <w:szCs w:val="16"/>
          <w:color w:val="auto"/>
        </w:rPr>
        <w:t>‑</w:t>
      </w:r>
      <w:r>
        <w:rPr>
          <w:rFonts w:ascii="Arial" w:cs="Arial" w:eastAsia="Arial" w:hAnsi="Arial"/>
          <w:sz w:val="16"/>
          <w:szCs w:val="16"/>
          <w:color w:val="auto"/>
        </w:rPr>
        <w:t>party cloud infrastructure and overhead.</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 of Services Revenue</w:t>
      </w:r>
    </w:p>
    <w:p>
      <w:pPr>
        <w:spacing w:after="0" w:line="171" w:lineRule="exact"/>
        <w:rPr>
          <w:sz w:val="20"/>
          <w:szCs w:val="20"/>
          <w:color w:val="auto"/>
        </w:rPr>
      </w:pPr>
    </w:p>
    <w:p>
      <w:pPr>
        <w:ind w:right="180" w:firstLine="486"/>
        <w:spacing w:after="0" w:line="224" w:lineRule="exact"/>
        <w:rPr>
          <w:sz w:val="20"/>
          <w:szCs w:val="20"/>
          <w:color w:val="auto"/>
        </w:rPr>
      </w:pPr>
      <w:r>
        <w:rPr>
          <w:rFonts w:ascii="Arial" w:cs="Arial" w:eastAsia="Arial" w:hAnsi="Arial"/>
          <w:sz w:val="17"/>
          <w:szCs w:val="17"/>
          <w:color w:val="auto"/>
        </w:rPr>
        <w:t>Cost of services revenue primarily includes personnel costs, including salaries and benefits,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for employees associated with the Company’s professional service contracts, travel costs and allocated shared costs, as well as depreciation and amortization.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Deferred Commissions</w:t>
      </w:r>
    </w:p>
    <w:p>
      <w:pPr>
        <w:spacing w:after="0" w:line="171"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color w:val="auto"/>
        </w:rPr>
        <w:t>The Company capitalizes its incremental costs of obtaining non-cancelable subscription contracts with customers, which generally consist of sales commissions paid to the Company’s sales force and related payroll taxes. These costs are recorded on the Company’s consolidated balance sheet as deferred commissions. Amortization is recognized based on the expected future revenue streams under the customer contracts over a period of benefit that the Company has determined to be five years. The Company determined the period of benefit by taking into consideration its customer contracts, its technology and other factors. Sales commissions and related payroll taxes for renewal contracts are deferred and then amortized based on the pattern of the associated revenue recognition over the related contractual renewal period. Sales commissions are generally paid up front and one month in arrears, however, the timing of payment is based on contractual terms of the underlying subscription contract and is subject to an evaluation of customer credit-worthiness. The deferred commission amounts are recoverable through the future revenue streams under the non-cancelable customer contracts. Amortization of deferred commissions is included in sales and marketing expense in the consolidated statements of operations. The Company adopted the practical expedient that permits an entity to expense the costs to obtain a contract as incurred when the expected amortization period is one year or less.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Deferred Revenue</w:t>
      </w:r>
    </w:p>
    <w:p>
      <w:pPr>
        <w:spacing w:after="0" w:line="171" w:lineRule="exact"/>
        <w:rPr>
          <w:sz w:val="20"/>
          <w:szCs w:val="20"/>
          <w:color w:val="auto"/>
        </w:rPr>
      </w:pPr>
    </w:p>
    <w:p>
      <w:pPr>
        <w:ind w:right="200" w:firstLine="486"/>
        <w:spacing w:after="0" w:line="293" w:lineRule="auto"/>
        <w:rPr>
          <w:sz w:val="20"/>
          <w:szCs w:val="20"/>
          <w:color w:val="auto"/>
        </w:rPr>
      </w:pPr>
      <w:r>
        <w:rPr>
          <w:rFonts w:ascii="Arial" w:cs="Arial" w:eastAsia="Arial" w:hAnsi="Arial"/>
          <w:sz w:val="16"/>
          <w:szCs w:val="16"/>
          <w:color w:val="auto"/>
        </w:rPr>
        <w:t>Deferred revenue primarily consists of customer billings or payments received in advance of revenues being recognized from the Company’s subscription and services contracts. The Company generally invoices its customers annually in advance for its subscription services. Typical payment terms provide that customers pay a portion of the total arrangement fee within 30 days of the contract date. Deferred revenue that is anticipated to be recognized during the succeeding twelve-month period is recorded as current deferred revenue and the remaining portion is recorded as non-current. The Company’s contract liabilities are classified as deferred revenue upon the right to invoice or when payments have been received for undelivered products or services. Deferred revenue does not necessarily represent the total contract value of annual or multi-year, non-cancelable subscription agreements.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Accounts Receivable and Allowance for Doubtful Accounts</w:t>
      </w:r>
    </w:p>
    <w:p>
      <w:pPr>
        <w:spacing w:after="0" w:line="171"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The Company records a receivable when an unconditional right to consideration exists and transfer of control has occurred, such that only the passage of time is required before payment of consideration is due. Timing of revenue recognition may differ from the timing of invoicing to customers. If revenue recognized on a contract exceeds the billings,</w:t>
      </w:r>
    </w:p>
    <w:p>
      <w:pPr>
        <w:spacing w:after="0" w:line="200" w:lineRule="exact"/>
        <w:rPr>
          <w:sz w:val="20"/>
          <w:szCs w:val="20"/>
          <w:color w:val="auto"/>
        </w:rPr>
      </w:pPr>
    </w:p>
    <w:p>
      <w:pPr>
        <w:spacing w:after="0" w:line="40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then the Company records an unbilled receivable for that excess amount, which is included as part of accounts receivable, net in the Company’s consolidated balance sheets.</w:t>
      </w:r>
    </w:p>
    <w:p>
      <w:pPr>
        <w:spacing w:after="0" w:line="116"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The Company performs initial and ongoing evaluations of its customers' financial position, and generally extends credit without collateral. The Company determines the need for an allowance for doubtful accounts based upon various factors, including past collection experience, credit quality of the customer, age of the receivable balance, and current economic conditions, as well as specific circumstances arising with individual customers. Trade receivables are written off against the allowance when management determines a balance is uncollectible and the Company no longer actively pursues collection of the receivable.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Convertible Senior Notes</w:t>
      </w:r>
    </w:p>
    <w:p>
      <w:pPr>
        <w:spacing w:after="0" w:line="171"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In June 2018, the Company issued $250.0 million aggregate principal amount of 0.75% convertible senior notes due 2024 (the “Notes”) in a private placement and, in July 2018, the Company issued an additional $50.0 million aggregate principal amount of the Notes pursuant to the exercise in full of the initial purchasers’ option to purchase additional Notes.</w:t>
      </w:r>
    </w:p>
    <w:p>
      <w:pPr>
        <w:spacing w:after="0" w:line="12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accounting for the issuance of the Notes, the Notes were separated into liability and equity components. The carrying amounts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Notes. This difference represents the debt discount that is amortized to interest expense over the respective terms of the Notes using the effective interest rate method. The equity component was recorded in additional paid-in capital and is not remeasured as long as it continues to meet the conditions for equity classification.</w:t>
      </w:r>
    </w:p>
    <w:p>
      <w:pPr>
        <w:spacing w:after="0" w:line="139"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In accounting for the debt issuance costs related to the Notes, the Company allocated the total amount incurred to the liability and equity components of the Notes based on their relative values. Issuance costs attributable to the liability component are being amortized to interest expense over the contractual term of the Notes. The issuance costs attributable to the equity component were netted against the equity component representing the conversion option in additional paid-in capital.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Research and Development</w:t>
      </w:r>
    </w:p>
    <w:p>
      <w:pPr>
        <w:spacing w:after="0" w:line="171" w:lineRule="exact"/>
        <w:rPr>
          <w:sz w:val="20"/>
          <w:szCs w:val="20"/>
          <w:color w:val="auto"/>
        </w:rPr>
      </w:pPr>
    </w:p>
    <w:p>
      <w:pPr>
        <w:ind w:right="40" w:firstLine="486"/>
        <w:spacing w:after="0" w:line="342" w:lineRule="auto"/>
        <w:rPr>
          <w:sz w:val="20"/>
          <w:szCs w:val="20"/>
          <w:color w:val="auto"/>
        </w:rPr>
      </w:pPr>
      <w:r>
        <w:rPr>
          <w:rFonts w:ascii="Arial" w:cs="Arial" w:eastAsia="Arial" w:hAnsi="Arial"/>
          <w:sz w:val="16"/>
          <w:szCs w:val="16"/>
          <w:color w:val="auto"/>
        </w:rPr>
        <w:t>Research and development costs are expensed as incurred and consist primarily of personnel costs, including salaries, bonuses and benefits, and stock-based compensation. Research and development costs also include amortization associated with intangible acquired assets and allocated overhead.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Advertising</w:t>
      </w:r>
    </w:p>
    <w:p>
      <w:pPr>
        <w:spacing w:after="0" w:line="171"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Advertising costs are charged to operations as incurred or the first time the advertising takes place, based on the nature of the advertising, and include direct marketing, events, public relations, sales collateral materials and partner programs. Advertising costs were $5.1 million, $3.4 million and $2.4 million for the years ended January 31, 2019, 2018 and 2017, respectively. Advertising costs are recorded in sales and marketing expenses in the consolidated statement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Stock-Based Compensation</w:t>
      </w:r>
    </w:p>
    <w:p>
      <w:pPr>
        <w:spacing w:after="0" w:line="171"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Compensation expense related to stock-based awards granted to employees is calculated based on the fair value of stock-based awards on the date of grant. The Company determines the grant date fair value of stock options using the Black-Scholes option-pricing model. The related stock-based compensation expense is recognized on a straight-line basis over the period in which an employee is required to provide service in exchange for the stock-based award, which is generally four years.</w:t>
      </w:r>
    </w:p>
    <w:p>
      <w:pPr>
        <w:spacing w:after="0" w:line="133"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For stock options issued to non-employees, including consultants, the Company records expense related to stock options based on the fair value of the options calculated using the Black-Scholes option-pricing model over the service performance period. The Company believes that the fair value of the stock options is more reliably measured than the fair value of the services received. The fair value of each non-employee stock-based compensation award is re-measured each period until a commitment date is reached, which is generally the vesting date.</w:t>
      </w:r>
    </w:p>
    <w:p>
      <w:pPr>
        <w:spacing w:after="0" w:line="117"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color w:val="auto"/>
        </w:rPr>
        <w:t>The Company’s stock price volatility and expected option life involve management's best estimates, both of which impact the fair value of the option calculated under the Black-Scholes option pricing model and, ultimately, the expense that will be recognized over the life of the option.</w:t>
      </w: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121" w:right="27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Net Loss Per Share</w:t>
      </w:r>
    </w:p>
    <w:p>
      <w:pPr>
        <w:spacing w:after="0" w:line="171"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The Company calculates basic net loss per share by dividing the net loss by the weighted-average number of shares of common stock outstanding during the period, less shares subject to repurchase. Diluted net loss per share is computed by giving effect to all potentially dilutive common stock equivalents outstanding for the period, including stock options and restricted stock units.</w:t>
      </w:r>
    </w:p>
    <w:p>
      <w:pPr>
        <w:spacing w:after="0" w:line="127"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 xml:space="preserve">Prior to the Company’s closing of its initial public offering in October 2017, the Company calculated basic and diluted net loss per share attributable to common stockholders in conformity with the two-class method required for companies with participating securities. The Company considered all series of redeemable convertible preferred stock to have been participating securities as the holders were entitled to receive non-cumulative dividends on a pari passu basis in the event that a dividend had been paid on common stock. See Note 12, </w:t>
      </w:r>
      <w:r>
        <w:rPr>
          <w:rFonts w:ascii="Arial" w:cs="Arial" w:eastAsia="Arial" w:hAnsi="Arial"/>
          <w:sz w:val="16"/>
          <w:szCs w:val="16"/>
          <w:i w:val="1"/>
          <w:iCs w:val="1"/>
          <w:color w:val="auto"/>
        </w:rPr>
        <w:t>Net Loss per Share Attributable to Common Stockholders</w:t>
      </w:r>
      <w:r>
        <w:rPr>
          <w:rFonts w:ascii="Arial" w:cs="Arial" w:eastAsia="Arial" w:hAnsi="Arial"/>
          <w:sz w:val="16"/>
          <w:szCs w:val="16"/>
          <w:color w:val="auto"/>
        </w:rPr>
        <w:t>, for further details on the Company’s historical participating securities, including warrants to purchase redeemable convertible preferred stock and common stock.</w:t>
      </w:r>
    </w:p>
    <w:p>
      <w:pPr>
        <w:spacing w:after="0" w:line="104"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Under the two-class method, basic net loss per share attributable to common stockholders was calculated by dividing the net loss by the weighted-average number of shares of common stock outstanding during the period, less shares subject to repurchase. The net loss attributable to common stockholders was not allocated to the redeemable convertible preferred stock as the holders of redeemable convertible preferred stock did not have a contractual obligation to share in losses. Diluted net loss per share attributable to common stockholders was computed by giving effect to all potentially dilutive common stock equivalents outstanding for the period. For purposes of this calculation, redeemable convertible preferred stock, stock options to purchase common stock, early exercised stock options, and warrants to purchase redeemable convertible preferred stock and common stock were considered common shares equivalents, but had been excluded from the calculation of diluted net loss per share attributable to common stockholders as their effect was anti-dilutive.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Segment Information</w:t>
      </w:r>
    </w:p>
    <w:p>
      <w:pPr>
        <w:spacing w:after="0" w:line="171"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Company operates its business as one operating segment as it only reports financial information on an aggregate and consolidated basis to the Company’s Chief Executive Officer, who is the Company’s chief operating decision maker.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Income Taxes</w:t>
      </w:r>
    </w:p>
    <w:p>
      <w:pPr>
        <w:spacing w:after="0" w:line="17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Company follows the asset and liability method of accounting for income taxes. This method requires recognition of deferred tax assets and liabilities for the expected future tax consequences of temporary differences between the carrying amounts and the tax basis of assets and liabilities. A valuation allowance has been established for the full amount of the net deferred tax assets as the Company has determined that the future realization of the tax benefit is not more likely than not.</w:t>
      </w:r>
    </w:p>
    <w:p>
      <w:pPr>
        <w:spacing w:after="0" w:line="133"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The Company recognizes the tax benefit from uncertain tax positions only if it is more likely than not that the tax position will be sustained on examination by the tax authorities, based on the technical merits of the position. The tax benefit is measured based on the largest benefit that is more likely than not of being realized upon ultimate settlement. The Company recognizes interest and penalties on amounts due to taxing authorities as a component of other income (expense), net.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Related Party Transactions</w:t>
      </w:r>
    </w:p>
    <w:p>
      <w:pPr>
        <w:spacing w:after="0" w:line="171" w:lineRule="exact"/>
        <w:rPr>
          <w:sz w:val="20"/>
          <w:szCs w:val="20"/>
          <w:color w:val="auto"/>
        </w:rPr>
      </w:pPr>
    </w:p>
    <w:p>
      <w:pPr>
        <w:ind w:right="180" w:firstLine="486"/>
        <w:spacing w:after="0" w:line="342" w:lineRule="auto"/>
        <w:rPr>
          <w:sz w:val="20"/>
          <w:szCs w:val="20"/>
          <w:color w:val="auto"/>
        </w:rPr>
      </w:pPr>
      <w:r>
        <w:rPr>
          <w:rFonts w:ascii="Arial" w:cs="Arial" w:eastAsia="Arial" w:hAnsi="Arial"/>
          <w:sz w:val="16"/>
          <w:szCs w:val="16"/>
          <w:color w:val="auto"/>
        </w:rPr>
        <w:t>All contracts with related parties are executed in the ordinary course of business. There were no material related party transactions in the years ended January 31, 2019, 2018 and 2017. As of January 31, 2019 and 2018, there were no material amounts payable to or amounts receivable from related parties.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Recently Adopted Accounting Pronouncements</w:t>
      </w:r>
    </w:p>
    <w:p>
      <w:pPr>
        <w:spacing w:after="0" w:line="171"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In May 2014, the FASB issued ASU No. 2014-09,</w:t>
      </w:r>
      <w:r>
        <w:rPr>
          <w:rFonts w:ascii="Arial" w:cs="Arial" w:eastAsia="Arial" w:hAnsi="Arial"/>
          <w:sz w:val="17"/>
          <w:szCs w:val="17"/>
          <w:i w:val="1"/>
          <w:iCs w:val="1"/>
          <w:color w:val="auto"/>
        </w:rPr>
        <w:t xml:space="preserve"> Revenue from Contracts with Customers </w:t>
      </w:r>
      <w:r>
        <w:rPr>
          <w:rFonts w:ascii="Arial" w:cs="Arial" w:eastAsia="Arial" w:hAnsi="Arial"/>
          <w:sz w:val="17"/>
          <w:szCs w:val="17"/>
          <w:color w:val="auto"/>
        </w:rPr>
        <w:t>(Topic 606), which amends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existing accounting standard for revenue recognition. ASU 2014-09 is based on principles that govern the recognition of revenue at an amount to which an entity expects to be entitled when products are transferred to customers. Subsequently, the FASB has issued the following pronouncements related to ASU 2014-09: ASU No. 2016-08, </w:t>
      </w:r>
      <w:r>
        <w:rPr>
          <w:rFonts w:ascii="Arial" w:cs="Arial" w:eastAsia="Arial" w:hAnsi="Arial"/>
          <w:sz w:val="17"/>
          <w:szCs w:val="17"/>
          <w:i w:val="1"/>
          <w:iCs w:val="1"/>
          <w:color w:val="auto"/>
        </w:rPr>
        <w:t>Revenue from Contracts with Customers (Topic 606): Principal versus Agent Considerations</w:t>
      </w:r>
      <w:r>
        <w:rPr>
          <w:rFonts w:ascii="Arial" w:cs="Arial" w:eastAsia="Arial" w:hAnsi="Arial"/>
          <w:sz w:val="17"/>
          <w:szCs w:val="17"/>
          <w:color w:val="auto"/>
        </w:rPr>
        <w:t xml:space="preserve">; ASU No. 2016-10,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 (Topic 606): Identifying Performance Obligations and Licensing</w:t>
      </w:r>
      <w:r>
        <w:rPr>
          <w:rFonts w:ascii="Arial" w:cs="Arial" w:eastAsia="Arial" w:hAnsi="Arial"/>
          <w:sz w:val="17"/>
          <w:szCs w:val="17"/>
          <w:color w:val="auto"/>
        </w:rPr>
        <w:t>; ASU No. 2016-12,</w:t>
      </w:r>
      <w:r>
        <w:rPr>
          <w:rFonts w:ascii="Arial" w:cs="Arial" w:eastAsia="Arial" w:hAnsi="Arial"/>
          <w:sz w:val="17"/>
          <w:szCs w:val="17"/>
          <w:i w:val="1"/>
          <w:iCs w:val="1"/>
          <w:color w:val="auto"/>
        </w:rPr>
        <w:t xml:space="preserve"> Revenue from Contracts with Customers (Topic 606): Narrow-Scope Improvements and Practical Expedients</w:t>
      </w:r>
      <w:r>
        <w:rPr>
          <w:rFonts w:ascii="Arial" w:cs="Arial" w:eastAsia="Arial" w:hAnsi="Arial"/>
          <w:sz w:val="17"/>
          <w:szCs w:val="17"/>
          <w:color w:val="auto"/>
        </w:rPr>
        <w:t>; and ASU 2016-20,</w:t>
      </w:r>
      <w:r>
        <w:rPr>
          <w:rFonts w:ascii="Arial" w:cs="Arial" w:eastAsia="Arial" w:hAnsi="Arial"/>
          <w:sz w:val="17"/>
          <w:szCs w:val="17"/>
          <w:i w:val="1"/>
          <w:iCs w:val="1"/>
          <w:color w:val="auto"/>
        </w:rPr>
        <w:t xml:space="preserve"> Technical Corrections and Improvements to Topic 606</w:t>
      </w:r>
      <w:r>
        <w:rPr>
          <w:rFonts w:ascii="Arial" w:cs="Arial" w:eastAsia="Arial" w:hAnsi="Arial"/>
          <w:sz w:val="17"/>
          <w:szCs w:val="17"/>
          <w:color w:val="auto"/>
        </w:rPr>
        <w:t>, which</w:t>
      </w:r>
      <w:r>
        <w:rPr>
          <w:rFonts w:ascii="Arial" w:cs="Arial" w:eastAsia="Arial" w:hAnsi="Arial"/>
          <w:sz w:val="17"/>
          <w:szCs w:val="17"/>
          <w:i w:val="1"/>
          <w:iCs w:val="1"/>
          <w:color w:val="auto"/>
        </w:rPr>
        <w:t xml:space="preserve"> </w:t>
      </w:r>
      <w:r>
        <w:rPr>
          <w:rFonts w:ascii="Arial" w:cs="Arial" w:eastAsia="Arial" w:hAnsi="Arial"/>
          <w:sz w:val="17"/>
          <w:szCs w:val="17"/>
          <w:color w:val="auto"/>
        </w:rPr>
        <w:t>clarifies narrow aspects or corrects unintended application of the guidance. The Company has adopted ASU 2016-08, ASU 2016-10, ASU 2016-12, and ASU 2016-20 with ASU 2014-09 (collectively, “ASC 606”).</w:t>
      </w:r>
    </w:p>
    <w:p>
      <w:pPr>
        <w:spacing w:after="0" w:line="200" w:lineRule="exact"/>
        <w:rPr>
          <w:sz w:val="20"/>
          <w:szCs w:val="20"/>
          <w:color w:val="auto"/>
        </w:rPr>
      </w:pPr>
    </w:p>
    <w:p>
      <w:pPr>
        <w:spacing w:after="0" w:line="39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2" w:right="25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The Company adopted ASC 606 effective February 1, 2018, using the full retrospective transition method. Under ASC 606, revenue is recognized when a customer obtains control of promised goods or services in an amount that reflects the consideration the entity expects to receive in exchange for those goods or services. In addition, the standard requires disclosure of the nature, amount, timing and uncertainty of revenue and cash flows arising from contracts with customers, including significant judgments and changes to judgments, and assets recognized from costs incurred to obtain or fulfill a contract. The Company applied ASC 606 using a practical expedient where the consideration allocated to the remaining performance obligations or an explanation of when the Company expects to recognize that amount as revenue for all reporting periods presented before the date of the initial application is not disclosed. As a result of the adoption, certain prior period amounts have been recast within the consolidated financial statements.</w:t>
      </w:r>
    </w:p>
    <w:p>
      <w:pPr>
        <w:spacing w:after="0" w:line="113"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The most significant impacts of ASC 606 relate to the timing of revenue recognition for arrangements involving term licenses, deferred revenue and sales commissions. Under ASC 606, the Company recognizes the software term license deliverable upon delivery and the associated maintenance revenues over the contract period. The Company also is required to capitalize and amortize the incremental costs to obtain a contract, such as certain sales commission costs, over the remaining contractual term or over the expected period of benefit, which the Company has determined to be five years.</w:t>
      </w:r>
    </w:p>
    <w:p>
      <w:pPr>
        <w:spacing w:after="0" w:line="100"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The following tables present the impacts of adopting ASC 606 to the Company’s previously reported results on the selected consolidated statements of operations data, selected consolidated balance sheet data and selected consolidated statement of cash flow data (in thousands, except per share data):</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Statement of Operations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 January 31, 2018</w:t>
            </w:r>
          </w:p>
        </w:tc>
        <w:tc>
          <w:tcPr>
            <w:tcW w:w="4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r>
      <w:tr>
        <w:trPr>
          <w:trHeight w:val="264"/>
        </w:trPr>
        <w:tc>
          <w:tcPr>
            <w:tcW w:w="4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2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Previously Reported</w:t>
            </w:r>
          </w:p>
        </w:tc>
        <w:tc>
          <w:tcPr>
            <w:tcW w:w="200" w:type="dxa"/>
            <w:vAlign w:val="bottom"/>
          </w:tcPr>
          <w:p>
            <w:pPr>
              <w:spacing w:after="0"/>
              <w:rPr>
                <w:sz w:val="22"/>
                <w:szCs w:val="22"/>
                <w:color w:val="auto"/>
              </w:rPr>
            </w:pPr>
          </w:p>
        </w:tc>
        <w:tc>
          <w:tcPr>
            <w:tcW w:w="2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Impact of Adoption</w:t>
            </w:r>
          </w:p>
        </w:tc>
        <w:tc>
          <w:tcPr>
            <w:tcW w:w="440" w:type="dxa"/>
            <w:vAlign w:val="bottom"/>
          </w:tcPr>
          <w:p>
            <w:pPr>
              <w:spacing w:after="0"/>
              <w:rPr>
                <w:sz w:val="22"/>
                <w:szCs w:val="22"/>
                <w:color w:val="auto"/>
              </w:rPr>
            </w:pPr>
          </w:p>
        </w:tc>
        <w:tc>
          <w:tcPr>
            <w:tcW w:w="1840" w:type="dxa"/>
            <w:vAlign w:val="bottom"/>
          </w:tcPr>
          <w:p>
            <w:pPr>
              <w:jc w:val="right"/>
              <w:ind w:right="671"/>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2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2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Subscription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141,490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3"/>
              <w:spacing w:after="0"/>
              <w:rPr>
                <w:sz w:val="20"/>
                <w:szCs w:val="20"/>
                <w:color w:val="auto"/>
              </w:rPr>
            </w:pPr>
            <w:r>
              <w:rPr>
                <w:rFonts w:ascii="Arial" w:cs="Arial" w:eastAsia="Arial" w:hAnsi="Arial"/>
                <w:sz w:val="18"/>
                <w:szCs w:val="18"/>
                <w:color w:val="auto"/>
              </w:rPr>
              <w:t>10,363</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151,853</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14,175</w:t>
            </w: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154,519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11,509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166,028</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Subscription</w:t>
            </w:r>
          </w:p>
        </w:tc>
        <w:tc>
          <w:tcPr>
            <w:tcW w:w="260" w:type="dxa"/>
            <w:vAlign w:val="bottom"/>
          </w:tcPr>
          <w:p>
            <w:pPr>
              <w:spacing w:after="0"/>
              <w:rPr>
                <w:sz w:val="21"/>
                <w:szCs w:val="21"/>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30,766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30,766</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12,093</w:t>
            </w: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Total cost of revenue</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42,859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42,859</w:t>
            </w: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111,660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123,169</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109,073</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(97,267)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13"/>
              <w:spacing w:after="0"/>
              <w:rPr>
                <w:sz w:val="20"/>
                <w:szCs w:val="20"/>
                <w:color w:val="auto"/>
              </w:rPr>
            </w:pPr>
            <w:r>
              <w:rPr>
                <w:rFonts w:ascii="Arial" w:cs="Arial" w:eastAsia="Arial" w:hAnsi="Arial"/>
                <w:sz w:val="18"/>
                <w:szCs w:val="18"/>
                <w:color w:val="auto"/>
              </w:rPr>
              <w:t>12,386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(84,881)</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(83,973)</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3"/>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878"/>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jc w:val="right"/>
              <w:ind w:right="51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 January 31, 2017</w:t>
            </w:r>
          </w:p>
        </w:tc>
        <w:tc>
          <w:tcPr>
            <w:tcW w:w="4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r>
      <w:tr>
        <w:trPr>
          <w:trHeight w:val="264"/>
        </w:trPr>
        <w:tc>
          <w:tcPr>
            <w:tcW w:w="4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2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Previously Reported</w:t>
            </w:r>
          </w:p>
        </w:tc>
        <w:tc>
          <w:tcPr>
            <w:tcW w:w="200" w:type="dxa"/>
            <w:vAlign w:val="bottom"/>
          </w:tcPr>
          <w:p>
            <w:pPr>
              <w:spacing w:after="0"/>
              <w:rPr>
                <w:sz w:val="22"/>
                <w:szCs w:val="22"/>
                <w:color w:val="auto"/>
              </w:rPr>
            </w:pPr>
          </w:p>
        </w:tc>
        <w:tc>
          <w:tcPr>
            <w:tcW w:w="2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Impact of Adoption</w:t>
            </w:r>
          </w:p>
        </w:tc>
        <w:tc>
          <w:tcPr>
            <w:tcW w:w="440" w:type="dxa"/>
            <w:vAlign w:val="bottom"/>
          </w:tcPr>
          <w:p>
            <w:pPr>
              <w:spacing w:after="0"/>
              <w:rPr>
                <w:sz w:val="22"/>
                <w:szCs w:val="22"/>
                <w:color w:val="auto"/>
              </w:rPr>
            </w:pPr>
          </w:p>
        </w:tc>
        <w:tc>
          <w:tcPr>
            <w:tcW w:w="1840" w:type="dxa"/>
            <w:vAlign w:val="bottom"/>
          </w:tcPr>
          <w:p>
            <w:pPr>
              <w:jc w:val="right"/>
              <w:ind w:right="672"/>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2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2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Subscription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91,235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4"/>
              <w:spacing w:after="0"/>
              <w:rPr>
                <w:sz w:val="20"/>
                <w:szCs w:val="20"/>
                <w:color w:val="auto"/>
              </w:rPr>
            </w:pPr>
            <w:r>
              <w:rPr>
                <w:rFonts w:ascii="Arial" w:cs="Arial" w:eastAsia="Arial" w:hAnsi="Arial"/>
                <w:sz w:val="18"/>
                <w:szCs w:val="18"/>
                <w:color w:val="auto"/>
              </w:rPr>
              <w:t>12,798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104,033</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10,772</w:t>
            </w: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101,358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13,447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114,805</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Subscription</w:t>
            </w:r>
          </w:p>
        </w:tc>
        <w:tc>
          <w:tcPr>
            <w:tcW w:w="260" w:type="dxa"/>
            <w:vAlign w:val="bottom"/>
          </w:tcPr>
          <w:p>
            <w:pPr>
              <w:spacing w:after="0"/>
              <w:rPr>
                <w:sz w:val="21"/>
                <w:szCs w:val="21"/>
                <w:color w:val="auto"/>
              </w:rPr>
            </w:pP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19,352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19,352</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10,515</w:t>
            </w: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Total cost of revenue</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29,867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29,867</w:t>
            </w: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71,491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84,938</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78,584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75,413</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(85,947)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14"/>
              <w:spacing w:after="0"/>
              <w:rPr>
                <w:sz w:val="20"/>
                <w:szCs w:val="20"/>
                <w:color w:val="auto"/>
              </w:rPr>
            </w:pPr>
            <w:r>
              <w:rPr>
                <w:rFonts w:ascii="Arial" w:cs="Arial" w:eastAsia="Arial" w:hAnsi="Arial"/>
                <w:sz w:val="18"/>
                <w:szCs w:val="18"/>
                <w:color w:val="auto"/>
              </w:rPr>
              <w:t>16,618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(69,329)</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(70,063)</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4"/>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405"/>
        </w:trPr>
        <w:tc>
          <w:tcPr>
            <w:tcW w:w="4360" w:type="dxa"/>
            <w:vAlign w:val="bottom"/>
          </w:tcPr>
          <w:p>
            <w:pPr>
              <w:spacing w:after="0"/>
              <w:rPr>
                <w:sz w:val="20"/>
                <w:szCs w:val="20"/>
                <w:color w:val="auto"/>
              </w:rPr>
            </w:pPr>
            <w:r>
              <w:rPr>
                <w:rFonts w:ascii="Arial" w:cs="Arial" w:eastAsia="Arial" w:hAnsi="Arial"/>
                <w:sz w:val="18"/>
                <w:szCs w:val="18"/>
                <w:b w:val="1"/>
                <w:bCs w:val="1"/>
                <w:color w:val="auto"/>
              </w:rPr>
              <w:t>Selected Consolidated Balance Sheet Data</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561"/>
        </w:trPr>
        <w:tc>
          <w:tcPr>
            <w:tcW w:w="4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As of January 31, 2018</w:t>
            </w:r>
          </w:p>
        </w:tc>
        <w:tc>
          <w:tcPr>
            <w:tcW w:w="4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264"/>
        </w:trPr>
        <w:tc>
          <w:tcPr>
            <w:tcW w:w="4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2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Previously Reported</w:t>
            </w:r>
          </w:p>
        </w:tc>
        <w:tc>
          <w:tcPr>
            <w:tcW w:w="200" w:type="dxa"/>
            <w:vAlign w:val="bottom"/>
          </w:tcPr>
          <w:p>
            <w:pPr>
              <w:spacing w:after="0"/>
              <w:rPr>
                <w:sz w:val="22"/>
                <w:szCs w:val="22"/>
                <w:color w:val="auto"/>
              </w:rPr>
            </w:pPr>
          </w:p>
        </w:tc>
        <w:tc>
          <w:tcPr>
            <w:tcW w:w="2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Impact of Adoption</w:t>
            </w:r>
          </w:p>
        </w:tc>
        <w:tc>
          <w:tcPr>
            <w:tcW w:w="440" w:type="dxa"/>
            <w:vAlign w:val="bottom"/>
          </w:tcPr>
          <w:p>
            <w:pPr>
              <w:spacing w:after="0"/>
              <w:rPr>
                <w:sz w:val="22"/>
                <w:szCs w:val="22"/>
                <w:color w:val="auto"/>
              </w:rPr>
            </w:pPr>
          </w:p>
        </w:tc>
        <w:tc>
          <w:tcPr>
            <w:tcW w:w="1840" w:type="dxa"/>
            <w:vAlign w:val="bottom"/>
          </w:tcPr>
          <w:p>
            <w:pPr>
              <w:jc w:val="right"/>
              <w:ind w:right="672"/>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2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2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Deferred commissions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11,820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11,798</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50,626</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8,436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14"/>
              <w:spacing w:after="0"/>
              <w:rPr>
                <w:sz w:val="20"/>
                <w:szCs w:val="20"/>
                <w:color w:val="auto"/>
              </w:rPr>
            </w:pPr>
            <w:r>
              <w:rPr>
                <w:rFonts w:ascii="Arial" w:cs="Arial" w:eastAsia="Arial" w:hAnsi="Arial"/>
                <w:sz w:val="18"/>
                <w:szCs w:val="18"/>
                <w:color w:val="auto"/>
              </w:rPr>
              <w:t>13,916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22,352</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Deferred revenue, current</w:t>
            </w:r>
          </w:p>
        </w:tc>
        <w:tc>
          <w:tcPr>
            <w:tcW w:w="260" w:type="dxa"/>
            <w:vAlign w:val="bottom"/>
          </w:tcPr>
          <w:p>
            <w:pPr>
              <w:spacing w:after="0"/>
              <w:rPr>
                <w:sz w:val="21"/>
                <w:szCs w:val="21"/>
                <w:color w:val="auto"/>
              </w:rPr>
            </w:pP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114,500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(30,085)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84,415</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 non-current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16,499</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(443,760)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14"/>
              <w:spacing w:after="0"/>
              <w:rPr>
                <w:sz w:val="20"/>
                <w:szCs w:val="20"/>
                <w:color w:val="auto"/>
              </w:rPr>
            </w:pPr>
            <w:r>
              <w:rPr>
                <w:rFonts w:ascii="Arial" w:cs="Arial" w:eastAsia="Arial" w:hAnsi="Arial"/>
                <w:sz w:val="18"/>
                <w:szCs w:val="18"/>
                <w:color w:val="auto"/>
              </w:rPr>
              <w:t>54,164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(389,596)</w:t>
            </w:r>
          </w:p>
        </w:tc>
      </w:tr>
      <w:tr>
        <w:trPr>
          <w:trHeight w:val="405"/>
        </w:trPr>
        <w:tc>
          <w:tcPr>
            <w:tcW w:w="4360" w:type="dxa"/>
            <w:vAlign w:val="bottom"/>
          </w:tcPr>
          <w:p>
            <w:pPr>
              <w:spacing w:after="0"/>
              <w:rPr>
                <w:sz w:val="20"/>
                <w:szCs w:val="20"/>
                <w:color w:val="auto"/>
              </w:rPr>
            </w:pPr>
            <w:r>
              <w:rPr>
                <w:rFonts w:ascii="Arial" w:cs="Arial" w:eastAsia="Arial" w:hAnsi="Arial"/>
                <w:sz w:val="18"/>
                <w:szCs w:val="18"/>
                <w:b w:val="1"/>
                <w:bCs w:val="1"/>
                <w:color w:val="auto"/>
                <w:w w:val="95"/>
              </w:rPr>
              <w:t>Selected Consolidated Statement of Cash Flows Data</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561"/>
        </w:trPr>
        <w:tc>
          <w:tcPr>
            <w:tcW w:w="4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Year ended January 31, 2018</w:t>
            </w:r>
          </w:p>
        </w:tc>
        <w:tc>
          <w:tcPr>
            <w:tcW w:w="4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264"/>
        </w:trPr>
        <w:tc>
          <w:tcPr>
            <w:tcW w:w="4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2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Previously Reported</w:t>
            </w:r>
          </w:p>
        </w:tc>
        <w:tc>
          <w:tcPr>
            <w:tcW w:w="200" w:type="dxa"/>
            <w:vAlign w:val="bottom"/>
          </w:tcPr>
          <w:p>
            <w:pPr>
              <w:spacing w:after="0"/>
              <w:rPr>
                <w:sz w:val="22"/>
                <w:szCs w:val="22"/>
                <w:color w:val="auto"/>
              </w:rPr>
            </w:pPr>
          </w:p>
        </w:tc>
        <w:tc>
          <w:tcPr>
            <w:tcW w:w="2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Impact of Adoption</w:t>
            </w:r>
          </w:p>
        </w:tc>
        <w:tc>
          <w:tcPr>
            <w:tcW w:w="440" w:type="dxa"/>
            <w:vAlign w:val="bottom"/>
          </w:tcPr>
          <w:p>
            <w:pPr>
              <w:spacing w:after="0"/>
              <w:rPr>
                <w:sz w:val="22"/>
                <w:szCs w:val="22"/>
                <w:color w:val="auto"/>
              </w:rPr>
            </w:pPr>
          </w:p>
        </w:tc>
        <w:tc>
          <w:tcPr>
            <w:tcW w:w="1840" w:type="dxa"/>
            <w:vAlign w:val="bottom"/>
          </w:tcPr>
          <w:p>
            <w:pPr>
              <w:jc w:val="right"/>
              <w:ind w:right="672"/>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2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2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(96,359)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4"/>
              <w:spacing w:after="0"/>
              <w:rPr>
                <w:sz w:val="20"/>
                <w:szCs w:val="20"/>
                <w:color w:val="auto"/>
              </w:rPr>
            </w:pPr>
            <w:r>
              <w:rPr>
                <w:rFonts w:ascii="Arial" w:cs="Arial" w:eastAsia="Arial" w:hAnsi="Arial"/>
                <w:sz w:val="18"/>
                <w:szCs w:val="18"/>
                <w:color w:val="auto"/>
              </w:rPr>
              <w:t>12,386</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(83,973)</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Change in operating assets and liabilities:</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(16,095)</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Deferred commissions</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(5,545)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(6,422)</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32,738</w:t>
            </w:r>
          </w:p>
        </w:tc>
      </w:tr>
      <w:tr>
        <w:trPr>
          <w:trHeight w:val="851"/>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jc w:val="right"/>
              <w:ind w:right="51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Year ended January 31, 2017</w:t>
            </w:r>
          </w:p>
        </w:tc>
        <w:tc>
          <w:tcPr>
            <w:tcW w:w="4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r>
      <w:tr>
        <w:trPr>
          <w:trHeight w:val="264"/>
        </w:trPr>
        <w:tc>
          <w:tcPr>
            <w:tcW w:w="4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2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Previously Reported</w:t>
            </w:r>
          </w:p>
        </w:tc>
        <w:tc>
          <w:tcPr>
            <w:tcW w:w="200" w:type="dxa"/>
            <w:vAlign w:val="bottom"/>
          </w:tcPr>
          <w:p>
            <w:pPr>
              <w:spacing w:after="0"/>
              <w:rPr>
                <w:sz w:val="22"/>
                <w:szCs w:val="22"/>
                <w:color w:val="auto"/>
              </w:rPr>
            </w:pPr>
          </w:p>
        </w:tc>
        <w:tc>
          <w:tcPr>
            <w:tcW w:w="2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Impact of Adoption</w:t>
            </w:r>
          </w:p>
        </w:tc>
        <w:tc>
          <w:tcPr>
            <w:tcW w:w="440" w:type="dxa"/>
            <w:vAlign w:val="bottom"/>
          </w:tcPr>
          <w:p>
            <w:pPr>
              <w:spacing w:after="0"/>
              <w:rPr>
                <w:sz w:val="22"/>
                <w:szCs w:val="22"/>
                <w:color w:val="auto"/>
              </w:rPr>
            </w:pPr>
          </w:p>
        </w:tc>
        <w:tc>
          <w:tcPr>
            <w:tcW w:w="1840" w:type="dxa"/>
            <w:vAlign w:val="bottom"/>
          </w:tcPr>
          <w:p>
            <w:pPr>
              <w:jc w:val="right"/>
              <w:ind w:right="674"/>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2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2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(86,681)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6"/>
              <w:spacing w:after="0"/>
              <w:rPr>
                <w:sz w:val="20"/>
                <w:szCs w:val="20"/>
                <w:color w:val="auto"/>
              </w:rPr>
            </w:pPr>
            <w:r>
              <w:rPr>
                <w:rFonts w:ascii="Arial" w:cs="Arial" w:eastAsia="Arial" w:hAnsi="Arial"/>
                <w:sz w:val="18"/>
                <w:szCs w:val="18"/>
                <w:color w:val="auto"/>
              </w:rPr>
              <w:t>16,618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(70,063)</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Change in operating assets and liabilities:</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(11,804)</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Deferred commissions</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(3,171)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(9,190)</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21"/>
                <w:szCs w:val="21"/>
                <w:color w:val="auto"/>
              </w:rPr>
            </w:pPr>
          </w:p>
        </w:tc>
        <w:tc>
          <w:tcPr>
            <w:tcW w:w="2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35,834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24,928</w:t>
            </w:r>
          </w:p>
        </w:tc>
      </w:tr>
      <w:tr>
        <w:trPr>
          <w:trHeight w:val="27"/>
        </w:trPr>
        <w:tc>
          <w:tcPr>
            <w:tcW w:w="4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New Accounting Pronouncements Not Yet Adopted</w:t>
      </w:r>
    </w:p>
    <w:p>
      <w:pPr>
        <w:spacing w:after="0" w:line="171"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i w:val="1"/>
          <w:iCs w:val="1"/>
          <w:color w:val="auto"/>
        </w:rPr>
        <w:t xml:space="preserve">Goodwill Impairment. </w:t>
      </w:r>
      <w:r>
        <w:rPr>
          <w:rFonts w:ascii="Arial" w:cs="Arial" w:eastAsia="Arial" w:hAnsi="Arial"/>
          <w:sz w:val="17"/>
          <w:szCs w:val="17"/>
          <w:color w:val="auto"/>
        </w:rPr>
        <w:t>In January 2017, the FASB issued ASU 2017-04—</w:t>
      </w:r>
      <w:r>
        <w:rPr>
          <w:rFonts w:ascii="Arial" w:cs="Arial" w:eastAsia="Arial" w:hAnsi="Arial"/>
          <w:sz w:val="17"/>
          <w:szCs w:val="17"/>
          <w:i w:val="1"/>
          <w:iCs w:val="1"/>
          <w:color w:val="auto"/>
        </w:rPr>
        <w:t xml:space="preserve">Intangibles—Goodwill and Other </w:t>
      </w:r>
      <w:r>
        <w:rPr>
          <w:rFonts w:ascii="Arial" w:cs="Arial" w:eastAsia="Arial" w:hAnsi="Arial"/>
          <w:sz w:val="17"/>
          <w:szCs w:val="17"/>
          <w:color w:val="auto"/>
        </w:rPr>
        <w:t>(Topic 350): Simplifying the Test for</w:t>
      </w:r>
      <w:r>
        <w:rPr>
          <w:rFonts w:ascii="Arial" w:cs="Arial" w:eastAsia="Arial" w:hAnsi="Arial"/>
          <w:sz w:val="17"/>
          <w:szCs w:val="17"/>
          <w:i w:val="1"/>
          <w:iCs w:val="1"/>
          <w:color w:val="auto"/>
        </w:rPr>
        <w:t xml:space="preserve"> </w:t>
      </w:r>
      <w:r>
        <w:rPr>
          <w:rFonts w:ascii="Arial" w:cs="Arial" w:eastAsia="Arial" w:hAnsi="Arial"/>
          <w:sz w:val="17"/>
          <w:szCs w:val="17"/>
          <w:color w:val="auto"/>
        </w:rPr>
        <w:t>Goodwill Impairment. The new standard will simplify the measurement of goodwill by eliminating step two of the two-step impairment test. Step two measures a goodwill impairment loss by comparing the implied fair value of a reporting unit’s goodwill with the carrying amount of that goodwill. The new guidance requires an entity to compare the fair value of a reporting unit with its carrying amount and recognize an impairment charge for the amount by which the carrying amount exceeds the reporting unit’s fair value. Additionally, an entity should consider income tax effects from any tax deductible goodwill on the carrying amount of the reporting unit when measuring the goodwill impairment loss, if applicable. The new guidance becomes effective for the Company for the fiscal year beginning February 1, 2020, though early adoption is permitted. The Company does not expect the adoption of the new accounting standard to have a material impact on its consolidated financial statements.</w:t>
      </w:r>
    </w:p>
    <w:p>
      <w:pPr>
        <w:spacing w:after="0" w:line="125"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xml:space="preserve"> Leases </w:t>
      </w:r>
      <w:r>
        <w:rPr>
          <w:rFonts w:ascii="Arial" w:cs="Arial" w:eastAsia="Arial" w:hAnsi="Arial"/>
          <w:sz w:val="16"/>
          <w:szCs w:val="16"/>
          <w:color w:val="auto"/>
        </w:rPr>
        <w:t>(Topic 842), which modifies lease accounting for lessees to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transparency and comparability by recording lease assets and liabilities for operating leases and disclosing key information about leasing arrangements with terms longer than twelve months. In July 2018, the FASB issued ASU 2018-11,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Targeted Improvements that allows entities to use certain practical expedients upon adoption. The Company will adopt the new lease accounting standard on February 1, 2019, using the prospective transition method. In preparation for adoption of the standard, the Company is in the process of implementing key systems, processes and internal controls to enable the preparation of financial information. ASC 2016-02 will have a material impact on the Company’s consolidated balance sheet. Leases currently designated as operating leases in Note 8, “Commitments and Contingencies,” will be reported on the consolidated balance sheet upon adoption at their net present value, which will increase total assets and liabilities. In addition, the financing obligation and building asset associated with the Company's leased office space in New York City will be derecognized upon adoption of ASC 2016-02 and the lease will be accounted for as a finance type lease, which will result in the recognition of a right of use asset and a lease liability. ASU 2016-02 is not expected to have a material impact to the Company’s consolidated statement of operations or consolidated statement of cash flows. The Company will adopt the transitional provisions allowed under ASU 2018-11 and as such, the consolidated balance sheets and statements of operations for prior periods will not be comparable in the year of adoption of ASU 2016-02.</w:t>
      </w:r>
    </w:p>
    <w:p>
      <w:pPr>
        <w:spacing w:after="0" w:line="115" w:lineRule="exact"/>
        <w:rPr>
          <w:sz w:val="20"/>
          <w:szCs w:val="20"/>
          <w:color w:val="auto"/>
        </w:rPr>
      </w:pPr>
    </w:p>
    <w:p>
      <w:pPr>
        <w:ind w:right="260" w:firstLine="486"/>
        <w:spacing w:after="0" w:line="257"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 In June 2018, the FASB issued ASU No. 2018-07,</w:t>
      </w:r>
      <w:r>
        <w:rPr>
          <w:rFonts w:ascii="Arial" w:cs="Arial" w:eastAsia="Arial" w:hAnsi="Arial"/>
          <w:sz w:val="18"/>
          <w:szCs w:val="18"/>
          <w:i w:val="1"/>
          <w:iCs w:val="1"/>
          <w:color w:val="auto"/>
        </w:rPr>
        <w:t xml:space="preserve"> Compensation - Stock Compensation </w:t>
      </w:r>
      <w:r>
        <w:rPr>
          <w:rFonts w:ascii="Arial" w:cs="Arial" w:eastAsia="Arial" w:hAnsi="Arial"/>
          <w:sz w:val="18"/>
          <w:szCs w:val="18"/>
          <w:color w:val="auto"/>
        </w:rPr>
        <w:t>(Topic 718): Improvements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 Share-Based Payment Accounting, which expands the scope of Topic 718 to include share-based payment transactions for acquiring goods and services from non-employees, with certain exceptions. The new guidance is effective for the Company for fiscal year beginning February 1, 2019. The Company plans to adopt this new standard in the first quarter of its fiscal 2020 and does not expect the new standard to have a material impact on its consolidated financial statements.</w:t>
      </w:r>
    </w:p>
    <w:p>
      <w:pPr>
        <w:spacing w:after="0" w:line="134"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i w:val="1"/>
          <w:iCs w:val="1"/>
          <w:color w:val="auto"/>
        </w:rPr>
        <w:t>Cloud Computing</w:t>
      </w:r>
      <w:r>
        <w:rPr>
          <w:rFonts w:ascii="Arial" w:cs="Arial" w:eastAsia="Arial" w:hAnsi="Arial"/>
          <w:sz w:val="16"/>
          <w:szCs w:val="16"/>
          <w:color w:val="auto"/>
        </w:rPr>
        <w:t>. In August 2018, the FASB issued ASU 2018-15,</w:t>
      </w:r>
      <w:r>
        <w:rPr>
          <w:rFonts w:ascii="Arial" w:cs="Arial" w:eastAsia="Arial" w:hAnsi="Arial"/>
          <w:sz w:val="16"/>
          <w:szCs w:val="16"/>
          <w:i w:val="1"/>
          <w:iCs w:val="1"/>
          <w:color w:val="auto"/>
        </w:rPr>
        <w:t xml:space="preserve"> Customer’s Accounting for Implementation Costs Incurred in a Cloud Computing Arrangement That Is a Service Contract</w:t>
      </w:r>
      <w:r>
        <w:rPr>
          <w:rFonts w:ascii="Arial" w:cs="Arial" w:eastAsia="Arial" w:hAnsi="Arial"/>
          <w:sz w:val="16"/>
          <w:szCs w:val="16"/>
          <w:color w:val="auto"/>
        </w:rPr>
        <w:t>, which aligns the accounting for implementation costs incurred in a hosting arrangement that is a service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accounting for implementation costs incurred to develop or obtain internal-use software under ASC 350-40, in order to determine which costs to capitalize and recognize as an asset and which costs to expense. ASU 2018-15 becomes effective for the Company for the fiscal year beginning February 1, 2020, with early adoption permitted, and can be applied either prospectively to implementation costs incurred after the date of adoption or retrospectively to all arrangements. The Company is currently evaluating the impact of the adoption of this standard on its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i w:val="1"/>
          <w:iCs w:val="1"/>
          <w:color w:val="auto"/>
        </w:rPr>
        <w:t>Credit Losses</w:t>
      </w:r>
      <w:r>
        <w:rPr>
          <w:rFonts w:ascii="Arial" w:cs="Arial" w:eastAsia="Arial" w:hAnsi="Arial"/>
          <w:sz w:val="17"/>
          <w:szCs w:val="17"/>
          <w:color w:val="auto"/>
        </w:rPr>
        <w:t>. In June 2016, the FASB issued ASU No. 2016-13,</w:t>
      </w:r>
      <w:r>
        <w:rPr>
          <w:rFonts w:ascii="Arial" w:cs="Arial" w:eastAsia="Arial" w:hAnsi="Arial"/>
          <w:sz w:val="17"/>
          <w:szCs w:val="17"/>
          <w:i w:val="1"/>
          <w:iCs w:val="1"/>
          <w:color w:val="auto"/>
        </w:rPr>
        <w:t xml:space="preserve"> Financial Instruments-Credit Losses </w:t>
      </w:r>
      <w:r>
        <w:rPr>
          <w:rFonts w:ascii="Arial" w:cs="Arial" w:eastAsia="Arial" w:hAnsi="Arial"/>
          <w:sz w:val="17"/>
          <w:szCs w:val="17"/>
          <w:color w:val="auto"/>
        </w:rPr>
        <w:t>(Topic 326): Measurement of Credit Losses on</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Instruments, which requires the measurement and recognition of expected credit losses for financial assets held at amortized cost, which includes the Company's accounts receivables, certain financial instruments and contract assets. ASU 2016-13 replaces the existing incurred loss impairment model with an expected loss methodology, which will result in more timely recognition of credit losses. For available-for-sale debt securities, credit losses should be recorded through an allowance for credit losses. ASU 2016-13 becomes effective for the Company for the fiscal year beginning February 1, 2020 and requires a cumulative effect adjustment to the balance sheet as of the beginning of the first reporting period in which the guidance is effective. The Company is evaluating the impact of the adoption of ASU 2016-13 on its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75" w:lineRule="exact"/>
        <w:rPr>
          <w:sz w:val="20"/>
          <w:szCs w:val="20"/>
          <w:color w:val="auto"/>
        </w:rPr>
      </w:pPr>
    </w:p>
    <w:p>
      <w:pPr>
        <w:ind w:right="60" w:firstLine="486"/>
        <w:spacing w:after="0" w:line="342" w:lineRule="auto"/>
        <w:rPr>
          <w:sz w:val="20"/>
          <w:szCs w:val="20"/>
          <w:color w:val="auto"/>
        </w:rPr>
      </w:pPr>
      <w:r>
        <w:rPr>
          <w:rFonts w:ascii="Arial" w:cs="Arial" w:eastAsia="Arial" w:hAnsi="Arial"/>
          <w:sz w:val="16"/>
          <w:szCs w:val="16"/>
          <w:color w:val="auto"/>
        </w:rPr>
        <w:t>The following tables present information about the Company’s financial assets and liabilities that have been measured at fair value on a recurring basis as of January 31, 2019 and 2018, and indicate the fair value hierarchy of the valuation inputs utilized to determine such fair value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20"/>
              <w:spacing w:after="0"/>
              <w:rPr>
                <w:sz w:val="20"/>
                <w:szCs w:val="20"/>
                <w:color w:val="auto"/>
              </w:rPr>
            </w:pPr>
            <w:r>
              <w:rPr>
                <w:rFonts w:ascii="Arial" w:cs="Arial" w:eastAsia="Arial" w:hAnsi="Arial"/>
                <w:sz w:val="14"/>
                <w:szCs w:val="14"/>
                <w:b w:val="1"/>
                <w:bCs w:val="1"/>
                <w:color w:val="auto"/>
              </w:rPr>
              <w:t>Fair Value Measurement at January 31, 2019</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0"/>
                <w:szCs w:val="20"/>
                <w:color w:val="auto"/>
              </w:rPr>
            </w:pPr>
          </w:p>
        </w:tc>
        <w:tc>
          <w:tcPr>
            <w:tcW w:w="1460" w:type="dxa"/>
            <w:vAlign w:val="bottom"/>
            <w:gridSpan w:val="2"/>
          </w:tcPr>
          <w:p>
            <w:pPr>
              <w:ind w:left="4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20"/>
                <w:szCs w:val="20"/>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6"/>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88,015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88,015</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treasury securities</w:t>
            </w: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318,139</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318,139</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406,154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406,154</w:t>
            </w:r>
          </w:p>
        </w:tc>
      </w:tr>
      <w:tr>
        <w:trPr>
          <w:trHeight w:val="54"/>
        </w:trPr>
        <w:tc>
          <w:tcPr>
            <w:tcW w:w="51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22"/>
        </w:trPr>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5"/>
          </w:tcPr>
          <w:p>
            <w:pPr>
              <w:ind w:left="20"/>
              <w:spacing w:after="0"/>
              <w:rPr>
                <w:sz w:val="20"/>
                <w:szCs w:val="20"/>
                <w:color w:val="auto"/>
              </w:rPr>
            </w:pPr>
            <w:r>
              <w:rPr>
                <w:rFonts w:ascii="Arial" w:cs="Arial" w:eastAsia="Arial" w:hAnsi="Arial"/>
                <w:sz w:val="14"/>
                <w:szCs w:val="14"/>
                <w:b w:val="1"/>
                <w:bCs w:val="1"/>
                <w:color w:val="auto"/>
              </w:rPr>
              <w:t>Fair Value Measurement at January 31, 2018</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0"/>
                <w:szCs w:val="20"/>
                <w:color w:val="auto"/>
              </w:rPr>
            </w:pPr>
          </w:p>
        </w:tc>
        <w:tc>
          <w:tcPr>
            <w:tcW w:w="1460" w:type="dxa"/>
            <w:vAlign w:val="bottom"/>
            <w:gridSpan w:val="2"/>
          </w:tcPr>
          <w:p>
            <w:pPr>
              <w:ind w:left="4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20"/>
                <w:szCs w:val="20"/>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6"/>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45,918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45,918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treasury securities</w:t>
            </w: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217,072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217,072</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262,990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262,990</w:t>
            </w:r>
          </w:p>
        </w:tc>
      </w:tr>
      <w:tr>
        <w:trPr>
          <w:trHeight w:val="54"/>
        </w:trPr>
        <w:tc>
          <w:tcPr>
            <w:tcW w:w="51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The Company utilized the market approach and Level 1 valuation inputs to value its money market funds and U.S. government treasury securities because published net asset values were readily available. As of January 31, 2019 and 2018, gross unrealized gains and unrealized losses for cash equivalents and short-term investments were not material, and the contractual maturity of all marketable securities was less than one year.</w:t>
      </w:r>
    </w:p>
    <w:p>
      <w:pPr>
        <w:spacing w:after="0" w:line="200" w:lineRule="exact"/>
        <w:rPr>
          <w:sz w:val="20"/>
          <w:szCs w:val="20"/>
          <w:color w:val="auto"/>
        </w:rPr>
      </w:pPr>
    </w:p>
    <w:p>
      <w:pPr>
        <w:spacing w:after="0" w:line="38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31, 2019</w:t>
            </w:r>
          </w:p>
        </w:tc>
        <w:tc>
          <w:tcPr>
            <w:tcW w:w="220" w:type="dxa"/>
            <w:vAlign w:val="bottom"/>
          </w:tcPr>
          <w:p>
            <w:pPr>
              <w:spacing w:after="0"/>
              <w:rPr>
                <w:sz w:val="16"/>
                <w:szCs w:val="16"/>
                <w:color w:val="auto"/>
              </w:rPr>
            </w:pPr>
          </w:p>
        </w:tc>
        <w:tc>
          <w:tcPr>
            <w:tcW w:w="1480" w:type="dxa"/>
            <w:vAlign w:val="bottom"/>
          </w:tcPr>
          <w:p>
            <w:pPr>
              <w:jc w:val="right"/>
              <w:ind w:right="252"/>
              <w:spacing w:after="0"/>
              <w:rPr>
                <w:sz w:val="20"/>
                <w:szCs w:val="20"/>
                <w:color w:val="auto"/>
              </w:rPr>
            </w:pPr>
            <w:r>
              <w:rPr>
                <w:rFonts w:ascii="Arial" w:cs="Arial" w:eastAsia="Arial" w:hAnsi="Arial"/>
                <w:sz w:val="14"/>
                <w:szCs w:val="14"/>
                <w:b w:val="1"/>
                <w:bCs w:val="1"/>
                <w:color w:val="auto"/>
                <w:w w:val="99"/>
              </w:rPr>
              <w:t>January 31, 2018</w:t>
            </w:r>
          </w:p>
        </w:tc>
      </w:tr>
      <w:tr>
        <w:trPr>
          <w:trHeight w:val="250"/>
        </w:trPr>
        <w:tc>
          <w:tcPr>
            <w:tcW w:w="5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Servers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4,279</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2,224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2,259</w:t>
            </w:r>
          </w:p>
        </w:tc>
      </w:tr>
      <w:tr>
        <w:trPr>
          <w:trHeight w:val="27"/>
        </w:trPr>
        <w:tc>
          <w:tcPr>
            <w:tcW w:w="5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and office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Purchased software</w:t>
            </w: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887</w:t>
            </w:r>
          </w:p>
        </w:tc>
      </w:tr>
      <w:tr>
        <w:trPr>
          <w:trHeight w:val="27"/>
        </w:trPr>
        <w:tc>
          <w:tcPr>
            <w:tcW w:w="5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8,548</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Construction in process</w:t>
            </w: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883</w:t>
            </w:r>
          </w:p>
        </w:tc>
      </w:tr>
      <w:tr>
        <w:trPr>
          <w:trHeight w:val="27"/>
        </w:trPr>
        <w:tc>
          <w:tcPr>
            <w:tcW w:w="5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56,161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54,709</w:t>
            </w:r>
          </w:p>
        </w:tc>
      </w:tr>
      <w:tr>
        <w:trPr>
          <w:trHeight w:val="237"/>
        </w:trPr>
        <w:tc>
          <w:tcPr>
            <w:tcW w:w="530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77,105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71,740</w:t>
            </w:r>
          </w:p>
        </w:tc>
      </w:tr>
      <w:tr>
        <w:trPr>
          <w:trHeight w:val="27"/>
        </w:trPr>
        <w:tc>
          <w:tcPr>
            <w:tcW w:w="5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(12,183)</w:t>
            </w:r>
          </w:p>
        </w:tc>
      </w:tr>
      <w:tr>
        <w:trPr>
          <w:trHeight w:val="257"/>
        </w:trPr>
        <w:tc>
          <w:tcPr>
            <w:tcW w:w="53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73,664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59,557</w:t>
            </w: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 xml:space="preserve">In December 2017, the Company entered into a lease agreement for 106,230 rentable square feet of office space to accommodate its growing employee base in New York City. As a result of the Company’s involvement during the construction period, whereby the Company had certain indemnification obligations related to the construction, the Company was considered, for accounting purposes only, the owner of the construction project under build-to-suit lease accounting. Accordingly, the Company recorded the estimated fair value of the leased space as an asset, noted in the table above as “Building.” Costs incurred to renovate the new office space were capitalized as “Construction in process” and upon completion, reclassed to the “Building” asset. The Company also recorded a corresponding long-term lease liability. Refer to Note 8,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for further details.</w:t>
      </w:r>
    </w:p>
    <w:p>
      <w:pPr>
        <w:spacing w:after="0" w:line="111"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Depreciation and amortization expense related to property and equipment was $2.9 million, $2.8 million and $2.9 million for the years ended January 31, 2019, 2018 and 2017,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w:t>
      </w:r>
    </w:p>
    <w:p>
      <w:pPr>
        <w:spacing w:after="0" w:line="175"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The Company acquired all of the issued and outstanding capital stock of ObjectLabs Corporation (“mLab”) on November 1, 2018 (the “Acquisition Date”) for a purchase price of $68.0 million in cash, subject to working capital, cash, debt, transaction expenses and other closing adjustments. mLab, based in San Francisco, California, offers a fully-managed cloud database service.</w:t>
      </w:r>
    </w:p>
    <w:p>
      <w:pPr>
        <w:spacing w:after="0" w:line="127"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The Company used the acquisition method to account for the purchase of mLab, which met the definition of a business. During the three months ended January 31, 2019, the Company finalized the working capital, cash, debt, transaction expenses and other closing adjustments and identified and recorded the fair value of the assets and liabilities acquired, as well as the residual value to goodwill. The allocation of the purchase price was based on available information and assumptions at the time of the initial valuation and may be subject to change within the measurement period.</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total merger consideration, after closing adjustments, was $81.4 million, which included the purchase of the Excess Cash Amount, as defined in the merger agreement, of $13.4 million. Also included in the total merger consideration was $11.4 million for a time-based payment to the two founders of mLab (“Founder Holdback”), which is payable at 66.7% upon the first anniversary of the Acquisition Date and the remaining 33.3% upon the eighteen-month anniversary of the Acquisition Date. As the Founder Holdback arrangement represents compensation for post-combination services, the Company has excluded the entire $11.4 million in the purchase price to be allocated.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1" w:right="25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represents a summary of the purchase price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jc w:val="right"/>
              <w:ind w:right="1114"/>
              <w:spacing w:after="0"/>
              <w:rPr>
                <w:sz w:val="20"/>
                <w:szCs w:val="20"/>
                <w:color w:val="auto"/>
              </w:rPr>
            </w:pPr>
            <w:r>
              <w:rPr>
                <w:rFonts w:ascii="Arial" w:cs="Arial" w:eastAsia="Arial" w:hAnsi="Arial"/>
                <w:sz w:val="14"/>
                <w:szCs w:val="14"/>
                <w:b w:val="1"/>
                <w:bCs w:val="1"/>
                <w:color w:val="auto"/>
              </w:rPr>
              <w:t>Amounts</w:t>
            </w:r>
          </w:p>
        </w:tc>
      </w:tr>
      <w:tr>
        <w:trPr>
          <w:trHeight w:val="250"/>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price pursuant to the Merger Agreement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68,000</w:t>
            </w:r>
          </w:p>
        </w:tc>
      </w:tr>
      <w:tr>
        <w:trPr>
          <w:trHeight w:val="243"/>
        </w:trPr>
        <w:tc>
          <w:tcPr>
            <w:tcW w:w="5920" w:type="dxa"/>
            <w:vAlign w:val="bottom"/>
          </w:tcPr>
          <w:p>
            <w:pPr>
              <w:ind w:left="280"/>
              <w:spacing w:after="0"/>
              <w:rPr>
                <w:sz w:val="20"/>
                <w:szCs w:val="20"/>
                <w:color w:val="auto"/>
              </w:rPr>
            </w:pPr>
            <w:r>
              <w:rPr>
                <w:rFonts w:ascii="Arial" w:cs="Arial" w:eastAsia="Arial" w:hAnsi="Arial"/>
                <w:sz w:val="18"/>
                <w:szCs w:val="18"/>
                <w:color w:val="auto"/>
              </w:rPr>
              <w:t>Excess cash amount</w:t>
            </w:r>
          </w:p>
        </w:tc>
        <w:tc>
          <w:tcPr>
            <w:tcW w:w="660" w:type="dxa"/>
            <w:vAlign w:val="bottom"/>
          </w:tcPr>
          <w:p>
            <w:pPr>
              <w:spacing w:after="0"/>
              <w:rPr>
                <w:sz w:val="21"/>
                <w:szCs w:val="21"/>
                <w:color w:val="auto"/>
              </w:rPr>
            </w:pPr>
          </w:p>
        </w:tc>
        <w:tc>
          <w:tcPr>
            <w:tcW w:w="2300" w:type="dxa"/>
            <w:vAlign w:val="bottom"/>
          </w:tcPr>
          <w:p>
            <w:pPr>
              <w:jc w:val="right"/>
              <w:ind w:right="14"/>
              <w:spacing w:after="0"/>
              <w:rPr>
                <w:sz w:val="20"/>
                <w:szCs w:val="20"/>
                <w:color w:val="auto"/>
              </w:rPr>
            </w:pPr>
            <w:r>
              <w:rPr>
                <w:rFonts w:ascii="Arial" w:cs="Arial" w:eastAsia="Arial" w:hAnsi="Arial"/>
                <w:sz w:val="18"/>
                <w:szCs w:val="18"/>
                <w:color w:val="auto"/>
              </w:rPr>
              <w:t>13,413</w:t>
            </w:r>
          </w:p>
        </w:tc>
      </w:tr>
      <w:tr>
        <w:trPr>
          <w:trHeight w:val="27"/>
        </w:trPr>
        <w:tc>
          <w:tcPr>
            <w:tcW w:w="5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70"/>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Founder Holdback</w:t>
            </w:r>
          </w:p>
        </w:tc>
        <w:tc>
          <w:tcPr>
            <w:tcW w:w="66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(11,440)</w:t>
            </w:r>
          </w:p>
        </w:tc>
      </w:tr>
      <w:tr>
        <w:trPr>
          <w:trHeight w:val="257"/>
        </w:trPr>
        <w:tc>
          <w:tcPr>
            <w:tcW w:w="5920" w:type="dxa"/>
            <w:vAlign w:val="bottom"/>
          </w:tcPr>
          <w:p>
            <w:pPr>
              <w:ind w:left="280"/>
              <w:spacing w:after="0"/>
              <w:rPr>
                <w:sz w:val="20"/>
                <w:szCs w:val="20"/>
                <w:color w:val="auto"/>
              </w:rPr>
            </w:pPr>
            <w:r>
              <w:rPr>
                <w:rFonts w:ascii="Arial" w:cs="Arial" w:eastAsia="Arial" w:hAnsi="Arial"/>
                <w:sz w:val="18"/>
                <w:szCs w:val="18"/>
                <w:color w:val="auto"/>
              </w:rPr>
              <w:t>Total purchase price to be allocated</w:t>
            </w: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2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69,973</w:t>
            </w:r>
          </w:p>
        </w:tc>
      </w:tr>
      <w:tr>
        <w:trPr>
          <w:trHeight w:val="20"/>
        </w:trPr>
        <w:tc>
          <w:tcPr>
            <w:tcW w:w="59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purchase price allocation fair values of the assets acquired and liabilities and the value of goodwill assumed 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Acquisition Date (in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Estimated Fair Value</w:t>
            </w:r>
          </w:p>
        </w:tc>
      </w:tr>
      <w:tr>
        <w:trPr>
          <w:trHeight w:val="250"/>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Financial and tangible assets, net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17,636</w:t>
            </w:r>
          </w:p>
        </w:tc>
      </w:tr>
      <w:tr>
        <w:trPr>
          <w:trHeight w:val="243"/>
        </w:trPr>
        <w:tc>
          <w:tcPr>
            <w:tcW w:w="5920" w:type="dxa"/>
            <w:vAlign w:val="bottom"/>
          </w:tcPr>
          <w:p>
            <w:pPr>
              <w:ind w:left="280"/>
              <w:spacing w:after="0"/>
              <w:rPr>
                <w:sz w:val="20"/>
                <w:szCs w:val="20"/>
                <w:color w:val="auto"/>
              </w:rPr>
            </w:pPr>
            <w:r>
              <w:rPr>
                <w:rFonts w:ascii="Arial" w:cs="Arial" w:eastAsia="Arial" w:hAnsi="Arial"/>
                <w:sz w:val="18"/>
                <w:szCs w:val="18"/>
                <w:color w:val="auto"/>
              </w:rPr>
              <w:t>Identifiable intangible asset - customer relationships</w:t>
            </w:r>
          </w:p>
        </w:tc>
        <w:tc>
          <w:tcPr>
            <w:tcW w:w="480" w:type="dxa"/>
            <w:vAlign w:val="bottom"/>
          </w:tcPr>
          <w:p>
            <w:pPr>
              <w:spacing w:after="0"/>
              <w:rPr>
                <w:sz w:val="21"/>
                <w:szCs w:val="21"/>
                <w:color w:val="auto"/>
              </w:rPr>
            </w:pPr>
          </w:p>
        </w:tc>
        <w:tc>
          <w:tcPr>
            <w:tcW w:w="2480" w:type="dxa"/>
            <w:vAlign w:val="bottom"/>
          </w:tcPr>
          <w:p>
            <w:pPr>
              <w:jc w:val="right"/>
              <w:ind w:right="13"/>
              <w:spacing w:after="0"/>
              <w:rPr>
                <w:sz w:val="20"/>
                <w:szCs w:val="20"/>
                <w:color w:val="auto"/>
              </w:rPr>
            </w:pPr>
            <w:r>
              <w:rPr>
                <w:rFonts w:ascii="Arial" w:cs="Arial" w:eastAsia="Arial" w:hAnsi="Arial"/>
                <w:sz w:val="18"/>
                <w:szCs w:val="18"/>
                <w:color w:val="auto"/>
              </w:rPr>
              <w:t>13,500</w:t>
            </w:r>
          </w:p>
        </w:tc>
      </w:tr>
      <w:tr>
        <w:trPr>
          <w:trHeight w:val="27"/>
        </w:trPr>
        <w:tc>
          <w:tcPr>
            <w:tcW w:w="5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Identifiable intangible asset - developed technology</w:t>
            </w:r>
          </w:p>
        </w:tc>
        <w:tc>
          <w:tcPr>
            <w:tcW w:w="4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3,100</w:t>
            </w:r>
          </w:p>
        </w:tc>
      </w:tr>
      <w:tr>
        <w:trPr>
          <w:trHeight w:val="243"/>
        </w:trPr>
        <w:tc>
          <w:tcPr>
            <w:tcW w:w="592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48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7"/>
        </w:trPr>
        <w:tc>
          <w:tcPr>
            <w:tcW w:w="5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0"/>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48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35,997</w:t>
            </w:r>
          </w:p>
        </w:tc>
      </w:tr>
      <w:tr>
        <w:trPr>
          <w:trHeight w:val="257"/>
        </w:trPr>
        <w:tc>
          <w:tcPr>
            <w:tcW w:w="5920" w:type="dxa"/>
            <w:vAlign w:val="bottom"/>
          </w:tcPr>
          <w:p>
            <w:pPr>
              <w:ind w:left="280"/>
              <w:spacing w:after="0"/>
              <w:rPr>
                <w:sz w:val="20"/>
                <w:szCs w:val="20"/>
                <w:color w:val="auto"/>
              </w:rPr>
            </w:pPr>
            <w:r>
              <w:rPr>
                <w:rFonts w:ascii="Arial" w:cs="Arial" w:eastAsia="Arial" w:hAnsi="Arial"/>
                <w:sz w:val="18"/>
                <w:szCs w:val="18"/>
                <w:color w:val="auto"/>
              </w:rPr>
              <w:t>Total purchase price</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2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69,973</w:t>
            </w:r>
          </w:p>
        </w:tc>
      </w:tr>
      <w:tr>
        <w:trPr>
          <w:trHeight w:val="20"/>
        </w:trPr>
        <w:tc>
          <w:tcPr>
            <w:tcW w:w="5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Financial and tangible assets, net primarily include the cash acquired, accounts receivable and prepaid hosting agreements, net of existing mLab obligations as of the Acquisition Date.</w:t>
      </w:r>
    </w:p>
    <w:p>
      <w:pPr>
        <w:spacing w:after="0" w:line="116"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Customer relationships represents the fair value of projected subscription revenue that is expected to be generated from existing customers as of the Acquisition Date. The Company determined the economic useful life to be five years and the fair value of customer relationships was estimated using the discounted cash flow method, an income approach (Level 3), which utilized assumptions for customer turnover rates, cost structure, income taxes and other conventional estimates to derive a present value of expected future cash flows.</w:t>
      </w:r>
    </w:p>
    <w:p>
      <w:pPr>
        <w:spacing w:after="0" w:line="13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Developed technology relates to the existing mLab platform. The Company determined the economic useful life to be one year based on the anticipated time frame to migrate mLab customers to the MongoDB Atlas platform. The fair value of developed technology was estimated using the reproduction cost method (Level 3), which utilized assumptions for the cost to replace, such as the workforce, timing and resources required, as well as a theoretical profit margin, opportunity cost and economic obsolescence factor.</w:t>
      </w:r>
    </w:p>
    <w:p>
      <w:pPr>
        <w:spacing w:after="0" w:line="133" w:lineRule="exact"/>
        <w:rPr>
          <w:sz w:val="20"/>
          <w:szCs w:val="20"/>
          <w:color w:val="auto"/>
        </w:rPr>
      </w:pPr>
    </w:p>
    <w:p>
      <w:pPr>
        <w:ind w:right="580" w:firstLine="486"/>
        <w:spacing w:after="0" w:line="342" w:lineRule="auto"/>
        <w:rPr>
          <w:sz w:val="20"/>
          <w:szCs w:val="20"/>
          <w:color w:val="auto"/>
        </w:rPr>
      </w:pPr>
      <w:r>
        <w:rPr>
          <w:rFonts w:ascii="Arial" w:cs="Arial" w:eastAsia="Arial" w:hAnsi="Arial"/>
          <w:sz w:val="16"/>
          <w:szCs w:val="16"/>
          <w:color w:val="auto"/>
        </w:rPr>
        <w:t xml:space="preserve">These two intangible assets acquired are being amortized over their estimated useful lives using the straight-line method of amortization, which approximates the distribution of the economic value of the identified intangible assets. See Note 6, </w:t>
      </w:r>
      <w:r>
        <w:rPr>
          <w:rFonts w:ascii="Arial" w:cs="Arial" w:eastAsia="Arial" w:hAnsi="Arial"/>
          <w:sz w:val="16"/>
          <w:szCs w:val="16"/>
          <w:i w:val="1"/>
          <w:iCs w:val="1"/>
          <w:color w:val="auto"/>
        </w:rPr>
        <w:t>Acquired Intangible Assets, Net</w:t>
      </w:r>
      <w:r>
        <w:rPr>
          <w:rFonts w:ascii="Arial" w:cs="Arial" w:eastAsia="Arial" w:hAnsi="Arial"/>
          <w:sz w:val="16"/>
          <w:szCs w:val="16"/>
          <w:color w:val="auto"/>
        </w:rPr>
        <w:t>, for further details</w:t>
      </w:r>
    </w:p>
    <w:p>
      <w:pPr>
        <w:spacing w:after="0" w:line="70" w:lineRule="exact"/>
        <w:rPr>
          <w:sz w:val="20"/>
          <w:szCs w:val="20"/>
          <w:color w:val="auto"/>
        </w:rPr>
      </w:pPr>
    </w:p>
    <w:p>
      <w:pPr>
        <w:jc w:val="both"/>
        <w:ind w:right="220" w:firstLine="486"/>
        <w:spacing w:after="0" w:line="264" w:lineRule="auto"/>
        <w:rPr>
          <w:sz w:val="20"/>
          <w:szCs w:val="20"/>
          <w:color w:val="auto"/>
        </w:rPr>
      </w:pPr>
      <w:r>
        <w:rPr>
          <w:rFonts w:ascii="Arial" w:cs="Arial" w:eastAsia="Arial" w:hAnsi="Arial"/>
          <w:sz w:val="18"/>
          <w:szCs w:val="18"/>
          <w:color w:val="auto"/>
        </w:rPr>
        <w:t xml:space="preserve">Deferred revenue was estimated at fair value under the cost build-up method (Level 3), which was determined based on estimated direct and indirect costs to support and fulfill the subscription obligation plus an assumed operating margin. Deferred revenue will be recognized based on the revenue criteria set forth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w:t>
      </w:r>
    </w:p>
    <w:p>
      <w:pPr>
        <w:spacing w:after="0" w:line="12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 xml:space="preserve">Goodwill related to the acquisition, which represents the difference between the purchase price and fair values of identifiable net assets, is primarily attributable to assembled workforce, as well as expected synergies of the combination. The goodwill is not tax deductible for U.S. income tax purposes. In addition to the goodwill recorded through the purchase price allocation disclosed in the table above, the Company recorded an additional $4.1 million to goodwill resulting from deferred tax liabilities associated with the acquired intangible assets. Refer to Note 13, </w:t>
      </w:r>
      <w:r>
        <w:rPr>
          <w:rFonts w:ascii="Arial" w:cs="Arial" w:eastAsia="Arial" w:hAnsi="Arial"/>
          <w:sz w:val="18"/>
          <w:szCs w:val="18"/>
          <w:i w:val="1"/>
          <w:iCs w:val="1"/>
          <w:color w:val="auto"/>
        </w:rPr>
        <w:t>Income Taxes</w:t>
      </w:r>
      <w:r>
        <w:rPr>
          <w:rFonts w:ascii="Arial" w:cs="Arial" w:eastAsia="Arial" w:hAnsi="Arial"/>
          <w:sz w:val="18"/>
          <w:szCs w:val="18"/>
          <w:color w:val="auto"/>
        </w:rPr>
        <w:t>, for further discussion of the tax impact of the acquisition.</w:t>
      </w:r>
    </w:p>
    <w:p>
      <w:pPr>
        <w:spacing w:after="0" w:line="134" w:lineRule="exact"/>
        <w:rPr>
          <w:sz w:val="20"/>
          <w:szCs w:val="20"/>
          <w:color w:val="auto"/>
        </w:rPr>
      </w:pPr>
    </w:p>
    <w:p>
      <w:pPr>
        <w:ind w:right="220" w:firstLine="486"/>
        <w:spacing w:after="0" w:line="308" w:lineRule="auto"/>
        <w:rPr>
          <w:sz w:val="20"/>
          <w:szCs w:val="20"/>
          <w:color w:val="auto"/>
        </w:rPr>
      </w:pPr>
      <w:r>
        <w:rPr>
          <w:rFonts w:ascii="Arial" w:cs="Arial" w:eastAsia="Arial" w:hAnsi="Arial"/>
          <w:sz w:val="17"/>
          <w:szCs w:val="17"/>
          <w:color w:val="auto"/>
        </w:rPr>
        <w:t>The Company incurred acquisition-related costs for the mLab acquisition of $0.5 million during the year ended January 31, 2019. These acquisition-related costs were included in general and administrative expenses in the Company’s consolidated statements of operations.</w:t>
      </w:r>
    </w:p>
    <w:p>
      <w:pPr>
        <w:spacing w:after="0" w:line="200" w:lineRule="exact"/>
        <w:rPr>
          <w:sz w:val="20"/>
          <w:szCs w:val="20"/>
          <w:color w:val="auto"/>
        </w:rPr>
      </w:pPr>
    </w:p>
    <w:p>
      <w:pPr>
        <w:spacing w:after="0" w:line="36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The Company included mLab’s estimated fair value of assets acquired and liabilities assumed in its consolidated balance sheet beginning on the Acquisition Date. The results of operations for mLab subsequent to the Acquisition Date have been included in, but are not material to, the Company's consolidated statements of operations for the year ended January 31, 2019. Pro forma results of operations for the mLab acquisition have not been presented because they are not material to the consolidated statements of operations for the year ended January 31,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Acquired Intangible Assets,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changes in the carrying amount of goodwill during the periods presented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January 31, 2019</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January 31, 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the year</w:t>
            </w:r>
          </w:p>
        </w:tc>
        <w:tc>
          <w:tcPr>
            <w:tcW w:w="2100" w:type="dxa"/>
            <w:vAlign w:val="bottom"/>
            <w:tcBorders>
              <w:bottom w:val="single" w:sz="8" w:color="CCEEFF"/>
            </w:tcBorders>
            <w:shd w:val="clear" w:color="auto" w:fill="CCEEFF"/>
          </w:tcPr>
          <w:p>
            <w:pPr>
              <w:jc w:val="right"/>
              <w:ind w:right="191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2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Increase in goodwill related to business combinations</w:t>
            </w:r>
          </w:p>
        </w:tc>
        <w:tc>
          <w:tcPr>
            <w:tcW w:w="21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40,178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the year</w:t>
            </w:r>
          </w:p>
        </w:tc>
        <w:tc>
          <w:tcPr>
            <w:tcW w:w="2100" w:type="dxa"/>
            <w:vAlign w:val="bottom"/>
            <w:tcBorders>
              <w:bottom w:val="single" w:sz="8" w:color="auto"/>
            </w:tcBorders>
            <w:shd w:val="clear" w:color="auto" w:fill="CCEEFF"/>
          </w:tcPr>
          <w:p>
            <w:pPr>
              <w:jc w:val="right"/>
              <w:ind w:right="191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41,878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2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1,700</w:t>
            </w:r>
          </w:p>
        </w:tc>
      </w:tr>
      <w:tr>
        <w:trPr>
          <w:trHeight w:val="20"/>
        </w:trPr>
        <w:tc>
          <w:tcPr>
            <w:tcW w:w="56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Refer to Note 5,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further details on the addition to goodwill.</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gross carrying amount and accumulated amortization of the Company’s intangible assets are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January 31, 2019</w:t>
            </w: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r>
      <w:tr>
        <w:trPr>
          <w:trHeight w:val="264"/>
        </w:trPr>
        <w:tc>
          <w:tcPr>
            <w:tcW w:w="4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gridSpan w:val="2"/>
          </w:tcPr>
          <w:p>
            <w:pPr>
              <w:ind w:left="160"/>
              <w:spacing w:after="0"/>
              <w:rPr>
                <w:sz w:val="20"/>
                <w:szCs w:val="20"/>
                <w:color w:val="auto"/>
              </w:rPr>
            </w:pPr>
            <w:r>
              <w:rPr>
                <w:rFonts w:ascii="Arial" w:cs="Arial" w:eastAsia="Arial" w:hAnsi="Arial"/>
                <w:sz w:val="14"/>
                <w:szCs w:val="14"/>
                <w:b w:val="1"/>
                <w:bCs w:val="1"/>
                <w:color w:val="auto"/>
              </w:rPr>
              <w:t>Gross Carrying Value</w:t>
            </w:r>
          </w:p>
        </w:tc>
        <w:tc>
          <w:tcPr>
            <w:tcW w:w="220" w:type="dxa"/>
            <w:vAlign w:val="bottom"/>
          </w:tcPr>
          <w:p>
            <w:pPr>
              <w:spacing w:after="0"/>
              <w:rPr>
                <w:sz w:val="22"/>
                <w:szCs w:val="22"/>
                <w:color w:val="auto"/>
              </w:rPr>
            </w:pPr>
          </w:p>
        </w:tc>
        <w:tc>
          <w:tcPr>
            <w:tcW w:w="2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 Amortization</w:t>
            </w:r>
          </w:p>
        </w:tc>
        <w:tc>
          <w:tcPr>
            <w:tcW w:w="380" w:type="dxa"/>
            <w:vAlign w:val="bottom"/>
          </w:tcPr>
          <w:p>
            <w:pPr>
              <w:spacing w:after="0"/>
              <w:rPr>
                <w:sz w:val="22"/>
                <w:szCs w:val="22"/>
                <w:color w:val="auto"/>
              </w:rPr>
            </w:pPr>
          </w:p>
        </w:tc>
        <w:tc>
          <w:tcPr>
            <w:tcW w:w="1900" w:type="dxa"/>
            <w:vAlign w:val="bottom"/>
          </w:tcPr>
          <w:p>
            <w:pPr>
              <w:jc w:val="right"/>
              <w:ind w:right="574"/>
              <w:spacing w:after="0"/>
              <w:rPr>
                <w:sz w:val="20"/>
                <w:szCs w:val="20"/>
                <w:color w:val="auto"/>
              </w:rPr>
            </w:pPr>
            <w:r>
              <w:rPr>
                <w:rFonts w:ascii="Arial" w:cs="Arial" w:eastAsia="Arial" w:hAnsi="Arial"/>
                <w:sz w:val="14"/>
                <w:szCs w:val="14"/>
                <w:b w:val="1"/>
                <w:bCs w:val="1"/>
                <w:color w:val="auto"/>
              </w:rPr>
              <w:t>Net Book Value</w:t>
            </w: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3,042</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Domain name</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27</w:t>
            </w:r>
          </w:p>
        </w:tc>
      </w:tr>
      <w:tr>
        <w:trPr>
          <w:trHeight w:val="27"/>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12,825</w:t>
            </w:r>
          </w:p>
        </w:tc>
      </w:tr>
      <w:tr>
        <w:trPr>
          <w:trHeight w:val="257"/>
        </w:trPr>
        <w:tc>
          <w:tcPr>
            <w:tcW w:w="436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21,055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(5,161)</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15,894</w:t>
            </w: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602"/>
        </w:trPr>
        <w:tc>
          <w:tcPr>
            <w:tcW w:w="4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January 31, 2018</w:t>
            </w:r>
          </w:p>
        </w:tc>
        <w:tc>
          <w:tcPr>
            <w:tcW w:w="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r>
        <w:trPr>
          <w:trHeight w:val="264"/>
        </w:trPr>
        <w:tc>
          <w:tcPr>
            <w:tcW w:w="4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gridSpan w:val="2"/>
          </w:tcPr>
          <w:p>
            <w:pPr>
              <w:ind w:left="160"/>
              <w:spacing w:after="0"/>
              <w:rPr>
                <w:sz w:val="20"/>
                <w:szCs w:val="20"/>
                <w:color w:val="auto"/>
              </w:rPr>
            </w:pPr>
            <w:r>
              <w:rPr>
                <w:rFonts w:ascii="Arial" w:cs="Arial" w:eastAsia="Arial" w:hAnsi="Arial"/>
                <w:sz w:val="14"/>
                <w:szCs w:val="14"/>
                <w:b w:val="1"/>
                <w:bCs w:val="1"/>
                <w:color w:val="auto"/>
              </w:rPr>
              <w:t>Gross Carrying Value</w:t>
            </w:r>
          </w:p>
        </w:tc>
        <w:tc>
          <w:tcPr>
            <w:tcW w:w="220" w:type="dxa"/>
            <w:vAlign w:val="bottom"/>
          </w:tcPr>
          <w:p>
            <w:pPr>
              <w:spacing w:after="0"/>
              <w:rPr>
                <w:sz w:val="22"/>
                <w:szCs w:val="22"/>
                <w:color w:val="auto"/>
              </w:rPr>
            </w:pPr>
          </w:p>
        </w:tc>
        <w:tc>
          <w:tcPr>
            <w:tcW w:w="2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 Amortization</w:t>
            </w:r>
          </w:p>
        </w:tc>
        <w:tc>
          <w:tcPr>
            <w:tcW w:w="380" w:type="dxa"/>
            <w:vAlign w:val="bottom"/>
          </w:tcPr>
          <w:p>
            <w:pPr>
              <w:spacing w:after="0"/>
              <w:rPr>
                <w:sz w:val="22"/>
                <w:szCs w:val="22"/>
                <w:color w:val="auto"/>
              </w:rPr>
            </w:pPr>
          </w:p>
        </w:tc>
        <w:tc>
          <w:tcPr>
            <w:tcW w:w="1900" w:type="dxa"/>
            <w:vAlign w:val="bottom"/>
          </w:tcPr>
          <w:p>
            <w:pPr>
              <w:jc w:val="right"/>
              <w:ind w:right="574"/>
              <w:spacing w:after="0"/>
              <w:rPr>
                <w:sz w:val="20"/>
                <w:szCs w:val="20"/>
                <w:color w:val="auto"/>
              </w:rPr>
            </w:pPr>
            <w:r>
              <w:rPr>
                <w:rFonts w:ascii="Arial" w:cs="Arial" w:eastAsia="Arial" w:hAnsi="Arial"/>
                <w:sz w:val="14"/>
                <w:szCs w:val="14"/>
                <w:b w:val="1"/>
                <w:bCs w:val="1"/>
                <w:color w:val="auto"/>
              </w:rPr>
              <w:t>Net Book Value</w:t>
            </w: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1,577</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Domain name</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50</w:t>
            </w:r>
          </w:p>
        </w:tc>
      </w:tr>
      <w:tr>
        <w:trPr>
          <w:trHeight w:val="27"/>
        </w:trPr>
        <w:tc>
          <w:tcPr>
            <w:tcW w:w="4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1,627</w:t>
            </w: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Acquired intangible assets are amortized on a straight-line basis. As of January 31, 2019, the weighted-average remaining useful lives of identifiable, acquisition-related intangible assets was 0.8 years for developed technology, 1.2 years for domain name and 4.8 years for customer relationships. Amortization expense of intangible assets was $2.3 million, $0.9 million and $0.9 million for the years ended January 31, 2019, 2018 and 2017, respectively. Amortization expense for developed technology and the domain name was included as research and development expense in the Company’s consolidated statements of operations. Amortization expense for customer relationships was included as sales and marketing expense in the Company’s consolidated statements of operations.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January 31, 2019, future amortization expense related to the intangible assets is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ind w:left="40"/>
              <w:spacing w:after="0"/>
              <w:rPr>
                <w:sz w:val="20"/>
                <w:szCs w:val="20"/>
                <w:color w:val="auto"/>
              </w:rPr>
            </w:pPr>
            <w:r>
              <w:rPr>
                <w:rFonts w:ascii="Arial" w:cs="Arial" w:eastAsia="Arial" w:hAnsi="Arial"/>
                <w:sz w:val="14"/>
                <w:szCs w:val="14"/>
                <w:b w:val="1"/>
                <w:bCs w:val="1"/>
                <w:color w:val="auto"/>
              </w:rPr>
              <w:t>Years Ending January 31,</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5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5,765</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2,704</w:t>
            </w:r>
          </w:p>
        </w:tc>
      </w:tr>
      <w:tr>
        <w:trPr>
          <w:trHeight w:val="27"/>
        </w:trPr>
        <w:tc>
          <w:tcPr>
            <w:tcW w:w="4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2,700</w:t>
            </w:r>
          </w:p>
        </w:tc>
      </w:tr>
      <w:tr>
        <w:trPr>
          <w:trHeight w:val="27"/>
        </w:trPr>
        <w:tc>
          <w:tcPr>
            <w:tcW w:w="4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15,894</w:t>
            </w:r>
          </w:p>
        </w:tc>
      </w:tr>
      <w:tr>
        <w:trPr>
          <w:trHeight w:val="20"/>
        </w:trPr>
        <w:tc>
          <w:tcPr>
            <w:tcW w:w="4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2" w:right="239" w:bottom="1440" w:gutter="0" w:footer="0" w:header="0"/>
          <w:type w:val="continuous"/>
        </w:sectPr>
      </w:pPr>
    </w:p>
    <w:bookmarkStart w:id="87" w:name="page88"/>
    <w:bookmarkEnd w:id="8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Senior Notes</w:t>
      </w:r>
    </w:p>
    <w:p>
      <w:pPr>
        <w:spacing w:after="0" w:line="175" w:lineRule="exact"/>
        <w:rPr>
          <w:sz w:val="20"/>
          <w:szCs w:val="20"/>
          <w:color w:val="auto"/>
        </w:rPr>
      </w:pPr>
    </w:p>
    <w:p>
      <w:pPr>
        <w:ind w:firstLine="531"/>
        <w:spacing w:after="0" w:line="255" w:lineRule="auto"/>
        <w:rPr>
          <w:sz w:val="20"/>
          <w:szCs w:val="20"/>
          <w:color w:val="auto"/>
        </w:rPr>
      </w:pPr>
      <w:r>
        <w:rPr>
          <w:rFonts w:ascii="Arial" w:cs="Arial" w:eastAsia="Arial" w:hAnsi="Arial"/>
          <w:sz w:val="18"/>
          <w:szCs w:val="18"/>
          <w:color w:val="auto"/>
        </w:rPr>
        <w:t>In June 2018, the Company issued $250.0 million aggregate principal amount of 0.75% convertible senior notes due 2024 in a private placement and, in July 2018, the Company issued an additional $50.0 million aggregate principal amount of the Notes pursuant to the exercise in full of the initial purchasers’ option to purchase additional Notes. The Notes are senior unsecured obligations of MongoDB and interest is payable semiannually in arrears on June 15 and December 15 of each year, beginning on December 15, 2018, at a rate of 0.75% per year. The Notes will mature on June 15, 2024, unless earlier converted, redeemed or repurchased. The total net proceeds from the offering, after deducting initial purchase discounts and estimated debt issuance costs, were approximately $291.1 million.</w:t>
      </w:r>
    </w:p>
    <w:p>
      <w:pPr>
        <w:spacing w:after="0" w:line="13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The initial conversion rate is 14.6738 shares of MongoDB’s Class A common stock per $1,000 principal amount of Notes, which is equal to an initial conversion price of approximately $68.15 per share of Class A common stock, subject to adjustment upon the occurrence of specified events. The Notes will be convertible at the option of the holders at any time prior to the close of business on the business day immediately preceding March 15, 2024, only under the following circumstances:</w:t>
      </w:r>
    </w:p>
    <w:p>
      <w:pPr>
        <w:spacing w:after="0" w:line="133" w:lineRule="exact"/>
        <w:rPr>
          <w:sz w:val="20"/>
          <w:szCs w:val="20"/>
          <w:color w:val="auto"/>
        </w:rPr>
      </w:pPr>
    </w:p>
    <w:p>
      <w:pPr>
        <w:ind w:left="660" w:right="260" w:hanging="328"/>
        <w:spacing w:after="0" w:line="25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during any fiscal quarter commencing after the fiscal quarter ending on October 31, 2018 (and only during such fiscal quarter), if the last reported sale price of the Company’s Class A common stock for at least 20 trading days (whether or not consecutive) during a period of 30 consecutive trading days ending on, and including, the last trading day of the immediately preceding fiscal quarter is greater than or equal to 130% of the conversion price of the Notes on each applicable trading day;</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during the five-business day period after any five consecutive trading day period (the “measurement period”) in which the trading price</w:t>
      </w:r>
    </w:p>
    <w:p>
      <w:pPr>
        <w:spacing w:after="0" w:line="23" w:lineRule="exact"/>
        <w:rPr>
          <w:rFonts w:ascii="Arial" w:cs="Arial" w:eastAsia="Arial" w:hAnsi="Arial"/>
          <w:sz w:val="18"/>
          <w:szCs w:val="18"/>
          <w:color w:val="auto"/>
        </w:rPr>
      </w:pPr>
    </w:p>
    <w:p>
      <w:pPr>
        <w:ind w:left="660" w:right="200"/>
        <w:spacing w:after="0" w:line="261" w:lineRule="auto"/>
        <w:rPr>
          <w:rFonts w:ascii="Arial" w:cs="Arial" w:eastAsia="Arial" w:hAnsi="Arial"/>
          <w:sz w:val="18"/>
          <w:szCs w:val="18"/>
          <w:color w:val="auto"/>
        </w:rPr>
      </w:pPr>
      <w:r>
        <w:rPr>
          <w:rFonts w:ascii="Arial" w:cs="Arial" w:eastAsia="Arial" w:hAnsi="Arial"/>
          <w:sz w:val="18"/>
          <w:szCs w:val="18"/>
          <w:color w:val="auto"/>
        </w:rPr>
        <w:t>per $1,000 principal amount of the Notes for each trading day of the measurement period was less than 98% of the product of the last reported sale price of the Company’s Class A common stock and the conversion rate of the Notes on each such trading day;</w:t>
      </w:r>
    </w:p>
    <w:p>
      <w:pPr>
        <w:spacing w:after="0" w:line="129"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at any time prior to the close of business on the scheduled trading day immediately preceding the redemption date;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set forth in the indenture governing the Notes).</w:t>
      </w:r>
    </w:p>
    <w:p>
      <w:pPr>
        <w:spacing w:after="0" w:line="17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On or after March 15, 2024, until the close of business on the scheduled trading day immediately preceding the maturity date, holders may convert all or any portion of their Notes, in multiples of $1,000 principal amount, at the option of the holder, regardless of the foregoing circumstances. Upon conversion, the Company will satisfy its conversion obligation by paying or delivering, as the case may be, cash, shares of the Company’s Class A common stock or a combination of cash and shares of the Company’s Class A common stock, at the Company’s election. If a fundamental change (as defined in the indenture governing the Notes) occurs prior to the maturity date, holders of the Notes will have the right to require the Company to repurchase for cash all or any portion of their Notes at a repurchase price equal to 100% of the principal amount of the Notes to be repurchased, plus accrued and unpaid interest to, but excluding, the fundamental change repurchase date. In addition, if specific corporate events occur prior to the applicable maturity date, or if the Company elects to redeem the Notes, the Company will increase the conversion rate for a holder who elects to convert their notes in connection with such a corporate event or redemption in certain circumstances. It is the Company’s current intent to settle the principal amount of the Notes in cash. During the three months ended January 31, 2019, the conditions allowing holders of the Notes to convert have not been met. The Notes were therefore not convertible during the three months ended January 31, 2019 and were classified as long-term debt on the Company’s consolidated balance sheets.</w:t>
      </w:r>
    </w:p>
    <w:p>
      <w:pPr>
        <w:spacing w:after="0" w:line="119"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The Company may not redeem the Notes prior to June 20, 2021. On or after June 20, 2021, the Company may redeem for cash all or any portion of the Notes, at its option,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Notes to be redeemed, plus accrued and unpaid interest to, but excluding, the redemption date.</w:t>
      </w:r>
    </w:p>
    <w:p>
      <w:pPr>
        <w:spacing w:after="0" w:line="119"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 xml:space="preserve">As discussed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in accounting for the issuance of the Notes, the Notes were separated into liability and equity components. The carrying amount of the equity component representing the conversion option was $84.2 million. For the debt issuance costs</w:t>
      </w:r>
    </w:p>
    <w:p>
      <w:pPr>
        <w:ind w:right="520"/>
        <w:spacing w:after="0" w:line="323" w:lineRule="auto"/>
        <w:rPr>
          <w:sz w:val="20"/>
          <w:szCs w:val="20"/>
          <w:color w:val="auto"/>
        </w:rPr>
      </w:pPr>
      <w:r>
        <w:rPr>
          <w:rFonts w:ascii="Arial" w:cs="Arial" w:eastAsia="Arial" w:hAnsi="Arial"/>
          <w:sz w:val="16"/>
          <w:szCs w:val="16"/>
          <w:color w:val="auto"/>
        </w:rPr>
        <w:t>of $8.8 million related to the Notes, the Company allocated the total amount incurred to the liability and equity components of the Notes based on their relative values. Issuance costs attributable to the liability component were $6.3 million and will be amortized, along with the debt discount, to interest</w:t>
      </w:r>
    </w:p>
    <w:p>
      <w:pPr>
        <w:spacing w:after="0" w:line="200" w:lineRule="exact"/>
        <w:rPr>
          <w:sz w:val="20"/>
          <w:szCs w:val="20"/>
          <w:color w:val="auto"/>
        </w:rPr>
      </w:pPr>
    </w:p>
    <w:p>
      <w:pPr>
        <w:spacing w:after="0" w:line="35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expense over the contractual term of the Notes at an effective interest rate of 7.03%. Issuance costs attributable to the equity component were $2.5 million and are netted against the equity component representing the conversion option in additional paid-in capital.</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net carrying amount of the liability component of the Notes was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January 31, 2019</w:t>
            </w:r>
          </w:p>
        </w:tc>
      </w:tr>
      <w:tr>
        <w:trPr>
          <w:trHeight w:val="250"/>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2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r>
      <w:tr>
        <w:trPr>
          <w:trHeight w:val="243"/>
        </w:trPr>
        <w:tc>
          <w:tcPr>
            <w:tcW w:w="5920" w:type="dxa"/>
            <w:vAlign w:val="bottom"/>
          </w:tcPr>
          <w:p>
            <w:pPr>
              <w:ind w:left="280"/>
              <w:spacing w:after="0"/>
              <w:rPr>
                <w:sz w:val="20"/>
                <w:szCs w:val="20"/>
                <w:color w:val="auto"/>
              </w:rPr>
            </w:pPr>
            <w:r>
              <w:rPr>
                <w:rFonts w:ascii="Arial" w:cs="Arial" w:eastAsia="Arial" w:hAnsi="Arial"/>
                <w:sz w:val="18"/>
                <w:szCs w:val="18"/>
                <w:color w:val="auto"/>
              </w:rPr>
              <w:t>Unamortized debt discount</w:t>
            </w:r>
          </w:p>
        </w:tc>
        <w:tc>
          <w:tcPr>
            <w:tcW w:w="540" w:type="dxa"/>
            <w:vAlign w:val="bottom"/>
          </w:tcPr>
          <w:p>
            <w:pPr>
              <w:spacing w:after="0"/>
              <w:rPr>
                <w:sz w:val="21"/>
                <w:szCs w:val="21"/>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(77,211)</w:t>
            </w:r>
          </w:p>
        </w:tc>
      </w:tr>
      <w:tr>
        <w:trPr>
          <w:trHeight w:val="27"/>
        </w:trPr>
        <w:tc>
          <w:tcPr>
            <w:tcW w:w="5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70"/>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Unamortized debt issuance costs</w:t>
            </w:r>
          </w:p>
        </w:tc>
        <w:tc>
          <w:tcPr>
            <w:tcW w:w="54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(5,931)</w:t>
            </w:r>
          </w:p>
        </w:tc>
      </w:tr>
      <w:tr>
        <w:trPr>
          <w:trHeight w:val="257"/>
        </w:trPr>
        <w:tc>
          <w:tcPr>
            <w:tcW w:w="5920" w:type="dxa"/>
            <w:vAlign w:val="bottom"/>
          </w:tcPr>
          <w:p>
            <w:pPr>
              <w:ind w:left="280"/>
              <w:spacing w:after="0"/>
              <w:rPr>
                <w:sz w:val="20"/>
                <w:szCs w:val="20"/>
                <w:color w:val="auto"/>
              </w:rPr>
            </w:pPr>
            <w:r>
              <w:rPr>
                <w:rFonts w:ascii="Arial" w:cs="Arial" w:eastAsia="Arial" w:hAnsi="Arial"/>
                <w:sz w:val="18"/>
                <w:szCs w:val="18"/>
                <w:color w:val="auto"/>
              </w:rPr>
              <w:t>Net carrying amount</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2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216,858</w:t>
            </w:r>
          </w:p>
        </w:tc>
      </w:tr>
      <w:tr>
        <w:trPr>
          <w:trHeight w:val="20"/>
        </w:trPr>
        <w:tc>
          <w:tcPr>
            <w:tcW w:w="5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net carrying amount of the equity component of the Notes was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January 31, 2019</w:t>
            </w:r>
          </w:p>
        </w:tc>
      </w:tr>
      <w:tr>
        <w:trPr>
          <w:trHeight w:val="250"/>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discount for conversion option</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2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84,168</w:t>
            </w:r>
          </w:p>
        </w:tc>
      </w:tr>
      <w:tr>
        <w:trPr>
          <w:trHeight w:val="243"/>
        </w:trPr>
        <w:tc>
          <w:tcPr>
            <w:tcW w:w="5920" w:type="dxa"/>
            <w:vAlign w:val="bottom"/>
          </w:tcPr>
          <w:p>
            <w:pPr>
              <w:ind w:left="280"/>
              <w:spacing w:after="0"/>
              <w:rPr>
                <w:sz w:val="20"/>
                <w:szCs w:val="20"/>
                <w:color w:val="auto"/>
              </w:rPr>
            </w:pPr>
            <w:r>
              <w:rPr>
                <w:rFonts w:ascii="Arial" w:cs="Arial" w:eastAsia="Arial" w:hAnsi="Arial"/>
                <w:sz w:val="18"/>
                <w:szCs w:val="18"/>
                <w:color w:val="auto"/>
              </w:rPr>
              <w:t>Issuance costs</w:t>
            </w:r>
          </w:p>
        </w:tc>
        <w:tc>
          <w:tcPr>
            <w:tcW w:w="540" w:type="dxa"/>
            <w:vAlign w:val="bottom"/>
          </w:tcPr>
          <w:p>
            <w:pPr>
              <w:spacing w:after="0"/>
              <w:rPr>
                <w:sz w:val="21"/>
                <w:szCs w:val="21"/>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(2,485)</w:t>
            </w:r>
          </w:p>
        </w:tc>
      </w:tr>
      <w:tr>
        <w:trPr>
          <w:trHeight w:val="27"/>
        </w:trPr>
        <w:tc>
          <w:tcPr>
            <w:tcW w:w="5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57"/>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carrying amount</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2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81,683</w:t>
            </w:r>
          </w:p>
        </w:tc>
      </w:tr>
      <w:tr>
        <w:trPr>
          <w:trHeight w:val="20"/>
        </w:trPr>
        <w:tc>
          <w:tcPr>
            <w:tcW w:w="5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As of January 31, 2019, the total estimated fair value of the Notes was approximately $433.1 million. The fair value was determined based on the closing trading price per $100 of the Notes as of the last day of trading for the period. The fair value of the Notes is primarily affected by the trading price of the Company’s common stock and market interest rates.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interest expense related to the Notes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38"/>
              <w:spacing w:after="0"/>
              <w:rPr>
                <w:sz w:val="20"/>
                <w:szCs w:val="20"/>
                <w:color w:val="auto"/>
              </w:rPr>
            </w:pPr>
            <w:r>
              <w:rPr>
                <w:rFonts w:ascii="Arial" w:cs="Arial" w:eastAsia="Arial" w:hAnsi="Arial"/>
                <w:sz w:val="14"/>
                <w:szCs w:val="14"/>
                <w:b w:val="1"/>
                <w:bCs w:val="1"/>
                <w:color w:val="auto"/>
                <w:w w:val="93"/>
              </w:rPr>
              <w:t>Year Ended January</w:t>
            </w:r>
          </w:p>
        </w:tc>
      </w:tr>
      <w:tr>
        <w:trPr>
          <w:trHeight w:val="186"/>
        </w:trPr>
        <w:tc>
          <w:tcPr>
            <w:tcW w:w="5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578"/>
              <w:spacing w:after="0"/>
              <w:rPr>
                <w:sz w:val="20"/>
                <w:szCs w:val="20"/>
                <w:color w:val="auto"/>
              </w:rPr>
            </w:pPr>
            <w:r>
              <w:rPr>
                <w:rFonts w:ascii="Arial" w:cs="Arial" w:eastAsia="Arial" w:hAnsi="Arial"/>
                <w:sz w:val="14"/>
                <w:szCs w:val="14"/>
                <w:b w:val="1"/>
                <w:bCs w:val="1"/>
                <w:color w:val="auto"/>
              </w:rPr>
              <w:t>31,</w:t>
            </w:r>
          </w:p>
        </w:tc>
      </w:tr>
      <w:tr>
        <w:trPr>
          <w:trHeight w:val="26"/>
        </w:trPr>
        <w:tc>
          <w:tcPr>
            <w:tcW w:w="5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5"/>
        </w:trPr>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518"/>
              <w:spacing w:after="0"/>
              <w:rPr>
                <w:sz w:val="20"/>
                <w:szCs w:val="20"/>
                <w:color w:val="auto"/>
              </w:rPr>
            </w:pPr>
            <w:r>
              <w:rPr>
                <w:rFonts w:ascii="Arial" w:cs="Arial" w:eastAsia="Arial" w:hAnsi="Arial"/>
                <w:sz w:val="14"/>
                <w:szCs w:val="14"/>
                <w:b w:val="1"/>
                <w:bCs w:val="1"/>
                <w:color w:val="auto"/>
              </w:rPr>
              <w:t>2019</w:t>
            </w:r>
          </w:p>
        </w:tc>
      </w:tr>
      <w:tr>
        <w:trPr>
          <w:trHeight w:val="26"/>
        </w:trPr>
        <w:tc>
          <w:tcPr>
            <w:tcW w:w="5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6,956</w:t>
            </w:r>
          </w:p>
        </w:tc>
      </w:tr>
      <w:tr>
        <w:trPr>
          <w:trHeight w:val="27"/>
        </w:trPr>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84"/>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issuance costs</w:t>
            </w:r>
          </w:p>
        </w:tc>
        <w:tc>
          <w:tcPr>
            <w:tcW w:w="1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37"/>
        </w:trPr>
        <w:tc>
          <w:tcPr>
            <w:tcW w:w="592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8,696</w:t>
            </w:r>
          </w:p>
        </w:tc>
      </w:tr>
      <w:tr>
        <w:trPr>
          <w:trHeight w:val="54"/>
        </w:trPr>
        <w:tc>
          <w:tcPr>
            <w:tcW w:w="59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Capped Calls</w:t>
      </w:r>
    </w:p>
    <w:p>
      <w:pPr>
        <w:spacing w:after="0" w:line="171"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In connection with the pricing of the Notes, the Company entered into privately negotiated capped call transactions with certain counterparties (“Capped Calls”). The Capped Calls each have an initial strike price of approximately $68.15 per share, subject to certain adjustments, which corresponds to the initial conversion price of the Notes. The Capped Calls have initial cap prices of $106.90 per share, subject to certain adjustments. The Capped Calls are expected to partially offset the potential dilution to the Company’s Class A common stock upon any conversion of the Notes, with such offset subject to a cap based on the cap price. The Capped Calls cover, subject to anti-dilution adjustments, approximately 4.4 million shares of the Company’s Class A common stock. The Capped Calls are subject to adjustment upon the occurrence of specified extraordinary events affecting the Company, including merger events, a tender offers and announcement events. In addition, the Capped Calls are subject to certain specified additional disruption events that may give rise to a termination of the Capped Calls, including nationalization, insolvency or delisting, changes in law, failures to deliver, insolvency filings and hedging disruptions. For accounting purposes, the Capped Calls are separate transactions, and not part of the terms of the Notes. As these transactions meet certain accounting criteria, the Capped Calls are recorded in stockholders' equity and are not accounted for as derivatives. The cost of $37.1 million incurred to purchase the Capped Calls was recorded as a reduction to additional paid-in capital and will not be remeasured.</w:t>
      </w:r>
    </w:p>
    <w:p>
      <w:pPr>
        <w:spacing w:after="0" w:line="200" w:lineRule="exact"/>
        <w:rPr>
          <w:sz w:val="20"/>
          <w:szCs w:val="20"/>
          <w:color w:val="auto"/>
        </w:rPr>
      </w:pPr>
    </w:p>
    <w:p>
      <w:pPr>
        <w:spacing w:after="0" w:line="39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75"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Future minimum lease payments under non-cancelable financing and operating leases and other non-cancelable agreements as of January 31, 2019, were as follows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ind w:left="40"/>
              <w:spacing w:after="0"/>
              <w:rPr>
                <w:sz w:val="20"/>
                <w:szCs w:val="20"/>
                <w:color w:val="auto"/>
              </w:rPr>
            </w:pPr>
            <w:r>
              <w:rPr>
                <w:rFonts w:ascii="Arial" w:cs="Arial" w:eastAsia="Arial" w:hAnsi="Arial"/>
                <w:sz w:val="14"/>
                <w:szCs w:val="14"/>
                <w:b w:val="1"/>
                <w:bCs w:val="1"/>
                <w:color w:val="auto"/>
              </w:rPr>
              <w:t>Year Ending January 31,</w:t>
            </w: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Financing Leases</w:t>
            </w:r>
          </w:p>
        </w:tc>
        <w:tc>
          <w:tcPr>
            <w:tcW w:w="1300" w:type="dxa"/>
            <w:vAlign w:val="bottom"/>
            <w:gridSpan w:val="3"/>
          </w:tcPr>
          <w:p>
            <w:pPr>
              <w:ind w:left="100"/>
              <w:spacing w:after="0"/>
              <w:rPr>
                <w:sz w:val="20"/>
                <w:szCs w:val="20"/>
                <w:color w:val="auto"/>
              </w:rPr>
            </w:pPr>
            <w:r>
              <w:rPr>
                <w:rFonts w:ascii="Arial" w:cs="Arial" w:eastAsia="Arial" w:hAnsi="Arial"/>
                <w:sz w:val="14"/>
                <w:szCs w:val="14"/>
                <w:b w:val="1"/>
                <w:bCs w:val="1"/>
                <w:color w:val="auto"/>
              </w:rPr>
              <w:t>Operating Leases</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Other Obligations</w:t>
            </w:r>
          </w:p>
        </w:tc>
      </w:tr>
      <w:tr>
        <w:trPr>
          <w:trHeight w:val="26"/>
        </w:trPr>
        <w:tc>
          <w:tcPr>
            <w:tcW w:w="6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6220"/>
              <w:spacing w:after="0"/>
              <w:rPr>
                <w:sz w:val="20"/>
                <w:szCs w:val="20"/>
                <w:color w:val="auto"/>
              </w:rPr>
            </w:pPr>
            <w:r>
              <w:rPr>
                <w:rFonts w:ascii="Arial" w:cs="Arial" w:eastAsia="Arial" w:hAnsi="Arial"/>
                <w:sz w:val="18"/>
                <w:szCs w:val="18"/>
                <w:color w:val="auto"/>
                <w:w w:val="89"/>
              </w:rPr>
              <w:t>2020</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3,732</w:t>
            </w:r>
          </w:p>
        </w:tc>
        <w:tc>
          <w:tcPr>
            <w:tcW w:w="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23,923</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8,073</w:t>
            </w:r>
          </w:p>
        </w:tc>
        <w:tc>
          <w:tcPr>
            <w:tcW w:w="4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13,275</w:t>
            </w:r>
          </w:p>
        </w:tc>
      </w:tr>
      <w:tr>
        <w:trPr>
          <w:trHeight w:val="27"/>
        </w:trPr>
        <w:tc>
          <w:tcPr>
            <w:tcW w:w="6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8,073</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8,073</w:t>
            </w:r>
          </w:p>
        </w:tc>
        <w:tc>
          <w:tcPr>
            <w:tcW w:w="4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8,073</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51,274</w:t>
            </w:r>
          </w:p>
        </w:tc>
        <w:tc>
          <w:tcPr>
            <w:tcW w:w="4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66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96"/>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minimum payments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87,298</w:t>
            </w:r>
          </w:p>
        </w:tc>
        <w:tc>
          <w:tcPr>
            <w:tcW w:w="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15,915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38,832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Financing Leases</w:t>
      </w:r>
    </w:p>
    <w:p>
      <w:pPr>
        <w:spacing w:after="0" w:line="17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December 2017, the Company entered into a lease agreement for 106,230 rentable square feet of office space (the “Premises”) to accommodate its growing employee base in New York City. The Company received delivery of the Premises on January 1, 2018 to commence construction to renovate the Premises. Total estimated aggregate base rent payments over the initial 12-year term of the lease are $87.3 million, with payments beginning 18 months after delivery of the Premises.</w:t>
      </w:r>
    </w:p>
    <w:p>
      <w:pPr>
        <w:spacing w:after="0" w:line="133"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 xml:space="preserve">As a result of the Company’s involvement during the construction period, whereby the Company had certain indemnification obligations related to the construction, the Company was considered, for accounting purposes only, the owner of the construction project under build-to-suit lease accounting. Refer to Note 4,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 xml:space="preserve"> for further details.</w:t>
      </w:r>
    </w:p>
    <w:p>
      <w:pPr>
        <w:spacing w:after="0" w:line="127" w:lineRule="exact"/>
        <w:rPr>
          <w:sz w:val="20"/>
          <w:szCs w:val="20"/>
          <w:color w:val="auto"/>
        </w:rPr>
      </w:pPr>
    </w:p>
    <w:p>
      <w:pPr>
        <w:jc w:val="both"/>
        <w:ind w:right="340" w:firstLine="486"/>
        <w:spacing w:after="0" w:line="259" w:lineRule="auto"/>
        <w:rPr>
          <w:sz w:val="20"/>
          <w:szCs w:val="20"/>
          <w:color w:val="auto"/>
        </w:rPr>
      </w:pPr>
      <w:r>
        <w:rPr>
          <w:rFonts w:ascii="Arial" w:cs="Arial" w:eastAsia="Arial" w:hAnsi="Arial"/>
          <w:sz w:val="18"/>
          <w:szCs w:val="18"/>
          <w:color w:val="auto"/>
        </w:rPr>
        <w:t>On September 4, 2018, construction of the Premises was completed. The Company evaluated whether to de-recognize the build-to-suit asset and liability under the “sale-leaseback” accounting guidance. The Company concluded that it lacks transferability of the risks and rewards of ownership, and therefore did not meet with the requirements for sale-leaseback accounting. Accordingly, the Company accounts for the New York City office lease as a financing arrangement.</w:t>
      </w:r>
    </w:p>
    <w:p>
      <w:pPr>
        <w:spacing w:after="0" w:line="13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Company vacated its former office space as of September 30, 2018, prior to the expiration of the lease on December 31, 2018. The remaining rent payable, deferred rent and associated leasehold improvements for the former office space were expensed in full on September 30, 2018 and resulted in a charge of $1.5 million recorded as a general and administrative operating expense in the Company’s consolidated statement of operations. As of January 31, 2019, there was no liability associated with the former office space.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Operating Leases</w:t>
      </w:r>
    </w:p>
    <w:p>
      <w:pPr>
        <w:spacing w:after="0" w:line="171"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The Company has entered into non-cancelable operating leases, primarily related to rental of office space expiring through 2028. The Company recognizes operating lease costs on a straight-line basis over the term of the agreement, taking into account adjustments for market provisions such as free or escalating base monthly rental payments or deferred payment terms such as rent holidays that defer the commencement date of the required payments. The Company may receive renewal or expansion options, leasehold improvement allowances or other incentives on certain lease agreements.</w:t>
      </w:r>
    </w:p>
    <w:p>
      <w:pPr>
        <w:spacing w:after="0" w:line="100"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Total rent expense related to financing and operating leases was $10.7 million, $9.1 million and $7.0 million for the years ended January 31, 2019, 2018 and 2017, respectively.</w:t>
      </w:r>
    </w:p>
    <w:p>
      <w:pPr>
        <w:spacing w:after="0" w:line="116"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 xml:space="preserve">In August 2016, the Company amended an existing irrevocable, standby letter of credit with Silicon Valley Bank for $0.5 million to serve as a security deposit for the Company’s former headquarters lease in New York City. The amendment reduced the letter of credit from $1.1 million to $0.5 million. In February 2019, the Company terminated its standby letter of credit after vacating the former NYC office space, as discussed above under </w:t>
      </w:r>
      <w:r>
        <w:rPr>
          <w:rFonts w:ascii="Arial" w:cs="Arial" w:eastAsia="Arial" w:hAnsi="Arial"/>
          <w:sz w:val="16"/>
          <w:szCs w:val="16"/>
          <w:i w:val="1"/>
          <w:iCs w:val="1"/>
          <w:color w:val="auto"/>
        </w:rPr>
        <w:t>Financing Leases</w:t>
      </w:r>
      <w:r>
        <w:rPr>
          <w:rFonts w:ascii="Arial" w:cs="Arial" w:eastAsia="Arial" w:hAnsi="Arial"/>
          <w:sz w:val="16"/>
          <w:szCs w:val="16"/>
          <w:color w:val="auto"/>
        </w:rPr>
        <w:t>.</w:t>
      </w:r>
    </w:p>
    <w:p>
      <w:pPr>
        <w:spacing w:after="0" w:line="93"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In January 2017, the Company entered into an irrevocable, standby letter of credit with Silicon Valley Bank for $0.4 million to serve as a security deposit for the Company’s lease in Texas. In October 2017, the Company entered into an irrevocable, standby letter of credit with Silicon Valley Bank for $0.2 million to serve as a security deposit for the Company’s</w:t>
      </w:r>
    </w:p>
    <w:p>
      <w:pPr>
        <w:spacing w:after="0" w:line="200" w:lineRule="exact"/>
        <w:rPr>
          <w:sz w:val="20"/>
          <w:szCs w:val="20"/>
          <w:color w:val="auto"/>
        </w:rPr>
      </w:pPr>
    </w:p>
    <w:p>
      <w:pPr>
        <w:spacing w:after="0" w:line="40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40"/>
          </w:cols>
          <w:pgMar w:left="240" w:top="121" w:right="31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lease in Australia. These letters of credit mature at various dates, but do not extend beyond the corresponding lease agreements for which such letter of credit has been obtained.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Other Obligations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has entered into certain other non-cancelable agreements primarily for subscription, marketing services and capacity commitments.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Legal Matters</w:t>
      </w:r>
    </w:p>
    <w:p>
      <w:pPr>
        <w:spacing w:after="0" w:line="171" w:lineRule="exact"/>
        <w:rPr>
          <w:sz w:val="20"/>
          <w:szCs w:val="20"/>
          <w:color w:val="auto"/>
        </w:rPr>
      </w:pPr>
    </w:p>
    <w:p>
      <w:pPr>
        <w:ind w:right="140" w:firstLine="486"/>
        <w:spacing w:after="0" w:line="302" w:lineRule="auto"/>
        <w:rPr>
          <w:sz w:val="20"/>
          <w:szCs w:val="20"/>
          <w:color w:val="auto"/>
        </w:rPr>
      </w:pPr>
      <w:r>
        <w:rPr>
          <w:rFonts w:ascii="Arial" w:cs="Arial" w:eastAsia="Arial" w:hAnsi="Arial"/>
          <w:sz w:val="16"/>
          <w:szCs w:val="16"/>
          <w:color w:val="auto"/>
        </w:rPr>
        <w:t>From time to time, the Company has become involved in claims and other legal matters arising in the ordinary course of business. For example, on March 12, 2019, Realtime Data filed a lawsuit against us in the United States District Court for the District of Delaware alleging that we are infringing three U.S. patents that it holds: U.S. Patent No. 9,116,908, U.S. Patent No. 9,667,751 and U.S. Patent No. 8,933,825. The patent infringement allegations in the lawsuit relate to data compression, decompression, storage and retrieval. Realtime seeks monetary damages and injunctive relief.</w:t>
      </w:r>
    </w:p>
    <w:p>
      <w:pPr>
        <w:spacing w:after="0" w:line="100"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The Company investigates these claims as they arise. Although claims are inherently unpredictable, the Company is currently not aware of any matters that, if determined adversely to the Company, would individually or taken together have a material adverse effect on its business, financial position, results of operations or cash flows.</w:t>
      </w:r>
    </w:p>
    <w:p>
      <w:pPr>
        <w:spacing w:after="0" w:line="12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Company accrues estimates for resolution of legal and other contingencies when losses are probable and estimable. From time to time, the Company is a party to litigation and subject to claims and threatened claims incident to the ordinary course of business, including intellectual property claims, labor and employment claims, breach of contract claims, and other matters.</w:t>
      </w:r>
    </w:p>
    <w:p>
      <w:pPr>
        <w:spacing w:after="0" w:line="127" w:lineRule="exact"/>
        <w:rPr>
          <w:sz w:val="20"/>
          <w:szCs w:val="20"/>
          <w:color w:val="auto"/>
        </w:rPr>
      </w:pPr>
    </w:p>
    <w:p>
      <w:pPr>
        <w:jc w:val="both"/>
        <w:ind w:right="60" w:firstLine="486"/>
        <w:spacing w:after="0" w:line="264" w:lineRule="auto"/>
        <w:rPr>
          <w:sz w:val="20"/>
          <w:szCs w:val="20"/>
          <w:color w:val="auto"/>
        </w:rPr>
      </w:pPr>
      <w:r>
        <w:rPr>
          <w:rFonts w:ascii="Arial" w:cs="Arial" w:eastAsia="Arial" w:hAnsi="Arial"/>
          <w:sz w:val="18"/>
          <w:szCs w:val="18"/>
          <w:color w:val="auto"/>
        </w:rPr>
        <w:t>Although the results of litigation and claims are inherently unpredictable, the Company believes that there was not at least a reasonable possibility that the Company had incurred a material loss with respect to such loss contingencies, as of January 31, 2019 and 2018, therefore, the Company has not recorded an accrual for such contingencies.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Indemnification</w:t>
      </w:r>
    </w:p>
    <w:p>
      <w:pPr>
        <w:spacing w:after="0" w:line="171"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The Company enters into indemnification provisions under its agreements with other companies in the ordinary course of business, including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terms of these indemnification agreements are generally perpetual. The maximum potential amount of future payments the Company could be required to make under these agreements is not determinable. The Company has never incurred costs to defend lawsuits or settle claims related to these indemnification agreements. As a result, the Company believes the fair value of these agreements is not material. The Company maintains commercial general liability insurance and product liability insurance to offset certain of the Company’s potential liabilities under these indemnification provisions.</w:t>
      </w:r>
    </w:p>
    <w:p>
      <w:pPr>
        <w:spacing w:after="0" w:line="113"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 (Deficit)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Class A and Class B Common Stock</w:t>
      </w:r>
    </w:p>
    <w:p>
      <w:pPr>
        <w:spacing w:after="0" w:line="171" w:lineRule="exact"/>
        <w:rPr>
          <w:sz w:val="20"/>
          <w:szCs w:val="20"/>
          <w:color w:val="auto"/>
        </w:rPr>
      </w:pPr>
    </w:p>
    <w:p>
      <w:pPr>
        <w:ind w:right="140" w:firstLine="486"/>
        <w:spacing w:after="0" w:line="290" w:lineRule="auto"/>
        <w:rPr>
          <w:sz w:val="20"/>
          <w:szCs w:val="20"/>
          <w:color w:val="auto"/>
        </w:rPr>
      </w:pPr>
      <w:r>
        <w:rPr>
          <w:rFonts w:ascii="Arial" w:cs="Arial" w:eastAsia="Arial" w:hAnsi="Arial"/>
          <w:sz w:val="16"/>
          <w:szCs w:val="16"/>
          <w:color w:val="auto"/>
        </w:rPr>
        <w:t>The Company has two classes of common stock, Class A and Class B. The rights of the holders of Class A and Class B common stock are identical, except with respect to voting. Each share of Class A common stock is entitled to one vote per share. Each share of Class B common stock is entitled to 10 votes per share. Shares of Class B common stock may be converted to Class A common stock at any time at the option of the stockholder. Shares of Class B common stock automatically convert to Class A common stock upon the following: (i) sale or transfer of such share of Class B common stock, subject to specified permitted transfers; (ii) the death of the Class B common stockholder (or nine months after the date of death if the stockholder is one of the founders); and (iii) on the final conversion date, defined as the earlier of (a) the first trading day on or after the date on which the outstanding shares of Class B common stock represent less than 10% of the then-outstanding Class A and Class B common stock; or (b) the date specified by vote of the Board of Directors and the holders of a majority of the outstanding shares of Class B common stock and redeemable convertible preferred stock, voting</w:t>
      </w:r>
    </w:p>
    <w:p>
      <w:pPr>
        <w:spacing w:after="0" w:line="200" w:lineRule="exact"/>
        <w:rPr>
          <w:sz w:val="20"/>
          <w:szCs w:val="20"/>
          <w:color w:val="auto"/>
        </w:rPr>
      </w:pPr>
    </w:p>
    <w:p>
      <w:pPr>
        <w:spacing w:after="0" w:line="38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21" w:right="25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together as a single class on an as-converted basis. Class A and Class B common stock are referred to as common stock throughout the notes to the consolidated financial statements, unless otherwise noted.</w:t>
      </w:r>
    </w:p>
    <w:p>
      <w:pPr>
        <w:spacing w:after="0" w:line="116" w:lineRule="exact"/>
        <w:rPr>
          <w:sz w:val="20"/>
          <w:szCs w:val="20"/>
          <w:color w:val="auto"/>
        </w:rPr>
      </w:pPr>
    </w:p>
    <w:p>
      <w:pPr>
        <w:ind w:right="600" w:firstLine="486"/>
        <w:spacing w:after="0" w:line="264" w:lineRule="auto"/>
        <w:rPr>
          <w:sz w:val="20"/>
          <w:szCs w:val="20"/>
          <w:color w:val="auto"/>
        </w:rPr>
      </w:pPr>
      <w:r>
        <w:rPr>
          <w:rFonts w:ascii="Arial" w:cs="Arial" w:eastAsia="Arial" w:hAnsi="Arial"/>
          <w:sz w:val="18"/>
          <w:szCs w:val="18"/>
          <w:color w:val="auto"/>
        </w:rPr>
        <w:t>As of January 31, 2019, the Company had authorized 1,000,000,000 shares and 100,000,000 shares of Class A and Class B common stock, respectively, each par value $0.001 per share, of which 36,286,573 shares of Class A common stock were issued and outstanding and 18,134,608 and 18,035,237 shares of Class B common stock were issued and outstanding,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Disaggregation of Revenue</w:t>
      </w:r>
    </w:p>
    <w:p>
      <w:pPr>
        <w:spacing w:after="0" w:line="171"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Based on the information provided to and reviewed by the Company’s Chief Executive Officer, the Company believes that the nature, amount, timing, and uncertainty of its revenue and cash flows and how they are affected by economic factors is most appropriately depicted through the Company’s primary geographical markets and subscription product categories. The Company’s primary geographical markets are North and South America (“Americas”); Europe, Middle East and Africa (“EMEA”); and Asia Pacific. The Company also disaggregates its subscription products between its MongoDB Atlas-related offerings, which includes mLab, and other subscription products, which includes MongoDB Enterprise Advanced.</w:t>
      </w:r>
    </w:p>
    <w:p>
      <w:pPr>
        <w:spacing w:after="0" w:line="11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presents the Company’s revenues disaggregated by primary geographical markets, subscription product categories and services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Years Ended January 31,</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114"/>
              <w:spacing w:after="0" w:line="147"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494"/>
              <w:spacing w:after="0" w:line="147"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6"/>
        </w:trPr>
        <w:tc>
          <w:tcPr>
            <w:tcW w:w="4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*As Adjusted</w:t>
            </w:r>
          </w:p>
        </w:tc>
        <w:tc>
          <w:tcPr>
            <w:tcW w:w="200" w:type="dxa"/>
            <w:vAlign w:val="bottom"/>
          </w:tcPr>
          <w:p>
            <w:pPr>
              <w:spacing w:after="0"/>
              <w:rPr>
                <w:sz w:val="17"/>
                <w:szCs w:val="17"/>
                <w:color w:val="auto"/>
              </w:rPr>
            </w:pPr>
          </w:p>
        </w:tc>
        <w:tc>
          <w:tcPr>
            <w:tcW w:w="1240" w:type="dxa"/>
            <w:vAlign w:val="bottom"/>
          </w:tcPr>
          <w:p>
            <w:pPr>
              <w:jc w:val="right"/>
              <w:ind w:right="214"/>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Primary geographical markets: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60"/>
              <w:spacing w:after="0"/>
              <w:rPr>
                <w:sz w:val="20"/>
                <w:szCs w:val="20"/>
                <w:color w:val="auto"/>
              </w:rPr>
            </w:pPr>
            <w:r>
              <w:rPr>
                <w:rFonts w:ascii="Arial" w:cs="Arial" w:eastAsia="Arial" w:hAnsi="Arial"/>
                <w:sz w:val="18"/>
                <w:szCs w:val="18"/>
                <w:color w:val="auto"/>
              </w:rPr>
              <w:t>Americas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172,688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110,616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78,442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EMEA</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32,800</w:t>
            </w:r>
          </w:p>
        </w:tc>
        <w:tc>
          <w:tcPr>
            <w:tcW w:w="0" w:type="dxa"/>
            <w:vAlign w:val="bottom"/>
          </w:tcPr>
          <w:p>
            <w:pPr>
              <w:spacing w:after="0"/>
              <w:rPr>
                <w:sz w:val="1"/>
                <w:szCs w:val="1"/>
                <w:color w:val="auto"/>
              </w:rPr>
            </w:pPr>
          </w:p>
        </w:tc>
      </w:tr>
      <w:tr>
        <w:trPr>
          <w:trHeight w:val="243"/>
        </w:trPr>
        <w:tc>
          <w:tcPr>
            <w:tcW w:w="4920" w:type="dxa"/>
            <w:vAlign w:val="bottom"/>
          </w:tcPr>
          <w:p>
            <w:pPr>
              <w:ind w:left="160"/>
              <w:spacing w:after="0"/>
              <w:rPr>
                <w:sz w:val="20"/>
                <w:szCs w:val="20"/>
                <w:color w:val="auto"/>
              </w:rPr>
            </w:pPr>
            <w:r>
              <w:rPr>
                <w:rFonts w:ascii="Arial" w:cs="Arial" w:eastAsia="Arial" w:hAnsi="Arial"/>
                <w:sz w:val="18"/>
                <w:szCs w:val="18"/>
                <w:color w:val="auto"/>
              </w:rPr>
              <w:t>Asia Pacific</w:t>
            </w: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14,571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41"/>
        </w:trPr>
        <w:tc>
          <w:tcPr>
            <w:tcW w:w="49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36"/>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267,016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166,028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114,805</w:t>
            </w:r>
          </w:p>
        </w:tc>
        <w:tc>
          <w:tcPr>
            <w:tcW w:w="0" w:type="dxa"/>
            <w:vAlign w:val="bottom"/>
          </w:tcPr>
          <w:p>
            <w:pPr>
              <w:spacing w:after="0"/>
              <w:rPr>
                <w:sz w:val="1"/>
                <w:szCs w:val="1"/>
                <w:color w:val="auto"/>
              </w:rPr>
            </w:pPr>
          </w:p>
        </w:tc>
      </w:tr>
      <w:tr>
        <w:trPr>
          <w:trHeight w:val="305"/>
        </w:trPr>
        <w:tc>
          <w:tcPr>
            <w:tcW w:w="49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Subscription product categories and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60"/>
              <w:spacing w:after="0"/>
              <w:rPr>
                <w:sz w:val="20"/>
                <w:szCs w:val="20"/>
                <w:color w:val="auto"/>
              </w:rPr>
            </w:pPr>
            <w:r>
              <w:rPr>
                <w:rFonts w:ascii="Arial" w:cs="Arial" w:eastAsia="Arial" w:hAnsi="Arial"/>
                <w:sz w:val="18"/>
                <w:szCs w:val="18"/>
                <w:color w:val="auto"/>
              </w:rPr>
              <w:t>MongoDB Atlas-related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60,241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11,265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subscription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140,588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103,307</w:t>
            </w:r>
          </w:p>
        </w:tc>
        <w:tc>
          <w:tcPr>
            <w:tcW w:w="0" w:type="dxa"/>
            <w:vAlign w:val="bottom"/>
          </w:tcPr>
          <w:p>
            <w:pPr>
              <w:spacing w:after="0"/>
              <w:rPr>
                <w:sz w:val="1"/>
                <w:szCs w:val="1"/>
                <w:color w:val="auto"/>
              </w:rPr>
            </w:pPr>
          </w:p>
        </w:tc>
      </w:tr>
      <w:tr>
        <w:trPr>
          <w:trHeight w:val="243"/>
        </w:trPr>
        <w:tc>
          <w:tcPr>
            <w:tcW w:w="49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18,625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10,772</w:t>
            </w:r>
          </w:p>
        </w:tc>
        <w:tc>
          <w:tcPr>
            <w:tcW w:w="0" w:type="dxa"/>
            <w:vAlign w:val="bottom"/>
          </w:tcPr>
          <w:p>
            <w:pPr>
              <w:spacing w:after="0"/>
              <w:rPr>
                <w:sz w:val="1"/>
                <w:szCs w:val="1"/>
                <w:color w:val="auto"/>
              </w:rPr>
            </w:pPr>
          </w:p>
        </w:tc>
      </w:tr>
      <w:tr>
        <w:trPr>
          <w:trHeight w:val="41"/>
        </w:trPr>
        <w:tc>
          <w:tcPr>
            <w:tcW w:w="49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267,016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166,028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114,805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 See Note 2 for a summary of adjustments.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Customers located in the United States accounted for 61%, 63% and 66% of total revenue for the years ended January 31, 2019, 2018 and 2017, respectively. Customers located in the United Kingdom accounted for 10%, 11% and 11% of total revenue for the years ended January 31, 2019, 2018 and 2017, respectively. No other country accounted for 10% or more of revenue for the periods presented.</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January 31, 2019 and 2018, substantially all of the Company’s long-lived assets were located in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Contract Liabilities</w:t>
      </w:r>
    </w:p>
    <w:p>
      <w:pPr>
        <w:spacing w:after="0" w:line="171"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The Company’s contract liabilities are recorded as deferred revenue in the Company’s consolidated balance sheet and consists of customer invoices issued or payments received in advance of revenues being recognized from the Company’s subscription and services contracts. Deferred revenue, including current and non-current balances as of January 31, 2019, 2018 and 2017 was $137.7 million, $100.9 million and $68.5 million, respectively. For the years ended January 31, 2019 and 2018, revenue recognized from deferred revenue at the beginning of each period was $84.4 million and $59.0 million, respectively.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122" w:right="29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Remaining Performance Obligations</w:t>
      </w:r>
    </w:p>
    <w:p>
      <w:pPr>
        <w:spacing w:after="0" w:line="17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January 31, 2019, the aggregate transaction price allocated to remaining performance obligations was $173.1 million. Approximately 53% is expected to be recognized as revenue over the next 12 months and the remainder thereafter. The Company applied the practical expedient to omit disclosure with respect to the amount of the transaction price allocated to remaining performance obligations if the related contract has a total duration of 12 months or less.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Unbilled Receivables</w:t>
      </w:r>
    </w:p>
    <w:p>
      <w:pPr>
        <w:spacing w:after="0" w:line="17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Revenue recognized in excess of invoiced amounts creates an unbilled receivable, which represents the Company’s unconditional right to consideration in exchange for goods or services that the Company has transferred to the customer. Unbilled receivables were recorded as part of accounts receivable, net in the Company’s consolidated balance sheets. As of January 31, 2019, 2018 and 2017, unbilled receivables were $8.0 million, $3.8 million and $3.6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Costs Capitalized to Obtain Contracts with Customers</w:t>
      </w:r>
    </w:p>
    <w:p>
      <w:pPr>
        <w:spacing w:after="0" w:line="171"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The company capitalizes the incremental costs that are directly associated with non-cancelable subscription contracts with customers and consist of sales commissions paid to the Company’s sales force, which were recorded as deferred commissions and other assets, depending on the expected length of the deferral, in the Company’s consolidated balance sheets.</w:t>
      </w:r>
    </w:p>
    <w:p>
      <w:pPr>
        <w:spacing w:after="0" w:line="127" w:lineRule="exact"/>
        <w:rPr>
          <w:sz w:val="20"/>
          <w:szCs w:val="20"/>
          <w:color w:val="auto"/>
        </w:rPr>
      </w:pPr>
    </w:p>
    <w:p>
      <w:pPr>
        <w:ind w:right="460" w:firstLine="486"/>
        <w:spacing w:after="0" w:line="264" w:lineRule="auto"/>
        <w:rPr>
          <w:sz w:val="20"/>
          <w:szCs w:val="20"/>
          <w:color w:val="auto"/>
        </w:rPr>
      </w:pPr>
      <w:r>
        <w:rPr>
          <w:rFonts w:ascii="Arial" w:cs="Arial" w:eastAsia="Arial" w:hAnsi="Arial"/>
          <w:sz w:val="18"/>
          <w:szCs w:val="18"/>
          <w:color w:val="auto"/>
        </w:rPr>
        <w:t>Deferred commissions were $48.6 million and $32.5 million as of January 31, 2019 and 2018, respectively. Amortization expense with respect to deferred commissions was $14.1 million, $9.9 million, and $6.3 million for years ended January 31, 2019, 2018, and 2017, respectively. There was no impairment loss in relation to the costs capitalized for the periods presented.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Incentive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2008 and 2016 Stock Plan</w:t>
      </w:r>
    </w:p>
    <w:p>
      <w:pPr>
        <w:spacing w:after="0" w:line="171" w:lineRule="exact"/>
        <w:rPr>
          <w:sz w:val="20"/>
          <w:szCs w:val="20"/>
          <w:color w:val="auto"/>
        </w:rPr>
      </w:pPr>
    </w:p>
    <w:p>
      <w:pPr>
        <w:ind w:right="60" w:firstLine="486"/>
        <w:spacing w:after="0" w:line="285" w:lineRule="auto"/>
        <w:rPr>
          <w:sz w:val="20"/>
          <w:szCs w:val="20"/>
          <w:color w:val="auto"/>
        </w:rPr>
      </w:pPr>
      <w:r>
        <w:rPr>
          <w:rFonts w:ascii="Arial" w:cs="Arial" w:eastAsia="Arial" w:hAnsi="Arial"/>
          <w:sz w:val="16"/>
          <w:szCs w:val="16"/>
          <w:color w:val="auto"/>
        </w:rPr>
        <w:t>In 2008 and 2016, the Company adopted the 2008 Stock Incentive Plan (as amended, the “2008 Plan”), and the 2016 Equity Incentive Plan (as amended, the “2016 Plan”), primarily for the purpose of granting stock-based awards to employees, directors and consultants, including stock options, restricted stock units (“RSUs”) and other stock-based awards. With the 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 Stock options granted under the stock option plans may be either incentive stock options (“ISOs”) or nonstatutory stock options (“NSOs”). ISOs may be granted to employees and NSOs may be granted to employees, directors, or consultants. As of January 31, 2019, the Company had made one ISO grant, all other stock options outstanding were granted as NSOs. The exercise prices of the stock option grants must be not less than 100% of the fair value of the common stock on the grant date as determined by the Board of Directors. If, at the date of grant, the optionee owns more than 10% of the total combined voting power of all classes of outstanding stock (a “10% stockholder”), the exercise price must be at least 110% of the fair value of the common stock on the date of grant as determined by the Board of Directors. Options granted are exercisable over a maximum term of 10 years from the date of grant or five years from the date of grant for ISOs granted to any 10% stockholder. The Board of Directors or a committee thereof determines the vesting schedule for all equity awards. Stock option awards generally vest over a period of four years with 25% vesting on the one year anniversary of the award and the remainder vesting monthly over the next 36 months of the grantee’s service to the Company. RSU awards granted to new employees generally vest over a period of four years with 25% vesting on the one year anniversary of the award and the remainder vesting quarterly over the next 12 quarters, subject to the grantee’s continued service to the Company. RSUs granted to existing employees generally vest quarterly over a period of four years, subject to the grantee’s continued service to the Company.</w:t>
      </w:r>
    </w:p>
    <w:p>
      <w:pPr>
        <w:spacing w:after="0" w:line="200" w:lineRule="exact"/>
        <w:rPr>
          <w:sz w:val="20"/>
          <w:szCs w:val="20"/>
          <w:color w:val="auto"/>
        </w:rPr>
      </w:pPr>
    </w:p>
    <w:p>
      <w:pPr>
        <w:spacing w:after="0" w:line="39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Stock Options and Restricted Stock Units</w:t>
      </w:r>
    </w:p>
    <w:p>
      <w:pPr>
        <w:spacing w:after="0" w:line="17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summarizes stock option and RSU award activity for the 2008 and 2016 Plans (in thousands, except share and per share data and years):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4"/>
          </w:tcPr>
          <w:p>
            <w:pPr>
              <w:ind w:left="480"/>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140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4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108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4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Available</w:t>
            </w:r>
          </w:p>
        </w:tc>
        <w:tc>
          <w:tcPr>
            <w:tcW w:w="13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Price Per</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Term</w:t>
            </w:r>
          </w:p>
        </w:tc>
        <w:tc>
          <w:tcPr>
            <w:tcW w:w="200" w:type="dxa"/>
            <w:vAlign w:val="bottom"/>
          </w:tcPr>
          <w:p>
            <w:pPr>
              <w:spacing w:after="0"/>
              <w:rPr>
                <w:sz w:val="12"/>
                <w:szCs w:val="12"/>
                <w:color w:val="auto"/>
              </w:rPr>
            </w:pPr>
          </w:p>
        </w:tc>
        <w:tc>
          <w:tcPr>
            <w:tcW w:w="108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for Grant</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Share</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 Years)</w:t>
            </w:r>
          </w:p>
        </w:tc>
        <w:tc>
          <w:tcPr>
            <w:tcW w:w="200" w:type="dxa"/>
            <w:vAlign w:val="bottom"/>
          </w:tcPr>
          <w:p>
            <w:pPr>
              <w:spacing w:after="0"/>
              <w:rPr>
                <w:sz w:val="16"/>
                <w:szCs w:val="16"/>
                <w:color w:val="auto"/>
              </w:rPr>
            </w:pPr>
          </w:p>
        </w:tc>
        <w:tc>
          <w:tcPr>
            <w:tcW w:w="108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6"/>
        </w:trPr>
        <w:tc>
          <w:tcPr>
            <w:tcW w:w="39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January 31, 2017</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678,260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11,090,597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21,717</w:t>
            </w:r>
          </w:p>
        </w:tc>
        <w:tc>
          <w:tcPr>
            <w:tcW w:w="0" w:type="dxa"/>
            <w:vAlign w:val="bottom"/>
          </w:tcPr>
          <w:p>
            <w:pPr>
              <w:spacing w:after="0"/>
              <w:rPr>
                <w:sz w:val="1"/>
                <w:szCs w:val="1"/>
                <w:color w:val="auto"/>
              </w:rPr>
            </w:pP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Authorized</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6,979,900</w:t>
            </w:r>
          </w:p>
        </w:tc>
        <w:tc>
          <w:tcPr>
            <w:tcW w:w="1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Options granted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(3,642,275)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3,642,275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Options exercised</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(1,263,722)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Early exercised shares repurchased</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34,710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Options forfeited and expired</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831,715</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(831,715)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RSUs granted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(245,746)</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Balance - January 31, 2018</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4,636,564</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12,637,435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246,227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Authorized</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2,528,778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Options exercised</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(3,144,202)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Early exercised shares repurchased</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35,668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Options forfeited and expired</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872,223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(872,223)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9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RSUs granted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(2,134,844)</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RSUs forfeited and canceled</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128,687</w:t>
            </w:r>
          </w:p>
        </w:tc>
        <w:tc>
          <w:tcPr>
            <w:tcW w:w="1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9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January 31, 2019</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6,067,076</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8,621,010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729,392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5"/>
              </w:rPr>
              <w:t>Options vested and exercisable - January 31, 2018</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00" w:type="dxa"/>
            <w:vAlign w:val="bottom"/>
            <w:vMerge w:val="continue"/>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5,540,858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115,122</w:t>
            </w:r>
          </w:p>
        </w:tc>
        <w:tc>
          <w:tcPr>
            <w:tcW w:w="0" w:type="dxa"/>
            <w:vAlign w:val="bottom"/>
          </w:tcPr>
          <w:p>
            <w:pPr>
              <w:spacing w:after="0"/>
              <w:rPr>
                <w:sz w:val="1"/>
                <w:szCs w:val="1"/>
                <w:color w:val="auto"/>
              </w:rPr>
            </w:pPr>
          </w:p>
        </w:tc>
      </w:tr>
      <w:tr>
        <w:trPr>
          <w:trHeight w:val="81"/>
        </w:trPr>
        <w:tc>
          <w:tcPr>
            <w:tcW w:w="3900" w:type="dxa"/>
            <w:vAlign w:val="bottom"/>
            <w:tcBorders>
              <w:bottom w:val="single" w:sz="8" w:color="CCEEFF"/>
            </w:tcBorders>
          </w:tcPr>
          <w:p>
            <w:pPr>
              <w:spacing w:after="0"/>
              <w:rPr>
                <w:sz w:val="7"/>
                <w:szCs w:val="7"/>
                <w:color w:val="auto"/>
              </w:rPr>
            </w:pPr>
          </w:p>
        </w:tc>
        <w:tc>
          <w:tcPr>
            <w:tcW w:w="13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10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8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10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39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5"/>
              </w:rPr>
              <w:t>Options vested and exercisable - January 31, 2019</w:t>
            </w: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5,342,183</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456,275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Options vested and exercisable - Stock options</w:t>
            </w: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90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restart"/>
          </w:tcPr>
          <w:p>
            <w:pPr>
              <w:jc w:val="right"/>
              <w:ind w:right="31"/>
              <w:spacing w:after="0"/>
              <w:rPr>
                <w:sz w:val="20"/>
                <w:szCs w:val="20"/>
                <w:color w:val="auto"/>
              </w:rPr>
            </w:pPr>
            <w:r>
              <w:rPr>
                <w:rFonts w:ascii="Arial" w:cs="Arial" w:eastAsia="Arial" w:hAnsi="Arial"/>
                <w:sz w:val="18"/>
                <w:szCs w:val="18"/>
                <w:color w:val="auto"/>
              </w:rPr>
              <w:t>8,621,010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20"/>
              <w:spacing w:after="0"/>
              <w:rPr>
                <w:sz w:val="20"/>
                <w:szCs w:val="20"/>
                <w:color w:val="auto"/>
              </w:rPr>
            </w:pPr>
            <w:r>
              <w:rPr>
                <w:rFonts w:ascii="Arial" w:cs="Arial" w:eastAsia="Arial" w:hAnsi="Arial"/>
                <w:sz w:val="18"/>
                <w:szCs w:val="18"/>
                <w:color w:val="auto"/>
                <w:w w:val="97"/>
              </w:rPr>
              <w:t>vested and expected to vest -January 31, 2019</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729,392</w:t>
            </w:r>
          </w:p>
        </w:tc>
        <w:tc>
          <w:tcPr>
            <w:tcW w:w="0" w:type="dxa"/>
            <w:vAlign w:val="bottom"/>
          </w:tcPr>
          <w:p>
            <w:pPr>
              <w:spacing w:after="0"/>
              <w:rPr>
                <w:sz w:val="1"/>
                <w:szCs w:val="1"/>
                <w:color w:val="auto"/>
              </w:rPr>
            </w:pPr>
          </w:p>
        </w:tc>
      </w:tr>
      <w:tr>
        <w:trPr>
          <w:trHeight w:val="41"/>
        </w:trPr>
        <w:tc>
          <w:tcPr>
            <w:tcW w:w="39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The weighted-average grant date fair value of options granted was $4.76 per share and $2.91 per share during the years ended January 31, 2018 and 2017, respectively. There were no options granted during the year ended January 31, 2019. The intrinsic value of options exercised for the years ended January 31, 2019, 2018 and 2017 was determined to be $198.9 million, $4.1 million and $2.9 million, respectively.</w:t>
      </w:r>
    </w:p>
    <w:p>
      <w:pPr>
        <w:spacing w:after="0" w:line="111"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The total grant date fair value of options vested for the years ended January 31, 2019, 2018 and 2017, was $15.9 million, $13.5 million and $15.5 million, respectively. As of January 31, 2019, we had stock-based compensation expenses of $35.3 million, related to unvested stock options that the Company expects to recognize over a weighted-average period of 2.09 years.</w:t>
      </w:r>
    </w:p>
    <w:p>
      <w:pPr>
        <w:spacing w:after="0" w:line="200" w:lineRule="exact"/>
        <w:rPr>
          <w:sz w:val="20"/>
          <w:szCs w:val="20"/>
          <w:color w:val="auto"/>
        </w:rPr>
      </w:pPr>
    </w:p>
    <w:p>
      <w:pPr>
        <w:spacing w:after="0" w:line="40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240" w:top="121" w:right="41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RSU activity for the the year ended January 31, 2019:</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920" w:type="dxa"/>
            <w:vAlign w:val="bottom"/>
            <w:vMerge w:val="restart"/>
          </w:tcPr>
          <w:p>
            <w:pPr>
              <w:jc w:val="right"/>
              <w:ind w:right="67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Weighted-Average Grant Date</w:t>
            </w:r>
          </w:p>
        </w:tc>
        <w:tc>
          <w:tcPr>
            <w:tcW w:w="0" w:type="dxa"/>
            <w:vAlign w:val="bottom"/>
          </w:tcPr>
          <w:p>
            <w:pPr>
              <w:spacing w:after="0"/>
              <w:rPr>
                <w:sz w:val="1"/>
                <w:szCs w:val="1"/>
                <w:color w:val="auto"/>
              </w:rPr>
            </w:pPr>
          </w:p>
        </w:tc>
      </w:tr>
      <w:tr>
        <w:trPr>
          <w:trHeight w:val="192"/>
        </w:trPr>
        <w:tc>
          <w:tcPr>
            <w:tcW w:w="520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Fair Value per RSU</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 January 31, 2018</w:t>
            </w: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245,746</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RSUs granted</w:t>
            </w: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2,134,844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RSUs vested</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(263,129)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RSUs forfeited and canceled</w:t>
            </w:r>
          </w:p>
        </w:tc>
        <w:tc>
          <w:tcPr>
            <w:tcW w:w="1920" w:type="dxa"/>
            <w:vAlign w:val="bottom"/>
          </w:tcPr>
          <w:p>
            <w:pPr>
              <w:jc w:val="right"/>
              <w:spacing w:after="0"/>
              <w:rPr>
                <w:sz w:val="20"/>
                <w:szCs w:val="20"/>
                <w:color w:val="auto"/>
              </w:rPr>
            </w:pPr>
            <w:r>
              <w:rPr>
                <w:rFonts w:ascii="Arial" w:cs="Arial" w:eastAsia="Arial" w:hAnsi="Arial"/>
                <w:sz w:val="18"/>
                <w:szCs w:val="18"/>
                <w:color w:val="auto"/>
              </w:rPr>
              <w:t>(128,687)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 January 31, 2019</w:t>
            </w:r>
          </w:p>
        </w:tc>
        <w:tc>
          <w:tcPr>
            <w:tcW w:w="1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1,988,774</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2016 China Stock Appreciation Rights Plan</w:t>
      </w:r>
    </w:p>
    <w:p>
      <w:pPr>
        <w:spacing w:after="0" w:line="171"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In April 2016, the Company adopted the 2016 China Stock Appreciation Rights Plan (as amended, the “China SAR Plan”) for its employees in China. For grants made prior to the IPO, the China SAR Plan included a service vesting condition and a performance vesting condition. The service vesting condition is generally over four years with 25% vesting on the one year anniversary of the award and the remainder vesting monthly over the next 36 months of the grantee’s service to the Company. The performance vesting condition is defined as the Company’s common stock being publicly traded (a qualifying liquidity event). The China SAR Plan units are cash settled upon exercise and will be paid as a cash bonus equal to the difference between the strike price of the vested plan units and the fair market value of common stock at the end of each reporting period.</w:t>
      </w:r>
    </w:p>
    <w:p>
      <w:pPr>
        <w:spacing w:after="0" w:line="124"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For the years ended January 31, 2019 and 2018, the Company granted 3,650 and 8,000 units of the China SAR Plan, respectively, at a weighted average strike price of $74.92 and $27.35 per share, respectively. During the year ended January 31, 2019, upon the vesting of 14,273 units, the total expense and liability related to China SAR was $1.1 million. During the year year ended January 31, 2018, upon the vesting of 9,302 units, the total expense and liability related to the China SAR was $0.2 million. These amounts were recorded as part of the “Accrued compensation and benefits” on the Company’s consolidated balance sheet. The Company did not recognize any compensation expense related to the China SAR Plan prior to October 18, 2017 because the Company had determined the performance conditions, with respect to the occurrence of a qualifying liquidity event, were not probable until the successful IPO.</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2017 Employee Stock Purchase Plan</w:t>
      </w:r>
    </w:p>
    <w:p>
      <w:pPr>
        <w:spacing w:after="0" w:line="171"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In October 2017, the Board of Directors adopted, and stockholders approved, the 2017 Employee Stock Purchase Plan (“ESPP”). A total of 995,000 shares of the Company’s Class A common stock were initially authorized for issuance under the ESPP, which subsequently increased to 1,500,755 on February 1, 2018 pursuant to the automatic annual increase feature in the ESPP. Subject to any plan limitations, the 2017 ESPP allows eligible employees to contribute, normally through payroll deductions, up to 15% of their earnings for the purchase of the Company’s Class A common stock at a discounted price per share. Except for the initial offering period, the ESPP provides for separate six-month offering periods. The initial offering period ran from October 18, 2017 through June 15, 2018.</w:t>
      </w:r>
    </w:p>
    <w:p>
      <w:pPr>
        <w:spacing w:after="0" w:line="139"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Unless otherwise determined by the Board of Directors, the Company’s Class A common stock will be purchased for the accounts of employees participating in the ESPP at a price per share that is the lesser of (1) 85% of the fair market value of the Company’s Class A common stock on the first trading day of the offering period, which for the initial offering period is the price at which shares of the Company’s Class A common stock were first sold to the public, or (2) 85% of the fair market value of the Company’s Class A common stock on the last trading day of the offering period.</w:t>
      </w:r>
    </w:p>
    <w:p>
      <w:pPr>
        <w:spacing w:after="0" w:line="117" w:lineRule="exact"/>
        <w:rPr>
          <w:sz w:val="20"/>
          <w:szCs w:val="20"/>
          <w:color w:val="auto"/>
        </w:rPr>
      </w:pPr>
    </w:p>
    <w:p>
      <w:pPr>
        <w:ind w:right="340" w:firstLine="486"/>
        <w:spacing w:after="0" w:line="264" w:lineRule="auto"/>
        <w:rPr>
          <w:sz w:val="20"/>
          <w:szCs w:val="20"/>
          <w:color w:val="auto"/>
        </w:rPr>
      </w:pPr>
      <w:r>
        <w:rPr>
          <w:rFonts w:ascii="Arial" w:cs="Arial" w:eastAsia="Arial" w:hAnsi="Arial"/>
          <w:sz w:val="18"/>
          <w:szCs w:val="18"/>
          <w:color w:val="auto"/>
        </w:rPr>
        <w:t>During the year ended January 31, 2019, there were 374,576 shares of Class A common stock purchased under the ESPP. During the year ended January 31, 2018, no shares of Class A common stock were purchased under the ESPP. The total expense related to the ESPP for years ended January 31, 2019 and 2018 was $2.9 million and $0.7 million,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Stock Option Repricing</w:t>
      </w:r>
    </w:p>
    <w:p>
      <w:pPr>
        <w:spacing w:after="0" w:line="171"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color w:val="auto"/>
        </w:rPr>
        <w:t>On April 13, 2016, the Company amended all then-current employee and active non-employee stock options with an exercise price greater than $6.50 per share that remained outstanding and unexercised on such date to reprice their respective exercise prices to $6.50 per share, the fair market value of the Company’s common stock as of April 13, 2016, as determined by the Board of Directors. Pursuant to this repricing, options to purchase 6,898,736 shares of common stock were repriced, including options to purchase 3,303,786 shares of common stock held by the Company’s executive officers. The Company</w:t>
      </w:r>
    </w:p>
    <w:p>
      <w:pPr>
        <w:spacing w:after="0" w:line="200" w:lineRule="exact"/>
        <w:rPr>
          <w:sz w:val="20"/>
          <w:szCs w:val="20"/>
          <w:color w:val="auto"/>
        </w:rPr>
      </w:pPr>
    </w:p>
    <w:p>
      <w:pPr>
        <w:spacing w:after="0" w:line="37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22" w:right="25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determined the total incremental compensation expense related to the repriced awards was $10.7 million, of which $1.9 million and $2.4 million was recorded during the years ended January 31, 2019 and 2018,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Early Exercise of Stock Options</w:t>
      </w:r>
    </w:p>
    <w:p>
      <w:pPr>
        <w:spacing w:after="0" w:line="171"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The Company allows employees and directors to exercise options granted prior to vesting. The unvested shares are subject to lapsing repurchase rights upon termination of employment. For early exercised stock options under the 2008 Plan, the repurchase price is at the original purchase price. For early exercised stock options under the 2016 Plan, the repurchase price is the lower of (i) the then-current fair market value of the common stock on the date of repurchase, and (ii) the original purchase price. The proceeds initially are recorded in other current and noncurrent liabilities from the early exercise of stock options and reclassified to common stock and paid-in capital as the repurchase right lapses.</w:t>
      </w:r>
    </w:p>
    <w:p>
      <w:pPr>
        <w:spacing w:after="0" w:line="119"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For the years ended January 31, 2019 and 2018, the Company issued common stock of 6,059 and 363,894 shares, respectively, for stock options exercised prior to vesting. For the years ended January 31, 2019 and 2018, the Company repurchased 35,668 and 34,710 shares, respectively, of common stock related to unvested stock options at the original exercise price due to the termination of employees. As of January 31, 2019 and 2018, there were 59,356 and 256,640 shares, respectively, held by employees and directors that were subject to potential repurchase at an aggregate price of $0.5 million and $2 million,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Determination of Fair Value</w:t>
      </w:r>
    </w:p>
    <w:p>
      <w:pPr>
        <w:spacing w:after="0" w:line="171" w:lineRule="exact"/>
        <w:rPr>
          <w:sz w:val="20"/>
          <w:szCs w:val="20"/>
          <w:color w:val="auto"/>
        </w:rPr>
      </w:pPr>
    </w:p>
    <w:p>
      <w:pPr>
        <w:jc w:val="both"/>
        <w:ind w:right="140" w:firstLine="486"/>
        <w:spacing w:after="0" w:line="257" w:lineRule="auto"/>
        <w:rPr>
          <w:sz w:val="20"/>
          <w:szCs w:val="20"/>
          <w:color w:val="auto"/>
        </w:rPr>
      </w:pPr>
      <w:r>
        <w:rPr>
          <w:rFonts w:ascii="Arial" w:cs="Arial" w:eastAsia="Arial" w:hAnsi="Arial"/>
          <w:sz w:val="18"/>
          <w:szCs w:val="18"/>
          <w:color w:val="auto"/>
        </w:rPr>
        <w:t>The determination of the fair value of stock options on the date of grant using an option-pricing model is affected by the fair value of the Company’s common stock, as well as assumptions regarding a number of complex and subjective variables. The Company uses the Black-Scholes option-pricing model to calculate the fair value of stock options, which requires the use of assumptions including actual and projected employee stock option exercise behaviors, expected price volatility of the Company’s common stock, the risk-free interest rate and expected dividends. Each of these inputs is subjective and generally requires significant judgment to determine.</w:t>
      </w:r>
    </w:p>
    <w:p>
      <w:pPr>
        <w:spacing w:after="0" w:line="134"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i w:val="1"/>
          <w:iCs w:val="1"/>
          <w:color w:val="auto"/>
        </w:rPr>
        <w:t xml:space="preserve">Fair Value of Common Stock. </w:t>
      </w:r>
      <w:r>
        <w:rPr>
          <w:rFonts w:ascii="Arial" w:cs="Arial" w:eastAsia="Arial" w:hAnsi="Arial"/>
          <w:sz w:val="16"/>
          <w:szCs w:val="16"/>
          <w:color w:val="auto"/>
        </w:rPr>
        <w:t>Prior to the IPO, the fair value of common stock underlying the stock options had historically been determined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with input from the Company’s management. The Board of Directors previously determined the fair value of the common stock at the time of grant of the options by considering a number of objective and subjective factors, including valuations of comparable companies, sales of redeemable convertible preferred stock, sales of common stock to unrelated third parties, operating and financial performance, the lack of liquidity of the Company’s capital stock, and general and industry-specific economic outlook. Subsequent to the IPO, the fair value of the underlying common stock is determined by the closing price, on the date of grant, of the Company’s Class A common stock, which is traded publicly on The Nasdaq Global Market.</w:t>
      </w:r>
    </w:p>
    <w:p>
      <w:pPr>
        <w:spacing w:after="0" w:line="111"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represents the period that stock-based awards are expected to be outstanding. For option grants that are considered</w:t>
      </w:r>
      <w:r>
        <w:rPr>
          <w:rFonts w:ascii="Arial" w:cs="Arial" w:eastAsia="Arial" w:hAnsi="Arial"/>
          <w:sz w:val="17"/>
          <w:szCs w:val="17"/>
          <w:i w:val="1"/>
          <w:iCs w:val="1"/>
          <w:color w:val="auto"/>
        </w:rPr>
        <w:t xml:space="preserve"> </w:t>
      </w:r>
      <w:r>
        <w:rPr>
          <w:rFonts w:ascii="Arial" w:cs="Arial" w:eastAsia="Arial" w:hAnsi="Arial"/>
          <w:sz w:val="17"/>
          <w:szCs w:val="17"/>
          <w:color w:val="auto"/>
        </w:rPr>
        <w:t>to be “plain vanilla,” the Company determines the expected term using the simplified method. The simplified method deems the term to be the average of the time-to-vesting and the contractual life of the options. For other option grants, the Company estimates the expected term using historical data on employee exercises and post-vesting employment termination behavior taking into account the contractual life of the award.</w:t>
      </w:r>
    </w:p>
    <w:p>
      <w:pPr>
        <w:spacing w:after="0" w:line="117"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Since the Company has limited trading history of its common stock, the expected volatility is derived from the average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stock volatilities of several unrelated public companies within the Company’s industry that the Company considers to be comparable to its own business over a period equivalent to the expected term of the stock option grants.</w:t>
      </w:r>
    </w:p>
    <w:p>
      <w:pPr>
        <w:spacing w:after="0" w:line="127"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curve in effect at the time of grant for zero-coupon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with maturities approximately equal to the option’s expected term.</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Dividend Rate. </w:t>
      </w:r>
      <w:r>
        <w:rPr>
          <w:rFonts w:ascii="Arial" w:cs="Arial" w:eastAsia="Arial" w:hAnsi="Arial"/>
          <w:sz w:val="17"/>
          <w:szCs w:val="17"/>
          <w:color w:val="auto"/>
        </w:rPr>
        <w:t>The expected dividend is assumed to be zero as the Company has never paid dividends and has no current plans to do so.</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121" w:right="25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920" w:firstLine="486"/>
        <w:spacing w:after="0" w:line="277" w:lineRule="auto"/>
        <w:rPr>
          <w:sz w:val="20"/>
          <w:szCs w:val="20"/>
          <w:color w:val="auto"/>
        </w:rPr>
      </w:pPr>
      <w:r>
        <w:rPr>
          <w:rFonts w:ascii="Arial" w:cs="Arial" w:eastAsia="Arial" w:hAnsi="Arial"/>
          <w:sz w:val="18"/>
          <w:szCs w:val="18"/>
          <w:color w:val="auto"/>
        </w:rPr>
        <w:t>The fair value of stock options granted was estimated on the date of grant using the Black-Scholes option pricing model with the following assumptions: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3"/>
          </w:tcPr>
          <w:p>
            <w:pPr>
              <w:ind w:left="140"/>
              <w:spacing w:after="0"/>
              <w:rPr>
                <w:sz w:val="20"/>
                <w:szCs w:val="20"/>
                <w:color w:val="auto"/>
              </w:rPr>
            </w:pPr>
            <w:r>
              <w:rPr>
                <w:rFonts w:ascii="Arial" w:cs="Arial" w:eastAsia="Arial" w:hAnsi="Arial"/>
                <w:sz w:val="14"/>
                <w:szCs w:val="14"/>
                <w:b w:val="1"/>
                <w:bCs w:val="1"/>
                <w:color w:val="auto"/>
              </w:rPr>
              <w:t>Years Ended January 31,</w:t>
            </w:r>
          </w:p>
        </w:tc>
        <w:tc>
          <w:tcPr>
            <w:tcW w:w="1820" w:type="dxa"/>
            <w:vAlign w:val="bottom"/>
          </w:tcPr>
          <w:p>
            <w:pPr>
              <w:spacing w:after="0"/>
              <w:rPr>
                <w:sz w:val="16"/>
                <w:szCs w:val="16"/>
                <w:color w:val="auto"/>
              </w:rPr>
            </w:pPr>
          </w:p>
        </w:tc>
      </w:tr>
      <w:tr>
        <w:trPr>
          <w:trHeight w:val="26"/>
        </w:trPr>
        <w:tc>
          <w:tcPr>
            <w:tcW w:w="57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8"/>
        </w:trPr>
        <w:tc>
          <w:tcPr>
            <w:tcW w:w="572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20"/>
                <w:szCs w:val="20"/>
                <w:color w:val="auto"/>
              </w:rPr>
            </w:pPr>
          </w:p>
        </w:tc>
        <w:tc>
          <w:tcPr>
            <w:tcW w:w="1820" w:type="dxa"/>
            <w:vAlign w:val="bottom"/>
            <w:gridSpan w:val="2"/>
          </w:tcPr>
          <w:p>
            <w:pPr>
              <w:jc w:val="right"/>
              <w:ind w:right="67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r>
      <w:tr>
        <w:trPr>
          <w:trHeight w:val="26"/>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- 6.20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5.77-6.99</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41.2%</w:t>
            </w:r>
          </w:p>
        </w:tc>
        <w:tc>
          <w:tcPr>
            <w:tcW w:w="960" w:type="dxa"/>
            <w:vAlign w:val="bottom"/>
          </w:tcPr>
          <w:p>
            <w:pPr>
              <w:ind w:left="20"/>
              <w:spacing w:after="0"/>
              <w:rPr>
                <w:sz w:val="20"/>
                <w:szCs w:val="20"/>
                <w:color w:val="auto"/>
              </w:rPr>
            </w:pPr>
            <w:r>
              <w:rPr>
                <w:rFonts w:ascii="Arial" w:cs="Arial" w:eastAsia="Arial" w:hAnsi="Arial"/>
                <w:sz w:val="18"/>
                <w:szCs w:val="18"/>
                <w:color w:val="auto"/>
              </w:rPr>
              <w:t>- 45.7%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41.4%-43.7%</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 - 2.0%</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20" w:type="dxa"/>
            <w:vAlign w:val="bottom"/>
            <w:gridSpan w:val="2"/>
          </w:tcPr>
          <w:p>
            <w:pPr>
              <w:jc w:val="right"/>
              <w:ind w:right="69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No stock options were granted during the year ended January 31, 2019.</w:t>
      </w:r>
    </w:p>
    <w:p>
      <w:pPr>
        <w:spacing w:after="0" w:line="17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fair value of the purchase rights granted under the 2017 ESPP was estimated on the first day of the offering period using the Black-Scholes option-pricing model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980" w:type="dxa"/>
            <w:vAlign w:val="bottom"/>
            <w:gridSpan w:val="3"/>
          </w:tcPr>
          <w:p>
            <w:pPr>
              <w:ind w:left="280"/>
              <w:spacing w:after="0"/>
              <w:rPr>
                <w:sz w:val="20"/>
                <w:szCs w:val="20"/>
                <w:color w:val="auto"/>
              </w:rPr>
            </w:pPr>
            <w:r>
              <w:rPr>
                <w:rFonts w:ascii="Arial" w:cs="Arial" w:eastAsia="Arial" w:hAnsi="Arial"/>
                <w:sz w:val="14"/>
                <w:szCs w:val="14"/>
                <w:b w:val="1"/>
                <w:bCs w:val="1"/>
                <w:color w:val="auto"/>
              </w:rPr>
              <w:t>Years Ended January 31,</w:t>
            </w:r>
          </w:p>
        </w:tc>
      </w:tr>
      <w:tr>
        <w:trPr>
          <w:trHeight w:val="26"/>
        </w:trPr>
        <w:tc>
          <w:tcPr>
            <w:tcW w:w="5140" w:type="dxa"/>
            <w:vAlign w:val="bottom"/>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8"/>
        </w:trPr>
        <w:tc>
          <w:tcPr>
            <w:tcW w:w="5140" w:type="dxa"/>
            <w:vAlign w:val="bottom"/>
          </w:tcPr>
          <w:p>
            <w:pPr>
              <w:spacing w:after="0"/>
              <w:rPr>
                <w:sz w:val="20"/>
                <w:szCs w:val="20"/>
                <w:color w:val="auto"/>
              </w:rPr>
            </w:pPr>
          </w:p>
        </w:tc>
        <w:tc>
          <w:tcPr>
            <w:tcW w:w="1900" w:type="dxa"/>
            <w:vAlign w:val="bottom"/>
            <w:gridSpan w:val="2"/>
          </w:tcPr>
          <w:p>
            <w:pPr>
              <w:jc w:val="right"/>
              <w:ind w:right="7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6"/>
        </w:trPr>
        <w:tc>
          <w:tcPr>
            <w:tcW w:w="5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Expected term (in years)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- 0.54</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0.67 - 0.7</w:t>
            </w:r>
          </w:p>
        </w:tc>
      </w:tr>
      <w:tr>
        <w:trPr>
          <w:trHeight w:val="243"/>
        </w:trPr>
        <w:tc>
          <w:tcPr>
            <w:tcW w:w="5140" w:type="dxa"/>
            <w:vAlign w:val="bottom"/>
          </w:tcPr>
          <w:p>
            <w:pPr>
              <w:ind w:left="220"/>
              <w:spacing w:after="0"/>
              <w:rPr>
                <w:sz w:val="20"/>
                <w:szCs w:val="20"/>
                <w:color w:val="auto"/>
              </w:rPr>
            </w:pPr>
            <w:r>
              <w:rPr>
                <w:rFonts w:ascii="Arial" w:cs="Arial" w:eastAsia="Arial" w:hAnsi="Arial"/>
                <w:sz w:val="18"/>
                <w:szCs w:val="18"/>
                <w:color w:val="auto"/>
              </w:rPr>
              <w:t>Expected volatility</w:t>
            </w: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1000" w:type="dxa"/>
            <w:vAlign w:val="bottom"/>
          </w:tcPr>
          <w:p>
            <w:pPr>
              <w:ind w:left="20"/>
              <w:spacing w:after="0"/>
              <w:rPr>
                <w:sz w:val="20"/>
                <w:szCs w:val="20"/>
                <w:color w:val="auto"/>
              </w:rPr>
            </w:pPr>
            <w:r>
              <w:rPr>
                <w:rFonts w:ascii="Arial" w:cs="Arial" w:eastAsia="Arial" w:hAnsi="Arial"/>
                <w:sz w:val="18"/>
                <w:szCs w:val="18"/>
                <w:color w:val="auto"/>
              </w:rPr>
              <w:t>- 54%</w:t>
            </w:r>
          </w:p>
        </w:tc>
        <w:tc>
          <w:tcPr>
            <w:tcW w:w="10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23% - 24%</w:t>
            </w:r>
          </w:p>
        </w:tc>
      </w:tr>
      <w:tr>
        <w:trPr>
          <w:trHeight w:val="27"/>
        </w:trPr>
        <w:tc>
          <w:tcPr>
            <w:tcW w:w="5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Risk-free interest rate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- 2.5%</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1.2%</w:t>
            </w:r>
          </w:p>
        </w:tc>
      </w:tr>
      <w:tr>
        <w:trPr>
          <w:trHeight w:val="243"/>
        </w:trPr>
        <w:tc>
          <w:tcPr>
            <w:tcW w:w="5140" w:type="dxa"/>
            <w:vAlign w:val="bottom"/>
          </w:tcPr>
          <w:p>
            <w:pPr>
              <w:ind w:left="220"/>
              <w:spacing w:after="0"/>
              <w:rPr>
                <w:sz w:val="20"/>
                <w:szCs w:val="20"/>
                <w:color w:val="auto"/>
              </w:rPr>
            </w:pPr>
            <w:r>
              <w:rPr>
                <w:rFonts w:ascii="Arial" w:cs="Arial" w:eastAsia="Arial" w:hAnsi="Arial"/>
                <w:sz w:val="18"/>
                <w:szCs w:val="18"/>
                <w:color w:val="auto"/>
              </w:rPr>
              <w:t>Dividend yield</w:t>
            </w:r>
          </w:p>
        </w:tc>
        <w:tc>
          <w:tcPr>
            <w:tcW w:w="1900" w:type="dxa"/>
            <w:vAlign w:val="bottom"/>
            <w:gridSpan w:val="2"/>
          </w:tcPr>
          <w:p>
            <w:pPr>
              <w:jc w:val="right"/>
              <w:ind w:right="754"/>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Stock-Based Compensation Expense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Total stock-based compensation expense recognized in the Company’s consolidated statements of operations is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Years Ended January 31,</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6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8"/>
        </w:trPr>
        <w:tc>
          <w:tcPr>
            <w:tcW w:w="6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6"/>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revenue—subscription</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570</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Cost of revenue—services</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482</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11,059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5,514</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11,687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5,755</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11,371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7,927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8,683</w:t>
            </w:r>
          </w:p>
        </w:tc>
      </w:tr>
      <w:tr>
        <w:trPr>
          <w:trHeight w:val="237"/>
        </w:trPr>
        <w:tc>
          <w:tcPr>
            <w:tcW w:w="6400" w:type="dxa"/>
            <w:vAlign w:val="bottom"/>
          </w:tcPr>
          <w:p>
            <w:pPr>
              <w:ind w:left="20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37,403</w:t>
            </w:r>
          </w:p>
        </w:tc>
        <w:tc>
          <w:tcPr>
            <w:tcW w:w="100" w:type="dxa"/>
            <w:vAlign w:val="bottom"/>
          </w:tcPr>
          <w:p>
            <w:pPr>
              <w:spacing w:after="0"/>
              <w:rPr>
                <w:sz w:val="20"/>
                <w:szCs w:val="20"/>
                <w:color w:val="auto"/>
              </w:rPr>
            </w:pPr>
          </w:p>
        </w:tc>
        <w:tc>
          <w:tcPr>
            <w:tcW w:w="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21,235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21,004</w:t>
            </w:r>
          </w:p>
        </w:tc>
      </w:tr>
      <w:tr>
        <w:trPr>
          <w:trHeight w:val="54"/>
        </w:trPr>
        <w:tc>
          <w:tcPr>
            <w:tcW w:w="64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0"/>
        </w:trPr>
        <w:tc>
          <w:tcPr>
            <w:tcW w:w="6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12.Net Loss per Share</w:t>
      </w:r>
    </w:p>
    <w:p>
      <w:pPr>
        <w:spacing w:after="0" w:line="17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 xml:space="preserve">The Company calculates basic net loss per share by dividing the net loss by the weighted-average number of shares of common stock outstanding during the year, less shares subject to repurchase. Diluted net loss per share is computed by giving effect to all potentially dilutive common stock equivalents outstanding for the period, including stock options and restricted stock units. 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further details on the Company’s methodology for calculating net loss per share.</w:t>
      </w:r>
    </w:p>
    <w:p>
      <w:pPr>
        <w:spacing w:after="0" w:line="133"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Basic and diluted net loss per share was the same for each year presented, as the inclusion of all potential common shares outstanding would have been anti-dilutive due to the net loss reported for each year presented.</w:t>
      </w:r>
    </w:p>
    <w:p>
      <w:pPr>
        <w:spacing w:after="0" w:line="116"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The rights, including the liquidation and dividend rights, of the holders of Class A and Class B common stock are identical, except with respect to voting. Each share of Class A common stock is entitled to one vote per share and each share of Class B common stock is entitled to 10 votes per share. As the liquidation and dividend rights are identical for Class A and Class B common stock, the undistributed earnings are allocated on a proportionate basis and the resulting net loss per share will, therefore, be the same for both Class A and Class B common stock on an individual or combined basis.</w:t>
      </w:r>
    </w:p>
    <w:p>
      <w:pPr>
        <w:spacing w:after="0" w:line="200" w:lineRule="exact"/>
        <w:rPr>
          <w:sz w:val="20"/>
          <w:szCs w:val="20"/>
          <w:color w:val="auto"/>
        </w:rPr>
      </w:pPr>
    </w:p>
    <w:p>
      <w:pPr>
        <w:spacing w:after="0" w:line="37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Years Ended January 31,</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restart"/>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577"/>
              <w:spacing w:after="0" w:line="147"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577"/>
              <w:spacing w:after="0" w:line="147"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Adjusted</w:t>
            </w:r>
          </w:p>
        </w:tc>
        <w:tc>
          <w:tcPr>
            <w:tcW w:w="260" w:type="dxa"/>
            <w:vAlign w:val="bottom"/>
          </w:tcPr>
          <w:p>
            <w:pPr>
              <w:spacing w:after="0"/>
              <w:rPr>
                <w:sz w:val="16"/>
                <w:szCs w:val="16"/>
                <w:color w:val="auto"/>
              </w:rPr>
            </w:pPr>
          </w:p>
        </w:tc>
        <w:tc>
          <w:tcPr>
            <w:tcW w:w="1340" w:type="dxa"/>
            <w:vAlign w:val="bottom"/>
          </w:tcPr>
          <w:p>
            <w:pPr>
              <w:jc w:val="right"/>
              <w:ind w:right="297"/>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6"/>
        </w:trPr>
        <w:tc>
          <w:tcPr>
            <w:tcW w:w="5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(99,011)</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(83,973)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(70,063)</w:t>
            </w:r>
          </w:p>
        </w:tc>
        <w:tc>
          <w:tcPr>
            <w:tcW w:w="0" w:type="dxa"/>
            <w:vAlign w:val="bottom"/>
          </w:tcPr>
          <w:p>
            <w:pPr>
              <w:spacing w:after="0"/>
              <w:rPr>
                <w:sz w:val="1"/>
                <w:szCs w:val="1"/>
                <w:color w:val="auto"/>
              </w:rPr>
            </w:pPr>
          </w:p>
        </w:tc>
      </w:tr>
      <w:tr>
        <w:trPr>
          <w:trHeight w:val="54"/>
        </w:trPr>
        <w:tc>
          <w:tcPr>
            <w:tcW w:w="5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w:t>
            </w:r>
          </w:p>
        </w:tc>
        <w:tc>
          <w:tcPr>
            <w:tcW w:w="3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160"/>
              <w:spacing w:after="0"/>
              <w:rPr>
                <w:sz w:val="20"/>
                <w:szCs w:val="20"/>
                <w:color w:val="auto"/>
              </w:rPr>
            </w:pPr>
            <w:r>
              <w:rPr>
                <w:rFonts w:ascii="Arial" w:cs="Arial" w:eastAsia="Arial" w:hAnsi="Arial"/>
                <w:sz w:val="18"/>
                <w:szCs w:val="18"/>
                <w:color w:val="auto"/>
                <w:w w:val="94"/>
              </w:rPr>
              <w:t>Weighted-average shares used to compute net loss per share, basic and</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34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52,034,596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23,718,391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12,211,711</w:t>
            </w:r>
          </w:p>
        </w:tc>
        <w:tc>
          <w:tcPr>
            <w:tcW w:w="0" w:type="dxa"/>
            <w:vAlign w:val="bottom"/>
          </w:tcPr>
          <w:p>
            <w:pPr>
              <w:spacing w:after="0"/>
              <w:rPr>
                <w:sz w:val="1"/>
                <w:szCs w:val="1"/>
                <w:color w:val="auto"/>
              </w:rPr>
            </w:pPr>
          </w:p>
        </w:tc>
      </w:tr>
      <w:tr>
        <w:trPr>
          <w:trHeight w:val="54"/>
        </w:trPr>
        <w:tc>
          <w:tcPr>
            <w:tcW w:w="5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56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0"/>
        </w:trPr>
        <w:tc>
          <w:tcPr>
            <w:tcW w:w="5640" w:type="dxa"/>
            <w:vAlign w:val="bottom"/>
          </w:tcPr>
          <w:p>
            <w:pPr>
              <w:ind w:left="80"/>
              <w:spacing w:after="0"/>
              <w:rPr>
                <w:sz w:val="20"/>
                <w:szCs w:val="20"/>
                <w:color w:val="auto"/>
              </w:rPr>
            </w:pPr>
            <w:r>
              <w:rPr>
                <w:rFonts w:ascii="Arial" w:cs="Arial" w:eastAsia="Arial" w:hAnsi="Arial"/>
                <w:sz w:val="18"/>
                <w:szCs w:val="18"/>
                <w:color w:val="auto"/>
              </w:rPr>
              <w:t>* See Note 2 for a summary of adjustments.</w:t>
            </w: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120" w:firstLine="486"/>
        <w:spacing w:after="0" w:line="288" w:lineRule="auto"/>
        <w:rPr>
          <w:sz w:val="20"/>
          <w:szCs w:val="20"/>
          <w:color w:val="auto"/>
        </w:rPr>
      </w:pPr>
      <w:r>
        <w:rPr>
          <w:rFonts w:ascii="Arial" w:cs="Arial" w:eastAsia="Arial" w:hAnsi="Arial"/>
          <w:sz w:val="16"/>
          <w:szCs w:val="16"/>
          <w:color w:val="auto"/>
        </w:rPr>
        <w:t>The shares underlying the conversion option in the Notes were not considered in the calculation of diluted net loss per share as the effect would have been anti-dilutive. Additionally, the Notes were not convertible as of January 31, 2019. Based on the initial conversion price, the entire outstanding principal amount of the Notes as of January 31, 2019 would have been convertible into approximately 4.4 million shares of the Company’s Class A common stock.</w:t>
      </w:r>
    </w:p>
    <w:p>
      <w:pPr>
        <w:spacing w:after="0" w:line="252" w:lineRule="auto"/>
        <w:rPr>
          <w:sz w:val="20"/>
          <w:szCs w:val="20"/>
          <w:color w:val="auto"/>
        </w:rPr>
      </w:pPr>
      <w:r>
        <w:rPr>
          <w:rFonts w:ascii="Arial" w:cs="Arial" w:eastAsia="Arial" w:hAnsi="Arial"/>
          <w:sz w:val="18"/>
          <w:szCs w:val="18"/>
          <w:color w:val="auto"/>
        </w:rPr>
        <w:t>However, the Company expects to settle the principal amount of the Notes in cash. As a result, only the amount by which the conversion value exceeds the aggregate principal amount of the Notes (the “conversion spread”) is considered in the diluted earnings per share computation under the treasury stock method. The conversion spread will have a dilutive impact on diluted net income per share when the average market price of the Company’s Class A common stock for a given period exceeds the initial conversion price of $68.15 per share for the Notes. In connection with the issuance of the Notes, the Company entered into Capped Calls, which were not included for purposes of calculating the number of diluted shares outstanding, as their effect would have been anti-dilutive. The Capped Calls are expected to partially offset the potential dilution to the Company’s Class A common stock upon any conversion of the Notes. Although the Notes were not convertible as of January 31, 2019, the Company calculated the potentially dilutive effect of the conversion spread, which is included in the table below.</w:t>
      </w:r>
    </w:p>
    <w:p>
      <w:pPr>
        <w:spacing w:after="0" w:line="138"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following weighted-average outstanding potentially dilutive common shares were excluded from the computation of diluted net loss per share for the periods presented because the impact of including them would have been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Ended January 31,</w:t>
            </w:r>
          </w:p>
        </w:tc>
        <w:tc>
          <w:tcPr>
            <w:tcW w:w="1600" w:type="dxa"/>
            <w:vAlign w:val="bottom"/>
          </w:tcPr>
          <w:p>
            <w:pPr>
              <w:spacing w:after="0"/>
              <w:rPr>
                <w:sz w:val="16"/>
                <w:szCs w:val="16"/>
                <w:color w:val="auto"/>
              </w:rPr>
            </w:pPr>
          </w:p>
        </w:tc>
      </w:tr>
      <w:tr>
        <w:trPr>
          <w:trHeight w:val="26"/>
        </w:trPr>
        <w:tc>
          <w:tcPr>
            <w:tcW w:w="574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8"/>
        </w:trPr>
        <w:tc>
          <w:tcPr>
            <w:tcW w:w="5740" w:type="dxa"/>
            <w:vAlign w:val="bottom"/>
          </w:tcPr>
          <w:p>
            <w:pPr>
              <w:spacing w:after="0"/>
              <w:rPr>
                <w:sz w:val="20"/>
                <w:szCs w:val="20"/>
                <w:color w:val="auto"/>
              </w:rPr>
            </w:pPr>
          </w:p>
        </w:tc>
        <w:tc>
          <w:tcPr>
            <w:tcW w:w="1620" w:type="dxa"/>
            <w:vAlign w:val="bottom"/>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0"/>
                <w:szCs w:val="20"/>
                <w:color w:val="auto"/>
              </w:rPr>
            </w:pPr>
          </w:p>
        </w:tc>
        <w:tc>
          <w:tcPr>
            <w:tcW w:w="1620" w:type="dxa"/>
            <w:vAlign w:val="bottom"/>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16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2017</w:t>
            </w:r>
          </w:p>
        </w:tc>
      </w:tr>
      <w:tr>
        <w:trPr>
          <w:trHeight w:val="26"/>
        </w:trPr>
        <w:tc>
          <w:tcPr>
            <w:tcW w:w="57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(as converted)</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19,534,014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25,856,309</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Redeemable convertible preferred stock warrants (as converted)</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22,592</w:t>
            </w:r>
          </w:p>
        </w:tc>
        <w:tc>
          <w:tcPr>
            <w:tcW w:w="10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54,604</w:t>
            </w:r>
          </w:p>
        </w:tc>
      </w:tr>
      <w:tr>
        <w:trPr>
          <w:trHeight w:val="27"/>
        </w:trPr>
        <w:tc>
          <w:tcPr>
            <w:tcW w:w="5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90,143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122,043</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Stock options to purchase Class A common stock</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3,174,009</w:t>
            </w:r>
          </w:p>
        </w:tc>
        <w:tc>
          <w:tcPr>
            <w:tcW w:w="120" w:type="dxa"/>
            <w:vAlign w:val="bottom"/>
          </w:tcPr>
          <w:p>
            <w:pPr>
              <w:spacing w:after="0"/>
              <w:rPr>
                <w:sz w:val="21"/>
                <w:szCs w:val="21"/>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2,552,397</w:t>
            </w:r>
          </w:p>
        </w:tc>
        <w:tc>
          <w:tcPr>
            <w:tcW w:w="10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52,663</w:t>
            </w:r>
          </w:p>
        </w:tc>
      </w:tr>
      <w:tr>
        <w:trPr>
          <w:trHeight w:val="27"/>
        </w:trPr>
        <w:tc>
          <w:tcPr>
            <w:tcW w:w="5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to purchase Class B common stock</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7,691,386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9,612,572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10,777,310</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Unvested restricted stock units</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1,447,642</w:t>
            </w:r>
          </w:p>
        </w:tc>
        <w:tc>
          <w:tcPr>
            <w:tcW w:w="1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Early exercised stock options</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126,447</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236,675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79,394</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w w:val="99"/>
              </w:rPr>
              <w:t>Shares underlying the conversion spread in the convertible senior notes</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227,982</w:t>
            </w:r>
          </w:p>
        </w:tc>
        <w:tc>
          <w:tcPr>
            <w:tcW w:w="1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878"/>
        </w:trPr>
        <w:tc>
          <w:tcPr>
            <w:tcW w:w="5740" w:type="dxa"/>
            <w:vAlign w:val="bottom"/>
          </w:tcPr>
          <w:p>
            <w:pPr>
              <w:spacing w:after="0"/>
              <w:rPr>
                <w:sz w:val="24"/>
                <w:szCs w:val="24"/>
                <w:color w:val="auto"/>
              </w:rPr>
            </w:pPr>
          </w:p>
        </w:tc>
        <w:tc>
          <w:tcPr>
            <w:tcW w:w="1620" w:type="dxa"/>
            <w:vAlign w:val="bottom"/>
          </w:tcPr>
          <w:p>
            <w:pPr>
              <w:jc w:val="right"/>
              <w:ind w:right="1232"/>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13.Income Taxes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loss before provision for (benefit from) income taxes were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8"/>
              </w:rPr>
              <w:t>Years Ended January 31,</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4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(45,043)</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(52,315)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(32,859)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(24,301)</w:t>
            </w:r>
          </w:p>
        </w:tc>
      </w:tr>
      <w:tr>
        <w:trPr>
          <w:trHeight w:val="27"/>
        </w:trPr>
        <w:tc>
          <w:tcPr>
            <w:tcW w:w="4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(102,329)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(82,686)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(69,344)</w:t>
            </w:r>
          </w:p>
        </w:tc>
      </w:tr>
      <w:tr>
        <w:trPr>
          <w:trHeight w:val="20"/>
        </w:trPr>
        <w:tc>
          <w:tcPr>
            <w:tcW w:w="4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components of the provision for (benefit from) income taxes were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8"/>
              </w:rPr>
              <w:t>Years Ended January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Federal</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Foreign</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7"/>
        </w:trPr>
        <w:tc>
          <w:tcPr>
            <w:tcW w:w="50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Deferred:</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(3,389)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State</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5000" w:type="dxa"/>
            <w:vAlign w:val="bottom"/>
          </w:tcPr>
          <w:p>
            <w:pPr>
              <w:ind w:left="28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(4,970)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0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(3,318)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0"/>
        </w:trPr>
        <w:tc>
          <w:tcPr>
            <w:tcW w:w="5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items accounting for the difference between income taxes computed at the federal statutory income tax rate and the provision for (benefit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taxes consisted of the following (in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8"/>
              </w:rPr>
              <w:t>Years Ended January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statutory rate</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(21,474)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(23,578)</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9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5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foreign income taxes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7,053</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(27,361)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1,796</w:t>
            </w:r>
          </w:p>
        </w:tc>
      </w:tr>
      <w:tr>
        <w:trPr>
          <w:trHeight w:val="27"/>
        </w:trPr>
        <w:tc>
          <w:tcPr>
            <w:tcW w:w="5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9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40,357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13,740</w:t>
            </w:r>
          </w:p>
        </w:tc>
      </w:tr>
      <w:tr>
        <w:trPr>
          <w:trHeight w:val="27"/>
        </w:trPr>
        <w:tc>
          <w:tcPr>
            <w:tcW w:w="5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credits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Prior year true ups</w:t>
            </w:r>
          </w:p>
        </w:tc>
        <w:tc>
          <w:tcPr>
            <w:tcW w:w="9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918</w:t>
            </w:r>
          </w:p>
        </w:tc>
      </w:tr>
      <w:tr>
        <w:trPr>
          <w:trHeight w:val="27"/>
        </w:trPr>
        <w:tc>
          <w:tcPr>
            <w:tcW w:w="5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tax rate due to the Tax Act</w:t>
            </w:r>
          </w:p>
        </w:tc>
        <w:tc>
          <w:tcPr>
            <w:tcW w:w="9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933</w:t>
            </w:r>
          </w:p>
        </w:tc>
      </w:tr>
      <w:tr>
        <w:trPr>
          <w:trHeight w:val="27"/>
        </w:trPr>
        <w:tc>
          <w:tcPr>
            <w:tcW w:w="50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(benefit from) income taxes</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0"/>
        </w:trPr>
        <w:tc>
          <w:tcPr>
            <w:tcW w:w="5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86"/>
        <w:spacing w:after="0" w:line="342" w:lineRule="auto"/>
        <w:rPr>
          <w:sz w:val="20"/>
          <w:szCs w:val="20"/>
          <w:color w:val="auto"/>
        </w:rPr>
      </w:pPr>
      <w:r>
        <w:rPr>
          <w:rFonts w:ascii="Arial" w:cs="Arial" w:eastAsia="Arial" w:hAnsi="Arial"/>
          <w:sz w:val="16"/>
          <w:szCs w:val="16"/>
          <w:color w:val="auto"/>
        </w:rPr>
        <w:t>The overall tax benefit recorded for the current fiscal year is driven is driven by a net release in the Company's valuation allowance on deferred tax assets relative to the prior year, principally as a result of deferred taxes recorded in purchase accounting as part of the mLab acquisition.</w:t>
      </w:r>
    </w:p>
    <w:p>
      <w:pPr>
        <w:sectPr>
          <w:pgSz w:w="11900" w:h="16838" w:orient="portrait"/>
          <w:cols w:equalWidth="0" w:num="1">
            <w:col w:w="11140"/>
          </w:cols>
          <w:pgMar w:left="240" w:top="121" w:right="51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140"/>
          </w:cols>
          <w:pgMar w:left="240" w:top="121" w:right="519" w:bottom="1440" w:gutter="0" w:footer="0" w:header="0"/>
          <w:type w:val="continuous"/>
        </w:sectPr>
      </w:pPr>
    </w:p>
    <w:bookmarkStart w:id="99" w:name="page100"/>
    <w:bookmarkEnd w:id="9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Impact of the 2017 Tax Cuts and Jobs Act</w:t>
      </w:r>
    </w:p>
    <w:p>
      <w:pPr>
        <w:spacing w:after="0" w:line="171"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On December 22, 2017, the Tax Cuts and Jobs Act (the “Tax Act”) significantly revised the U.S. corporate income tax law, by among other things, reducing the corporate income tax rate to 21% for tax years beginning in 2018, implementing a modified territorial system that includes a one-time transition tax on deemed repatriated earnings of foreign subsidiaries and creating new taxes on certain foreign sourced earnings.</w:t>
      </w:r>
    </w:p>
    <w:p>
      <w:pPr>
        <w:spacing w:after="0" w:line="111"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Also on December 22, 2017, the SEC staff issued Staff Accounting Bulletin 118 (“SAB 118”) to provide guidance for companies that are not able to complete their accounting for the income tax effects of the Tax Act in the period of enactment. SAB 118 provides for a measurement period of up to one year from the date of enactment. During the measurement period, a company must reflect adjustments to any provisional amounts if it obtains, prepares or analyzes additional information about facts and circumstances that existed as of the enactment date that, if known, would have affected the income tax effects initially reported as provisional amounts. As of January 31, 2019, we have completed our analysis of the Tax Act.</w:t>
      </w:r>
    </w:p>
    <w:p>
      <w:pPr>
        <w:spacing w:after="0" w:line="119" w:lineRule="exact"/>
        <w:rPr>
          <w:sz w:val="20"/>
          <w:szCs w:val="20"/>
          <w:color w:val="auto"/>
        </w:rPr>
      </w:pPr>
    </w:p>
    <w:p>
      <w:pPr>
        <w:ind w:right="160" w:firstLine="486"/>
        <w:spacing w:after="0" w:line="302" w:lineRule="auto"/>
        <w:rPr>
          <w:sz w:val="20"/>
          <w:szCs w:val="20"/>
          <w:color w:val="auto"/>
        </w:rPr>
      </w:pPr>
      <w:r>
        <w:rPr>
          <w:rFonts w:ascii="Arial" w:cs="Arial" w:eastAsia="Arial" w:hAnsi="Arial"/>
          <w:sz w:val="16"/>
          <w:szCs w:val="16"/>
          <w:color w:val="auto"/>
        </w:rPr>
        <w:t>The provisional amount recorded related to the re-measurement of the Company’s deferred tax balance was $33.1 million before the valuation allowance. The provisional decrease to the valuation allowance related to the re-measurement of the deferred tax balance was $33.1 million. The income tax calculation for the year ending January 31, 2018 also included an immaterial tax benefit related to the re-measurement of a deferred tax liability on a long-lived asset. During the year ended January 31, 2019, this amount was finalized and no additional adjustment was required to be made.</w:t>
      </w:r>
    </w:p>
    <w:p>
      <w:pPr>
        <w:spacing w:after="0" w:line="100"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The Tax Act also included a one-time Transition Tax on the Company’s total post-1986 earnings and profits (“E&amp;P”), which had been previously deferred from U.S. federal income taxes as the E&amp;P were considered to be indefinitely reinvested. The Company prepared a provisional estimate of the impact of the Transition Tax, and determined that due to significant non-U.S. E&amp;P deficits, the Company is not subject to the Transition Tax. This amount was finalized by January 31, 2019 and no additional adjustment was required.</w:t>
      </w:r>
    </w:p>
    <w:p>
      <w:pPr>
        <w:spacing w:after="0" w:line="13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Tax Act contains several new tax provisions that became effective on January 1, 2018, which did not have a material impact due to the Company’s size and structure, as well as its net operating loss and valuation allowance position. The Tax Act also included provisions for certain foreign-sourced earnings referred to as Global Intangible Low-Taxed Income (“GILTI”), which imposed a tax on foreign income in excess of a deemed return on tangible assets of foreign corporations. GILTI did not have a material impact on the Company’s results for the year ended January 31, 2019 due to the Company’s net operating loss and valuation allowance position.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Deferred Income Taxes</w:t>
      </w:r>
    </w:p>
    <w:p>
      <w:pPr>
        <w:spacing w:after="0" w:line="171"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Deferred income taxes arise from temporary differences between the carrying amounts of assets and liabilities for financial reporting and the amounts used for income tax reporting purposes, as well as operating losses and tax credit carryforwards.</w:t>
      </w:r>
    </w:p>
    <w:p>
      <w:pPr>
        <w:spacing w:after="0" w:line="200" w:lineRule="exact"/>
        <w:rPr>
          <w:sz w:val="20"/>
          <w:szCs w:val="20"/>
          <w:color w:val="auto"/>
        </w:rPr>
      </w:pPr>
    </w:p>
    <w:p>
      <w:pPr>
        <w:spacing w:after="0" w:line="38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2" w:right="23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Significant components of the Company’s deferred tax assets for federal and state income taxes are as follows as of January 31, 2019 and 2018, respectively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4"/>
                <w:szCs w:val="14"/>
                <w:b w:val="1"/>
                <w:bCs w:val="1"/>
                <w:color w:val="auto"/>
              </w:rPr>
              <w:t>Years Ended January 31,</w:t>
            </w:r>
          </w:p>
        </w:tc>
      </w:tr>
      <w:tr>
        <w:trPr>
          <w:trHeight w:val="264"/>
        </w:trPr>
        <w:tc>
          <w:tcPr>
            <w:tcW w:w="50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2018</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121,024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77,434</w:t>
            </w:r>
          </w:p>
        </w:tc>
      </w:tr>
      <w:tr>
        <w:trPr>
          <w:trHeight w:val="27"/>
        </w:trPr>
        <w:tc>
          <w:tcPr>
            <w:tcW w:w="5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Other liabilities and accruals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2,354</w:t>
            </w:r>
          </w:p>
        </w:tc>
      </w:tr>
      <w:tr>
        <w:trPr>
          <w:trHeight w:val="27"/>
        </w:trPr>
        <w:tc>
          <w:tcPr>
            <w:tcW w:w="5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Depreciable assets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1,583</w:t>
            </w: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Convertible senior notes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(19,066)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reserves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r>
      <w:tr>
        <w:trPr>
          <w:trHeight w:val="237"/>
        </w:trPr>
        <w:tc>
          <w:tcPr>
            <w:tcW w:w="5000" w:type="dxa"/>
            <w:vAlign w:val="bottom"/>
          </w:tcPr>
          <w:p>
            <w:pPr>
              <w:ind w:left="280"/>
              <w:spacing w:after="0"/>
              <w:rPr>
                <w:sz w:val="20"/>
                <w:szCs w:val="20"/>
                <w:color w:val="auto"/>
              </w:rPr>
            </w:pPr>
            <w:r>
              <w:rPr>
                <w:rFonts w:ascii="Arial" w:cs="Arial" w:eastAsia="Arial" w:hAnsi="Arial"/>
                <w:sz w:val="18"/>
                <w:szCs w:val="18"/>
                <w:color w:val="auto"/>
              </w:rPr>
              <w:t>Gross deferred tax assets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102,695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77,591</w:t>
            </w:r>
          </w:p>
        </w:tc>
      </w:tr>
      <w:tr>
        <w:trPr>
          <w:trHeight w:val="27"/>
        </w:trPr>
        <w:tc>
          <w:tcPr>
            <w:tcW w:w="5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(101,502)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(77,265)</w:t>
            </w:r>
          </w:p>
        </w:tc>
      </w:tr>
      <w:tr>
        <w:trPr>
          <w:trHeight w:val="237"/>
        </w:trPr>
        <w:tc>
          <w:tcPr>
            <w:tcW w:w="5000" w:type="dxa"/>
            <w:vAlign w:val="bottom"/>
          </w:tcPr>
          <w:p>
            <w:pPr>
              <w:ind w:left="280"/>
              <w:spacing w:after="0"/>
              <w:rPr>
                <w:sz w:val="20"/>
                <w:szCs w:val="20"/>
                <w:color w:val="auto"/>
              </w:rPr>
            </w:pPr>
            <w:r>
              <w:rPr>
                <w:rFonts w:ascii="Arial" w:cs="Arial" w:eastAsia="Arial" w:hAnsi="Arial"/>
                <w:sz w:val="18"/>
                <w:szCs w:val="18"/>
                <w:color w:val="auto"/>
              </w:rPr>
              <w:t>Total deferred tax assets, net of valuation allowance</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w:t>
            </w:r>
          </w:p>
        </w:tc>
      </w:tr>
      <w:tr>
        <w:trPr>
          <w:trHeight w:val="27"/>
        </w:trPr>
        <w:tc>
          <w:tcPr>
            <w:tcW w:w="5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deferred tax liability</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57"/>
        </w:trPr>
        <w:tc>
          <w:tcPr>
            <w:tcW w:w="500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308</w:t>
            </w:r>
          </w:p>
        </w:tc>
      </w:tr>
      <w:tr>
        <w:trPr>
          <w:trHeight w:val="20"/>
        </w:trPr>
        <w:tc>
          <w:tcPr>
            <w:tcW w:w="5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Deferred tax assets are recognized when management believes it more likely than not that they will be realized. Deferred tax assets are reduced by a valuation allowance if, based on available evidence, it is more likely than not that some or all of the deferred tax assets will not be realized. Due to the significant negative evidence resulting from losses since inception in the U.S. federal, U.S. state and Ireland jurisdictions, management maintains a full valuation allowance against the net deferred tax assets in these jurisdictions. The valuation allowance for deferred tax assets as of January 31, 2019 and 2018 was $101.5 million and $77.3 million, respectively.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carryforward periods), projected future taxable income, and tax planning strategies in making this assessment.</w:t>
      </w:r>
    </w:p>
    <w:p>
      <w:pPr>
        <w:spacing w:after="0" w:line="128"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As of January 31, 2019 the Company had net operating loss carryforwards for federal, state and Irish income tax purposes of $359.2 million, $239.5 million and $199.5 million, respectively, which begin to expire in the year ending January 31, 2028 for federal purposes and January 31, 2020 for state purposes. Ireland and the U.S. allows net operating losses to be carried forward indefinitely. The Company also has federal research credit carryforwards of $4.7 million, which begin to expire in the year ending January 31, 2029. Utilization of the federal net operating loss carryforwards and credits may be subject to a substantial annual limitation due to the ownership change limitations provided by the Internal Revenue Code of 1986, as amended, and similar state provisions. The annual limitation, should the Company undergo an ownership change, may result in the expiration of federal or state net operating losses and credits before utilization, however the Company does not expect any such limitation to be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Uncertain Tax Positions</w:t>
      </w:r>
    </w:p>
    <w:p>
      <w:pPr>
        <w:spacing w:after="0" w:line="17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 xml:space="preserve">The calculation of the Company’s tax obligations involves dealing with uncertainties in the application of complex tax laws and regulations. ASC 740, </w:t>
      </w:r>
      <w:r>
        <w:rPr>
          <w:rFonts w:ascii="Arial" w:cs="Arial" w:eastAsia="Arial" w:hAnsi="Arial"/>
          <w:sz w:val="17"/>
          <w:szCs w:val="17"/>
          <w:i w:val="1"/>
          <w:iCs w:val="1"/>
          <w:color w:val="auto"/>
        </w:rPr>
        <w:t>Income Taxes</w:t>
      </w:r>
      <w:r>
        <w:rPr>
          <w:rFonts w:ascii="Arial" w:cs="Arial" w:eastAsia="Arial" w:hAnsi="Arial"/>
          <w:sz w:val="17"/>
          <w:szCs w:val="17"/>
          <w:color w:val="auto"/>
        </w:rPr>
        <w:t>,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the Company’s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w:t>
      </w:r>
    </w:p>
    <w:p>
      <w:pPr>
        <w:spacing w:after="0" w:line="200" w:lineRule="exact"/>
        <w:rPr>
          <w:sz w:val="20"/>
          <w:szCs w:val="20"/>
          <w:color w:val="auto"/>
        </w:rPr>
      </w:pPr>
    </w:p>
    <w:p>
      <w:pPr>
        <w:spacing w:after="0" w:line="39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121" w:right="27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For those income tax positions where it is determined there is less than 50% likelihood that a tax benefit will be sustained, no tax benefit has been recognized.</w:t>
      </w:r>
    </w:p>
    <w:p>
      <w:pPr>
        <w:spacing w:after="0" w:line="194"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color w:val="auto"/>
        </w:rPr>
        <w:t>Although the Company believes that it has adequately reserved for its uncertain tax positions, the Company can provide no assurance that the final tax outcome of these matters will not be materially different. As the Company expands internationally, it will face increased complexity, and the Company’s unrecognized tax benefits may increase in the future. The Company makes adjustments to its reserves when facts and circumstances change, such as the closing of a tax audit or the refinement of an estimate. To the extent that the final tax outcome of these matters is different than the amounts recorded, such differences will affect the provision for income taxes in the period in which such determination is made.</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changes in the Company’s unrecognized gross tax benefits during the periods presented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8"/>
              </w:rPr>
              <w:t>Years Ended January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beginning of year</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3,411</w:t>
            </w: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Decreases in tax positions in prior years</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5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based on tax positions in the current year</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r>
      <w:tr>
        <w:trPr>
          <w:trHeight w:val="257"/>
        </w:trPr>
        <w:tc>
          <w:tcPr>
            <w:tcW w:w="5000" w:type="dxa"/>
            <w:vAlign w:val="bottom"/>
          </w:tcPr>
          <w:p>
            <w:pPr>
              <w:ind w:left="40"/>
              <w:spacing w:after="0"/>
              <w:rPr>
                <w:sz w:val="20"/>
                <w:szCs w:val="20"/>
                <w:color w:val="auto"/>
              </w:rPr>
            </w:pPr>
            <w:r>
              <w:rPr>
                <w:rFonts w:ascii="Arial" w:cs="Arial" w:eastAsia="Arial" w:hAnsi="Arial"/>
                <w:sz w:val="18"/>
                <w:szCs w:val="18"/>
                <w:color w:val="auto"/>
              </w:rPr>
              <w:t>Unrecognized tax benefits at end of year</w:t>
            </w: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4,049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4,400</w:t>
            </w:r>
          </w:p>
        </w:tc>
      </w:tr>
      <w:tr>
        <w:trPr>
          <w:trHeight w:val="20"/>
        </w:trPr>
        <w:tc>
          <w:tcPr>
            <w:tcW w:w="5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As of January 31, 2019, there was $0.1 million of unrecognized tax benefits that would impact our effective tax rate if recognized. There were no such unrecognized tax benefits as of January 31, 2018 and 2017.</w:t>
      </w:r>
    </w:p>
    <w:p>
      <w:pPr>
        <w:spacing w:after="0" w:line="116"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The Company continues to evaluate whether to continue applying the exception to the presumption of the repatriation of foreign earnings applying the rules of the Tax Act, and continues to be permanently reinvested outside of the United States. The Company has not provided for U.S. federal income and foreign withholding taxes on approximately $1.1 million of undistributed earnings from non-U.S. operations as of January 31, 2019 because the Company intends to reinvest such earnings indefinitely outside of the United States. If the Company were to distribute these earnings, foreign tax credits may become available under current law to reduce the resulting U.S. income tax liability. The Company has estimated the amount of unrecognized deferred tax liability related to these earnings to be approximately $0.1 million.</w:t>
      </w:r>
    </w:p>
    <w:p>
      <w:pPr>
        <w:spacing w:after="0" w:line="124"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The Company is not currently under Internal Revenue Service, state, or foreign income tax examination. The Company does not anticipate any significant increases or decreases in its uncertain tax positions within the next twelve months. The Company files tax returns in the United States for federal, California and other states. All tax years remain open to examination for both federal and state purposes as a result of the net operating loss and credit carryforwards. The Company files foreign tax returns in various locations. These foreign returns are open to examination for the fiscal years ending January 31, 2013 through January 31,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14.Subsequent Events</w:t>
      </w:r>
    </w:p>
    <w:p>
      <w:pPr>
        <w:spacing w:after="0" w:line="175"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In March 2019, the Company expanded its enterprise partnership arrangement with a cloud infrastructure provider that includes a non-cancelable commitment of $219.0 million over the next five years, commencing on April 1, 2019. The Company’s previous enterprise partnership arrangement with the same cloud infrastructure provider of $36.0 million over three years will terminate on April 1,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We maintain “disclosure controls and procedures,” as defined in Rule 13a-15(e) and Rule 15d-15(e) under the Exchange Act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w:t>
      </w:r>
    </w:p>
    <w:p>
      <w:pPr>
        <w:spacing w:after="0" w:line="200" w:lineRule="exact"/>
        <w:rPr>
          <w:sz w:val="20"/>
          <w:szCs w:val="20"/>
          <w:color w:val="auto"/>
        </w:rPr>
      </w:pPr>
    </w:p>
    <w:p>
      <w:pPr>
        <w:spacing w:after="0" w:line="37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2" w:right="23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that it files or submits under the Exchange Act is accumulated and communicated to our management, including our principal executive and principal financial officers, as appropriate to allow timely decisions regarding required disclosure.</w:t>
      </w:r>
    </w:p>
    <w:p>
      <w:pPr>
        <w:spacing w:after="0" w:line="116"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January 31, 2019. Based on the evaluation of our disclosure controls and procedures as of January 31, 2019, our Chief Executive Officer and Chief Financial Officer concluded that, as of such date, our disclosure controls and procedures were effective at the reasonable assurance level.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 13a-15(f) and Rule 15d-15(f) under the Exchange Act. Our management conducted an evaluation of the effectiveness of our internal control over financial reporting as of January 31, 2019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3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On November 1, 2018, we completed the acquisition of ObjectLabs Corporation (“mLab”) in a business combination. Management excluded the mLab business from its assessment of internal control over financial reporting as of January 31, 2019. Total assets of the mLab business, excluded from our assessment, represented approximately 1% of our consolidated total assets as of January 31, 2019. Revenue related to the mLab business represented approximately 3% of our consolidated revenue for the fiscal year ended January 31, 2019.</w:t>
      </w:r>
    </w:p>
    <w:p>
      <w:pPr>
        <w:spacing w:after="0" w:line="133" w:lineRule="exact"/>
        <w:rPr>
          <w:sz w:val="20"/>
          <w:szCs w:val="20"/>
          <w:color w:val="auto"/>
        </w:rPr>
      </w:pPr>
    </w:p>
    <w:p>
      <w:pPr>
        <w:jc w:val="both"/>
        <w:ind w:right="260" w:firstLine="486"/>
        <w:spacing w:after="0" w:line="286" w:lineRule="auto"/>
        <w:rPr>
          <w:sz w:val="20"/>
          <w:szCs w:val="20"/>
          <w:color w:val="auto"/>
        </w:rPr>
      </w:pPr>
      <w:r>
        <w:rPr>
          <w:rFonts w:ascii="Arial" w:cs="Arial" w:eastAsia="Arial" w:hAnsi="Arial"/>
          <w:sz w:val="17"/>
          <w:szCs w:val="17"/>
          <w:color w:val="auto"/>
        </w:rPr>
        <w:t>Based on the results of its evaluation, management concluded that our internal control over financial reporting was effective as of January 31, 2019. The effectiveness of our internal control over financial reporting as of January 31, 2019 has been audited by PricewaterhouseCoopers LLP, an independent registered public accounting firm, as stated in its report which is included in Item 8 of this Form 10-K.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Rule 15d-15(d) of the Exchange Act that occurred during the fiscal quarter ended January 31, 2019 that has materially affected, or is reasonably likely to materially affect, our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75" w:lineRule="exact"/>
        <w:rPr>
          <w:sz w:val="20"/>
          <w:szCs w:val="20"/>
          <w:color w:val="auto"/>
        </w:rPr>
      </w:pPr>
    </w:p>
    <w:p>
      <w:pPr>
        <w:ind w:right="80" w:firstLine="486"/>
        <w:spacing w:after="0" w:line="268"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121" w:right="25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III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right="500" w:firstLine="486"/>
        <w:spacing w:after="0" w:line="342" w:lineRule="auto"/>
        <w:rPr>
          <w:sz w:val="20"/>
          <w:szCs w:val="20"/>
          <w:color w:val="auto"/>
        </w:rPr>
      </w:pPr>
      <w:r>
        <w:rPr>
          <w:rFonts w:ascii="Arial" w:cs="Arial" w:eastAsia="Arial" w:hAnsi="Arial"/>
          <w:sz w:val="16"/>
          <w:szCs w:val="16"/>
          <w:color w:val="auto"/>
        </w:rPr>
        <w:t>The information required by this Item (other than the information set forth in the next paragraph in this Item) will be included in the 2019 Proxy Statement to be filed with the SEC within 120 days after the end of our fiscal year ended January 31, 2019, and is incorporated herein by reference.</w:t>
      </w:r>
    </w:p>
    <w:p>
      <w:pPr>
        <w:spacing w:after="0" w:line="70"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have adopted a Code of Business Conduct and Ethics (the “Code of Conduct”), applicable to all of our employees, executive officers and directors. The Code of Conduct is available on our website at investors.mongodb.com.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The Nasdaq Global Market. The inclusion of our website address in this Form 10-K does not include or incorporate by reference into this Form 10-K the information on or accessible through our website.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will be included in the 2019 Proxy Statement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will be included in the 2019 Proxy Statement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will be included in the 2019 Proxy Statement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will be included in the 2019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121" w:right="27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80" w:type="dxa"/>
            <w:vAlign w:val="bottom"/>
            <w:gridSpan w:val="5"/>
          </w:tcPr>
          <w:p>
            <w:pPr>
              <w:ind w:left="540"/>
              <w:spacing w:after="0"/>
              <w:rPr>
                <w:sz w:val="20"/>
                <w:szCs w:val="20"/>
                <w:color w:val="auto"/>
              </w:rPr>
            </w:pPr>
            <w:r>
              <w:rPr>
                <w:rFonts w:ascii="Arial" w:cs="Arial" w:eastAsia="Arial" w:hAnsi="Arial"/>
                <w:sz w:val="22"/>
                <w:szCs w:val="22"/>
                <w:b w:val="1"/>
                <w:bCs w:val="1"/>
                <w:color w:val="auto"/>
              </w:rPr>
              <w:t>PART IV</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8"/>
        </w:trPr>
        <w:tc>
          <w:tcPr>
            <w:tcW w:w="10720" w:type="dxa"/>
            <w:vAlign w:val="bottom"/>
            <w:gridSpan w:val="11"/>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10720" w:type="dxa"/>
            <w:vAlign w:val="bottom"/>
            <w:gridSpan w:val="11"/>
          </w:tcPr>
          <w:p>
            <w:pPr>
              <w:spacing w:after="0"/>
              <w:rPr>
                <w:sz w:val="20"/>
                <w:szCs w:val="20"/>
                <w:color w:val="auto"/>
              </w:rPr>
            </w:pPr>
            <w:r>
              <w:rPr>
                <w:rFonts w:ascii="Arial" w:cs="Arial" w:eastAsia="Arial" w:hAnsi="Arial"/>
                <w:sz w:val="18"/>
                <w:szCs w:val="18"/>
                <w:b w:val="1"/>
                <w:bCs w:val="1"/>
                <w:color w:val="auto"/>
              </w:rPr>
              <w:t>(a) Documents filed as part of this report</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10720" w:type="dxa"/>
            <w:vAlign w:val="bottom"/>
            <w:gridSpan w:val="11"/>
          </w:tcPr>
          <w:p>
            <w:pPr>
              <w:spacing w:after="0"/>
              <w:rPr>
                <w:sz w:val="20"/>
                <w:szCs w:val="20"/>
                <w:color w:val="auto"/>
              </w:rPr>
            </w:pPr>
            <w:r>
              <w:rPr>
                <w:rFonts w:ascii="Arial" w:cs="Arial" w:eastAsia="Arial" w:hAnsi="Arial"/>
                <w:sz w:val="18"/>
                <w:szCs w:val="18"/>
                <w:b w:val="1"/>
                <w:bCs w:val="1"/>
                <w:color w:val="auto"/>
              </w:rPr>
              <w:t>(1) All financial statements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4"/>
        </w:trPr>
        <w:tc>
          <w:tcPr>
            <w:tcW w:w="40" w:type="dxa"/>
            <w:vAlign w:val="bottom"/>
            <w:tcBorders>
              <w:bottom w:val="single" w:sz="8" w:color="auto"/>
            </w:tcBorders>
          </w:tcPr>
          <w:p>
            <w:pPr>
              <w:spacing w:after="0"/>
              <w:rPr>
                <w:sz w:val="24"/>
                <w:szCs w:val="24"/>
                <w:color w:val="auto"/>
              </w:rPr>
            </w:pPr>
          </w:p>
        </w:tc>
        <w:tc>
          <w:tcPr>
            <w:tcW w:w="1068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7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Page</w:t>
            </w:r>
          </w:p>
        </w:tc>
      </w:tr>
      <w:tr>
        <w:trPr>
          <w:trHeight w:val="202"/>
        </w:trPr>
        <w:tc>
          <w:tcPr>
            <w:tcW w:w="40" w:type="dxa"/>
            <w:vAlign w:val="bottom"/>
          </w:tcPr>
          <w:p>
            <w:pPr>
              <w:spacing w:after="0"/>
              <w:rPr>
                <w:sz w:val="17"/>
                <w:szCs w:val="17"/>
                <w:color w:val="auto"/>
              </w:rPr>
            </w:pPr>
          </w:p>
        </w:tc>
        <w:tc>
          <w:tcPr>
            <w:tcW w:w="4220" w:type="dxa"/>
            <w:vAlign w:val="bottom"/>
            <w:gridSpan w:val="4"/>
          </w:tcPr>
          <w:p>
            <w:pPr>
              <w:spacing w:after="0" w:line="202"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Report of Independent Registered Public Accounting Firm</w:t>
              </w:r>
            </w:hyperlink>
          </w:p>
        </w:tc>
        <w:tc>
          <w:tcPr>
            <w:tcW w:w="6460" w:type="dxa"/>
            <w:vAlign w:val="bottom"/>
            <w:gridSpan w:val="6"/>
          </w:tcPr>
          <w:p>
            <w:pPr>
              <w:spacing w:after="0"/>
              <w:rPr>
                <w:sz w:val="17"/>
                <w:szCs w:val="17"/>
                <w:color w:val="auto"/>
              </w:rPr>
            </w:pPr>
          </w:p>
        </w:tc>
        <w:tc>
          <w:tcPr>
            <w:tcW w:w="700" w:type="dxa"/>
            <w:vAlign w:val="bottom"/>
            <w:gridSpan w:val="3"/>
          </w:tcPr>
          <w:p>
            <w:pPr>
              <w:jc w:val="right"/>
              <w:ind w:right="2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r>
      <w:tr>
        <w:trPr>
          <w:trHeight w:val="291"/>
        </w:trPr>
        <w:tc>
          <w:tcPr>
            <w:tcW w:w="40" w:type="dxa"/>
            <w:vAlign w:val="bottom"/>
          </w:tcPr>
          <w:p>
            <w:pPr>
              <w:spacing w:after="0"/>
              <w:rPr>
                <w:sz w:val="24"/>
                <w:szCs w:val="24"/>
                <w:color w:val="auto"/>
              </w:rPr>
            </w:pPr>
          </w:p>
        </w:tc>
        <w:tc>
          <w:tcPr>
            <w:tcW w:w="42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6460" w:type="dxa"/>
            <w:vAlign w:val="bottom"/>
            <w:gridSpan w:val="6"/>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40" w:type="dxa"/>
            <w:vAlign w:val="bottom"/>
            <w:gridSpan w:val="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Consolidated Balance Sheets as of January 31, 2019 and 2018</w:t>
              </w:r>
            </w:hyperlink>
          </w:p>
        </w:tc>
        <w:tc>
          <w:tcPr>
            <w:tcW w:w="700" w:type="dxa"/>
            <w:vAlign w:val="bottom"/>
            <w:gridSpan w:val="3"/>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80" w:type="dxa"/>
            <w:vAlign w:val="bottom"/>
            <w:gridSpan w:val="6"/>
          </w:tcPr>
          <w:p>
            <w:pPr>
              <w:spacing w:after="0"/>
              <w:rPr>
                <w:rFonts w:ascii="Arial" w:cs="Arial" w:eastAsia="Arial" w:hAnsi="Arial"/>
                <w:sz w:val="18"/>
                <w:szCs w:val="18"/>
                <w:color w:val="0000EE"/>
                <w:w w:val="88"/>
              </w:rPr>
            </w:pPr>
            <w:hyperlink w:anchor="page68">
              <w:r>
                <w:rPr>
                  <w:rFonts w:ascii="Arial" w:cs="Arial" w:eastAsia="Arial" w:hAnsi="Arial"/>
                  <w:sz w:val="18"/>
                  <w:szCs w:val="18"/>
                  <w:color w:val="0000EE"/>
                  <w:w w:val="88"/>
                </w:rPr>
                <w:t>Consolidated Statements of Operations for the years ended January 31, 2019, 2018 and 2017</w:t>
              </w:r>
            </w:hyperlink>
          </w:p>
        </w:tc>
        <w:tc>
          <w:tcPr>
            <w:tcW w:w="3760" w:type="dxa"/>
            <w:vAlign w:val="bottom"/>
            <w:gridSpan w:val="3"/>
          </w:tcPr>
          <w:p>
            <w:pPr>
              <w:spacing w:after="0"/>
              <w:rPr>
                <w:sz w:val="21"/>
                <w:szCs w:val="21"/>
                <w:color w:val="auto"/>
              </w:rPr>
            </w:pPr>
          </w:p>
        </w:tc>
        <w:tc>
          <w:tcPr>
            <w:tcW w:w="700" w:type="dxa"/>
            <w:vAlign w:val="bottom"/>
            <w:gridSpan w:val="3"/>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0" w:type="dxa"/>
            <w:vAlign w:val="bottom"/>
            <w:gridSpan w:val="7"/>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Consolidated Statements of Comprehensive Loss for the years ended January 31, 2019, 2018 and 2017</w:t>
              </w:r>
            </w:hyperlink>
          </w:p>
        </w:tc>
        <w:tc>
          <w:tcPr>
            <w:tcW w:w="3040" w:type="dxa"/>
            <w:vAlign w:val="bottom"/>
            <w:gridSpan w:val="2"/>
          </w:tcPr>
          <w:p>
            <w:pPr>
              <w:spacing w:after="0"/>
              <w:rPr>
                <w:sz w:val="21"/>
                <w:szCs w:val="21"/>
                <w:color w:val="auto"/>
              </w:rPr>
            </w:pPr>
          </w:p>
        </w:tc>
        <w:tc>
          <w:tcPr>
            <w:tcW w:w="700" w:type="dxa"/>
            <w:vAlign w:val="bottom"/>
            <w:gridSpan w:val="3"/>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70">
              <w:r>
                <w:rPr>
                  <w:rFonts w:ascii="Arial" w:cs="Arial" w:eastAsia="Arial" w:hAnsi="Arial"/>
                  <w:sz w:val="18"/>
                  <w:szCs w:val="18"/>
                  <w:color w:val="0000EE"/>
                  <w:w w:val="90"/>
                </w:rPr>
                <w:t>Consolidated Statement of Redeemable Convertible Preferred Stock and Stockholders’ Equity (Deficit) for the years ended January 31, 2019,</w:t>
              </w:r>
            </w:hyperlink>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40" w:type="dxa"/>
            <w:vAlign w:val="bottom"/>
            <w:gridSpan w:val="9"/>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2018 and 2017</w:t>
              </w:r>
            </w:hyperlink>
          </w:p>
        </w:tc>
        <w:tc>
          <w:tcPr>
            <w:tcW w:w="700" w:type="dxa"/>
            <w:vAlign w:val="bottom"/>
            <w:gridSpan w:val="3"/>
          </w:tcPr>
          <w:p>
            <w:pPr>
              <w:jc w:val="right"/>
              <w:ind w:right="20"/>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40" w:type="dxa"/>
            <w:vAlign w:val="bottom"/>
            <w:gridSpan w:val="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Statements of Cash Flows for years ended January 31, 2019, 2018 and 2017</w:t>
              </w:r>
            </w:hyperlink>
          </w:p>
        </w:tc>
        <w:tc>
          <w:tcPr>
            <w:tcW w:w="700" w:type="dxa"/>
            <w:vAlign w:val="bottom"/>
            <w:gridSpan w:val="3"/>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60" w:type="dxa"/>
            <w:vAlign w:val="bottom"/>
            <w:gridSpan w:val="5"/>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Notes to Consolidated Financial Statements</w:t>
              </w:r>
            </w:hyperlink>
          </w:p>
        </w:tc>
        <w:tc>
          <w:tcPr>
            <w:tcW w:w="3980" w:type="dxa"/>
            <w:vAlign w:val="bottom"/>
            <w:gridSpan w:val="4"/>
          </w:tcPr>
          <w:p>
            <w:pPr>
              <w:spacing w:after="0"/>
              <w:rPr>
                <w:sz w:val="21"/>
                <w:szCs w:val="21"/>
                <w:color w:val="auto"/>
              </w:rPr>
            </w:pPr>
          </w:p>
        </w:tc>
        <w:tc>
          <w:tcPr>
            <w:tcW w:w="700" w:type="dxa"/>
            <w:vAlign w:val="bottom"/>
            <w:gridSpan w:val="3"/>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70</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table below details the activity of the allowance for doubtful accounts for the years ended January 31, 2019, 2018 and 2017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7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Balance at Beginning of</w:t>
            </w:r>
          </w:p>
        </w:tc>
        <w:tc>
          <w:tcPr>
            <w:tcW w:w="400" w:type="dxa"/>
            <w:vAlign w:val="bottom"/>
          </w:tcPr>
          <w:p>
            <w:pPr>
              <w:spacing w:after="0"/>
              <w:rPr>
                <w:sz w:val="14"/>
                <w:szCs w:val="14"/>
                <w:color w:val="auto"/>
              </w:rPr>
            </w:pPr>
          </w:p>
        </w:tc>
        <w:tc>
          <w:tcPr>
            <w:tcW w:w="14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Additions</w:t>
            </w:r>
          </w:p>
        </w:tc>
        <w:tc>
          <w:tcPr>
            <w:tcW w:w="220" w:type="dxa"/>
            <w:vAlign w:val="bottom"/>
          </w:tcPr>
          <w:p>
            <w:pPr>
              <w:spacing w:after="0"/>
              <w:rPr>
                <w:sz w:val="14"/>
                <w:szCs w:val="14"/>
                <w:color w:val="auto"/>
              </w:rPr>
            </w:pPr>
          </w:p>
        </w:tc>
        <w:tc>
          <w:tcPr>
            <w:tcW w:w="15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5"/>
              </w:rPr>
              <w:t>Usage (Deductions)</w:t>
            </w:r>
          </w:p>
        </w:tc>
        <w:tc>
          <w:tcPr>
            <w:tcW w:w="180" w:type="dxa"/>
            <w:vAlign w:val="bottom"/>
          </w:tcPr>
          <w:p>
            <w:pPr>
              <w:spacing w:after="0"/>
              <w:rPr>
                <w:sz w:val="14"/>
                <w:szCs w:val="14"/>
                <w:color w:val="auto"/>
              </w:rPr>
            </w:pPr>
          </w:p>
        </w:tc>
        <w:tc>
          <w:tcPr>
            <w:tcW w:w="16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Balance at End of Year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Year</w:t>
            </w:r>
          </w:p>
        </w:tc>
        <w:tc>
          <w:tcPr>
            <w:tcW w:w="6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January 31, 2019</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140" w:type="dxa"/>
            <w:vAlign w:val="bottom"/>
          </w:tcPr>
          <w:p>
            <w:pPr>
              <w:jc w:val="right"/>
              <w:ind w:right="937"/>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1,238</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2,069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(1,768)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 valuation allowance</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77,265</w:t>
            </w: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24,237</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101,502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Year ended January 31, 2018</w:t>
            </w: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1140" w:type="dxa"/>
            <w:vAlign w:val="bottom"/>
            <w:tcBorders>
              <w:bottom w:val="single" w:sz="8" w:color="CCEEFF"/>
            </w:tcBorders>
            <w:shd w:val="clear" w:color="auto" w:fill="CCEEFF"/>
          </w:tcPr>
          <w:p>
            <w:pPr>
              <w:jc w:val="right"/>
              <w:ind w:right="937"/>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Deferred tax asset valuation allowance</w:t>
            </w: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80,758</w:t>
            </w: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3,493</w:t>
            </w:r>
          </w:p>
        </w:tc>
        <w:tc>
          <w:tcPr>
            <w:tcW w:w="18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77,265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January 31, 2017</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140" w:type="dxa"/>
            <w:vAlign w:val="bottom"/>
          </w:tcPr>
          <w:p>
            <w:pPr>
              <w:jc w:val="right"/>
              <w:ind w:right="937"/>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621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(332)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 valuation allowance</w:t>
            </w:r>
          </w:p>
        </w:tc>
        <w:tc>
          <w:tcPr>
            <w:tcW w:w="1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68,692</w:t>
            </w:r>
          </w:p>
        </w:tc>
        <w:tc>
          <w:tcPr>
            <w:tcW w:w="4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12,066*</w:t>
            </w: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80,758</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right="580" w:firstLine="8"/>
        <w:spacing w:after="0" w:line="277" w:lineRule="auto"/>
        <w:tabs>
          <w:tab w:leader="none" w:pos="1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additions to the deferred tax asset valuation allowance for the year ended January 31, 2017 reflect the adoption of Accounting Standards Update (“ASU”) No. 2014-09, Revenue from Contracts with Customers (“Topic 606”).</w:t>
      </w:r>
    </w:p>
    <w:p>
      <w:pPr>
        <w:spacing w:after="0" w:line="116"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All other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Form 10-K.</w:t>
      </w:r>
    </w:p>
    <w:p>
      <w:pPr>
        <w:spacing w:after="0" w:line="200" w:lineRule="exact"/>
        <w:rPr>
          <w:sz w:val="20"/>
          <w:szCs w:val="20"/>
          <w:color w:val="auto"/>
        </w:rPr>
      </w:pPr>
    </w:p>
    <w:p>
      <w:pPr>
        <w:spacing w:after="0" w:line="40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120" w:type="dxa"/>
            <w:vAlign w:val="bottom"/>
            <w:gridSpan w:val="2"/>
          </w:tcPr>
          <w:p>
            <w:pPr>
              <w:ind w:left="400"/>
              <w:spacing w:after="0"/>
              <w:rPr>
                <w:sz w:val="20"/>
                <w:szCs w:val="20"/>
                <w:color w:val="auto"/>
              </w:rPr>
            </w:pPr>
            <w:r>
              <w:rPr>
                <w:rFonts w:ascii="Arial" w:cs="Arial" w:eastAsia="Arial" w:hAnsi="Arial"/>
                <w:sz w:val="14"/>
                <w:szCs w:val="14"/>
                <w:b w:val="1"/>
                <w:bCs w:val="1"/>
                <w:color w:val="auto"/>
                <w:w w:val="95"/>
              </w:rPr>
              <w:t>Incorporated by Reference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040" w:type="dxa"/>
            <w:vAlign w:val="bottom"/>
            <w:gridSpan w:val="2"/>
          </w:tcPr>
          <w:p>
            <w:pPr>
              <w:ind w:left="220"/>
              <w:spacing w:after="0" w:line="147" w:lineRule="exact"/>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2"/>
                <w:szCs w:val="12"/>
                <w:color w:val="auto"/>
              </w:rPr>
            </w:pPr>
          </w:p>
        </w:tc>
        <w:tc>
          <w:tcPr>
            <w:tcW w:w="5460" w:type="dxa"/>
            <w:vAlign w:val="bottom"/>
            <w:gridSpan w:val="31"/>
            <w:vMerge w:val="restart"/>
          </w:tcPr>
          <w:p>
            <w:pPr>
              <w:spacing w:after="0"/>
              <w:rPr>
                <w:sz w:val="20"/>
                <w:szCs w:val="20"/>
                <w:color w:val="auto"/>
              </w:rPr>
            </w:pPr>
            <w:r>
              <w:rPr>
                <w:rFonts w:ascii="Arial" w:cs="Arial" w:eastAsia="Arial" w:hAnsi="Arial"/>
                <w:sz w:val="14"/>
                <w:szCs w:val="14"/>
                <w:b w:val="1"/>
                <w:bCs w:val="1"/>
                <w:color w:val="auto"/>
              </w:rPr>
              <w:t>Description</w:t>
            </w:r>
          </w:p>
        </w:tc>
        <w:tc>
          <w:tcPr>
            <w:tcW w:w="70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Form</w:t>
            </w:r>
          </w:p>
        </w:tc>
        <w:tc>
          <w:tcPr>
            <w:tcW w:w="1300" w:type="dxa"/>
            <w:vAlign w:val="bottom"/>
          </w:tcPr>
          <w:p>
            <w:pPr>
              <w:ind w:left="260"/>
              <w:spacing w:after="0" w:line="147" w:lineRule="exact"/>
              <w:rPr>
                <w:sz w:val="20"/>
                <w:szCs w:val="20"/>
                <w:color w:val="auto"/>
              </w:rPr>
            </w:pPr>
            <w:r>
              <w:rPr>
                <w:rFonts w:ascii="Arial" w:cs="Arial" w:eastAsia="Arial" w:hAnsi="Arial"/>
                <w:sz w:val="14"/>
                <w:szCs w:val="14"/>
                <w:b w:val="1"/>
                <w:bCs w:val="1"/>
                <w:color w:val="auto"/>
              </w:rPr>
              <w:t>File No.</w:t>
            </w:r>
          </w:p>
        </w:tc>
        <w:tc>
          <w:tcPr>
            <w:tcW w:w="820" w:type="dxa"/>
            <w:vAlign w:val="bottom"/>
          </w:tcPr>
          <w:p>
            <w:pPr>
              <w:ind w:left="200"/>
              <w:spacing w:after="0" w:line="147" w:lineRule="exact"/>
              <w:rPr>
                <w:sz w:val="20"/>
                <w:szCs w:val="20"/>
                <w:color w:val="auto"/>
              </w:rPr>
            </w:pPr>
            <w:r>
              <w:rPr>
                <w:rFonts w:ascii="Arial" w:cs="Arial" w:eastAsia="Arial" w:hAnsi="Arial"/>
                <w:sz w:val="14"/>
                <w:szCs w:val="14"/>
                <w:b w:val="1"/>
                <w:bCs w:val="1"/>
                <w:color w:val="auto"/>
              </w:rPr>
              <w:t>Exhibit</w:t>
            </w:r>
          </w:p>
        </w:tc>
        <w:tc>
          <w:tcPr>
            <w:tcW w:w="104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05"/>
        </w:trPr>
        <w:tc>
          <w:tcPr>
            <w:tcW w:w="9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Number</w:t>
            </w:r>
          </w:p>
        </w:tc>
        <w:tc>
          <w:tcPr>
            <w:tcW w:w="120" w:type="dxa"/>
            <w:vAlign w:val="bottom"/>
            <w:vMerge w:val="restart"/>
          </w:tcPr>
          <w:p>
            <w:pPr>
              <w:spacing w:after="0"/>
              <w:rPr>
                <w:sz w:val="9"/>
                <w:szCs w:val="9"/>
                <w:color w:val="auto"/>
              </w:rPr>
            </w:pPr>
          </w:p>
        </w:tc>
        <w:tc>
          <w:tcPr>
            <w:tcW w:w="40" w:type="dxa"/>
            <w:vAlign w:val="bottom"/>
          </w:tcPr>
          <w:p>
            <w:pPr>
              <w:spacing w:after="0"/>
              <w:rPr>
                <w:sz w:val="9"/>
                <w:szCs w:val="9"/>
                <w:color w:val="auto"/>
              </w:rPr>
            </w:pPr>
          </w:p>
        </w:tc>
        <w:tc>
          <w:tcPr>
            <w:tcW w:w="5460" w:type="dxa"/>
            <w:vAlign w:val="bottom"/>
            <w:gridSpan w:val="31"/>
            <w:vMerge w:val="continue"/>
          </w:tcPr>
          <w:p>
            <w:pPr>
              <w:spacing w:after="0"/>
              <w:rPr>
                <w:sz w:val="9"/>
                <w:szCs w:val="9"/>
                <w:color w:val="auto"/>
              </w:rPr>
            </w:pPr>
          </w:p>
        </w:tc>
        <w:tc>
          <w:tcPr>
            <w:tcW w:w="7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92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92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80" w:type="dxa"/>
            <w:vAlign w:val="bottom"/>
            <w:tcBorders>
              <w:bottom w:val="single" w:sz="8" w:color="0000FF"/>
            </w:tcBorders>
            <w:gridSpan w:val="18"/>
          </w:tcPr>
          <w:p>
            <w:pPr>
              <w:spacing w:after="0"/>
              <w:rPr>
                <w:rFonts w:ascii="Arial" w:cs="Arial" w:eastAsia="Arial" w:hAnsi="Arial"/>
                <w:sz w:val="18"/>
                <w:szCs w:val="18"/>
                <w:color w:val="0000FF"/>
                <w:w w:val="89"/>
              </w:rPr>
            </w:pPr>
            <w:hyperlink r:id="rId52">
              <w:r>
                <w:rPr>
                  <w:rFonts w:ascii="Arial" w:cs="Arial" w:eastAsia="Arial" w:hAnsi="Arial"/>
                  <w:sz w:val="18"/>
                  <w:szCs w:val="18"/>
                  <w:color w:val="0000FF"/>
                  <w:w w:val="89"/>
                </w:rPr>
                <w:t>Agreement and Plan of Merger, dated as of October 9, 2018, by and</w:t>
              </w:r>
            </w:hyperlink>
          </w:p>
        </w:tc>
        <w:tc>
          <w:tcPr>
            <w:tcW w:w="580" w:type="dxa"/>
            <w:vAlign w:val="bottom"/>
            <w:gridSpan w:val="13"/>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10-Q</w:t>
            </w:r>
          </w:p>
        </w:tc>
        <w:tc>
          <w:tcPr>
            <w:tcW w:w="1300" w:type="dxa"/>
            <w:vAlign w:val="bottom"/>
          </w:tcPr>
          <w:p>
            <w:pPr>
              <w:ind w:left="260"/>
              <w:spacing w:after="0"/>
              <w:rPr>
                <w:sz w:val="20"/>
                <w:szCs w:val="20"/>
                <w:color w:val="auto"/>
              </w:rPr>
            </w:pPr>
            <w:r>
              <w:rPr>
                <w:rFonts w:ascii="Arial" w:cs="Arial" w:eastAsia="Arial" w:hAnsi="Arial"/>
                <w:sz w:val="18"/>
                <w:szCs w:val="18"/>
                <w:color w:val="auto"/>
              </w:rPr>
              <w:t>001-38240</w:t>
            </w:r>
          </w:p>
        </w:tc>
        <w:tc>
          <w:tcPr>
            <w:tcW w:w="820" w:type="dxa"/>
            <w:vAlign w:val="bottom"/>
          </w:tcPr>
          <w:p>
            <w:pPr>
              <w:jc w:val="center"/>
              <w:ind w:left="111"/>
              <w:spacing w:after="0"/>
              <w:rPr>
                <w:sz w:val="20"/>
                <w:szCs w:val="20"/>
                <w:color w:val="auto"/>
              </w:rPr>
            </w:pPr>
            <w:r>
              <w:rPr>
                <w:rFonts w:ascii="Arial" w:cs="Arial" w:eastAsia="Arial" w:hAnsi="Arial"/>
                <w:sz w:val="18"/>
                <w:szCs w:val="18"/>
                <w:color w:val="auto"/>
                <w:w w:val="87"/>
              </w:rPr>
              <w:t>2.1</w:t>
            </w:r>
          </w:p>
        </w:tc>
        <w:tc>
          <w:tcPr>
            <w:tcW w:w="1040" w:type="dxa"/>
            <w:vAlign w:val="bottom"/>
          </w:tcPr>
          <w:p>
            <w:pPr>
              <w:ind w:left="40"/>
              <w:spacing w:after="0"/>
              <w:rPr>
                <w:sz w:val="20"/>
                <w:szCs w:val="20"/>
                <w:color w:val="auto"/>
              </w:rPr>
            </w:pPr>
            <w:r>
              <w:rPr>
                <w:rFonts w:ascii="Arial" w:cs="Arial" w:eastAsia="Arial" w:hAnsi="Arial"/>
                <w:sz w:val="18"/>
                <w:szCs w:val="18"/>
                <w:color w:val="auto"/>
              </w:rPr>
              <w:t>12/16/18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31"/>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among the Company, Mammoth Merger Sub, Inc., ObjectLabs</w:t>
              </w:r>
            </w:hyperlink>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4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89"/>
              </w:rPr>
            </w:pPr>
            <w:hyperlink r:id="rId52">
              <w:r>
                <w:rPr>
                  <w:rFonts w:ascii="Arial" w:cs="Arial" w:eastAsia="Arial" w:hAnsi="Arial"/>
                  <w:sz w:val="18"/>
                  <w:szCs w:val="18"/>
                  <w:color w:val="0000FF"/>
                  <w:w w:val="89"/>
                </w:rPr>
                <w:t>Corporation and Shareholder Representative Services LLC</w:t>
              </w:r>
            </w:hyperlink>
          </w:p>
        </w:tc>
        <w:tc>
          <w:tcPr>
            <w:tcW w:w="260" w:type="dxa"/>
            <w:vAlign w:val="bottom"/>
            <w:tcBorders>
              <w:top w:val="single" w:sz="8" w:color="0000FF"/>
            </w:tcBorders>
          </w:tcPr>
          <w:p>
            <w:pPr>
              <w:spacing w:after="0"/>
              <w:rPr>
                <w:sz w:val="17"/>
                <w:szCs w:val="17"/>
                <w:color w:val="auto"/>
              </w:rPr>
            </w:pPr>
          </w:p>
        </w:tc>
        <w:tc>
          <w:tcPr>
            <w:tcW w:w="960" w:type="dxa"/>
            <w:vAlign w:val="bottom"/>
            <w:gridSpan w:val="16"/>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31"/>
          </w:tcPr>
          <w:p>
            <w:pPr>
              <w:spacing w:after="0"/>
              <w:rPr>
                <w:rFonts w:ascii="Arial" w:cs="Arial" w:eastAsia="Arial" w:hAnsi="Arial"/>
                <w:sz w:val="18"/>
                <w:szCs w:val="18"/>
                <w:color w:val="0000FF"/>
              </w:rPr>
            </w:pPr>
            <w:hyperlink r:id="rId53">
              <w:r>
                <w:rPr>
                  <w:rFonts w:ascii="Arial" w:cs="Arial" w:eastAsia="Arial" w:hAnsi="Arial"/>
                  <w:sz w:val="18"/>
                  <w:szCs w:val="18"/>
                  <w:color w:val="0000FF"/>
                </w:rPr>
                <w:t>Amended and Restated Certificate of Incorporation of Registrant</w:t>
              </w:r>
            </w:hyperlink>
          </w:p>
        </w:tc>
        <w:tc>
          <w:tcPr>
            <w:tcW w:w="700" w:type="dxa"/>
            <w:vAlign w:val="bottom"/>
          </w:tcPr>
          <w:p>
            <w:pPr>
              <w:ind w:left="40"/>
              <w:spacing w:after="0"/>
              <w:rPr>
                <w:sz w:val="20"/>
                <w:szCs w:val="20"/>
                <w:color w:val="auto"/>
              </w:rPr>
            </w:pPr>
            <w:r>
              <w:rPr>
                <w:rFonts w:ascii="Arial" w:cs="Arial" w:eastAsia="Arial" w:hAnsi="Arial"/>
                <w:sz w:val="18"/>
                <w:szCs w:val="18"/>
                <w:color w:val="auto"/>
              </w:rPr>
              <w:t>8-K</w:t>
            </w:r>
          </w:p>
        </w:tc>
        <w:tc>
          <w:tcPr>
            <w:tcW w:w="1300" w:type="dxa"/>
            <w:vAlign w:val="bottom"/>
          </w:tcPr>
          <w:p>
            <w:pPr>
              <w:ind w:left="260"/>
              <w:spacing w:after="0"/>
              <w:rPr>
                <w:sz w:val="20"/>
                <w:szCs w:val="20"/>
                <w:color w:val="auto"/>
              </w:rPr>
            </w:pPr>
            <w:r>
              <w:rPr>
                <w:rFonts w:ascii="Arial" w:cs="Arial" w:eastAsia="Arial" w:hAnsi="Arial"/>
                <w:sz w:val="18"/>
                <w:szCs w:val="18"/>
                <w:color w:val="auto"/>
              </w:rPr>
              <w:t>001-38240</w:t>
            </w:r>
          </w:p>
        </w:tc>
        <w:tc>
          <w:tcPr>
            <w:tcW w:w="820" w:type="dxa"/>
            <w:vAlign w:val="bottom"/>
          </w:tcPr>
          <w:p>
            <w:pPr>
              <w:jc w:val="center"/>
              <w:ind w:left="111"/>
              <w:spacing w:after="0"/>
              <w:rPr>
                <w:sz w:val="20"/>
                <w:szCs w:val="20"/>
                <w:color w:val="auto"/>
              </w:rPr>
            </w:pPr>
            <w:r>
              <w:rPr>
                <w:rFonts w:ascii="Arial" w:cs="Arial" w:eastAsia="Arial" w:hAnsi="Arial"/>
                <w:sz w:val="18"/>
                <w:szCs w:val="18"/>
                <w:color w:val="auto"/>
                <w:w w:val="87"/>
              </w:rPr>
              <w:t>3.1</w:t>
            </w:r>
          </w:p>
        </w:tc>
        <w:tc>
          <w:tcPr>
            <w:tcW w:w="1040" w:type="dxa"/>
            <w:vAlign w:val="bottom"/>
          </w:tcPr>
          <w:p>
            <w:pPr>
              <w:ind w:left="40"/>
              <w:spacing w:after="0"/>
              <w:rPr>
                <w:sz w:val="20"/>
                <w:szCs w:val="20"/>
                <w:color w:val="auto"/>
              </w:rPr>
            </w:pPr>
            <w:r>
              <w:rPr>
                <w:rFonts w:ascii="Arial" w:cs="Arial" w:eastAsia="Arial" w:hAnsi="Arial"/>
                <w:sz w:val="18"/>
                <w:szCs w:val="18"/>
                <w:color w:val="auto"/>
              </w:rPr>
              <w:t>10/25/17</w:t>
            </w: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60" w:type="dxa"/>
            <w:vAlign w:val="bottom"/>
            <w:tcBorders>
              <w:top w:val="single" w:sz="8" w:color="0000FF"/>
            </w:tcBorders>
            <w:gridSpan w:val="16"/>
          </w:tcPr>
          <w:p>
            <w:pPr>
              <w:spacing w:after="0"/>
              <w:rPr>
                <w:rFonts w:ascii="Arial" w:cs="Arial" w:eastAsia="Arial" w:hAnsi="Arial"/>
                <w:sz w:val="18"/>
                <w:szCs w:val="18"/>
                <w:color w:val="0000FF"/>
              </w:rPr>
            </w:pPr>
            <w:hyperlink r:id="rId54">
              <w:r>
                <w:rPr>
                  <w:rFonts w:ascii="Arial" w:cs="Arial" w:eastAsia="Arial" w:hAnsi="Arial"/>
                  <w:sz w:val="18"/>
                  <w:szCs w:val="18"/>
                  <w:color w:val="0000FF"/>
                </w:rPr>
                <w:t>Amended and Restated Bylaws of Registrant</w:t>
              </w:r>
            </w:hyperlink>
          </w:p>
        </w:tc>
        <w:tc>
          <w:tcPr>
            <w:tcW w:w="800" w:type="dxa"/>
            <w:vAlign w:val="bottom"/>
            <w:gridSpan w:val="15"/>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S-1</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center"/>
              <w:ind w:left="111"/>
              <w:spacing w:after="0"/>
              <w:rPr>
                <w:sz w:val="20"/>
                <w:szCs w:val="20"/>
                <w:color w:val="auto"/>
              </w:rPr>
            </w:pPr>
            <w:r>
              <w:rPr>
                <w:rFonts w:ascii="Arial" w:cs="Arial" w:eastAsia="Arial" w:hAnsi="Arial"/>
                <w:sz w:val="18"/>
                <w:szCs w:val="18"/>
                <w:color w:val="auto"/>
                <w:w w:val="87"/>
              </w:rPr>
              <w:t>3.4</w:t>
            </w:r>
          </w:p>
        </w:tc>
        <w:tc>
          <w:tcPr>
            <w:tcW w:w="1040" w:type="dxa"/>
            <w:vAlign w:val="bottom"/>
          </w:tcPr>
          <w:p>
            <w:pPr>
              <w:ind w:left="40"/>
              <w:spacing w:after="0"/>
              <w:rPr>
                <w:sz w:val="20"/>
                <w:szCs w:val="20"/>
                <w:color w:val="auto"/>
              </w:rPr>
            </w:pPr>
            <w:r>
              <w:rPr>
                <w:rFonts w:ascii="Arial" w:cs="Arial" w:eastAsia="Arial" w:hAnsi="Arial"/>
                <w:sz w:val="18"/>
                <w:szCs w:val="18"/>
                <w:color w:val="auto"/>
              </w:rPr>
              <w:t>9/21/17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40" w:type="dxa"/>
            <w:vAlign w:val="bottom"/>
            <w:tcBorders>
              <w:bottom w:val="single" w:sz="8" w:color="0000FF"/>
            </w:tcBorders>
            <w:gridSpan w:val="13"/>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Form of Class A common stock certificate of Registrant</w:t>
              </w:r>
            </w:hyperlink>
          </w:p>
        </w:tc>
        <w:tc>
          <w:tcPr>
            <w:tcW w:w="1420" w:type="dxa"/>
            <w:vAlign w:val="bottom"/>
            <w:gridSpan w:val="18"/>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center"/>
              <w:ind w:left="111"/>
              <w:spacing w:after="0"/>
              <w:rPr>
                <w:sz w:val="20"/>
                <w:szCs w:val="20"/>
                <w:color w:val="auto"/>
              </w:rPr>
            </w:pPr>
            <w:r>
              <w:rPr>
                <w:rFonts w:ascii="Arial" w:cs="Arial" w:eastAsia="Arial" w:hAnsi="Arial"/>
                <w:sz w:val="18"/>
                <w:szCs w:val="18"/>
                <w:color w:val="auto"/>
                <w:w w:val="87"/>
              </w:rPr>
              <w:t>4.1</w:t>
            </w:r>
          </w:p>
        </w:tc>
        <w:tc>
          <w:tcPr>
            <w:tcW w:w="1040" w:type="dxa"/>
            <w:vAlign w:val="bottom"/>
          </w:tcPr>
          <w:p>
            <w:pPr>
              <w:ind w:left="40"/>
              <w:spacing w:after="0"/>
              <w:rPr>
                <w:sz w:val="20"/>
                <w:szCs w:val="20"/>
                <w:color w:val="auto"/>
              </w:rPr>
            </w:pPr>
            <w:r>
              <w:rPr>
                <w:rFonts w:ascii="Arial" w:cs="Arial" w:eastAsia="Arial" w:hAnsi="Arial"/>
                <w:sz w:val="18"/>
                <w:szCs w:val="18"/>
                <w:color w:val="auto"/>
              </w:rPr>
              <w:t>10/6/17</w:t>
            </w:r>
          </w:p>
        </w:tc>
        <w:tc>
          <w:tcPr>
            <w:tcW w:w="0" w:type="dxa"/>
            <w:vAlign w:val="bottom"/>
          </w:tcPr>
          <w:p>
            <w:pPr>
              <w:spacing w:after="0"/>
              <w:rPr>
                <w:sz w:val="1"/>
                <w:szCs w:val="1"/>
                <w:color w:val="auto"/>
              </w:rPr>
            </w:pPr>
          </w:p>
        </w:tc>
      </w:tr>
      <w:tr>
        <w:trPr>
          <w:trHeight w:val="250"/>
        </w:trPr>
        <w:tc>
          <w:tcPr>
            <w:tcW w:w="9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60" w:type="dxa"/>
            <w:vAlign w:val="bottom"/>
            <w:gridSpan w:val="31"/>
          </w:tcPr>
          <w:p>
            <w:pPr>
              <w:spacing w:after="0"/>
              <w:rPr>
                <w:rFonts w:ascii="Arial" w:cs="Arial" w:eastAsia="Arial" w:hAnsi="Arial"/>
                <w:sz w:val="18"/>
                <w:szCs w:val="18"/>
                <w:color w:val="0000FF"/>
                <w:w w:val="93"/>
              </w:rPr>
            </w:pPr>
            <w:hyperlink r:id="rId56">
              <w:r>
                <w:rPr>
                  <w:rFonts w:ascii="Arial" w:cs="Arial" w:eastAsia="Arial" w:hAnsi="Arial"/>
                  <w:sz w:val="18"/>
                  <w:szCs w:val="18"/>
                  <w:color w:val="0000FF"/>
                  <w:w w:val="93"/>
                </w:rPr>
                <w:t>Fifth Amended and Restated Investors’ Rights Agreement by and among</w:t>
              </w:r>
            </w:hyperlink>
          </w:p>
        </w:tc>
        <w:tc>
          <w:tcPr>
            <w:tcW w:w="700" w:type="dxa"/>
            <w:vAlign w:val="bottom"/>
          </w:tcPr>
          <w:p>
            <w:pPr>
              <w:ind w:left="40"/>
              <w:spacing w:after="0"/>
              <w:rPr>
                <w:sz w:val="20"/>
                <w:szCs w:val="20"/>
                <w:color w:val="auto"/>
              </w:rPr>
            </w:pPr>
            <w:r>
              <w:rPr>
                <w:rFonts w:ascii="Arial" w:cs="Arial" w:eastAsia="Arial" w:hAnsi="Arial"/>
                <w:sz w:val="18"/>
                <w:szCs w:val="18"/>
                <w:color w:val="auto"/>
              </w:rPr>
              <w:t>S-1</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center"/>
              <w:ind w:left="111"/>
              <w:spacing w:after="0"/>
              <w:rPr>
                <w:sz w:val="20"/>
                <w:szCs w:val="20"/>
                <w:color w:val="auto"/>
              </w:rPr>
            </w:pPr>
            <w:r>
              <w:rPr>
                <w:rFonts w:ascii="Arial" w:cs="Arial" w:eastAsia="Arial" w:hAnsi="Arial"/>
                <w:sz w:val="18"/>
                <w:szCs w:val="18"/>
                <w:color w:val="auto"/>
                <w:w w:val="87"/>
              </w:rPr>
              <w:t>4.1</w:t>
            </w:r>
          </w:p>
        </w:tc>
        <w:tc>
          <w:tcPr>
            <w:tcW w:w="1040" w:type="dxa"/>
            <w:vAlign w:val="bottom"/>
          </w:tcPr>
          <w:p>
            <w:pPr>
              <w:ind w:left="260"/>
              <w:spacing w:after="0"/>
              <w:rPr>
                <w:sz w:val="20"/>
                <w:szCs w:val="20"/>
                <w:color w:val="auto"/>
              </w:rPr>
            </w:pPr>
            <w:r>
              <w:rPr>
                <w:rFonts w:ascii="Arial" w:cs="Arial" w:eastAsia="Arial" w:hAnsi="Arial"/>
                <w:sz w:val="18"/>
                <w:szCs w:val="18"/>
                <w:color w:val="auto"/>
              </w:rPr>
              <w:t>9/21/17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0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89"/>
              </w:rPr>
            </w:pPr>
            <w:hyperlink r:id="rId56">
              <w:r>
                <w:rPr>
                  <w:rFonts w:ascii="Arial" w:cs="Arial" w:eastAsia="Arial" w:hAnsi="Arial"/>
                  <w:sz w:val="18"/>
                  <w:szCs w:val="18"/>
                  <w:color w:val="0000FF"/>
                  <w:w w:val="89"/>
                </w:rPr>
                <w:t>the Registrant and certain of its stockholders, dated October 2, 2013</w:t>
              </w:r>
            </w:hyperlink>
          </w:p>
        </w:tc>
        <w:tc>
          <w:tcPr>
            <w:tcW w:w="340" w:type="dxa"/>
            <w:vAlign w:val="bottom"/>
            <w:tcBorders>
              <w:top w:val="single" w:sz="8" w:color="0000FF"/>
            </w:tcBorders>
            <w:gridSpan w:val="9"/>
          </w:tcPr>
          <w:p>
            <w:pPr>
              <w:spacing w:after="0"/>
              <w:rPr>
                <w:sz w:val="17"/>
                <w:szCs w:val="17"/>
                <w:color w:val="auto"/>
              </w:rPr>
            </w:pPr>
          </w:p>
        </w:tc>
        <w:tc>
          <w:tcPr>
            <w:tcW w:w="22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tcBorders>
              <w:bottom w:val="single" w:sz="8" w:color="0000FF"/>
            </w:tcBorders>
            <w:gridSpan w:val="26"/>
          </w:tcPr>
          <w:p>
            <w:pPr>
              <w:spacing w:after="0"/>
              <w:rPr>
                <w:rFonts w:ascii="Arial" w:cs="Arial" w:eastAsia="Arial" w:hAnsi="Arial"/>
                <w:sz w:val="18"/>
                <w:szCs w:val="18"/>
                <w:color w:val="0000FF"/>
                <w:w w:val="88"/>
              </w:rPr>
            </w:pPr>
            <w:hyperlink r:id="rId57">
              <w:r>
                <w:rPr>
                  <w:rFonts w:ascii="Arial" w:cs="Arial" w:eastAsia="Arial" w:hAnsi="Arial"/>
                  <w:sz w:val="18"/>
                  <w:szCs w:val="18"/>
                  <w:color w:val="0000FF"/>
                  <w:w w:val="88"/>
                </w:rPr>
                <w:t>Indenture, dated as of June 28, 2018, by and between the Registrant and</w:t>
              </w:r>
            </w:hyperlink>
          </w:p>
        </w:tc>
        <w:tc>
          <w:tcPr>
            <w:tcW w:w="280" w:type="dxa"/>
            <w:vAlign w:val="bottom"/>
            <w:gridSpan w:val="5"/>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8-K</w:t>
            </w:r>
          </w:p>
        </w:tc>
        <w:tc>
          <w:tcPr>
            <w:tcW w:w="1300" w:type="dxa"/>
            <w:vAlign w:val="bottom"/>
          </w:tcPr>
          <w:p>
            <w:pPr>
              <w:ind w:left="260"/>
              <w:spacing w:after="0"/>
              <w:rPr>
                <w:sz w:val="20"/>
                <w:szCs w:val="20"/>
                <w:color w:val="auto"/>
              </w:rPr>
            </w:pPr>
            <w:r>
              <w:rPr>
                <w:rFonts w:ascii="Arial" w:cs="Arial" w:eastAsia="Arial" w:hAnsi="Arial"/>
                <w:sz w:val="18"/>
                <w:szCs w:val="18"/>
                <w:color w:val="auto"/>
              </w:rPr>
              <w:t>001-38240</w:t>
            </w:r>
          </w:p>
        </w:tc>
        <w:tc>
          <w:tcPr>
            <w:tcW w:w="820" w:type="dxa"/>
            <w:vAlign w:val="bottom"/>
          </w:tcPr>
          <w:p>
            <w:pPr>
              <w:jc w:val="center"/>
              <w:ind w:left="111"/>
              <w:spacing w:after="0"/>
              <w:rPr>
                <w:sz w:val="20"/>
                <w:szCs w:val="20"/>
                <w:color w:val="auto"/>
              </w:rPr>
            </w:pPr>
            <w:r>
              <w:rPr>
                <w:rFonts w:ascii="Arial" w:cs="Arial" w:eastAsia="Arial" w:hAnsi="Arial"/>
                <w:sz w:val="18"/>
                <w:szCs w:val="18"/>
                <w:color w:val="auto"/>
                <w:w w:val="87"/>
              </w:rPr>
              <w:t>4.1</w:t>
            </w:r>
          </w:p>
        </w:tc>
        <w:tc>
          <w:tcPr>
            <w:tcW w:w="1040" w:type="dxa"/>
            <w:vAlign w:val="bottom"/>
          </w:tcPr>
          <w:p>
            <w:pPr>
              <w:ind w:left="260"/>
              <w:spacing w:after="0"/>
              <w:rPr>
                <w:sz w:val="20"/>
                <w:szCs w:val="20"/>
                <w:color w:val="auto"/>
              </w:rPr>
            </w:pPr>
            <w:r>
              <w:rPr>
                <w:rFonts w:ascii="Arial" w:cs="Arial" w:eastAsia="Arial" w:hAnsi="Arial"/>
                <w:sz w:val="18"/>
                <w:szCs w:val="18"/>
                <w:color w:val="auto"/>
              </w:rPr>
              <w:t>6/28/18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2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U.S. Bank National Association, as Trustee</w:t>
              </w:r>
            </w:hyperlink>
          </w:p>
        </w:tc>
        <w:tc>
          <w:tcPr>
            <w:tcW w:w="2340" w:type="dxa"/>
            <w:vAlign w:val="bottom"/>
            <w:gridSpan w:val="22"/>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0" w:type="dxa"/>
            <w:vAlign w:val="bottom"/>
            <w:tcBorders>
              <w:bottom w:val="single" w:sz="8" w:color="0000FF"/>
            </w:tcBorders>
            <w:gridSpan w:val="27"/>
          </w:tcPr>
          <w:p>
            <w:pPr>
              <w:spacing w:after="0"/>
              <w:rPr>
                <w:rFonts w:ascii="Arial" w:cs="Arial" w:eastAsia="Arial" w:hAnsi="Arial"/>
                <w:sz w:val="18"/>
                <w:szCs w:val="18"/>
                <w:color w:val="0000FF"/>
                <w:w w:val="92"/>
              </w:rPr>
            </w:pPr>
            <w:hyperlink r:id="rId58">
              <w:r>
                <w:rPr>
                  <w:rFonts w:ascii="Arial" w:cs="Arial" w:eastAsia="Arial" w:hAnsi="Arial"/>
                  <w:sz w:val="18"/>
                  <w:szCs w:val="18"/>
                  <w:color w:val="0000FF"/>
                  <w:w w:val="92"/>
                </w:rPr>
                <w:t>Form of Global Note, representing MongoDB, Inc.’s 0.75% Convertible</w:t>
              </w:r>
            </w:hyperlink>
          </w:p>
        </w:tc>
        <w:tc>
          <w:tcPr>
            <w:tcW w:w="260" w:type="dxa"/>
            <w:vAlign w:val="bottom"/>
            <w:gridSpan w:val="4"/>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8-K</w:t>
            </w:r>
          </w:p>
        </w:tc>
        <w:tc>
          <w:tcPr>
            <w:tcW w:w="1300" w:type="dxa"/>
            <w:vAlign w:val="bottom"/>
          </w:tcPr>
          <w:p>
            <w:pPr>
              <w:ind w:left="260"/>
              <w:spacing w:after="0"/>
              <w:rPr>
                <w:sz w:val="20"/>
                <w:szCs w:val="20"/>
                <w:color w:val="auto"/>
              </w:rPr>
            </w:pPr>
            <w:r>
              <w:rPr>
                <w:rFonts w:ascii="Arial" w:cs="Arial" w:eastAsia="Arial" w:hAnsi="Arial"/>
                <w:sz w:val="18"/>
                <w:szCs w:val="18"/>
                <w:color w:val="auto"/>
              </w:rPr>
              <w:t>001-38240</w:t>
            </w:r>
          </w:p>
        </w:tc>
        <w:tc>
          <w:tcPr>
            <w:tcW w:w="820" w:type="dxa"/>
            <w:vAlign w:val="bottom"/>
          </w:tcPr>
          <w:p>
            <w:pPr>
              <w:jc w:val="center"/>
              <w:ind w:left="111"/>
              <w:spacing w:after="0"/>
              <w:rPr>
                <w:sz w:val="20"/>
                <w:szCs w:val="20"/>
                <w:color w:val="auto"/>
              </w:rPr>
            </w:pPr>
            <w:r>
              <w:rPr>
                <w:rFonts w:ascii="Arial" w:cs="Arial" w:eastAsia="Arial" w:hAnsi="Arial"/>
                <w:sz w:val="18"/>
                <w:szCs w:val="18"/>
                <w:color w:val="auto"/>
                <w:w w:val="87"/>
              </w:rPr>
              <w:t>4.2</w:t>
            </w:r>
          </w:p>
        </w:tc>
        <w:tc>
          <w:tcPr>
            <w:tcW w:w="1040" w:type="dxa"/>
            <w:vAlign w:val="bottom"/>
          </w:tcPr>
          <w:p>
            <w:pPr>
              <w:ind w:left="260"/>
              <w:spacing w:after="0"/>
              <w:rPr>
                <w:sz w:val="20"/>
                <w:szCs w:val="20"/>
                <w:color w:val="auto"/>
              </w:rPr>
            </w:pPr>
            <w:r>
              <w:rPr>
                <w:rFonts w:ascii="Arial" w:cs="Arial" w:eastAsia="Arial" w:hAnsi="Arial"/>
                <w:sz w:val="18"/>
                <w:szCs w:val="18"/>
                <w:color w:val="auto"/>
              </w:rPr>
              <w:t>6/28/18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31"/>
          </w:tcPr>
          <w:p>
            <w:pPr>
              <w:spacing w:after="0" w:line="196" w:lineRule="exact"/>
              <w:rPr>
                <w:rFonts w:ascii="Arial" w:cs="Arial" w:eastAsia="Arial" w:hAnsi="Arial"/>
                <w:sz w:val="18"/>
                <w:szCs w:val="18"/>
                <w:color w:val="0000FF"/>
                <w:w w:val="97"/>
              </w:rPr>
            </w:pPr>
            <w:hyperlink r:id="rId58">
              <w:r>
                <w:rPr>
                  <w:rFonts w:ascii="Arial" w:cs="Arial" w:eastAsia="Arial" w:hAnsi="Arial"/>
                  <w:sz w:val="18"/>
                  <w:szCs w:val="18"/>
                  <w:color w:val="0000FF"/>
                  <w:w w:val="97"/>
                </w:rPr>
                <w:t>Senior Notes due 2024 (included as Exhibit A to the Indenture filed as</w:t>
              </w:r>
            </w:hyperlink>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Exhibit 4.3)</w:t>
              </w:r>
            </w:hyperlink>
          </w:p>
        </w:tc>
        <w:tc>
          <w:tcPr>
            <w:tcW w:w="4200" w:type="dxa"/>
            <w:vAlign w:val="bottom"/>
            <w:tcBorders>
              <w:top w:val="single" w:sz="8" w:color="0000FF"/>
            </w:tcBorders>
            <w:gridSpan w:val="21"/>
          </w:tcPr>
          <w:p>
            <w:pPr>
              <w:spacing w:after="0"/>
              <w:rPr>
                <w:sz w:val="17"/>
                <w:szCs w:val="17"/>
                <w:color w:val="auto"/>
              </w:rPr>
            </w:pPr>
          </w:p>
        </w:tc>
        <w:tc>
          <w:tcPr>
            <w:tcW w:w="40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tcBorders>
              <w:bottom w:val="single" w:sz="8" w:color="0000FF"/>
            </w:tcBorders>
            <w:gridSpan w:val="29"/>
          </w:tcPr>
          <w:p>
            <w:pPr>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2008 Stock Incentive Plan and Forms of Option Agreement and Exercise</w:t>
              </w:r>
            </w:hyperlink>
          </w:p>
        </w:tc>
        <w:tc>
          <w:tcPr>
            <w:tcW w:w="200" w:type="dxa"/>
            <w:vAlign w:val="bottom"/>
            <w:gridSpan w:val="2"/>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S-1</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1"/>
              </w:rPr>
              <w:t>10.1</w:t>
            </w:r>
          </w:p>
        </w:tc>
        <w:tc>
          <w:tcPr>
            <w:tcW w:w="1040" w:type="dxa"/>
            <w:vAlign w:val="bottom"/>
          </w:tcPr>
          <w:p>
            <w:pPr>
              <w:ind w:left="260"/>
              <w:spacing w:after="0"/>
              <w:rPr>
                <w:sz w:val="20"/>
                <w:szCs w:val="20"/>
                <w:color w:val="auto"/>
              </w:rPr>
            </w:pPr>
            <w:r>
              <w:rPr>
                <w:rFonts w:ascii="Arial" w:cs="Arial" w:eastAsia="Arial" w:hAnsi="Arial"/>
                <w:sz w:val="18"/>
                <w:szCs w:val="18"/>
                <w:color w:val="auto"/>
              </w:rPr>
              <w:t>9/21/17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31"/>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Notice thereunder, as amended to date</w:t>
              </w:r>
            </w:hyperlink>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40" w:type="dxa"/>
            <w:vAlign w:val="bottom"/>
            <w:tcBorders>
              <w:bottom w:val="single" w:sz="8" w:color="0000FF"/>
            </w:tcBorders>
            <w:gridSpan w:val="25"/>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Amended and Restated 2016 Equity Incentive Plan and Forms of Stock</w:t>
              </w:r>
            </w:hyperlink>
          </w:p>
        </w:tc>
        <w:tc>
          <w:tcPr>
            <w:tcW w:w="320" w:type="dxa"/>
            <w:vAlign w:val="bottom"/>
            <w:gridSpan w:val="6"/>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1"/>
              </w:rPr>
              <w:t>10.2</w:t>
            </w:r>
          </w:p>
        </w:tc>
        <w:tc>
          <w:tcPr>
            <w:tcW w:w="1040" w:type="dxa"/>
            <w:vAlign w:val="bottom"/>
          </w:tcPr>
          <w:p>
            <w:pPr>
              <w:ind w:left="260"/>
              <w:spacing w:after="0"/>
              <w:rPr>
                <w:sz w:val="20"/>
                <w:szCs w:val="20"/>
                <w:color w:val="auto"/>
              </w:rPr>
            </w:pPr>
            <w:r>
              <w:rPr>
                <w:rFonts w:ascii="Arial" w:cs="Arial" w:eastAsia="Arial" w:hAnsi="Arial"/>
                <w:sz w:val="18"/>
                <w:szCs w:val="18"/>
                <w:color w:val="auto"/>
              </w:rPr>
              <w:t>10/6/17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0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Option Agreement, Notice of Exercise, Stock Option Grant Notice and</w:t>
              </w:r>
            </w:hyperlink>
          </w:p>
        </w:tc>
        <w:tc>
          <w:tcPr>
            <w:tcW w:w="36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31"/>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Restricted Stock Unit Award Agreement thereunder</w:t>
              </w:r>
            </w:hyperlink>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tcBorders>
              <w:bottom w:val="single" w:sz="8" w:color="0000FF"/>
            </w:tcBorders>
            <w:gridSpan w:val="20"/>
          </w:tcPr>
          <w:p>
            <w:pPr>
              <w:spacing w:after="0"/>
              <w:rPr>
                <w:rFonts w:ascii="Arial" w:cs="Arial" w:eastAsia="Arial" w:hAnsi="Arial"/>
                <w:sz w:val="18"/>
                <w:szCs w:val="18"/>
                <w:color w:val="0000FF"/>
                <w:w w:val="90"/>
              </w:rPr>
            </w:pPr>
            <w:hyperlink r:id="rId61">
              <w:r>
                <w:rPr>
                  <w:rFonts w:ascii="Arial" w:cs="Arial" w:eastAsia="Arial" w:hAnsi="Arial"/>
                  <w:sz w:val="18"/>
                  <w:szCs w:val="18"/>
                  <w:color w:val="0000FF"/>
                  <w:w w:val="90"/>
                </w:rPr>
                <w:t>Forms of Restricted Stock Award Grant Notice and Restricted Stock</w:t>
              </w:r>
            </w:hyperlink>
          </w:p>
        </w:tc>
        <w:tc>
          <w:tcPr>
            <w:tcW w:w="540" w:type="dxa"/>
            <w:vAlign w:val="bottom"/>
            <w:gridSpan w:val="11"/>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10-K</w:t>
            </w:r>
          </w:p>
        </w:tc>
        <w:tc>
          <w:tcPr>
            <w:tcW w:w="1300" w:type="dxa"/>
            <w:vAlign w:val="bottom"/>
          </w:tcPr>
          <w:p>
            <w:pPr>
              <w:ind w:left="260"/>
              <w:spacing w:after="0"/>
              <w:rPr>
                <w:sz w:val="20"/>
                <w:szCs w:val="20"/>
                <w:color w:val="auto"/>
              </w:rPr>
            </w:pPr>
            <w:r>
              <w:rPr>
                <w:rFonts w:ascii="Arial" w:cs="Arial" w:eastAsia="Arial" w:hAnsi="Arial"/>
                <w:sz w:val="18"/>
                <w:szCs w:val="18"/>
                <w:color w:val="auto"/>
              </w:rPr>
              <w:t>001-38240</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1"/>
              </w:rPr>
              <w:t>10.3</w:t>
            </w:r>
          </w:p>
        </w:tc>
        <w:tc>
          <w:tcPr>
            <w:tcW w:w="1040" w:type="dxa"/>
            <w:vAlign w:val="bottom"/>
          </w:tcPr>
          <w:p>
            <w:pPr>
              <w:ind w:left="260"/>
              <w:spacing w:after="0"/>
              <w:rPr>
                <w:sz w:val="20"/>
                <w:szCs w:val="20"/>
                <w:color w:val="auto"/>
              </w:rPr>
            </w:pPr>
            <w:r>
              <w:rPr>
                <w:rFonts w:ascii="Arial" w:cs="Arial" w:eastAsia="Arial" w:hAnsi="Arial"/>
                <w:sz w:val="18"/>
                <w:szCs w:val="18"/>
                <w:color w:val="auto"/>
              </w:rPr>
              <w:t>3/30/18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80" w:type="dxa"/>
            <w:vAlign w:val="bottom"/>
            <w:tcBorders>
              <w:bottom w:val="single" w:sz="8" w:color="0000FF"/>
            </w:tcBorders>
            <w:gridSpan w:val="17"/>
          </w:tcPr>
          <w:p>
            <w:pPr>
              <w:spacing w:after="0" w:line="196" w:lineRule="exact"/>
              <w:rPr>
                <w:rFonts w:ascii="Arial" w:cs="Arial" w:eastAsia="Arial" w:hAnsi="Arial"/>
                <w:sz w:val="18"/>
                <w:szCs w:val="18"/>
                <w:color w:val="0000FF"/>
                <w:w w:val="89"/>
              </w:rPr>
            </w:pPr>
            <w:hyperlink r:id="rId61">
              <w:r>
                <w:rPr>
                  <w:rFonts w:ascii="Arial" w:cs="Arial" w:eastAsia="Arial" w:hAnsi="Arial"/>
                  <w:sz w:val="18"/>
                  <w:szCs w:val="18"/>
                  <w:color w:val="0000FF"/>
                  <w:w w:val="89"/>
                </w:rPr>
                <w:t>Award Agreement under the Amended and Restated 2016 Equity</w:t>
              </w:r>
            </w:hyperlink>
          </w:p>
        </w:tc>
        <w:tc>
          <w:tcPr>
            <w:tcW w:w="780" w:type="dxa"/>
            <w:vAlign w:val="bottom"/>
            <w:gridSpan w:val="14"/>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31"/>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Incentive Plan</w:t>
              </w:r>
            </w:hyperlink>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20" w:type="dxa"/>
            <w:vAlign w:val="bottom"/>
            <w:tcBorders>
              <w:bottom w:val="single" w:sz="8" w:color="0000FF"/>
            </w:tcBorders>
            <w:gridSpan w:val="21"/>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2016 China Stock Appreciation Rights Plan and Form of China Stock</w:t>
              </w:r>
            </w:hyperlink>
          </w:p>
        </w:tc>
        <w:tc>
          <w:tcPr>
            <w:tcW w:w="440" w:type="dxa"/>
            <w:vAlign w:val="bottom"/>
            <w:gridSpan w:val="10"/>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1"/>
              </w:rPr>
              <w:t>10.3</w:t>
            </w:r>
          </w:p>
        </w:tc>
        <w:tc>
          <w:tcPr>
            <w:tcW w:w="1040" w:type="dxa"/>
            <w:vAlign w:val="bottom"/>
          </w:tcPr>
          <w:p>
            <w:pPr>
              <w:ind w:left="260"/>
              <w:spacing w:after="0"/>
              <w:rPr>
                <w:sz w:val="20"/>
                <w:szCs w:val="20"/>
                <w:color w:val="auto"/>
              </w:rPr>
            </w:pPr>
            <w:r>
              <w:rPr>
                <w:rFonts w:ascii="Arial" w:cs="Arial" w:eastAsia="Arial" w:hAnsi="Arial"/>
                <w:sz w:val="18"/>
                <w:szCs w:val="18"/>
                <w:color w:val="auto"/>
              </w:rPr>
              <w:t>10/6/17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2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Appreciation Rights Award Agreement</w:t>
              </w:r>
            </w:hyperlink>
          </w:p>
        </w:tc>
        <w:tc>
          <w:tcPr>
            <w:tcW w:w="2640" w:type="dxa"/>
            <w:vAlign w:val="bottom"/>
            <w:gridSpan w:val="25"/>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31"/>
          </w:tcPr>
          <w:p>
            <w:pPr>
              <w:spacing w:after="0"/>
              <w:rPr>
                <w:rFonts w:ascii="Arial" w:cs="Arial" w:eastAsia="Arial" w:hAnsi="Arial"/>
                <w:sz w:val="18"/>
                <w:szCs w:val="18"/>
                <w:color w:val="0000FF"/>
              </w:rPr>
            </w:pPr>
            <w:hyperlink r:id="rId63">
              <w:r>
                <w:rPr>
                  <w:rFonts w:ascii="Arial" w:cs="Arial" w:eastAsia="Arial" w:hAnsi="Arial"/>
                  <w:sz w:val="18"/>
                  <w:szCs w:val="18"/>
                  <w:color w:val="0000FF"/>
                </w:rPr>
                <w:t>2017 Employee Stock Purchase Plan</w:t>
              </w:r>
            </w:hyperlink>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1"/>
              </w:rPr>
              <w:t>10.4</w:t>
            </w:r>
          </w:p>
        </w:tc>
        <w:tc>
          <w:tcPr>
            <w:tcW w:w="1040" w:type="dxa"/>
            <w:vAlign w:val="bottom"/>
          </w:tcPr>
          <w:p>
            <w:pPr>
              <w:ind w:left="260"/>
              <w:spacing w:after="0"/>
              <w:rPr>
                <w:sz w:val="20"/>
                <w:szCs w:val="20"/>
                <w:color w:val="auto"/>
              </w:rPr>
            </w:pPr>
            <w:r>
              <w:rPr>
                <w:rFonts w:ascii="Arial" w:cs="Arial" w:eastAsia="Arial" w:hAnsi="Arial"/>
                <w:sz w:val="18"/>
                <w:szCs w:val="18"/>
                <w:color w:val="auto"/>
              </w:rPr>
              <w:t>10/6/17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31"/>
          </w:tcPr>
          <w:p>
            <w:pPr>
              <w:spacing w:after="0"/>
              <w:rPr>
                <w:rFonts w:ascii="Arial" w:cs="Arial" w:eastAsia="Arial" w:hAnsi="Arial"/>
                <w:sz w:val="18"/>
                <w:szCs w:val="18"/>
                <w:color w:val="0000FF"/>
                <w:w w:val="96"/>
              </w:rPr>
            </w:pPr>
            <w:hyperlink r:id="rId64">
              <w:r>
                <w:rPr>
                  <w:rFonts w:ascii="Arial" w:cs="Arial" w:eastAsia="Arial" w:hAnsi="Arial"/>
                  <w:sz w:val="18"/>
                  <w:szCs w:val="18"/>
                  <w:color w:val="0000FF"/>
                  <w:w w:val="96"/>
                </w:rPr>
                <w:t>Form of Indemnification Agreement by and between the Registrant and</w:t>
              </w:r>
            </w:hyperlink>
          </w:p>
        </w:tc>
        <w:tc>
          <w:tcPr>
            <w:tcW w:w="700" w:type="dxa"/>
            <w:vAlign w:val="bottom"/>
          </w:tcPr>
          <w:p>
            <w:pPr>
              <w:ind w:left="40"/>
              <w:spacing w:after="0"/>
              <w:rPr>
                <w:sz w:val="20"/>
                <w:szCs w:val="20"/>
                <w:color w:val="auto"/>
              </w:rPr>
            </w:pPr>
            <w:r>
              <w:rPr>
                <w:rFonts w:ascii="Arial" w:cs="Arial" w:eastAsia="Arial" w:hAnsi="Arial"/>
                <w:sz w:val="18"/>
                <w:szCs w:val="18"/>
                <w:color w:val="auto"/>
              </w:rPr>
              <w:t>S-1</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1"/>
              </w:rPr>
              <w:t>10.5</w:t>
            </w:r>
          </w:p>
        </w:tc>
        <w:tc>
          <w:tcPr>
            <w:tcW w:w="1040" w:type="dxa"/>
            <w:vAlign w:val="bottom"/>
          </w:tcPr>
          <w:p>
            <w:pPr>
              <w:ind w:left="260"/>
              <w:spacing w:after="0"/>
              <w:rPr>
                <w:sz w:val="20"/>
                <w:szCs w:val="20"/>
                <w:color w:val="auto"/>
              </w:rPr>
            </w:pPr>
            <w:r>
              <w:rPr>
                <w:rFonts w:ascii="Arial" w:cs="Arial" w:eastAsia="Arial" w:hAnsi="Arial"/>
                <w:sz w:val="18"/>
                <w:szCs w:val="18"/>
                <w:color w:val="auto"/>
              </w:rPr>
              <w:t>9/21/17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4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each of its directors and executive officers</w:t>
              </w:r>
            </w:hyperlink>
          </w:p>
        </w:tc>
        <w:tc>
          <w:tcPr>
            <w:tcW w:w="32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31"/>
          </w:tcPr>
          <w:p>
            <w:pPr>
              <w:spacing w:after="0"/>
              <w:rPr>
                <w:rFonts w:ascii="Arial" w:cs="Arial" w:eastAsia="Arial" w:hAnsi="Arial"/>
                <w:sz w:val="18"/>
                <w:szCs w:val="18"/>
                <w:color w:val="0000FF"/>
                <w:w w:val="95"/>
              </w:rPr>
            </w:pPr>
            <w:hyperlink r:id="rId65">
              <w:r>
                <w:rPr>
                  <w:rFonts w:ascii="Arial" w:cs="Arial" w:eastAsia="Arial" w:hAnsi="Arial"/>
                  <w:sz w:val="18"/>
                  <w:szCs w:val="18"/>
                  <w:color w:val="0000FF"/>
                  <w:w w:val="95"/>
                </w:rPr>
                <w:t>Amended and Restated Offer Letter, dated September 29, 2017, by and</w:t>
              </w:r>
            </w:hyperlink>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1"/>
              </w:rPr>
              <w:t>10.6</w:t>
            </w:r>
          </w:p>
        </w:tc>
        <w:tc>
          <w:tcPr>
            <w:tcW w:w="1040" w:type="dxa"/>
            <w:vAlign w:val="bottom"/>
          </w:tcPr>
          <w:p>
            <w:pPr>
              <w:ind w:left="260"/>
              <w:spacing w:after="0"/>
              <w:rPr>
                <w:sz w:val="20"/>
                <w:szCs w:val="20"/>
                <w:color w:val="auto"/>
              </w:rPr>
            </w:pPr>
            <w:r>
              <w:rPr>
                <w:rFonts w:ascii="Arial" w:cs="Arial" w:eastAsia="Arial" w:hAnsi="Arial"/>
                <w:sz w:val="18"/>
                <w:szCs w:val="18"/>
                <w:color w:val="auto"/>
              </w:rPr>
              <w:t>10/6/17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0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between the Registrant and Dev Ittycheria</w:t>
              </w:r>
            </w:hyperlink>
          </w:p>
        </w:tc>
        <w:tc>
          <w:tcPr>
            <w:tcW w:w="36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13"/>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31"/>
          </w:tcPr>
          <w:p>
            <w:pPr>
              <w:spacing w:after="0"/>
              <w:rPr>
                <w:rFonts w:ascii="Arial" w:cs="Arial" w:eastAsia="Arial" w:hAnsi="Arial"/>
                <w:sz w:val="18"/>
                <w:szCs w:val="18"/>
                <w:color w:val="0000FF"/>
                <w:w w:val="95"/>
              </w:rPr>
            </w:pPr>
            <w:hyperlink r:id="rId66">
              <w:r>
                <w:rPr>
                  <w:rFonts w:ascii="Arial" w:cs="Arial" w:eastAsia="Arial" w:hAnsi="Arial"/>
                  <w:sz w:val="18"/>
                  <w:szCs w:val="18"/>
                  <w:color w:val="0000FF"/>
                  <w:w w:val="95"/>
                </w:rPr>
                <w:t>Amended and Restated Offer Letter, dated September 29, 2017, by and</w:t>
              </w:r>
            </w:hyperlink>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1"/>
              </w:rPr>
              <w:t>10.7</w:t>
            </w:r>
          </w:p>
        </w:tc>
        <w:tc>
          <w:tcPr>
            <w:tcW w:w="1040" w:type="dxa"/>
            <w:vAlign w:val="bottom"/>
          </w:tcPr>
          <w:p>
            <w:pPr>
              <w:ind w:left="260"/>
              <w:spacing w:after="0"/>
              <w:rPr>
                <w:sz w:val="20"/>
                <w:szCs w:val="20"/>
                <w:color w:val="auto"/>
              </w:rPr>
            </w:pPr>
            <w:r>
              <w:rPr>
                <w:rFonts w:ascii="Arial" w:cs="Arial" w:eastAsia="Arial" w:hAnsi="Arial"/>
                <w:sz w:val="18"/>
                <w:szCs w:val="18"/>
                <w:color w:val="auto"/>
              </w:rPr>
              <w:t>10/6/17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89"/>
              </w:rPr>
            </w:pPr>
            <w:hyperlink r:id="rId66">
              <w:r>
                <w:rPr>
                  <w:rFonts w:ascii="Arial" w:cs="Arial" w:eastAsia="Arial" w:hAnsi="Arial"/>
                  <w:sz w:val="18"/>
                  <w:szCs w:val="18"/>
                  <w:color w:val="0000FF"/>
                  <w:w w:val="89"/>
                </w:rPr>
                <w:t>between the Registrant and Carlos Delatorre</w:t>
              </w:r>
            </w:hyperlink>
          </w:p>
        </w:tc>
        <w:tc>
          <w:tcPr>
            <w:tcW w:w="1880" w:type="dxa"/>
            <w:vAlign w:val="bottom"/>
            <w:tcBorders>
              <w:top w:val="single" w:sz="8" w:color="0000FF"/>
            </w:tcBorders>
            <w:gridSpan w:val="12"/>
          </w:tcPr>
          <w:p>
            <w:pPr>
              <w:spacing w:after="0"/>
              <w:rPr>
                <w:sz w:val="17"/>
                <w:szCs w:val="17"/>
                <w:color w:val="auto"/>
              </w:rPr>
            </w:pPr>
          </w:p>
        </w:tc>
        <w:tc>
          <w:tcPr>
            <w:tcW w:w="36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31"/>
          </w:tcPr>
          <w:p>
            <w:pPr>
              <w:spacing w:after="0"/>
              <w:rPr>
                <w:rFonts w:ascii="Arial" w:cs="Arial" w:eastAsia="Arial" w:hAnsi="Arial"/>
                <w:sz w:val="18"/>
                <w:szCs w:val="18"/>
                <w:color w:val="0000FF"/>
                <w:w w:val="95"/>
              </w:rPr>
            </w:pPr>
            <w:hyperlink r:id="rId67">
              <w:r>
                <w:rPr>
                  <w:rFonts w:ascii="Arial" w:cs="Arial" w:eastAsia="Arial" w:hAnsi="Arial"/>
                  <w:sz w:val="18"/>
                  <w:szCs w:val="18"/>
                  <w:color w:val="0000FF"/>
                  <w:w w:val="95"/>
                </w:rPr>
                <w:t>Amended and Restated Offer Letter, dated September 29, 2017, by and</w:t>
              </w:r>
            </w:hyperlink>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1"/>
              </w:rPr>
              <w:t>10.8</w:t>
            </w:r>
          </w:p>
        </w:tc>
        <w:tc>
          <w:tcPr>
            <w:tcW w:w="1040" w:type="dxa"/>
            <w:vAlign w:val="bottom"/>
          </w:tcPr>
          <w:p>
            <w:pPr>
              <w:ind w:left="260"/>
              <w:spacing w:after="0"/>
              <w:rPr>
                <w:sz w:val="20"/>
                <w:szCs w:val="20"/>
                <w:color w:val="auto"/>
              </w:rPr>
            </w:pPr>
            <w:r>
              <w:rPr>
                <w:rFonts w:ascii="Arial" w:cs="Arial" w:eastAsia="Arial" w:hAnsi="Arial"/>
                <w:sz w:val="18"/>
                <w:szCs w:val="18"/>
                <w:color w:val="auto"/>
              </w:rPr>
              <w:t>10/6/17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89"/>
              </w:rPr>
            </w:pPr>
            <w:hyperlink r:id="rId67">
              <w:r>
                <w:rPr>
                  <w:rFonts w:ascii="Arial" w:cs="Arial" w:eastAsia="Arial" w:hAnsi="Arial"/>
                  <w:sz w:val="18"/>
                  <w:szCs w:val="18"/>
                  <w:color w:val="0000FF"/>
                  <w:w w:val="89"/>
                </w:rPr>
                <w:t>between the Registrant and Michael Gordon</w:t>
              </w:r>
            </w:hyperlink>
          </w:p>
        </w:tc>
        <w:tc>
          <w:tcPr>
            <w:tcW w:w="1920" w:type="dxa"/>
            <w:vAlign w:val="bottom"/>
            <w:tcBorders>
              <w:top w:val="single" w:sz="8" w:color="0000FF"/>
            </w:tcBorders>
            <w:gridSpan w:val="13"/>
          </w:tcPr>
          <w:p>
            <w:pPr>
              <w:spacing w:after="0"/>
              <w:rPr>
                <w:sz w:val="17"/>
                <w:szCs w:val="17"/>
                <w:color w:val="auto"/>
              </w:rPr>
            </w:pPr>
          </w:p>
        </w:tc>
        <w:tc>
          <w:tcPr>
            <w:tcW w:w="36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0"/>
              </w:rPr>
              <w:t>10.10#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31"/>
          </w:tcPr>
          <w:p>
            <w:pPr>
              <w:spacing w:after="0"/>
              <w:rPr>
                <w:rFonts w:ascii="Arial" w:cs="Arial" w:eastAsia="Arial" w:hAnsi="Arial"/>
                <w:sz w:val="18"/>
                <w:szCs w:val="18"/>
                <w:color w:val="0000FF"/>
                <w:w w:val="94"/>
              </w:rPr>
            </w:pPr>
            <w:hyperlink r:id="rId68">
              <w:r>
                <w:rPr>
                  <w:rFonts w:ascii="Arial" w:cs="Arial" w:eastAsia="Arial" w:hAnsi="Arial"/>
                  <w:sz w:val="18"/>
                  <w:szCs w:val="18"/>
                  <w:color w:val="0000FF"/>
                  <w:w w:val="94"/>
                </w:rPr>
                <w:t>Offer Letter, dated September 29, 2017, by and between Registrant and</w:t>
              </w:r>
            </w:hyperlink>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1"/>
              </w:rPr>
              <w:t>10.9</w:t>
            </w:r>
          </w:p>
        </w:tc>
        <w:tc>
          <w:tcPr>
            <w:tcW w:w="1040" w:type="dxa"/>
            <w:vAlign w:val="bottom"/>
          </w:tcPr>
          <w:p>
            <w:pPr>
              <w:ind w:left="260"/>
              <w:spacing w:after="0"/>
              <w:rPr>
                <w:sz w:val="20"/>
                <w:szCs w:val="20"/>
                <w:color w:val="auto"/>
              </w:rPr>
            </w:pPr>
            <w:r>
              <w:rPr>
                <w:rFonts w:ascii="Arial" w:cs="Arial" w:eastAsia="Arial" w:hAnsi="Arial"/>
                <w:sz w:val="18"/>
                <w:szCs w:val="18"/>
                <w:color w:val="auto"/>
              </w:rPr>
              <w:t>10/6/17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2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Eliot Horowitz</w:t>
              </w:r>
            </w:hyperlink>
          </w:p>
        </w:tc>
        <w:tc>
          <w:tcPr>
            <w:tcW w:w="34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380" w:type="dxa"/>
            <w:vAlign w:val="bottom"/>
            <w:gridSpan w:val="2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0"/>
              </w:rPr>
              <w:t>10.11#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31"/>
          </w:tcPr>
          <w:p>
            <w:pPr>
              <w:spacing w:after="0"/>
              <w:rPr>
                <w:rFonts w:ascii="Arial" w:cs="Arial" w:eastAsia="Arial" w:hAnsi="Arial"/>
                <w:sz w:val="18"/>
                <w:szCs w:val="18"/>
                <w:color w:val="0000FF"/>
                <w:w w:val="95"/>
              </w:rPr>
            </w:pPr>
            <w:hyperlink r:id="rId69">
              <w:r>
                <w:rPr>
                  <w:rFonts w:ascii="Arial" w:cs="Arial" w:eastAsia="Arial" w:hAnsi="Arial"/>
                  <w:sz w:val="18"/>
                  <w:szCs w:val="18"/>
                  <w:color w:val="0000FF"/>
                  <w:w w:val="95"/>
                </w:rPr>
                <w:t>Amended and Restated Offer Letter, dated September 29, 2017, by and</w:t>
              </w:r>
            </w:hyperlink>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88"/>
              </w:rPr>
              <w:t>10.10</w:t>
            </w:r>
          </w:p>
        </w:tc>
        <w:tc>
          <w:tcPr>
            <w:tcW w:w="1040" w:type="dxa"/>
            <w:vAlign w:val="bottom"/>
          </w:tcPr>
          <w:p>
            <w:pPr>
              <w:ind w:left="260"/>
              <w:spacing w:after="0"/>
              <w:rPr>
                <w:sz w:val="20"/>
                <w:szCs w:val="20"/>
                <w:color w:val="auto"/>
              </w:rPr>
            </w:pPr>
            <w:r>
              <w:rPr>
                <w:rFonts w:ascii="Arial" w:cs="Arial" w:eastAsia="Arial" w:hAnsi="Arial"/>
                <w:sz w:val="18"/>
                <w:szCs w:val="18"/>
                <w:color w:val="auto"/>
              </w:rPr>
              <w:t>10/6/17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8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8"/>
              </w:rPr>
            </w:pPr>
            <w:hyperlink r:id="rId69">
              <w:r>
                <w:rPr>
                  <w:rFonts w:ascii="Arial" w:cs="Arial" w:eastAsia="Arial" w:hAnsi="Arial"/>
                  <w:sz w:val="18"/>
                  <w:szCs w:val="18"/>
                  <w:color w:val="0000FF"/>
                  <w:w w:val="88"/>
                </w:rPr>
                <w:t>between Registrant and Meagen Eisenberg</w:t>
              </w:r>
            </w:hyperlink>
          </w:p>
        </w:tc>
        <w:tc>
          <w:tcPr>
            <w:tcW w:w="2020" w:type="dxa"/>
            <w:vAlign w:val="bottom"/>
            <w:tcBorders>
              <w:top w:val="single" w:sz="8" w:color="0000FF"/>
            </w:tcBorders>
            <w:gridSpan w:val="15"/>
          </w:tcPr>
          <w:p>
            <w:pPr>
              <w:spacing w:after="0"/>
              <w:rPr>
                <w:sz w:val="17"/>
                <w:szCs w:val="17"/>
                <w:color w:val="auto"/>
              </w:rPr>
            </w:pPr>
          </w:p>
        </w:tc>
        <w:tc>
          <w:tcPr>
            <w:tcW w:w="36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303530</wp:posOffset>
            </wp:positionV>
            <wp:extent cx="5746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72390</wp:posOffset>
            </wp:positionV>
            <wp:extent cx="5746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11455" w:lineRule="exact"/>
        <w:rPr>
          <w:sz w:val="20"/>
          <w:szCs w:val="20"/>
          <w:color w:val="auto"/>
        </w:rPr>
      </w:pPr>
    </w:p>
    <w:p>
      <w:pPr>
        <w:sectPr>
          <w:pgSz w:w="11900" w:h="16838" w:orient="portrait"/>
          <w:cols w:equalWidth="0" w:num="2">
            <w:col w:w="10400" w:space="280"/>
            <w:col w:w="580"/>
          </w:cols>
          <w:pgMar w:left="240" w:top="121" w:right="39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260"/>
          </w:cols>
          <w:pgMar w:left="240" w:top="121" w:right="39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61"/>
        </w:trPr>
        <w:tc>
          <w:tcPr>
            <w:tcW w:w="1040" w:type="dxa"/>
            <w:vAlign w:val="bottom"/>
            <w:gridSpan w:val="3"/>
          </w:tcPr>
          <w:p>
            <w:pPr>
              <w:spacing w:after="0"/>
              <w:rPr>
                <w:rFonts w:ascii="Arial" w:cs="Arial" w:eastAsia="Arial" w:hAnsi="Arial"/>
                <w:sz w:val="14"/>
                <w:szCs w:val="14"/>
                <w:color w:val="0000EE"/>
                <w:w w:val="92"/>
              </w:rPr>
            </w:pPr>
            <w:hyperlink w:anchor="page3">
              <w:r>
                <w:rPr>
                  <w:rFonts w:ascii="Arial" w:cs="Arial" w:eastAsia="Arial" w:hAnsi="Arial"/>
                  <w:sz w:val="14"/>
                  <w:szCs w:val="14"/>
                  <w:color w:val="0000EE"/>
                  <w:w w:val="92"/>
                </w:rPr>
                <w:t>Table of Contents</w:t>
              </w:r>
            </w:hyperlink>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5"/>
        </w:trPr>
        <w:tc>
          <w:tcPr>
            <w:tcW w:w="9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40" w:type="dxa"/>
            <w:vAlign w:val="bottom"/>
            <w:gridSpan w:val="2"/>
          </w:tcPr>
          <w:p>
            <w:pPr>
              <w:ind w:left="420"/>
              <w:spacing w:after="0"/>
              <w:rPr>
                <w:sz w:val="20"/>
                <w:szCs w:val="20"/>
                <w:color w:val="auto"/>
              </w:rPr>
            </w:pPr>
            <w:r>
              <w:rPr>
                <w:rFonts w:ascii="Arial" w:cs="Arial" w:eastAsia="Arial" w:hAnsi="Arial"/>
                <w:sz w:val="14"/>
                <w:szCs w:val="14"/>
                <w:b w:val="1"/>
                <w:bCs w:val="1"/>
                <w:color w:val="auto"/>
                <w:w w:val="95"/>
              </w:rPr>
              <w:t>Incorporated by Reference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04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Exhibit</w:t>
            </w:r>
          </w:p>
        </w:tc>
        <w:tc>
          <w:tcPr>
            <w:tcW w:w="40" w:type="dxa"/>
            <w:vAlign w:val="bottom"/>
          </w:tcPr>
          <w:p>
            <w:pPr>
              <w:spacing w:after="0"/>
              <w:rPr>
                <w:sz w:val="12"/>
                <w:szCs w:val="12"/>
                <w:color w:val="auto"/>
              </w:rPr>
            </w:pPr>
          </w:p>
        </w:tc>
        <w:tc>
          <w:tcPr>
            <w:tcW w:w="5460" w:type="dxa"/>
            <w:vAlign w:val="bottom"/>
            <w:gridSpan w:val="18"/>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8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Form</w:t>
            </w:r>
          </w:p>
        </w:tc>
        <w:tc>
          <w:tcPr>
            <w:tcW w:w="1280" w:type="dxa"/>
            <w:vAlign w:val="bottom"/>
          </w:tcPr>
          <w:p>
            <w:pPr>
              <w:ind w:left="280"/>
              <w:spacing w:after="0" w:line="147" w:lineRule="exact"/>
              <w:rPr>
                <w:sz w:val="20"/>
                <w:szCs w:val="20"/>
                <w:color w:val="auto"/>
              </w:rPr>
            </w:pPr>
            <w:r>
              <w:rPr>
                <w:rFonts w:ascii="Arial" w:cs="Arial" w:eastAsia="Arial" w:hAnsi="Arial"/>
                <w:sz w:val="14"/>
                <w:szCs w:val="14"/>
                <w:b w:val="1"/>
                <w:bCs w:val="1"/>
                <w:color w:val="auto"/>
              </w:rPr>
              <w:t>File No.</w:t>
            </w:r>
          </w:p>
        </w:tc>
        <w:tc>
          <w:tcPr>
            <w:tcW w:w="860" w:type="dxa"/>
            <w:vAlign w:val="bottom"/>
          </w:tcPr>
          <w:p>
            <w:pPr>
              <w:ind w:left="240"/>
              <w:spacing w:after="0" w:line="147" w:lineRule="exact"/>
              <w:rPr>
                <w:sz w:val="20"/>
                <w:szCs w:val="20"/>
                <w:color w:val="auto"/>
              </w:rPr>
            </w:pPr>
            <w:r>
              <w:rPr>
                <w:rFonts w:ascii="Arial" w:cs="Arial" w:eastAsia="Arial" w:hAnsi="Arial"/>
                <w:sz w:val="14"/>
                <w:szCs w:val="14"/>
                <w:b w:val="1"/>
                <w:bCs w:val="1"/>
                <w:color w:val="auto"/>
              </w:rPr>
              <w:t>Exhibit</w:t>
            </w:r>
          </w:p>
        </w:tc>
        <w:tc>
          <w:tcPr>
            <w:tcW w:w="1040" w:type="dxa"/>
            <w:vAlign w:val="bottom"/>
          </w:tcPr>
          <w:p>
            <w:pPr>
              <w:jc w:val="right"/>
              <w:ind w:right="214"/>
              <w:spacing w:after="0" w:line="147" w:lineRule="exact"/>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05"/>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gridSpan w:val="2"/>
            <w:vMerge w:val="restart"/>
          </w:tcPr>
          <w:p>
            <w:pPr>
              <w:spacing w:after="0"/>
              <w:rPr>
                <w:sz w:val="9"/>
                <w:szCs w:val="9"/>
                <w:color w:val="auto"/>
              </w:rPr>
            </w:pPr>
          </w:p>
        </w:tc>
        <w:tc>
          <w:tcPr>
            <w:tcW w:w="40" w:type="dxa"/>
            <w:vAlign w:val="bottom"/>
          </w:tcPr>
          <w:p>
            <w:pPr>
              <w:spacing w:after="0"/>
              <w:rPr>
                <w:sz w:val="9"/>
                <w:szCs w:val="9"/>
                <w:color w:val="auto"/>
              </w:rPr>
            </w:pPr>
          </w:p>
        </w:tc>
        <w:tc>
          <w:tcPr>
            <w:tcW w:w="5460" w:type="dxa"/>
            <w:vAlign w:val="bottom"/>
            <w:gridSpan w:val="18"/>
            <w:vMerge w:val="continue"/>
          </w:tcPr>
          <w:p>
            <w:pPr>
              <w:spacing w:after="0"/>
              <w:rPr>
                <w:sz w:val="9"/>
                <w:szCs w:val="9"/>
                <w:color w:val="auto"/>
              </w:rPr>
            </w:pPr>
          </w:p>
        </w:tc>
        <w:tc>
          <w:tcPr>
            <w:tcW w:w="6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920" w:type="dxa"/>
            <w:vAlign w:val="bottom"/>
            <w:tcBorders>
              <w:bottom w:val="single" w:sz="8" w:color="auto"/>
            </w:tcBorders>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920" w:type="dxa"/>
            <w:vAlign w:val="bottom"/>
          </w:tcPr>
          <w:p>
            <w:pPr>
              <w:jc w:val="right"/>
              <w:ind w:right="173"/>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40" w:type="dxa"/>
            <w:vAlign w:val="bottom"/>
            <w:tcBorders>
              <w:bottom w:val="single" w:sz="8" w:color="0000FF"/>
            </w:tcBorders>
            <w:gridSpan w:val="11"/>
          </w:tcPr>
          <w:p>
            <w:pPr>
              <w:spacing w:after="0"/>
              <w:rPr>
                <w:rFonts w:ascii="Arial" w:cs="Arial" w:eastAsia="Arial" w:hAnsi="Arial"/>
                <w:sz w:val="18"/>
                <w:szCs w:val="18"/>
                <w:color w:val="0000FF"/>
                <w:w w:val="90"/>
              </w:rPr>
            </w:pPr>
            <w:hyperlink r:id="rId72">
              <w:r>
                <w:rPr>
                  <w:rFonts w:ascii="Arial" w:cs="Arial" w:eastAsia="Arial" w:hAnsi="Arial"/>
                  <w:sz w:val="18"/>
                  <w:szCs w:val="18"/>
                  <w:color w:val="0000FF"/>
                  <w:w w:val="90"/>
                </w:rPr>
                <w:t>Lease, between PGREF I 1633 Broadway Tower, L.P. and MongoDB,</w:t>
              </w:r>
            </w:hyperlink>
          </w:p>
        </w:tc>
        <w:tc>
          <w:tcPr>
            <w:tcW w:w="420" w:type="dxa"/>
            <w:vAlign w:val="bottom"/>
            <w:gridSpan w:val="7"/>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10-K</w:t>
            </w:r>
          </w:p>
        </w:tc>
        <w:tc>
          <w:tcPr>
            <w:tcW w:w="1280" w:type="dxa"/>
            <w:vAlign w:val="bottom"/>
          </w:tcPr>
          <w:p>
            <w:pPr>
              <w:ind w:left="280"/>
              <w:spacing w:after="0"/>
              <w:rPr>
                <w:sz w:val="20"/>
                <w:szCs w:val="20"/>
                <w:color w:val="auto"/>
              </w:rPr>
            </w:pPr>
            <w:r>
              <w:rPr>
                <w:rFonts w:ascii="Arial" w:cs="Arial" w:eastAsia="Arial" w:hAnsi="Arial"/>
                <w:sz w:val="18"/>
                <w:szCs w:val="18"/>
                <w:color w:val="auto"/>
              </w:rPr>
              <w:t>001-38240</w:t>
            </w:r>
          </w:p>
        </w:tc>
        <w:tc>
          <w:tcPr>
            <w:tcW w:w="860" w:type="dxa"/>
            <w:vAlign w:val="bottom"/>
          </w:tcPr>
          <w:p>
            <w:pPr>
              <w:jc w:val="center"/>
              <w:ind w:left="134"/>
              <w:spacing w:after="0"/>
              <w:rPr>
                <w:sz w:val="20"/>
                <w:szCs w:val="20"/>
                <w:color w:val="auto"/>
              </w:rPr>
            </w:pPr>
            <w:r>
              <w:rPr>
                <w:rFonts w:ascii="Arial" w:cs="Arial" w:eastAsia="Arial" w:hAnsi="Arial"/>
                <w:sz w:val="18"/>
                <w:szCs w:val="18"/>
                <w:color w:val="auto"/>
                <w:w w:val="88"/>
              </w:rPr>
              <w:t>10.12</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3/30/18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18"/>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Inc., dated December 14, 2017</w:t>
              </w:r>
            </w:hyperlink>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right"/>
              <w:ind w:right="173"/>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18"/>
          </w:tcPr>
          <w:p>
            <w:pPr>
              <w:spacing w:after="0"/>
              <w:rPr>
                <w:rFonts w:ascii="Arial" w:cs="Arial" w:eastAsia="Arial" w:hAnsi="Arial"/>
                <w:sz w:val="18"/>
                <w:szCs w:val="18"/>
                <w:color w:val="0000FF"/>
                <w:w w:val="91"/>
              </w:rPr>
            </w:pPr>
            <w:hyperlink r:id="rId73">
              <w:r>
                <w:rPr>
                  <w:rFonts w:ascii="Arial" w:cs="Arial" w:eastAsia="Arial" w:hAnsi="Arial"/>
                  <w:sz w:val="18"/>
                  <w:szCs w:val="18"/>
                  <w:color w:val="0000FF"/>
                  <w:w w:val="91"/>
                </w:rPr>
                <w:t>Purchase Agreement, dated June 25, 2018, by and among MongoDB, Inc.</w:t>
              </w:r>
            </w:hyperlink>
          </w:p>
        </w:tc>
        <w:tc>
          <w:tcPr>
            <w:tcW w:w="680" w:type="dxa"/>
            <w:vAlign w:val="bottom"/>
          </w:tcPr>
          <w:p>
            <w:pPr>
              <w:ind w:left="40"/>
              <w:spacing w:after="0"/>
              <w:rPr>
                <w:sz w:val="20"/>
                <w:szCs w:val="20"/>
                <w:color w:val="auto"/>
              </w:rPr>
            </w:pPr>
            <w:r>
              <w:rPr>
                <w:rFonts w:ascii="Arial" w:cs="Arial" w:eastAsia="Arial" w:hAnsi="Arial"/>
                <w:sz w:val="18"/>
                <w:szCs w:val="18"/>
                <w:color w:val="auto"/>
              </w:rPr>
              <w:t>8-K</w:t>
            </w:r>
          </w:p>
        </w:tc>
        <w:tc>
          <w:tcPr>
            <w:tcW w:w="1280" w:type="dxa"/>
            <w:vAlign w:val="bottom"/>
          </w:tcPr>
          <w:p>
            <w:pPr>
              <w:ind w:left="280"/>
              <w:spacing w:after="0"/>
              <w:rPr>
                <w:sz w:val="20"/>
                <w:szCs w:val="20"/>
                <w:color w:val="auto"/>
              </w:rPr>
            </w:pPr>
            <w:r>
              <w:rPr>
                <w:rFonts w:ascii="Arial" w:cs="Arial" w:eastAsia="Arial" w:hAnsi="Arial"/>
                <w:sz w:val="18"/>
                <w:szCs w:val="18"/>
                <w:color w:val="auto"/>
              </w:rPr>
              <w:t>001-38240</w:t>
            </w:r>
          </w:p>
        </w:tc>
        <w:tc>
          <w:tcPr>
            <w:tcW w:w="860" w:type="dxa"/>
            <w:vAlign w:val="bottom"/>
          </w:tcPr>
          <w:p>
            <w:pPr>
              <w:jc w:val="center"/>
              <w:ind w:left="134"/>
              <w:spacing w:after="0"/>
              <w:rPr>
                <w:sz w:val="20"/>
                <w:szCs w:val="20"/>
                <w:color w:val="auto"/>
              </w:rPr>
            </w:pPr>
            <w:r>
              <w:rPr>
                <w:rFonts w:ascii="Arial" w:cs="Arial" w:eastAsia="Arial" w:hAnsi="Arial"/>
                <w:sz w:val="18"/>
                <w:szCs w:val="18"/>
                <w:color w:val="auto"/>
                <w:w w:val="91"/>
              </w:rPr>
              <w:t>99.1</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6/28/18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0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and Morgan Stanley &amp; Co. LLC, Goldman Sachs &amp; Co. LLC and</w:t>
              </w:r>
            </w:hyperlink>
          </w:p>
        </w:tc>
        <w:tc>
          <w:tcPr>
            <w:tcW w:w="16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Barclays Capital Inc.</w:t>
              </w:r>
            </w:hyperlink>
          </w:p>
        </w:tc>
        <w:tc>
          <w:tcPr>
            <w:tcW w:w="74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right"/>
              <w:ind w:right="173"/>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18"/>
          </w:tcPr>
          <w:p>
            <w:pPr>
              <w:spacing w:after="0"/>
              <w:rPr>
                <w:rFonts w:ascii="Arial" w:cs="Arial" w:eastAsia="Arial" w:hAnsi="Arial"/>
                <w:sz w:val="18"/>
                <w:szCs w:val="18"/>
                <w:color w:val="0000FF"/>
              </w:rPr>
            </w:pPr>
            <w:hyperlink r:id="rId74">
              <w:r>
                <w:rPr>
                  <w:rFonts w:ascii="Arial" w:cs="Arial" w:eastAsia="Arial" w:hAnsi="Arial"/>
                  <w:sz w:val="18"/>
                  <w:szCs w:val="18"/>
                  <w:color w:val="0000FF"/>
                </w:rPr>
                <w:t>Form of Confirmation for Capped Call Transactions</w:t>
              </w:r>
            </w:hyperlink>
          </w:p>
        </w:tc>
        <w:tc>
          <w:tcPr>
            <w:tcW w:w="680" w:type="dxa"/>
            <w:vAlign w:val="bottom"/>
          </w:tcPr>
          <w:p>
            <w:pPr>
              <w:ind w:left="40"/>
              <w:spacing w:after="0"/>
              <w:rPr>
                <w:sz w:val="20"/>
                <w:szCs w:val="20"/>
                <w:color w:val="auto"/>
              </w:rPr>
            </w:pPr>
            <w:r>
              <w:rPr>
                <w:rFonts w:ascii="Arial" w:cs="Arial" w:eastAsia="Arial" w:hAnsi="Arial"/>
                <w:sz w:val="18"/>
                <w:szCs w:val="18"/>
                <w:color w:val="auto"/>
              </w:rPr>
              <w:t>8-K</w:t>
            </w:r>
          </w:p>
        </w:tc>
        <w:tc>
          <w:tcPr>
            <w:tcW w:w="1280" w:type="dxa"/>
            <w:vAlign w:val="bottom"/>
          </w:tcPr>
          <w:p>
            <w:pPr>
              <w:ind w:left="280"/>
              <w:spacing w:after="0"/>
              <w:rPr>
                <w:sz w:val="20"/>
                <w:szCs w:val="20"/>
                <w:color w:val="auto"/>
              </w:rPr>
            </w:pPr>
            <w:r>
              <w:rPr>
                <w:rFonts w:ascii="Arial" w:cs="Arial" w:eastAsia="Arial" w:hAnsi="Arial"/>
                <w:sz w:val="18"/>
                <w:szCs w:val="18"/>
                <w:color w:val="auto"/>
              </w:rPr>
              <w:t>001-38240</w:t>
            </w:r>
          </w:p>
        </w:tc>
        <w:tc>
          <w:tcPr>
            <w:tcW w:w="860" w:type="dxa"/>
            <w:vAlign w:val="bottom"/>
          </w:tcPr>
          <w:p>
            <w:pPr>
              <w:jc w:val="center"/>
              <w:ind w:left="134"/>
              <w:spacing w:after="0"/>
              <w:rPr>
                <w:sz w:val="20"/>
                <w:szCs w:val="20"/>
                <w:color w:val="auto"/>
              </w:rPr>
            </w:pPr>
            <w:r>
              <w:rPr>
                <w:rFonts w:ascii="Arial" w:cs="Arial" w:eastAsia="Arial" w:hAnsi="Arial"/>
                <w:sz w:val="18"/>
                <w:szCs w:val="18"/>
                <w:color w:val="auto"/>
                <w:w w:val="91"/>
              </w:rPr>
              <w:t>99.2</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6/28/18</w:t>
            </w:r>
          </w:p>
        </w:tc>
        <w:tc>
          <w:tcPr>
            <w:tcW w:w="0" w:type="dxa"/>
            <w:vAlign w:val="bottom"/>
          </w:tcPr>
          <w:p>
            <w:pPr>
              <w:spacing w:after="0"/>
              <w:rPr>
                <w:sz w:val="1"/>
                <w:szCs w:val="1"/>
                <w:color w:val="auto"/>
              </w:rPr>
            </w:pPr>
          </w:p>
        </w:tc>
      </w:tr>
      <w:tr>
        <w:trPr>
          <w:trHeight w:val="372"/>
        </w:trPr>
        <w:tc>
          <w:tcPr>
            <w:tcW w:w="920" w:type="dxa"/>
            <w:vAlign w:val="bottom"/>
          </w:tcPr>
          <w:p>
            <w:pPr>
              <w:ind w:left="30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9"/>
              </w:rPr>
            </w:pPr>
            <w:hyperlink w:anchor="page109">
              <w:r>
                <w:rPr>
                  <w:rFonts w:ascii="Arial" w:cs="Arial" w:eastAsia="Arial" w:hAnsi="Arial"/>
                  <w:sz w:val="18"/>
                  <w:szCs w:val="18"/>
                  <w:color w:val="0000FF"/>
                  <w:w w:val="89"/>
                </w:rPr>
                <w:t>Subsidiaries of the Registrant</w:t>
              </w:r>
            </w:hyperlink>
          </w:p>
        </w:tc>
        <w:tc>
          <w:tcPr>
            <w:tcW w:w="1620" w:type="dxa"/>
            <w:vAlign w:val="bottom"/>
            <w:tcBorders>
              <w:top w:val="single" w:sz="8" w:color="0000FF"/>
            </w:tcBorders>
            <w:gridSpan w:val="2"/>
          </w:tcPr>
          <w:p>
            <w:pPr>
              <w:spacing w:after="0"/>
              <w:rPr>
                <w:sz w:val="24"/>
                <w:szCs w:val="24"/>
                <w:color w:val="auto"/>
              </w:rPr>
            </w:pPr>
          </w:p>
        </w:tc>
        <w:tc>
          <w:tcPr>
            <w:tcW w:w="1720" w:type="dxa"/>
            <w:vAlign w:val="bottom"/>
            <w:gridSpan w:val="11"/>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30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110">
              <w:r>
                <w:rPr>
                  <w:rFonts w:ascii="Arial" w:cs="Arial" w:eastAsia="Arial" w:hAnsi="Arial"/>
                  <w:sz w:val="18"/>
                  <w:szCs w:val="18"/>
                  <w:color w:val="0000FF"/>
                  <w:w w:val="89"/>
                </w:rPr>
                <w:t>Consent of PricewaterhouseCoopers LLP, independent registered public</w:t>
              </w:r>
            </w:hyperlink>
          </w:p>
        </w:tc>
        <w:tc>
          <w:tcPr>
            <w:tcW w:w="280" w:type="dxa"/>
            <w:vAlign w:val="bottom"/>
            <w:gridSpan w:val="5"/>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w:anchor="page110">
              <w:r>
                <w:rPr>
                  <w:rFonts w:ascii="Arial" w:cs="Arial" w:eastAsia="Arial" w:hAnsi="Arial"/>
                  <w:sz w:val="18"/>
                  <w:szCs w:val="18"/>
                  <w:color w:val="0000FF"/>
                  <w:w w:val="91"/>
                </w:rPr>
                <w:t>accounting firm</w:t>
              </w:r>
            </w:hyperlink>
          </w:p>
        </w:tc>
        <w:tc>
          <w:tcPr>
            <w:tcW w:w="432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right"/>
              <w:ind w:right="173"/>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111">
              <w:r>
                <w:rPr>
                  <w:rFonts w:ascii="Arial" w:cs="Arial" w:eastAsia="Arial" w:hAnsi="Arial"/>
                  <w:sz w:val="18"/>
                  <w:szCs w:val="18"/>
                  <w:color w:val="0000FF"/>
                  <w:w w:val="91"/>
                </w:rPr>
                <w:t>Certification of Principal Executive Officer Pursuant to Rules 13a-14(a)</w:t>
              </w:r>
            </w:hyperlink>
          </w:p>
        </w:tc>
        <w:tc>
          <w:tcPr>
            <w:tcW w:w="280" w:type="dxa"/>
            <w:vAlign w:val="bottom"/>
            <w:gridSpan w:val="5"/>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18"/>
          </w:tcPr>
          <w:p>
            <w:pPr>
              <w:spacing w:after="0" w:line="196" w:lineRule="exact"/>
              <w:rPr>
                <w:rFonts w:ascii="Arial" w:cs="Arial" w:eastAsia="Arial" w:hAnsi="Arial"/>
                <w:sz w:val="18"/>
                <w:szCs w:val="18"/>
                <w:color w:val="0000FF"/>
                <w:w w:val="97"/>
              </w:rPr>
            </w:pPr>
            <w:hyperlink w:anchor="page111">
              <w:r>
                <w:rPr>
                  <w:rFonts w:ascii="Arial" w:cs="Arial" w:eastAsia="Arial" w:hAnsi="Arial"/>
                  <w:sz w:val="18"/>
                  <w:szCs w:val="18"/>
                  <w:color w:val="0000FF"/>
                  <w:w w:val="97"/>
                </w:rPr>
                <w:t>and 15d-14(a) under the Securities Exchange Act of 1934, as Adopted</w:t>
              </w:r>
            </w:hyperlink>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4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111">
              <w:r>
                <w:rPr>
                  <w:rFonts w:ascii="Arial" w:cs="Arial" w:eastAsia="Arial" w:hAnsi="Arial"/>
                  <w:sz w:val="18"/>
                  <w:szCs w:val="18"/>
                  <w:color w:val="0000FF"/>
                </w:rPr>
                <w:t>Pursuant to Section 302 of the Sarbanes-Oxley Act of 2002</w:t>
              </w:r>
            </w:hyperlink>
          </w:p>
        </w:tc>
        <w:tc>
          <w:tcPr>
            <w:tcW w:w="42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0" w:type="dxa"/>
            <w:vAlign w:val="bottom"/>
            <w:gridSpan w:val="6"/>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right"/>
              <w:ind w:right="173"/>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40" w:type="dxa"/>
            <w:vAlign w:val="bottom"/>
            <w:tcBorders>
              <w:bottom w:val="single" w:sz="8" w:color="0000FF"/>
            </w:tcBorders>
            <w:gridSpan w:val="12"/>
          </w:tcPr>
          <w:p>
            <w:pPr>
              <w:spacing w:after="0"/>
              <w:rPr>
                <w:rFonts w:ascii="Arial" w:cs="Arial" w:eastAsia="Arial" w:hAnsi="Arial"/>
                <w:sz w:val="18"/>
                <w:szCs w:val="18"/>
                <w:color w:val="0000FF"/>
                <w:w w:val="92"/>
              </w:rPr>
            </w:pPr>
            <w:hyperlink w:anchor="page112">
              <w:r>
                <w:rPr>
                  <w:rFonts w:ascii="Arial" w:cs="Arial" w:eastAsia="Arial" w:hAnsi="Arial"/>
                  <w:sz w:val="18"/>
                  <w:szCs w:val="18"/>
                  <w:color w:val="0000FF"/>
                  <w:w w:val="92"/>
                </w:rPr>
                <w:t>Certification of Principal Financial Officer Pursuant to Rules 13a-14(a)</w:t>
              </w:r>
            </w:hyperlink>
          </w:p>
        </w:tc>
        <w:tc>
          <w:tcPr>
            <w:tcW w:w="320" w:type="dxa"/>
            <w:vAlign w:val="bottom"/>
            <w:gridSpan w:val="6"/>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18"/>
          </w:tcPr>
          <w:p>
            <w:pPr>
              <w:spacing w:after="0" w:line="196" w:lineRule="exact"/>
              <w:rPr>
                <w:rFonts w:ascii="Arial" w:cs="Arial" w:eastAsia="Arial" w:hAnsi="Arial"/>
                <w:sz w:val="18"/>
                <w:szCs w:val="18"/>
                <w:color w:val="0000FF"/>
                <w:w w:val="97"/>
              </w:rPr>
            </w:pPr>
            <w:hyperlink w:anchor="page112">
              <w:r>
                <w:rPr>
                  <w:rFonts w:ascii="Arial" w:cs="Arial" w:eastAsia="Arial" w:hAnsi="Arial"/>
                  <w:sz w:val="18"/>
                  <w:szCs w:val="18"/>
                  <w:color w:val="0000FF"/>
                  <w:w w:val="97"/>
                </w:rPr>
                <w:t>and 15d-14(a) under the Securities Exchange Act of 1934, as Adopted</w:t>
              </w:r>
            </w:hyperlink>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4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112">
              <w:r>
                <w:rPr>
                  <w:rFonts w:ascii="Arial" w:cs="Arial" w:eastAsia="Arial" w:hAnsi="Arial"/>
                  <w:sz w:val="18"/>
                  <w:szCs w:val="18"/>
                  <w:color w:val="0000FF"/>
                </w:rPr>
                <w:t>Pursuant to Section 302 of the Sarbanes-Oxley Act of 2002</w:t>
              </w:r>
            </w:hyperlink>
          </w:p>
        </w:tc>
        <w:tc>
          <w:tcPr>
            <w:tcW w:w="42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0" w:type="dxa"/>
            <w:vAlign w:val="bottom"/>
            <w:gridSpan w:val="6"/>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30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4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113">
              <w:r>
                <w:rPr>
                  <w:rFonts w:ascii="Arial" w:cs="Arial" w:eastAsia="Arial" w:hAnsi="Arial"/>
                  <w:sz w:val="18"/>
                  <w:szCs w:val="18"/>
                  <w:color w:val="0000FF"/>
                  <w:w w:val="92"/>
                </w:rPr>
                <w:t>Certification of Principal Executive Officer Pursuant to 18 U.S.C.</w:t>
              </w:r>
            </w:hyperlink>
          </w:p>
        </w:tc>
        <w:tc>
          <w:tcPr>
            <w:tcW w:w="720" w:type="dxa"/>
            <w:vAlign w:val="bottom"/>
            <w:gridSpan w:val="8"/>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6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w:anchor="page113">
              <w:r>
                <w:rPr>
                  <w:rFonts w:ascii="Arial" w:cs="Arial" w:eastAsia="Arial" w:hAnsi="Arial"/>
                  <w:sz w:val="18"/>
                  <w:szCs w:val="18"/>
                  <w:color w:val="0000FF"/>
                  <w:w w:val="89"/>
                </w:rPr>
                <w:t>Section 1350, as Adopted Pursuant to Section 906 of the Sarbanes-Oxley</w:t>
              </w:r>
            </w:hyperlink>
          </w:p>
        </w:tc>
        <w:tc>
          <w:tcPr>
            <w:tcW w:w="20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w:anchor="page113">
              <w:r>
                <w:rPr>
                  <w:rFonts w:ascii="Arial" w:cs="Arial" w:eastAsia="Arial" w:hAnsi="Arial"/>
                  <w:sz w:val="18"/>
                  <w:szCs w:val="18"/>
                  <w:color w:val="0000FF"/>
                  <w:w w:val="92"/>
                </w:rPr>
                <w:t>Act of 2002</w:t>
              </w:r>
            </w:hyperlink>
          </w:p>
        </w:tc>
        <w:tc>
          <w:tcPr>
            <w:tcW w:w="4600" w:type="dxa"/>
            <w:vAlign w:val="bottom"/>
            <w:gridSpan w:val="16"/>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30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80" w:type="dxa"/>
            <w:vAlign w:val="bottom"/>
            <w:tcBorders>
              <w:bottom w:val="single" w:sz="8" w:color="0000FF"/>
            </w:tcBorders>
            <w:gridSpan w:val="15"/>
          </w:tcPr>
          <w:p>
            <w:pPr>
              <w:spacing w:after="0"/>
              <w:rPr>
                <w:rFonts w:ascii="Arial" w:cs="Arial" w:eastAsia="Arial" w:hAnsi="Arial"/>
                <w:sz w:val="18"/>
                <w:szCs w:val="18"/>
                <w:color w:val="0000FF"/>
                <w:w w:val="92"/>
              </w:rPr>
            </w:pPr>
            <w:hyperlink w:anchor="page114">
              <w:r>
                <w:rPr>
                  <w:rFonts w:ascii="Arial" w:cs="Arial" w:eastAsia="Arial" w:hAnsi="Arial"/>
                  <w:sz w:val="18"/>
                  <w:szCs w:val="18"/>
                  <w:color w:val="0000FF"/>
                  <w:w w:val="92"/>
                </w:rPr>
                <w:t>Certification of Principal Financial Officer Pursuant to 18 U.S.C. Section</w:t>
              </w:r>
            </w:hyperlink>
          </w:p>
        </w:tc>
        <w:tc>
          <w:tcPr>
            <w:tcW w:w="18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8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w:anchor="page114">
              <w:r>
                <w:rPr>
                  <w:rFonts w:ascii="Arial" w:cs="Arial" w:eastAsia="Arial" w:hAnsi="Arial"/>
                  <w:sz w:val="18"/>
                  <w:szCs w:val="18"/>
                  <w:color w:val="0000FF"/>
                  <w:w w:val="89"/>
                </w:rPr>
                <w:t>1350, as Adopted Pursuant to Section 906 of the Sarbanes-Oxley Act of</w:t>
              </w:r>
            </w:hyperlink>
          </w:p>
        </w:tc>
        <w:tc>
          <w:tcPr>
            <w:tcW w:w="28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2"/>
          </w:tcPr>
          <w:p>
            <w:pPr>
              <w:ind w:left="40"/>
              <w:spacing w:after="0" w:line="196" w:lineRule="exact"/>
              <w:rPr>
                <w:rFonts w:ascii="Arial" w:cs="Arial" w:eastAsia="Arial" w:hAnsi="Arial"/>
                <w:sz w:val="18"/>
                <w:szCs w:val="18"/>
                <w:color w:val="0000FF"/>
                <w:w w:val="84"/>
              </w:rPr>
            </w:pPr>
            <w:hyperlink w:anchor="page114">
              <w:r>
                <w:rPr>
                  <w:rFonts w:ascii="Arial" w:cs="Arial" w:eastAsia="Arial" w:hAnsi="Arial"/>
                  <w:sz w:val="18"/>
                  <w:szCs w:val="18"/>
                  <w:color w:val="0000FF"/>
                  <w:w w:val="84"/>
                </w:rPr>
                <w:t>2002</w:t>
              </w:r>
            </w:hyperlink>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100" w:type="dxa"/>
            <w:vAlign w:val="bottom"/>
            <w:gridSpan w:val="1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101.INS</w:t>
            </w:r>
          </w:p>
        </w:tc>
        <w:tc>
          <w:tcPr>
            <w:tcW w:w="40" w:type="dxa"/>
            <w:vAlign w:val="bottom"/>
          </w:tcPr>
          <w:p>
            <w:pPr>
              <w:spacing w:after="0"/>
              <w:rPr>
                <w:sz w:val="24"/>
                <w:szCs w:val="24"/>
                <w:color w:val="auto"/>
              </w:rPr>
            </w:pPr>
          </w:p>
        </w:tc>
        <w:tc>
          <w:tcPr>
            <w:tcW w:w="5460" w:type="dxa"/>
            <w:vAlign w:val="bottom"/>
            <w:gridSpan w:val="18"/>
          </w:tcPr>
          <w:p>
            <w:pPr>
              <w:spacing w:after="0"/>
              <w:rPr>
                <w:sz w:val="20"/>
                <w:szCs w:val="20"/>
                <w:color w:val="auto"/>
              </w:rPr>
            </w:pPr>
            <w:r>
              <w:rPr>
                <w:rFonts w:ascii="Arial" w:cs="Arial" w:eastAsia="Arial" w:hAnsi="Arial"/>
                <w:sz w:val="18"/>
                <w:szCs w:val="18"/>
                <w:color w:val="auto"/>
              </w:rPr>
              <w:t>XBRL Instance Document</w:t>
            </w: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101.SCH</w:t>
            </w:r>
          </w:p>
        </w:tc>
        <w:tc>
          <w:tcPr>
            <w:tcW w:w="40" w:type="dxa"/>
            <w:vAlign w:val="bottom"/>
          </w:tcPr>
          <w:p>
            <w:pPr>
              <w:spacing w:after="0"/>
              <w:rPr>
                <w:sz w:val="24"/>
                <w:szCs w:val="24"/>
                <w:color w:val="auto"/>
              </w:rPr>
            </w:pPr>
          </w:p>
        </w:tc>
        <w:tc>
          <w:tcPr>
            <w:tcW w:w="5460" w:type="dxa"/>
            <w:vAlign w:val="bottom"/>
            <w:gridSpan w:val="18"/>
          </w:tcPr>
          <w:p>
            <w:pPr>
              <w:spacing w:after="0"/>
              <w:rPr>
                <w:sz w:val="20"/>
                <w:szCs w:val="20"/>
                <w:color w:val="auto"/>
              </w:rPr>
            </w:pPr>
            <w:r>
              <w:rPr>
                <w:rFonts w:ascii="Arial" w:cs="Arial" w:eastAsia="Arial" w:hAnsi="Arial"/>
                <w:sz w:val="18"/>
                <w:szCs w:val="18"/>
                <w:color w:val="auto"/>
              </w:rPr>
              <w:t>XBRL Taxonomy Extension Schema Document</w:t>
            </w: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 w:type="dxa"/>
            <w:vAlign w:val="bottom"/>
            <w:gridSpan w:val="3"/>
          </w:tcPr>
          <w:p>
            <w:pPr>
              <w:jc w:val="center"/>
              <w:ind w:right="120"/>
              <w:spacing w:after="0"/>
              <w:rPr>
                <w:sz w:val="20"/>
                <w:szCs w:val="20"/>
                <w:color w:val="auto"/>
              </w:rPr>
            </w:pPr>
            <w:r>
              <w:rPr>
                <w:rFonts w:ascii="Arial" w:cs="Arial" w:eastAsia="Arial" w:hAnsi="Arial"/>
                <w:sz w:val="18"/>
                <w:szCs w:val="18"/>
                <w:color w:val="auto"/>
                <w:w w:val="97"/>
              </w:rPr>
              <w:t>101.CAL</w:t>
            </w:r>
          </w:p>
        </w:tc>
        <w:tc>
          <w:tcPr>
            <w:tcW w:w="40" w:type="dxa"/>
            <w:vAlign w:val="bottom"/>
          </w:tcPr>
          <w:p>
            <w:pPr>
              <w:spacing w:after="0"/>
              <w:rPr>
                <w:sz w:val="24"/>
                <w:szCs w:val="24"/>
                <w:color w:val="auto"/>
              </w:rPr>
            </w:pPr>
          </w:p>
        </w:tc>
        <w:tc>
          <w:tcPr>
            <w:tcW w:w="5460" w:type="dxa"/>
            <w:vAlign w:val="bottom"/>
            <w:gridSpan w:val="1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101.DEF</w:t>
            </w:r>
          </w:p>
        </w:tc>
        <w:tc>
          <w:tcPr>
            <w:tcW w:w="40" w:type="dxa"/>
            <w:vAlign w:val="bottom"/>
          </w:tcPr>
          <w:p>
            <w:pPr>
              <w:spacing w:after="0"/>
              <w:rPr>
                <w:sz w:val="24"/>
                <w:szCs w:val="24"/>
                <w:color w:val="auto"/>
              </w:rPr>
            </w:pPr>
          </w:p>
        </w:tc>
        <w:tc>
          <w:tcPr>
            <w:tcW w:w="546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 w:type="dxa"/>
            <w:vAlign w:val="bottom"/>
            <w:gridSpan w:val="3"/>
          </w:tcPr>
          <w:p>
            <w:pPr>
              <w:jc w:val="center"/>
              <w:ind w:right="120"/>
              <w:spacing w:after="0"/>
              <w:rPr>
                <w:sz w:val="20"/>
                <w:szCs w:val="20"/>
                <w:color w:val="auto"/>
              </w:rPr>
            </w:pPr>
            <w:r>
              <w:rPr>
                <w:rFonts w:ascii="Arial" w:cs="Arial" w:eastAsia="Arial" w:hAnsi="Arial"/>
                <w:sz w:val="18"/>
                <w:szCs w:val="18"/>
                <w:color w:val="auto"/>
                <w:w w:val="98"/>
              </w:rPr>
              <w:t>101.LAB</w:t>
            </w:r>
          </w:p>
        </w:tc>
        <w:tc>
          <w:tcPr>
            <w:tcW w:w="40" w:type="dxa"/>
            <w:vAlign w:val="bottom"/>
          </w:tcPr>
          <w:p>
            <w:pPr>
              <w:spacing w:after="0"/>
              <w:rPr>
                <w:sz w:val="24"/>
                <w:szCs w:val="24"/>
                <w:color w:val="auto"/>
              </w:rPr>
            </w:pPr>
          </w:p>
        </w:tc>
        <w:tc>
          <w:tcPr>
            <w:tcW w:w="5460" w:type="dxa"/>
            <w:vAlign w:val="bottom"/>
            <w:gridSpan w:val="18"/>
          </w:tcPr>
          <w:p>
            <w:pPr>
              <w:spacing w:after="0"/>
              <w:rPr>
                <w:sz w:val="20"/>
                <w:szCs w:val="20"/>
                <w:color w:val="auto"/>
              </w:rPr>
            </w:pPr>
            <w:r>
              <w:rPr>
                <w:rFonts w:ascii="Arial" w:cs="Arial" w:eastAsia="Arial" w:hAnsi="Arial"/>
                <w:sz w:val="18"/>
                <w:szCs w:val="18"/>
                <w:color w:val="auto"/>
              </w:rPr>
              <w:t>XBRL Taxonomy Extension Label Linkbase Document</w:t>
            </w: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101.PRE</w:t>
            </w:r>
          </w:p>
        </w:tc>
        <w:tc>
          <w:tcPr>
            <w:tcW w:w="40" w:type="dxa"/>
            <w:vAlign w:val="bottom"/>
          </w:tcPr>
          <w:p>
            <w:pPr>
              <w:spacing w:after="0"/>
              <w:rPr>
                <w:sz w:val="24"/>
                <w:szCs w:val="24"/>
                <w:color w:val="auto"/>
              </w:rPr>
            </w:pPr>
          </w:p>
        </w:tc>
        <w:tc>
          <w:tcPr>
            <w:tcW w:w="546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303530</wp:posOffset>
            </wp:positionV>
            <wp:extent cx="5746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72390</wp:posOffset>
            </wp:positionV>
            <wp:extent cx="5746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3005" w:lineRule="exact"/>
        <w:rPr>
          <w:sz w:val="20"/>
          <w:szCs w:val="20"/>
          <w:color w:val="auto"/>
        </w:rPr>
      </w:pPr>
    </w:p>
    <w:p>
      <w:pPr>
        <w:sectPr>
          <w:pgSz w:w="11900" w:h="16838" w:orient="portrait"/>
          <w:cols w:equalWidth="0" w:num="2">
            <w:col w:w="10400" w:space="280"/>
            <w:col w:w="640"/>
          </w:cols>
          <w:pgMar w:left="240" w:top="114" w:right="339" w:bottom="1440" w:gutter="0" w:footer="0" w:header="0"/>
        </w:sectPr>
      </w:pPr>
    </w:p>
    <w:p>
      <w:pPr>
        <w:spacing w:after="0" w:line="164" w:lineRule="exact"/>
        <w:rPr>
          <w:sz w:val="20"/>
          <w:szCs w:val="20"/>
          <w:color w:val="auto"/>
        </w:rPr>
      </w:pPr>
    </w:p>
    <w:p>
      <w:pPr>
        <w:ind w:left="1180" w:hanging="704"/>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63" w:lineRule="exact"/>
        <w:rPr>
          <w:sz w:val="20"/>
          <w:szCs w:val="20"/>
          <w:color w:val="auto"/>
        </w:rPr>
      </w:pPr>
    </w:p>
    <w:p>
      <w:pPr>
        <w:jc w:val="both"/>
        <w:ind w:left="1180" w:hanging="704"/>
        <w:spacing w:after="0" w:line="264"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20"/>
          </w:cols>
          <w:pgMar w:left="240" w:top="114" w:right="339" w:bottom="1440" w:gutter="0" w:footer="0" w:header="0"/>
          <w:type w:val="continuous"/>
        </w:sectPr>
      </w:pPr>
    </w:p>
    <w:bookmarkStart w:id="107" w:name="page108"/>
    <w:bookmarkEnd w:id="107"/>
    <w:p>
      <w:pPr>
        <w:jc w:val="center"/>
        <w:ind w:left="500"/>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0"/>
        <w:spacing w:after="0"/>
        <w:tabs>
          <w:tab w:leader="none" w:pos="5320" w:val="left"/>
          <w:tab w:leader="none" w:pos="6380" w:val="left"/>
        </w:tabs>
        <w:rPr>
          <w:sz w:val="20"/>
          <w:szCs w:val="20"/>
          <w:color w:val="auto"/>
        </w:rPr>
      </w:pPr>
      <w:r>
        <w:rPr>
          <w:rFonts w:ascii="Arial" w:cs="Arial" w:eastAsia="Arial" w:hAnsi="Arial"/>
          <w:sz w:val="18"/>
          <w:szCs w:val="18"/>
          <w:color w:val="auto"/>
        </w:rPr>
        <w:t>Date: April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31750</wp:posOffset>
            </wp:positionV>
            <wp:extent cx="28555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3"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Dev Ittycheria</w:t>
      </w:r>
    </w:p>
    <w:p>
      <w:pPr>
        <w:spacing w:after="0" w:line="63" w:lineRule="exact"/>
        <w:rPr>
          <w:sz w:val="20"/>
          <w:szCs w:val="20"/>
          <w:color w:val="auto"/>
        </w:rPr>
      </w:pPr>
    </w:p>
    <w:p>
      <w:pPr>
        <w:ind w:left="5780"/>
        <w:spacing w:after="0"/>
        <w:tabs>
          <w:tab w:leader="none" w:pos="638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President, Chief Executive Officer and Director</w:t>
      </w:r>
    </w:p>
    <w:p>
      <w:pPr>
        <w:spacing w:after="0" w:line="202"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56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567"/>
        </w:trPr>
        <w:tc>
          <w:tcPr>
            <w:tcW w:w="4580" w:type="dxa"/>
            <w:vAlign w:val="bottom"/>
          </w:tcPr>
          <w:p>
            <w:pPr>
              <w:ind w:left="40"/>
              <w:spacing w:after="0"/>
              <w:rPr>
                <w:sz w:val="20"/>
                <w:szCs w:val="20"/>
                <w:color w:val="auto"/>
              </w:rPr>
            </w:pPr>
            <w:r>
              <w:rPr>
                <w:rFonts w:ascii="Arial" w:cs="Arial" w:eastAsia="Arial" w:hAnsi="Arial"/>
                <w:sz w:val="18"/>
                <w:szCs w:val="18"/>
                <w:color w:val="auto"/>
              </w:rPr>
              <w:t>/s/ Dev Ittycheria</w:t>
            </w:r>
          </w:p>
        </w:tc>
        <w:tc>
          <w:tcPr>
            <w:tcW w:w="12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4"/>
              </w:rPr>
              <w:t>April 1, 2019</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Dev Ittycheria</w:t>
            </w:r>
          </w:p>
        </w:tc>
        <w:tc>
          <w:tcPr>
            <w:tcW w:w="12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2060" w:type="dxa"/>
            <w:vAlign w:val="bottom"/>
          </w:tcPr>
          <w:p>
            <w:pPr>
              <w:spacing w:after="0"/>
              <w:rPr>
                <w:sz w:val="20"/>
                <w:szCs w:val="20"/>
                <w:color w:val="auto"/>
              </w:rPr>
            </w:pPr>
          </w:p>
        </w:tc>
      </w:tr>
      <w:tr>
        <w:trPr>
          <w:trHeight w:val="594"/>
        </w:trPr>
        <w:tc>
          <w:tcPr>
            <w:tcW w:w="4580" w:type="dxa"/>
            <w:vAlign w:val="bottom"/>
          </w:tcPr>
          <w:p>
            <w:pPr>
              <w:ind w:left="40"/>
              <w:spacing w:after="0"/>
              <w:rPr>
                <w:sz w:val="20"/>
                <w:szCs w:val="20"/>
                <w:color w:val="auto"/>
              </w:rPr>
            </w:pPr>
            <w:r>
              <w:rPr>
                <w:rFonts w:ascii="Arial" w:cs="Arial" w:eastAsia="Arial" w:hAnsi="Arial"/>
                <w:sz w:val="18"/>
                <w:szCs w:val="18"/>
                <w:color w:val="auto"/>
              </w:rPr>
              <w:t>/s/ Michael Gordon</w:t>
            </w:r>
          </w:p>
        </w:tc>
        <w:tc>
          <w:tcPr>
            <w:tcW w:w="12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Chief Operating Officer and Chief Financial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94"/>
              </w:rPr>
              <w:t>April 1, 2019</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Michael Gordon</w:t>
            </w:r>
          </w:p>
        </w:tc>
        <w:tc>
          <w:tcPr>
            <w:tcW w:w="12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c>
          <w:tcPr>
            <w:tcW w:w="2060" w:type="dxa"/>
            <w:vAlign w:val="bottom"/>
          </w:tcPr>
          <w:p>
            <w:pPr>
              <w:spacing w:after="0"/>
              <w:rPr>
                <w:sz w:val="20"/>
                <w:szCs w:val="20"/>
                <w:color w:val="auto"/>
              </w:rPr>
            </w:pPr>
          </w:p>
        </w:tc>
      </w:tr>
      <w:tr>
        <w:trPr>
          <w:trHeight w:val="594"/>
        </w:trPr>
        <w:tc>
          <w:tcPr>
            <w:tcW w:w="4580" w:type="dxa"/>
            <w:vAlign w:val="bottom"/>
          </w:tcPr>
          <w:p>
            <w:pPr>
              <w:ind w:left="40"/>
              <w:spacing w:after="0"/>
              <w:rPr>
                <w:sz w:val="20"/>
                <w:szCs w:val="20"/>
                <w:color w:val="auto"/>
              </w:rPr>
            </w:pPr>
            <w:r>
              <w:rPr>
                <w:rFonts w:ascii="Arial" w:cs="Arial" w:eastAsia="Arial" w:hAnsi="Arial"/>
                <w:sz w:val="18"/>
                <w:szCs w:val="18"/>
                <w:color w:val="auto"/>
              </w:rPr>
              <w:t>/s/ Thomas Bull</w:t>
            </w:r>
          </w:p>
        </w:tc>
        <w:tc>
          <w:tcPr>
            <w:tcW w:w="12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Corporate Controller</w:t>
            </w:r>
          </w:p>
        </w:tc>
        <w:tc>
          <w:tcPr>
            <w:tcW w:w="2060" w:type="dxa"/>
            <w:vAlign w:val="bottom"/>
          </w:tcPr>
          <w:p>
            <w:pPr>
              <w:jc w:val="center"/>
              <w:spacing w:after="0"/>
              <w:rPr>
                <w:sz w:val="20"/>
                <w:szCs w:val="20"/>
                <w:color w:val="auto"/>
              </w:rPr>
            </w:pPr>
            <w:r>
              <w:rPr>
                <w:rFonts w:ascii="Arial" w:cs="Arial" w:eastAsia="Arial" w:hAnsi="Arial"/>
                <w:sz w:val="18"/>
                <w:szCs w:val="18"/>
                <w:color w:val="auto"/>
                <w:w w:val="94"/>
              </w:rPr>
              <w:t>April 1, 2019</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Thomas Bull</w:t>
            </w:r>
          </w:p>
        </w:tc>
        <w:tc>
          <w:tcPr>
            <w:tcW w:w="12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c>
          <w:tcPr>
            <w:tcW w:w="2060" w:type="dxa"/>
            <w:vAlign w:val="bottom"/>
          </w:tcPr>
          <w:p>
            <w:pPr>
              <w:spacing w:after="0"/>
              <w:rPr>
                <w:sz w:val="20"/>
                <w:szCs w:val="20"/>
                <w:color w:val="auto"/>
              </w:rPr>
            </w:pPr>
          </w:p>
        </w:tc>
      </w:tr>
      <w:tr>
        <w:trPr>
          <w:trHeight w:val="594"/>
        </w:trPr>
        <w:tc>
          <w:tcPr>
            <w:tcW w:w="4580" w:type="dxa"/>
            <w:vAlign w:val="bottom"/>
          </w:tcPr>
          <w:p>
            <w:pPr>
              <w:ind w:left="40"/>
              <w:spacing w:after="0"/>
              <w:rPr>
                <w:sz w:val="20"/>
                <w:szCs w:val="20"/>
                <w:color w:val="auto"/>
              </w:rPr>
            </w:pPr>
            <w:r>
              <w:rPr>
                <w:rFonts w:ascii="Arial" w:cs="Arial" w:eastAsia="Arial" w:hAnsi="Arial"/>
                <w:sz w:val="18"/>
                <w:szCs w:val="18"/>
                <w:color w:val="auto"/>
              </w:rPr>
              <w:t>/s/ Kevin P. Ryan</w:t>
            </w:r>
          </w:p>
        </w:tc>
        <w:tc>
          <w:tcPr>
            <w:tcW w:w="12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4"/>
              </w:rPr>
              <w:t>April 1, 2019</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Kevin P. Ryan</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94"/>
        </w:trPr>
        <w:tc>
          <w:tcPr>
            <w:tcW w:w="4580" w:type="dxa"/>
            <w:vAlign w:val="bottom"/>
          </w:tcPr>
          <w:p>
            <w:pPr>
              <w:ind w:left="40"/>
              <w:spacing w:after="0"/>
              <w:rPr>
                <w:sz w:val="20"/>
                <w:szCs w:val="20"/>
                <w:color w:val="auto"/>
              </w:rPr>
            </w:pPr>
            <w:r>
              <w:rPr>
                <w:rFonts w:ascii="Arial" w:cs="Arial" w:eastAsia="Arial" w:hAnsi="Arial"/>
                <w:sz w:val="18"/>
                <w:szCs w:val="18"/>
                <w:color w:val="auto"/>
              </w:rPr>
              <w:t>/s/ Roelof Botha</w:t>
            </w:r>
          </w:p>
        </w:tc>
        <w:tc>
          <w:tcPr>
            <w:tcW w:w="12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4"/>
              </w:rPr>
              <w:t>April 1, 2019</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Roelof Botha</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94"/>
        </w:trPr>
        <w:tc>
          <w:tcPr>
            <w:tcW w:w="4580" w:type="dxa"/>
            <w:vAlign w:val="bottom"/>
          </w:tcPr>
          <w:p>
            <w:pPr>
              <w:ind w:left="40"/>
              <w:spacing w:after="0"/>
              <w:rPr>
                <w:sz w:val="20"/>
                <w:szCs w:val="20"/>
                <w:color w:val="auto"/>
              </w:rPr>
            </w:pPr>
            <w:r>
              <w:rPr>
                <w:rFonts w:ascii="Arial" w:cs="Arial" w:eastAsia="Arial" w:hAnsi="Arial"/>
                <w:sz w:val="18"/>
                <w:szCs w:val="18"/>
                <w:color w:val="auto"/>
              </w:rPr>
              <w:t>/s/ Hope Cochran</w:t>
            </w:r>
          </w:p>
        </w:tc>
        <w:tc>
          <w:tcPr>
            <w:tcW w:w="12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4"/>
              </w:rPr>
              <w:t>April 1, 2019</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Hope Cochran</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94"/>
        </w:trPr>
        <w:tc>
          <w:tcPr>
            <w:tcW w:w="4580" w:type="dxa"/>
            <w:vAlign w:val="bottom"/>
          </w:tcPr>
          <w:p>
            <w:pPr>
              <w:ind w:left="40"/>
              <w:spacing w:after="0"/>
              <w:rPr>
                <w:sz w:val="20"/>
                <w:szCs w:val="20"/>
                <w:color w:val="auto"/>
              </w:rPr>
            </w:pPr>
            <w:r>
              <w:rPr>
                <w:rFonts w:ascii="Arial" w:cs="Arial" w:eastAsia="Arial" w:hAnsi="Arial"/>
                <w:sz w:val="18"/>
                <w:szCs w:val="18"/>
                <w:color w:val="auto"/>
              </w:rPr>
              <w:t>/s/ Charles M. Hazard, Jr.</w:t>
            </w:r>
          </w:p>
        </w:tc>
        <w:tc>
          <w:tcPr>
            <w:tcW w:w="12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4"/>
              </w:rPr>
              <w:t>April 1, 2019</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Charles M. Hazard, Jr.</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94"/>
        </w:trPr>
        <w:tc>
          <w:tcPr>
            <w:tcW w:w="4580" w:type="dxa"/>
            <w:vAlign w:val="bottom"/>
          </w:tcPr>
          <w:p>
            <w:pPr>
              <w:ind w:left="40"/>
              <w:spacing w:after="0"/>
              <w:rPr>
                <w:sz w:val="20"/>
                <w:szCs w:val="20"/>
                <w:color w:val="auto"/>
              </w:rPr>
            </w:pPr>
            <w:r>
              <w:rPr>
                <w:rFonts w:ascii="Arial" w:cs="Arial" w:eastAsia="Arial" w:hAnsi="Arial"/>
                <w:sz w:val="18"/>
                <w:szCs w:val="18"/>
                <w:color w:val="auto"/>
              </w:rPr>
              <w:t>/s/ Eliot Horowitz</w:t>
            </w:r>
          </w:p>
        </w:tc>
        <w:tc>
          <w:tcPr>
            <w:tcW w:w="12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4"/>
              </w:rPr>
              <w:t>April 1, 2019</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Eliot Horowitz</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94"/>
        </w:trPr>
        <w:tc>
          <w:tcPr>
            <w:tcW w:w="4580" w:type="dxa"/>
            <w:vAlign w:val="bottom"/>
          </w:tcPr>
          <w:p>
            <w:pPr>
              <w:ind w:left="40"/>
              <w:spacing w:after="0"/>
              <w:rPr>
                <w:sz w:val="20"/>
                <w:szCs w:val="20"/>
                <w:color w:val="auto"/>
              </w:rPr>
            </w:pPr>
            <w:r>
              <w:rPr>
                <w:rFonts w:ascii="Arial" w:cs="Arial" w:eastAsia="Arial" w:hAnsi="Arial"/>
                <w:sz w:val="18"/>
                <w:szCs w:val="18"/>
                <w:color w:val="auto"/>
              </w:rPr>
              <w:t>/s/ Tom Killalea</w:t>
            </w:r>
          </w:p>
        </w:tc>
        <w:tc>
          <w:tcPr>
            <w:tcW w:w="12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4"/>
              </w:rPr>
              <w:t>April 1, 2019</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Tom Killalea</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94"/>
        </w:trPr>
        <w:tc>
          <w:tcPr>
            <w:tcW w:w="4580" w:type="dxa"/>
            <w:vAlign w:val="bottom"/>
          </w:tcPr>
          <w:p>
            <w:pPr>
              <w:ind w:left="40"/>
              <w:spacing w:after="0"/>
              <w:rPr>
                <w:sz w:val="20"/>
                <w:szCs w:val="20"/>
                <w:color w:val="auto"/>
              </w:rPr>
            </w:pPr>
            <w:r>
              <w:rPr>
                <w:rFonts w:ascii="Arial" w:cs="Arial" w:eastAsia="Arial" w:hAnsi="Arial"/>
                <w:sz w:val="18"/>
                <w:szCs w:val="18"/>
                <w:color w:val="auto"/>
              </w:rPr>
              <w:t>/s/ John McMahon</w:t>
            </w:r>
          </w:p>
        </w:tc>
        <w:tc>
          <w:tcPr>
            <w:tcW w:w="12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4"/>
              </w:rPr>
              <w:t>April 1, 2019</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John McMahon</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ectPr>
          <w:pgSz w:w="11900" w:h="16838" w:orient="portrait"/>
          <w:cols w:equalWidth="0" w:num="1">
            <w:col w:w="11420"/>
          </w:cols>
          <w:pgMar w:left="240" w:top="369"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7160" w:type="dxa"/>
            <w:vAlign w:val="bottom"/>
            <w:gridSpan w:val="3"/>
          </w:tcPr>
          <w:p>
            <w:pPr>
              <w:ind w:left="900"/>
              <w:spacing w:after="0"/>
              <w:rPr>
                <w:sz w:val="20"/>
                <w:szCs w:val="20"/>
                <w:color w:val="auto"/>
              </w:rPr>
            </w:pPr>
            <w:r>
              <w:rPr>
                <w:rFonts w:ascii="Arial" w:cs="Arial" w:eastAsia="Arial" w:hAnsi="Arial"/>
                <w:sz w:val="18"/>
                <w:szCs w:val="18"/>
                <w:b w:val="1"/>
                <w:bCs w:val="1"/>
                <w:color w:val="auto"/>
              </w:rPr>
              <w:t>List of Subsidiaries of MongoDB, Inc.</w:t>
            </w:r>
          </w:p>
        </w:tc>
      </w:tr>
      <w:tr>
        <w:trPr>
          <w:trHeight w:val="594"/>
        </w:trPr>
        <w:tc>
          <w:tcPr>
            <w:tcW w:w="2440" w:type="dxa"/>
            <w:vAlign w:val="bottom"/>
          </w:tcPr>
          <w:p>
            <w:pPr>
              <w:ind w:left="20"/>
              <w:spacing w:after="0"/>
              <w:rPr>
                <w:sz w:val="20"/>
                <w:szCs w:val="20"/>
                <w:color w:val="auto"/>
              </w:rPr>
            </w:pPr>
            <w:r>
              <w:rPr>
                <w:rFonts w:ascii="Arial" w:cs="Arial" w:eastAsia="Arial" w:hAnsi="Arial"/>
                <w:sz w:val="18"/>
                <w:szCs w:val="18"/>
                <w:b w:val="1"/>
                <w:bCs w:val="1"/>
                <w:color w:val="auto"/>
              </w:rPr>
              <w:t>Name of Subsidiary</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24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37"/>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MongoDB Limited</w:t>
            </w:r>
          </w:p>
        </w:tc>
        <w:tc>
          <w:tcPr>
            <w:tcW w:w="2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r>
      <w:tr>
        <w:trPr>
          <w:trHeight w:val="27"/>
        </w:trPr>
        <w:tc>
          <w:tcPr>
            <w:tcW w:w="24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r>
    </w:tbl>
    <w:p>
      <w:pPr>
        <w:sectPr>
          <w:pgSz w:w="11900" w:h="16838" w:orient="portrait"/>
          <w:cols w:equalWidth="0" w:num="1">
            <w:col w:w="10500"/>
          </w:cols>
          <w:pgMar w:left="116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40"/>
        <w:spacing w:after="0" w:line="221" w:lineRule="exact"/>
        <w:rPr>
          <w:sz w:val="20"/>
          <w:szCs w:val="20"/>
          <w:color w:val="auto"/>
        </w:rPr>
      </w:pPr>
      <w:r>
        <w:rPr>
          <w:rFonts w:ascii="Arial" w:cs="Arial" w:eastAsia="Arial" w:hAnsi="Arial"/>
          <w:sz w:val="18"/>
          <w:szCs w:val="18"/>
          <w:color w:val="auto"/>
        </w:rPr>
        <w:t>We hereby consent to the incorporation by reference in the Registration Statements on Form S-8 (No. 333-221028 and No. 333-224058) of MongoDB, Inc. of our report dated April 1, 2019 relating to the financial statements, financial statement schedule,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 2019</w:t>
      </w:r>
    </w:p>
    <w:p>
      <w:pPr>
        <w:sectPr>
          <w:pgSz w:w="11900" w:h="16838" w:orient="portrait"/>
          <w:cols w:equalWidth="0" w:num="1">
            <w:col w:w="11420"/>
          </w:cols>
          <w:pgMar w:left="240" w:top="337"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Dev Ittycheria, certify that:</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MongoDB, Inc. (the “registrant”) for the fiscal year ended January 31, 2019;</w:t>
      </w:r>
    </w:p>
    <w:p>
      <w:pPr>
        <w:spacing w:after="0" w:line="33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4"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20"/>
        <w:spacing w:after="0"/>
        <w:tabs>
          <w:tab w:leader="none" w:pos="6020" w:val="left"/>
          <w:tab w:leader="none" w:pos="7080" w:val="left"/>
        </w:tabs>
        <w:rPr>
          <w:sz w:val="20"/>
          <w:szCs w:val="20"/>
          <w:color w:val="auto"/>
        </w:rPr>
      </w:pPr>
      <w:r>
        <w:rPr>
          <w:rFonts w:ascii="Arial" w:cs="Arial" w:eastAsia="Arial" w:hAnsi="Arial"/>
          <w:sz w:val="18"/>
          <w:szCs w:val="18"/>
          <w:color w:val="auto"/>
        </w:rPr>
        <w:t>Date: April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31750</wp:posOffset>
            </wp:positionV>
            <wp:extent cx="24612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3" w:lineRule="exact"/>
        <w:rPr>
          <w:sz w:val="20"/>
          <w:szCs w:val="20"/>
          <w:color w:val="auto"/>
        </w:rPr>
      </w:pPr>
    </w:p>
    <w:p>
      <w:pPr>
        <w:ind w:left="648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Dev Ittycheria</w:t>
      </w:r>
    </w:p>
    <w:p>
      <w:pPr>
        <w:spacing w:after="0" w:line="63" w:lineRule="exact"/>
        <w:rPr>
          <w:sz w:val="20"/>
          <w:szCs w:val="20"/>
          <w:color w:val="auto"/>
        </w:rPr>
      </w:pPr>
    </w:p>
    <w:p>
      <w:pPr>
        <w:ind w:left="6480"/>
        <w:spacing w:after="0"/>
        <w:tabs>
          <w:tab w:leader="none" w:pos="708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6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Gordon, certify that:</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MongoDB, Inc. (the “registrant”) for the fiscal year ended January 31, 2019;</w:t>
      </w:r>
    </w:p>
    <w:p>
      <w:pPr>
        <w:spacing w:after="0" w:line="33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4"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spacing w:after="0"/>
        <w:tabs>
          <w:tab w:leader="none" w:pos="6000" w:val="left"/>
          <w:tab w:leader="none" w:pos="7060" w:val="left"/>
        </w:tabs>
        <w:rPr>
          <w:sz w:val="20"/>
          <w:szCs w:val="20"/>
          <w:color w:val="auto"/>
        </w:rPr>
      </w:pPr>
      <w:r>
        <w:rPr>
          <w:rFonts w:ascii="Arial" w:cs="Arial" w:eastAsia="Arial" w:hAnsi="Arial"/>
          <w:sz w:val="18"/>
          <w:szCs w:val="18"/>
          <w:color w:val="auto"/>
        </w:rPr>
        <w:t>Date: April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24612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3"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Michael Gordon</w:t>
      </w:r>
    </w:p>
    <w:p>
      <w:pPr>
        <w:spacing w:after="0" w:line="63" w:lineRule="exact"/>
        <w:rPr>
          <w:sz w:val="20"/>
          <w:szCs w:val="20"/>
          <w:color w:val="auto"/>
        </w:rPr>
      </w:pPr>
    </w:p>
    <w:p>
      <w:pPr>
        <w:ind w:left="6460"/>
        <w:spacing w:after="0"/>
        <w:tabs>
          <w:tab w:leader="none" w:pos="706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Chief Financial Officer</w:t>
      </w:r>
    </w:p>
    <w:p>
      <w:pPr>
        <w:spacing w:after="0" w:line="6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 Dev Ittycheria, certify, pursuant to 18 U.S.C. Section 1350, as adopted pursuant to Section 906 of the Sarbanes-Oxley Act of 2002, that the Annual Report on Form 10-K of MongoDB, Inc. for the fiscal year ended January 31, 2019 fully complies with the requirements of Section 13(a) or 15(d) of the Securities Exchange Act of 1934, as amended, and that information contained in such Annual Report on Form 10-K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40"/>
        <w:spacing w:after="0"/>
        <w:tabs>
          <w:tab w:leader="none" w:pos="6000" w:val="left"/>
          <w:tab w:leader="none" w:pos="7060" w:val="left"/>
        </w:tabs>
        <w:rPr>
          <w:sz w:val="20"/>
          <w:szCs w:val="20"/>
          <w:color w:val="auto"/>
        </w:rPr>
      </w:pPr>
      <w:r>
        <w:rPr>
          <w:rFonts w:ascii="Arial" w:cs="Arial" w:eastAsia="Arial" w:hAnsi="Arial"/>
          <w:sz w:val="18"/>
          <w:szCs w:val="18"/>
          <w:color w:val="auto"/>
        </w:rPr>
        <w:t>Date: April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24612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3"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Dev Ittycheria</w:t>
      </w:r>
    </w:p>
    <w:p>
      <w:pPr>
        <w:spacing w:after="0" w:line="63" w:lineRule="exact"/>
        <w:rPr>
          <w:sz w:val="20"/>
          <w:szCs w:val="20"/>
          <w:color w:val="auto"/>
        </w:rPr>
      </w:pPr>
    </w:p>
    <w:p>
      <w:pPr>
        <w:ind w:left="6460"/>
        <w:spacing w:after="0"/>
        <w:tabs>
          <w:tab w:leader="none" w:pos="706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6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This certification accompanies the Annual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Annual Report on Form 10-K),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 Michael Gordon, certify, pursuant to 18 U.S.C. Section 1350, as adopted pursuant to Section 906 of the Sarbanes-Oxley Act of 2002, that the Annual Report on Form 10-K of MongoDB, Inc. for the fiscal year ended January 31, 2019 fully complies with the requirements of Section 13(a) or 15(d) of the Securities Exchange Act of 1934, as amended, and that information contained in such Annual Report on Form 10-K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40"/>
        <w:spacing w:after="0"/>
        <w:tabs>
          <w:tab w:leader="none" w:pos="6000" w:val="left"/>
          <w:tab w:leader="none" w:pos="7060" w:val="left"/>
        </w:tabs>
        <w:rPr>
          <w:sz w:val="20"/>
          <w:szCs w:val="20"/>
          <w:color w:val="auto"/>
        </w:rPr>
      </w:pPr>
      <w:r>
        <w:rPr>
          <w:rFonts w:ascii="Arial" w:cs="Arial" w:eastAsia="Arial" w:hAnsi="Arial"/>
          <w:sz w:val="18"/>
          <w:szCs w:val="18"/>
          <w:color w:val="auto"/>
        </w:rPr>
        <w:t>Date: April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24612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3"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Michael Gordon</w:t>
      </w:r>
    </w:p>
    <w:p>
      <w:pPr>
        <w:spacing w:after="0" w:line="63" w:lineRule="exact"/>
        <w:rPr>
          <w:sz w:val="20"/>
          <w:szCs w:val="20"/>
          <w:color w:val="auto"/>
        </w:rPr>
      </w:pPr>
    </w:p>
    <w:p>
      <w:pPr>
        <w:ind w:left="6460"/>
        <w:spacing w:after="0"/>
        <w:tabs>
          <w:tab w:leader="none" w:pos="706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Chief Financial Officer</w:t>
      </w:r>
    </w:p>
    <w:p>
      <w:pPr>
        <w:spacing w:after="0" w:line="6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This certification accompanies the Annual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Annual Report on Form 10-K),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lowerRoman"/>
      <w:start w:val="1"/>
    </w:lvl>
  </w:abstractNum>
  <w:abstractNum w:abstractNumId="30">
    <w:nsid w:val="3804823E"/>
    <w:multiLevelType w:val="hybridMultilevel"/>
    <w:lvl w:ilvl="0">
      <w:lvlJc w:val="left"/>
      <w:lvlText w:val="%1"/>
      <w:numFmt w:val="decimal"/>
      <w:start w:val="106"/>
    </w:lvl>
  </w:abstractNum>
  <w:abstractNum w:abstractNumId="31">
    <w:nsid w:val="77465F01"/>
    <w:multiLevelType w:val="hybridMultilevel"/>
    <w:lvl w:ilvl="0">
      <w:lvlJc w:val="left"/>
      <w:lvlText w:val="%1"/>
      <w:numFmt w:val="decimal"/>
      <w:start w:val="18"/>
    </w:lvl>
  </w:abstractNum>
  <w:abstractNum w:abstractNumId="32">
    <w:nsid w:val="7724C67E"/>
    <w:multiLevelType w:val="hybridMultilevel"/>
    <w:lvl w:ilvl="0">
      <w:lvlJc w:val="left"/>
      <w:lvlText w:val="(%1)"/>
      <w:numFmt w:val="decimal"/>
      <w:start w:val="174"/>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lowerRoman"/>
      <w:start w:val="1"/>
    </w:lvl>
  </w:abstractNum>
  <w:abstractNum w:abstractNumId="35">
    <w:nsid w:val="5E884ADC"/>
    <w:multiLevelType w:val="hybridMultilevel"/>
    <w:lvl w:ilvl="0">
      <w:lvlJc w:val="left"/>
      <w:lvlText w:val="%1."/>
      <w:numFmt w:val="lowerRoman"/>
      <w:start w:val="2"/>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78" Type="http://schemas.openxmlformats.org/officeDocument/2006/relationships/image" Target="media/image50.png"/><Relationship Id="rId79" Type="http://schemas.openxmlformats.org/officeDocument/2006/relationships/image" Target="media/image51.png"/><Relationship Id="rId80" Type="http://schemas.openxmlformats.org/officeDocument/2006/relationships/image" Target="media/image52.png"/><Relationship Id="rId81" Type="http://schemas.openxmlformats.org/officeDocument/2006/relationships/image" Target="media/image53.png"/><Relationship Id="rId82" Type="http://schemas.openxmlformats.org/officeDocument/2006/relationships/image" Target="media/image54.png"/><Relationship Id="rId52" Type="http://schemas.openxmlformats.org/officeDocument/2006/relationships/hyperlink" Target="http://www.sec.gov/Archives/edgar/data/1441816/000144181618000140/mdb-103118x10qxex21.htm" TargetMode="External"/><Relationship Id="rId53" Type="http://schemas.openxmlformats.org/officeDocument/2006/relationships/hyperlink" Target="http://www.sec.gov/Archives/edgar/data/1441816/000110465917063753/a17-24439_1ex3d1.htm" TargetMode="External"/><Relationship Id="rId54" Type="http://schemas.openxmlformats.org/officeDocument/2006/relationships/hyperlink" Target="http://www.sec.gov/Archives/edgar/data/1441816/000104746917006014/a2233365zex-3_4.htm" TargetMode="External"/><Relationship Id="rId55" Type="http://schemas.openxmlformats.org/officeDocument/2006/relationships/hyperlink" Target="http://www.sec.gov/Archives/edgar/data/1441816/000104746917006246/a2233386zex-4_1.htm" TargetMode="External"/><Relationship Id="rId56" Type="http://schemas.openxmlformats.org/officeDocument/2006/relationships/hyperlink" Target="http://www.sec.gov/Archives/edgar/data/1441816/000104746917006014/a2233365zex-4_2.htm" TargetMode="External"/><Relationship Id="rId57" Type="http://schemas.openxmlformats.org/officeDocument/2006/relationships/hyperlink" Target="http://www.sec.gov/Archives/edgar/data/1441816/000110465918042924/a18-16173_1ex4d1.htm" TargetMode="External"/><Relationship Id="rId58" Type="http://schemas.openxmlformats.org/officeDocument/2006/relationships/hyperlink" Target="http://www.sec.gov/Archives/edgar/data/1441816/000110465918042924/a18-16173_1ex4d1.htm#Exhibit4_1_095957" TargetMode="External"/><Relationship Id="rId59" Type="http://schemas.openxmlformats.org/officeDocument/2006/relationships/hyperlink" Target="http://www.sec.gov/Archives/edgar/data/1441816/000104746917006014/a2233365zex-10_1.htm" TargetMode="External"/><Relationship Id="rId60" Type="http://schemas.openxmlformats.org/officeDocument/2006/relationships/hyperlink" Target="http://www.sec.gov/Archives/edgar/data/1441816/000104746917006246/a2233386zex-10_2.htm" TargetMode="External"/><Relationship Id="rId61" Type="http://schemas.openxmlformats.org/officeDocument/2006/relationships/hyperlink" Target="http://www.sec.gov/Archives/edgar/data/1441816/000144181618000028/mdb-13118x10kxex103.htm" TargetMode="External"/><Relationship Id="rId62" Type="http://schemas.openxmlformats.org/officeDocument/2006/relationships/hyperlink" Target="http://www.sec.gov/Archives/edgar/data/1441816/000104746917006246/a2233386zex-10_3.htm" TargetMode="External"/><Relationship Id="rId63" Type="http://schemas.openxmlformats.org/officeDocument/2006/relationships/hyperlink" Target="http://www.sec.gov/Archives/edgar/data/1441816/000104746917006246/a2233386zex-10_4.htm" TargetMode="External"/><Relationship Id="rId64" Type="http://schemas.openxmlformats.org/officeDocument/2006/relationships/hyperlink" Target="http://www.sec.gov/Archives/edgar/data/1441816/000104746917006014/a2233365zex-10_5.htm" TargetMode="External"/><Relationship Id="rId65" Type="http://schemas.openxmlformats.org/officeDocument/2006/relationships/hyperlink" Target="http://www.sec.gov/Archives/edgar/data/1441816/000104746917006246/a2233386zex-10_6.htm" TargetMode="External"/><Relationship Id="rId66" Type="http://schemas.openxmlformats.org/officeDocument/2006/relationships/hyperlink" Target="http://www.sec.gov/Archives/edgar/data/1441816/000104746917006246/a2233386zex-10_7.htm" TargetMode="External"/><Relationship Id="rId67" Type="http://schemas.openxmlformats.org/officeDocument/2006/relationships/hyperlink" Target="http://www.sec.gov/Archives/edgar/data/1441816/000104746917006246/a2233386zex-10_8.htm" TargetMode="External"/><Relationship Id="rId68" Type="http://schemas.openxmlformats.org/officeDocument/2006/relationships/hyperlink" Target="http://www.sec.gov/Archives/edgar/data/1441816/000104746917006246/a2233386zex-10_9.htm" TargetMode="External"/><Relationship Id="rId69" Type="http://schemas.openxmlformats.org/officeDocument/2006/relationships/hyperlink" Target="http://www.sec.gov/Archives/edgar/data/1441816/000104746917006246/a2233386zex-10_10.htm" TargetMode="External"/><Relationship Id="rId72" Type="http://schemas.openxmlformats.org/officeDocument/2006/relationships/hyperlink" Target="http://www.sec.gov/Archives/edgar/data/1441816/000144181618000028/mdb-1318x10kxex1012.htm" TargetMode="External"/><Relationship Id="rId73" Type="http://schemas.openxmlformats.org/officeDocument/2006/relationships/hyperlink" Target="http://www.sec.gov/Archives/edgar/data/1441816/000110465918042924/a18-16173_1ex99d1.htm#Exhibit99_1_050204" TargetMode="External"/><Relationship Id="rId74" Type="http://schemas.openxmlformats.org/officeDocument/2006/relationships/hyperlink" Target="http://www.sec.gov/Archives/edgar/data/1441816/000110465918042924/a18-16173_1ex99d2.htm#Exhibit99_2_0524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2019-12-28T13:56:45Z</dcterms:created>
  <dcterms:modified xsi:type="dcterms:W3CDTF">2019-12-28T13:56:45Z</dcterms:modified>
</cp:coreProperties>
</file>