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8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BERRY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85"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10019</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7"/>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301</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349.53</w:t>
            </w:r>
            <w:r>
              <w:rPr>
                <w:rFonts w:ascii="Times New Roman" w:cs="Times New Roman" w:eastAsia="Times New Roman" w:hAnsi="Times New Roman"/>
                <w:sz w:val="22"/>
                <w:szCs w:val="22"/>
                <w:color w:val="008000"/>
                <w:w w:val="95"/>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11,199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351.12</w:t>
            </w:r>
            <w:r>
              <w:rPr>
                <w:rFonts w:ascii="Times New Roman" w:cs="Times New Roman" w:eastAsia="Times New Roman" w:hAnsi="Times New Roman"/>
                <w:sz w:val="22"/>
                <w:szCs w:val="22"/>
                <w:color w:val="008000"/>
                <w:w w:val="95"/>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11,187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665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352.73</w:t>
            </w:r>
            <w:r>
              <w:rPr>
                <w:rFonts w:ascii="Times New Roman" w:cs="Times New Roman" w:eastAsia="Times New Roman" w:hAnsi="Times New Roman"/>
                <w:sz w:val="22"/>
                <w:szCs w:val="22"/>
                <w:color w:val="008000"/>
                <w:w w:val="95"/>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10,522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538</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353.75</w:t>
            </w:r>
            <w:r>
              <w:rPr>
                <w:rFonts w:ascii="Times New Roman" w:cs="Times New Roman" w:eastAsia="Times New Roman" w:hAnsi="Times New Roman"/>
                <w:sz w:val="22"/>
                <w:szCs w:val="22"/>
                <w:color w:val="008000"/>
                <w:w w:val="95"/>
                <w:vertAlign w:val="superscript"/>
              </w:rPr>
              <w:t>(6)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9,984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530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354.79</w:t>
            </w:r>
            <w:r>
              <w:rPr>
                <w:rFonts w:ascii="Times New Roman" w:cs="Times New Roman" w:eastAsia="Times New Roman" w:hAnsi="Times New Roman"/>
                <w:sz w:val="22"/>
                <w:szCs w:val="22"/>
                <w:color w:val="008000"/>
                <w:w w:val="95"/>
                <w:vertAlign w:val="superscript"/>
              </w:rPr>
              <w:t>(7)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9,454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768</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355.6</w:t>
            </w:r>
            <w:r>
              <w:rPr>
                <w:rFonts w:ascii="Times New Roman" w:cs="Times New Roman" w:eastAsia="Times New Roman" w:hAnsi="Times New Roman"/>
                <w:sz w:val="22"/>
                <w:szCs w:val="22"/>
                <w:color w:val="008000"/>
                <w:w w:val="92"/>
                <w:vertAlign w:val="superscript"/>
              </w:rPr>
              <w:t>(8)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8,686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334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356.63</w:t>
            </w:r>
            <w:r>
              <w:rPr>
                <w:rFonts w:ascii="Times New Roman" w:cs="Times New Roman" w:eastAsia="Times New Roman" w:hAnsi="Times New Roman"/>
                <w:sz w:val="22"/>
                <w:szCs w:val="22"/>
                <w:color w:val="008000"/>
                <w:w w:val="95"/>
                <w:vertAlign w:val="superscript"/>
              </w:rPr>
              <w:t>(9)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8,352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357.43</w:t>
            </w:r>
            <w:r>
              <w:rPr>
                <w:rFonts w:ascii="Times New Roman" w:cs="Times New Roman" w:eastAsia="Times New Roman" w:hAnsi="Times New Roman"/>
                <w:sz w:val="22"/>
                <w:szCs w:val="22"/>
                <w:color w:val="008000"/>
                <w:w w:val="94"/>
                <w:vertAlign w:val="superscript"/>
              </w:rPr>
              <w:t>(10)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8,345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37</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358.67</w:t>
            </w:r>
            <w:r>
              <w:rPr>
                <w:rFonts w:ascii="Times New Roman" w:cs="Times New Roman" w:eastAsia="Times New Roman" w:hAnsi="Times New Roman"/>
                <w:sz w:val="22"/>
                <w:szCs w:val="22"/>
                <w:color w:val="008000"/>
                <w:w w:val="94"/>
                <w:vertAlign w:val="superscript"/>
              </w:rPr>
              <w:t>(11)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8,308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454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359.99</w:t>
            </w:r>
            <w:r>
              <w:rPr>
                <w:rFonts w:ascii="Times New Roman" w:cs="Times New Roman" w:eastAsia="Times New Roman" w:hAnsi="Times New Roman"/>
                <w:sz w:val="22"/>
                <w:szCs w:val="22"/>
                <w:color w:val="008000"/>
                <w:w w:val="94"/>
                <w:vertAlign w:val="superscript"/>
              </w:rPr>
              <w:t>(12)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7,854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772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360.91</w:t>
            </w:r>
            <w:r>
              <w:rPr>
                <w:rFonts w:ascii="Times New Roman" w:cs="Times New Roman" w:eastAsia="Times New Roman" w:hAnsi="Times New Roman"/>
                <w:sz w:val="22"/>
                <w:szCs w:val="22"/>
                <w:color w:val="008000"/>
                <w:w w:val="94"/>
                <w:vertAlign w:val="superscript"/>
              </w:rPr>
              <w:t>(13)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7,082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382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361.79</w:t>
            </w:r>
            <w:r>
              <w:rPr>
                <w:rFonts w:ascii="Times New Roman" w:cs="Times New Roman" w:eastAsia="Times New Roman" w:hAnsi="Times New Roman"/>
                <w:sz w:val="22"/>
                <w:szCs w:val="22"/>
                <w:color w:val="008000"/>
                <w:w w:val="94"/>
                <w:vertAlign w:val="superscript"/>
              </w:rPr>
              <w:t>(14)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ind w:left="18"/>
              <w:spacing w:after="0"/>
              <w:rPr>
                <w:sz w:val="20"/>
                <w:szCs w:val="20"/>
                <w:color w:val="auto"/>
              </w:rPr>
            </w:pPr>
            <w:r>
              <w:rPr>
                <w:rFonts w:ascii="Times New Roman" w:cs="Times New Roman" w:eastAsia="Times New Roman" w:hAnsi="Times New Roman"/>
                <w:sz w:val="17"/>
                <w:szCs w:val="17"/>
                <w:color w:val="0000FF"/>
              </w:rPr>
              <w:t>181</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362.63</w:t>
            </w:r>
            <w:r>
              <w:rPr>
                <w:rFonts w:ascii="Times New Roman" w:cs="Times New Roman" w:eastAsia="Times New Roman" w:hAnsi="Times New Roman"/>
                <w:sz w:val="22"/>
                <w:szCs w:val="22"/>
                <w:color w:val="008000"/>
                <w:w w:val="94"/>
                <w:vertAlign w:val="superscript"/>
              </w:rPr>
              <w:t>(15)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6,519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2060" w:type="dxa"/>
            <w:vAlign w:val="bottom"/>
            <w:gridSpan w:val="2"/>
            <w:vMerge w:val="restart"/>
          </w:tcPr>
          <w:p>
            <w:pPr>
              <w:jc w:val="center"/>
              <w:ind w:left="878"/>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363.69</w:t>
            </w:r>
            <w:r>
              <w:rPr>
                <w:rFonts w:ascii="Times New Roman" w:cs="Times New Roman" w:eastAsia="Times New Roman" w:hAnsi="Times New Roman"/>
                <w:sz w:val="22"/>
                <w:szCs w:val="22"/>
                <w:color w:val="008000"/>
                <w:w w:val="94"/>
                <w:vertAlign w:val="superscript"/>
              </w:rPr>
              <w:t>(16)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84,820</w:t>
            </w:r>
            <w:r>
              <w:rPr>
                <w:rFonts w:ascii="Times New Roman" w:cs="Times New Roman" w:eastAsia="Times New Roman" w:hAnsi="Times New Roman"/>
                <w:sz w:val="22"/>
                <w:szCs w:val="22"/>
                <w:color w:val="008000"/>
                <w:w w:val="92"/>
                <w:vertAlign w:val="superscript"/>
              </w:rPr>
              <w:t>(17)</w:t>
            </w:r>
          </w:p>
        </w:tc>
        <w:tc>
          <w:tcPr>
            <w:tcW w:w="92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18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0"/>
          </w:tcPr>
          <w:p>
            <w:pPr>
              <w:jc w:val="center"/>
              <w:ind w:right="824"/>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6"/>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 4</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5. Number</w:t>
            </w:r>
          </w:p>
        </w:tc>
        <w:tc>
          <w:tcPr>
            <w:tcW w:w="154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9. Number of</w:t>
            </w: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and 5)</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 Date</w:t>
            </w: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 of</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39"/>
        </w:trPr>
        <w:tc>
          <w:tcPr>
            <w:tcW w:w="7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of</w:t>
            </w:r>
          </w:p>
        </w:tc>
        <w:tc>
          <w:tcPr>
            <w:tcW w:w="1540" w:type="dxa"/>
            <w:vAlign w:val="bottom"/>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0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Underlying</w:t>
            </w:r>
          </w:p>
        </w:tc>
        <w:tc>
          <w:tcPr>
            <w:tcW w:w="6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Derivative</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Security (Instr.</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40" w:type="dxa"/>
            <w:vAlign w:val="bottom"/>
            <w:vMerge w:val="continue"/>
          </w:tcPr>
          <w:p>
            <w:pPr>
              <w:spacing w:after="0"/>
              <w:rPr>
                <w:sz w:val="2"/>
                <w:szCs w:val="2"/>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3 and 4)</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of (D)</w:t>
            </w: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4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line="182" w:lineRule="auto"/>
        <w:rPr>
          <w:sz w:val="20"/>
          <w:szCs w:val="20"/>
          <w:color w:val="auto"/>
        </w:rPr>
      </w:pPr>
      <w:r>
        <w:rPr>
          <w:rFonts w:ascii="Times New Roman" w:cs="Times New Roman" w:eastAsia="Times New Roman" w:hAnsi="Times New Roman"/>
          <w:sz w:val="13"/>
          <w:szCs w:val="13"/>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4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45030"/>
                    </a:xfrm>
                    <a:prstGeom prst="rect">
                      <a:avLst/>
                    </a:prstGeom>
                    <a:noFill/>
                  </pic:spPr>
                </pic:pic>
              </a:graphicData>
            </a:graphic>
          </wp:anchor>
        </w:drawing>
        <w:t>1. The transactions were pursuant to a Rule 10b5-1 trading plan adopted by the Reporting Person.</w:t>
      </w:r>
    </w:p>
    <w:p>
      <w:pPr>
        <w:ind w:left="7340"/>
        <w:spacing w:after="0" w:line="184" w:lineRule="auto"/>
        <w:rPr>
          <w:sz w:val="20"/>
          <w:szCs w:val="20"/>
          <w:color w:val="auto"/>
        </w:rPr>
      </w:pPr>
      <w:r>
        <w:rPr>
          <w:rFonts w:ascii="Arial" w:cs="Arial" w:eastAsia="Arial" w:hAnsi="Arial"/>
          <w:sz w:val="11"/>
          <w:szCs w:val="11"/>
          <w:b w:val="1"/>
          <w:bCs w:val="1"/>
          <w:color w:val="auto"/>
        </w:rPr>
        <w:t>Amount</w:t>
      </w:r>
    </w:p>
    <w:p>
      <w:pPr>
        <w:ind w:left="40"/>
        <w:spacing w:after="0" w:line="190" w:lineRule="auto"/>
        <w:rPr>
          <w:sz w:val="20"/>
          <w:szCs w:val="20"/>
          <w:color w:val="auto"/>
        </w:rPr>
      </w:pPr>
      <w:r>
        <w:rPr>
          <w:rFonts w:ascii="Times New Roman" w:cs="Times New Roman" w:eastAsia="Times New Roman" w:hAnsi="Times New Roman"/>
          <w:sz w:val="10"/>
          <w:szCs w:val="10"/>
          <w:color w:val="008000"/>
        </w:rPr>
        <w:t>2. The price reported is a weighted average price. The shares were sold in multiple transactions at prices ranging from $348.98 to $349.66,</w:t>
      </w:r>
      <w:r>
        <w:rPr>
          <w:rFonts w:ascii="Arial" w:cs="Arial" w:eastAsia="Arial" w:hAnsi="Arial"/>
          <w:sz w:val="16"/>
          <w:szCs w:val="16"/>
          <w:b w:val="1"/>
          <w:bCs w:val="1"/>
          <w:color w:val="000000"/>
          <w:vertAlign w:val="subscript"/>
        </w:rPr>
        <w:t>or</w:t>
      </w:r>
      <w:r>
        <w:rPr>
          <w:rFonts w:ascii="Times New Roman" w:cs="Times New Roman" w:eastAsia="Times New Roman" w:hAnsi="Times New Roman"/>
          <w:sz w:val="10"/>
          <w:szCs w:val="10"/>
          <w:color w:val="008000"/>
        </w:rPr>
        <w:t xml:space="preserve"> inclusive. The Reporting Person undertakes to provide to the</w:t>
      </w:r>
    </w:p>
    <w:p>
      <w:pPr>
        <w:ind w:left="40"/>
        <w:spacing w:after="0" w:line="235" w:lineRule="auto"/>
        <w:rPr>
          <w:sz w:val="20"/>
          <w:szCs w:val="20"/>
          <w:color w:val="auto"/>
        </w:rPr>
      </w:pPr>
      <w:r>
        <w:rPr>
          <w:rFonts w:ascii="Times New Roman" w:cs="Times New Roman" w:eastAsia="Times New Roman" w:hAnsi="Times New Roman"/>
          <w:sz w:val="13"/>
          <w:szCs w:val="13"/>
          <w:color w:val="008000"/>
        </w:rPr>
        <w:t>Company, any security holder of the Company or the staff of the Securities Exchange Commission, upon request, full information regarding</w:t>
      </w:r>
      <w:r>
        <w:rPr>
          <w:rFonts w:ascii="Arial" w:cs="Arial" w:eastAsia="Arial" w:hAnsi="Arial"/>
          <w:sz w:val="11"/>
          <w:szCs w:val="11"/>
          <w:b w:val="1"/>
          <w:bCs w:val="1"/>
          <w:color w:val="000000"/>
        </w:rPr>
        <w:t>Number</w:t>
      </w:r>
      <w:r>
        <w:rPr>
          <w:rFonts w:ascii="Times New Roman" w:cs="Times New Roman" w:eastAsia="Times New Roman" w:hAnsi="Times New Roman"/>
          <w:sz w:val="13"/>
          <w:szCs w:val="13"/>
          <w:color w:val="008000"/>
        </w:rPr>
        <w:t>thenumber of shares sold at each separate price within the</w:t>
      </w:r>
    </w:p>
    <w:p>
      <w:pPr>
        <w:ind w:left="40"/>
        <w:spacing w:after="0"/>
        <w:tabs>
          <w:tab w:leader="none" w:pos="5380" w:val="left"/>
          <w:tab w:leader="none" w:pos="6200" w:val="left"/>
          <w:tab w:leader="none" w:pos="7320" w:val="left"/>
        </w:tabs>
        <w:rPr>
          <w:sz w:val="20"/>
          <w:szCs w:val="20"/>
          <w:color w:val="auto"/>
        </w:rPr>
      </w:pPr>
      <w:r>
        <w:rPr>
          <w:rFonts w:ascii="Times New Roman" w:cs="Times New Roman" w:eastAsia="Times New Roman" w:hAnsi="Times New Roman"/>
          <w:sz w:val="13"/>
          <w:szCs w:val="13"/>
          <w:color w:val="008000"/>
        </w:rPr>
        <w:t>ranges set forth in this footnote.</w:t>
      </w:r>
      <w:r>
        <w:rPr>
          <w:sz w:val="20"/>
          <w:szCs w:val="20"/>
          <w:color w:val="auto"/>
        </w:rPr>
        <w:tab/>
      </w: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p>
      <w:pPr>
        <w:ind w:left="3840"/>
        <w:spacing w:after="0" w:line="196" w:lineRule="auto"/>
        <w:tabs>
          <w:tab w:leader="none" w:pos="4260" w:val="left"/>
          <w:tab w:leader="none" w:pos="4660" w:val="left"/>
          <w:tab w:leader="none" w:pos="5020" w:val="left"/>
          <w:tab w:leader="none" w:pos="5380" w:val="left"/>
          <w:tab w:leader="none" w:pos="6200" w:val="left"/>
          <w:tab w:leader="none" w:pos="6920" w:val="left"/>
          <w:tab w:leader="none" w:pos="7320" w:val="left"/>
        </w:tabs>
        <w:rPr>
          <w:sz w:val="20"/>
          <w:szCs w:val="20"/>
          <w:color w:val="auto"/>
        </w:rPr>
      </w:pPr>
      <w:r>
        <w:rPr>
          <w:rFonts w:ascii="Arial" w:cs="Arial" w:eastAsia="Arial" w:hAnsi="Arial"/>
          <w:sz w:val="6"/>
          <w:szCs w:val="6"/>
          <w:b w:val="1"/>
          <w:bCs w:val="1"/>
          <w:color w:val="auto"/>
        </w:rPr>
        <w:t>Code</w:t>
      </w:r>
      <w:r>
        <w:rPr>
          <w:sz w:val="20"/>
          <w:szCs w:val="20"/>
          <w:color w:val="auto"/>
        </w:rPr>
        <w:tab/>
      </w:r>
      <w:r>
        <w:rPr>
          <w:rFonts w:ascii="Arial" w:cs="Arial" w:eastAsia="Arial" w:hAnsi="Arial"/>
          <w:sz w:val="6"/>
          <w:szCs w:val="6"/>
          <w:b w:val="1"/>
          <w:bCs w:val="1"/>
          <w:color w:val="auto"/>
        </w:rPr>
        <w:t>V</w:t>
      </w:r>
      <w:r>
        <w:rPr>
          <w:sz w:val="20"/>
          <w:szCs w:val="20"/>
          <w:color w:val="auto"/>
        </w:rPr>
        <w:tab/>
      </w:r>
      <w:r>
        <w:rPr>
          <w:rFonts w:ascii="Arial" w:cs="Arial" w:eastAsia="Arial" w:hAnsi="Arial"/>
          <w:sz w:val="6"/>
          <w:szCs w:val="6"/>
          <w:b w:val="1"/>
          <w:bCs w:val="1"/>
          <w:color w:val="auto"/>
        </w:rPr>
        <w:t>(A)</w:t>
      </w:r>
      <w:r>
        <w:rPr>
          <w:sz w:val="20"/>
          <w:szCs w:val="20"/>
          <w:color w:val="auto"/>
        </w:rPr>
        <w:tab/>
      </w:r>
      <w:r>
        <w:rPr>
          <w:rFonts w:ascii="Arial" w:cs="Arial" w:eastAsia="Arial" w:hAnsi="Arial"/>
          <w:sz w:val="6"/>
          <w:szCs w:val="6"/>
          <w:b w:val="1"/>
          <w:bCs w:val="1"/>
          <w:color w:val="auto"/>
        </w:rPr>
        <w:t>(D)</w:t>
      </w:r>
      <w:r>
        <w:rPr>
          <w:sz w:val="20"/>
          <w:szCs w:val="20"/>
          <w:color w:val="auto"/>
        </w:rPr>
        <w:tab/>
      </w:r>
      <w:r>
        <w:rPr>
          <w:rFonts w:ascii="Arial" w:cs="Arial" w:eastAsia="Arial" w:hAnsi="Arial"/>
          <w:sz w:val="6"/>
          <w:szCs w:val="6"/>
          <w:b w:val="1"/>
          <w:bCs w:val="1"/>
          <w:color w:val="auto"/>
        </w:rPr>
        <w:t>Exercisable</w:t>
      </w:r>
      <w:r>
        <w:rPr>
          <w:sz w:val="20"/>
          <w:szCs w:val="20"/>
          <w:color w:val="auto"/>
        </w:rPr>
        <w:tab/>
      </w:r>
      <w:r>
        <w:rPr>
          <w:rFonts w:ascii="Arial" w:cs="Arial" w:eastAsia="Arial" w:hAnsi="Arial"/>
          <w:sz w:val="6"/>
          <w:szCs w:val="6"/>
          <w:b w:val="1"/>
          <w:bCs w:val="1"/>
          <w:color w:val="auto"/>
        </w:rPr>
        <w:t>Date</w:t>
      </w:r>
      <w:r>
        <w:rPr>
          <w:sz w:val="20"/>
          <w:szCs w:val="20"/>
          <w:color w:val="auto"/>
        </w:rPr>
        <w:tab/>
      </w:r>
      <w:r>
        <w:rPr>
          <w:rFonts w:ascii="Arial" w:cs="Arial" w:eastAsia="Arial" w:hAnsi="Arial"/>
          <w:sz w:val="6"/>
          <w:szCs w:val="6"/>
          <w:b w:val="1"/>
          <w:bCs w:val="1"/>
          <w:color w:val="auto"/>
        </w:rPr>
        <w:t>Title</w:t>
      </w:r>
      <w:r>
        <w:rPr>
          <w:sz w:val="20"/>
          <w:szCs w:val="20"/>
          <w:color w:val="auto"/>
        </w:rPr>
        <w:tab/>
      </w:r>
      <w:r>
        <w:rPr>
          <w:rFonts w:ascii="Arial" w:cs="Arial" w:eastAsia="Arial" w:hAnsi="Arial"/>
          <w:sz w:val="6"/>
          <w:szCs w:val="6"/>
          <w:b w:val="1"/>
          <w:bCs w:val="1"/>
          <w:color w:val="auto"/>
        </w:rPr>
        <w:t>Shares</w:t>
      </w:r>
    </w:p>
    <w:p>
      <w:pPr>
        <w:ind w:left="40"/>
        <w:spacing w:after="0"/>
        <w:rPr>
          <w:sz w:val="20"/>
          <w:szCs w:val="20"/>
          <w:color w:val="auto"/>
        </w:rPr>
      </w:pPr>
      <w:r>
        <w:rPr>
          <w:rFonts w:ascii="Times New Roman" w:cs="Times New Roman" w:eastAsia="Times New Roman" w:hAnsi="Times New Roman"/>
          <w:sz w:val="13"/>
          <w:szCs w:val="13"/>
          <w:color w:val="008000"/>
        </w:rPr>
        <w:t>3. These shares are held by The Berry Family Trust, a revocable trust of which the Reporting Person is a trustee.</w:t>
      </w:r>
    </w:p>
    <w:p>
      <w:pPr>
        <w:spacing w:after="0" w:line="36" w:lineRule="exact"/>
        <w:rPr>
          <w:sz w:val="20"/>
          <w:szCs w:val="20"/>
          <w:color w:val="auto"/>
        </w:rPr>
      </w:pPr>
    </w:p>
    <w:p>
      <w:pPr>
        <w:jc w:val="both"/>
        <w:ind w:left="40" w:right="380"/>
        <w:spacing w:after="0" w:line="253" w:lineRule="auto"/>
        <w:rPr>
          <w:sz w:val="20"/>
          <w:szCs w:val="20"/>
          <w:color w:val="auto"/>
        </w:rPr>
      </w:pPr>
      <w:r>
        <w:rPr>
          <w:rFonts w:ascii="Times New Roman" w:cs="Times New Roman" w:eastAsia="Times New Roman" w:hAnsi="Times New Roman"/>
          <w:sz w:val="13"/>
          <w:szCs w:val="13"/>
          <w:color w:val="008000"/>
        </w:rPr>
        <w:t>4. The price reported is a weighted average price. The shares were sold in multiple transactions at prices ranging from $351.04 to $351.99,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jc w:val="both"/>
        <w:ind w:left="40" w:right="380"/>
        <w:spacing w:after="0" w:line="253" w:lineRule="auto"/>
        <w:rPr>
          <w:sz w:val="20"/>
          <w:szCs w:val="20"/>
          <w:color w:val="auto"/>
        </w:rPr>
      </w:pPr>
      <w:r>
        <w:rPr>
          <w:rFonts w:ascii="Times New Roman" w:cs="Times New Roman" w:eastAsia="Times New Roman" w:hAnsi="Times New Roman"/>
          <w:sz w:val="13"/>
          <w:szCs w:val="13"/>
          <w:color w:val="008000"/>
        </w:rPr>
        <w:t>5. The price reported is a weighted average price. The shares were sold in multiple transactions at prices ranging from $352.25 to $353.23,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jc w:val="both"/>
        <w:ind w:left="40" w:right="380"/>
        <w:spacing w:after="0" w:line="253" w:lineRule="auto"/>
        <w:rPr>
          <w:sz w:val="20"/>
          <w:szCs w:val="20"/>
          <w:color w:val="auto"/>
        </w:rPr>
      </w:pPr>
      <w:r>
        <w:rPr>
          <w:rFonts w:ascii="Times New Roman" w:cs="Times New Roman" w:eastAsia="Times New Roman" w:hAnsi="Times New Roman"/>
          <w:sz w:val="13"/>
          <w:szCs w:val="13"/>
          <w:color w:val="008000"/>
        </w:rPr>
        <w:t>6. The price reported is a weighted average price. The shares were sold in multiple transactions at prices ranging from $353.24 to $354.22,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jc w:val="both"/>
        <w:ind w:left="40" w:right="380"/>
        <w:spacing w:after="0" w:line="253" w:lineRule="auto"/>
        <w:rPr>
          <w:sz w:val="20"/>
          <w:szCs w:val="20"/>
          <w:color w:val="auto"/>
        </w:rPr>
      </w:pPr>
      <w:r>
        <w:rPr>
          <w:rFonts w:ascii="Times New Roman" w:cs="Times New Roman" w:eastAsia="Times New Roman" w:hAnsi="Times New Roman"/>
          <w:sz w:val="13"/>
          <w:szCs w:val="13"/>
          <w:color w:val="008000"/>
        </w:rPr>
        <w:t>7. The price reported is a weighted average price. The shares were sold in multiple transactions at prices ranging from $354.24 to $355.22,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jc w:val="both"/>
        <w:ind w:left="40" w:right="380"/>
        <w:spacing w:after="0" w:line="253" w:lineRule="auto"/>
        <w:rPr>
          <w:sz w:val="20"/>
          <w:szCs w:val="20"/>
          <w:color w:val="auto"/>
        </w:rPr>
      </w:pPr>
      <w:r>
        <w:rPr>
          <w:rFonts w:ascii="Times New Roman" w:cs="Times New Roman" w:eastAsia="Times New Roman" w:hAnsi="Times New Roman"/>
          <w:sz w:val="13"/>
          <w:szCs w:val="13"/>
          <w:color w:val="008000"/>
        </w:rPr>
        <w:t>8. The price reported is a weighted average price. The shares were sold in multiple transactions at prices ranging from $355.23 to $356.22,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jc w:val="both"/>
        <w:ind w:left="40" w:right="380"/>
        <w:spacing w:after="0" w:line="253" w:lineRule="auto"/>
        <w:rPr>
          <w:sz w:val="20"/>
          <w:szCs w:val="20"/>
          <w:color w:val="auto"/>
        </w:rPr>
      </w:pPr>
      <w:r>
        <w:rPr>
          <w:rFonts w:ascii="Times New Roman" w:cs="Times New Roman" w:eastAsia="Times New Roman" w:hAnsi="Times New Roman"/>
          <w:sz w:val="13"/>
          <w:szCs w:val="13"/>
          <w:color w:val="008000"/>
        </w:rPr>
        <w:t>9. The price reported is a weighted average price. The shares were sold in multiple transactions at prices ranging from $356.23 to $357.16,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00"/>
        <w:spacing w:after="0" w:line="253" w:lineRule="auto"/>
        <w:rPr>
          <w:sz w:val="20"/>
          <w:szCs w:val="20"/>
          <w:color w:val="auto"/>
        </w:rPr>
      </w:pPr>
      <w:r>
        <w:rPr>
          <w:rFonts w:ascii="Times New Roman" w:cs="Times New Roman" w:eastAsia="Times New Roman" w:hAnsi="Times New Roman"/>
          <w:sz w:val="13"/>
          <w:szCs w:val="13"/>
          <w:color w:val="008000"/>
        </w:rPr>
        <w:t>10. The price reported is a weighted average price. The shares were sold in multiple transactions at prices ranging from $357.26 to $357.88,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20"/>
        <w:spacing w:after="0" w:line="253" w:lineRule="auto"/>
        <w:rPr>
          <w:sz w:val="20"/>
          <w:szCs w:val="20"/>
          <w:color w:val="auto"/>
        </w:rPr>
      </w:pPr>
      <w:r>
        <w:rPr>
          <w:rFonts w:ascii="Times New Roman" w:cs="Times New Roman" w:eastAsia="Times New Roman" w:hAnsi="Times New Roman"/>
          <w:sz w:val="13"/>
          <w:szCs w:val="13"/>
          <w:color w:val="008000"/>
        </w:rPr>
        <w:t>11. The price reported is a weighted average price. The shares were sold in multiple transactions at prices ranging from $358.35 to $359.05,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00"/>
        <w:spacing w:after="0" w:line="253" w:lineRule="auto"/>
        <w:rPr>
          <w:sz w:val="20"/>
          <w:szCs w:val="20"/>
          <w:color w:val="auto"/>
        </w:rPr>
      </w:pPr>
      <w:r>
        <w:rPr>
          <w:rFonts w:ascii="Times New Roman" w:cs="Times New Roman" w:eastAsia="Times New Roman" w:hAnsi="Times New Roman"/>
          <w:sz w:val="13"/>
          <w:szCs w:val="13"/>
          <w:color w:val="008000"/>
        </w:rPr>
        <w:t>12. The price reported is a weighted average price. The shares were sold in multiple transactions at prices ranging from $359.44 to $360.37,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00"/>
        <w:spacing w:after="0" w:line="253" w:lineRule="auto"/>
        <w:rPr>
          <w:sz w:val="20"/>
          <w:szCs w:val="20"/>
          <w:color w:val="auto"/>
        </w:rPr>
      </w:pPr>
      <w:r>
        <w:rPr>
          <w:rFonts w:ascii="Times New Roman" w:cs="Times New Roman" w:eastAsia="Times New Roman" w:hAnsi="Times New Roman"/>
          <w:sz w:val="13"/>
          <w:szCs w:val="13"/>
          <w:color w:val="008000"/>
        </w:rPr>
        <w:t>13. The price reported is a weighted average price. The shares were sold in multiple transactions at prices ranging from $360.44 to $361.42,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00"/>
        <w:spacing w:after="0" w:line="253" w:lineRule="auto"/>
        <w:rPr>
          <w:sz w:val="20"/>
          <w:szCs w:val="20"/>
          <w:color w:val="auto"/>
        </w:rPr>
      </w:pPr>
      <w:r>
        <w:rPr>
          <w:rFonts w:ascii="Times New Roman" w:cs="Times New Roman" w:eastAsia="Times New Roman" w:hAnsi="Times New Roman"/>
          <w:sz w:val="13"/>
          <w:szCs w:val="13"/>
          <w:color w:val="008000"/>
        </w:rPr>
        <w:t>14. The price reported is a weighted average price. The shares were sold in multiple transactions at prices ranging from $361.43 to $362.40,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00"/>
        <w:spacing w:after="0" w:line="253" w:lineRule="auto"/>
        <w:rPr>
          <w:sz w:val="20"/>
          <w:szCs w:val="20"/>
          <w:color w:val="auto"/>
        </w:rPr>
      </w:pPr>
      <w:r>
        <w:rPr>
          <w:rFonts w:ascii="Times New Roman" w:cs="Times New Roman" w:eastAsia="Times New Roman" w:hAnsi="Times New Roman"/>
          <w:sz w:val="13"/>
          <w:szCs w:val="13"/>
          <w:color w:val="008000"/>
        </w:rPr>
        <w:t>15. The price reported is a weighted average price. The shares were sold in multiple transactions at prices ranging from $362.45 to $363.24,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right="300"/>
        <w:spacing w:after="0" w:line="253" w:lineRule="auto"/>
        <w:rPr>
          <w:sz w:val="20"/>
          <w:szCs w:val="20"/>
          <w:color w:val="auto"/>
        </w:rPr>
      </w:pPr>
      <w:r>
        <w:rPr>
          <w:rFonts w:ascii="Times New Roman" w:cs="Times New Roman" w:eastAsia="Times New Roman" w:hAnsi="Times New Roman"/>
          <w:sz w:val="13"/>
          <w:szCs w:val="13"/>
          <w:color w:val="008000"/>
        </w:rPr>
        <w:t>16. The price reported is a weighted average price. The shares were sold in multiple transactions at prices ranging from $363.51 to $364.17,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17. Includes 32 shares purchased under the Issuer's Employee Stock Purchase Plan on June 15, 2026.</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Gahee Lee,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908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2026-06-17T15:26:26Z</dcterms:created>
  <dcterms:modified xsi:type="dcterms:W3CDTF">2026-06-17T15:26:26Z</dcterms:modified>
</cp:coreProperties>
</file>