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w:t>
      </w:r>
    </w:p>
    <w:p>
      <w:pPr>
        <w:spacing w:after="0" w:line="17"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10-K</w:t>
      </w:r>
    </w:p>
    <w:p>
      <w:pPr>
        <w:ind w:left="4860"/>
        <w:spacing w:after="0"/>
        <w:rPr>
          <w:sz w:val="20"/>
          <w:szCs w:val="20"/>
          <w:color w:val="auto"/>
        </w:rPr>
      </w:pPr>
      <w:r>
        <w:rPr>
          <w:rFonts w:ascii="Arial" w:cs="Arial" w:eastAsia="Arial" w:hAnsi="Arial"/>
          <w:sz w:val="14"/>
          <w:szCs w:val="14"/>
          <w:color w:val="auto"/>
        </w:rPr>
        <w:t>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right="-219"/>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ANNUAL REPORT PURSUANT TO SECTION 13 OR 15(d) OF THE SECURITIES EXCHANGE ACT OF 1934</w:t>
      </w:r>
    </w:p>
    <w:p>
      <w:pPr>
        <w:spacing w:after="0" w:line="122"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For the fiscal year ended January 31, 2020</w:t>
      </w:r>
    </w:p>
    <w:p>
      <w:pPr>
        <w:spacing w:after="0" w:line="11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OR</w:t>
      </w:r>
    </w:p>
    <w:p>
      <w:pPr>
        <w:spacing w:after="0" w:line="83" w:lineRule="exact"/>
        <w:rPr>
          <w:sz w:val="24"/>
          <w:szCs w:val="24"/>
          <w:color w:val="auto"/>
        </w:rPr>
      </w:pPr>
    </w:p>
    <w:p>
      <w:pPr>
        <w:ind w:left="6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19"/>
          <w:szCs w:val="19"/>
          <w:b w:val="1"/>
          <w:bCs w:val="1"/>
          <w:color w:val="auto"/>
        </w:rPr>
        <w:t>TRANSITION REPORT PURSUANT TO SECTION 13 OR 15(d) OF THE SECURITIES EXCHANGE ACT OF 1934</w:t>
      </w:r>
    </w:p>
    <w:p>
      <w:pPr>
        <w:spacing w:after="0" w:line="164" w:lineRule="exact"/>
        <w:rPr>
          <w:sz w:val="24"/>
          <w:szCs w:val="24"/>
          <w:color w:val="auto"/>
        </w:rPr>
      </w:pPr>
    </w:p>
    <w:tbl>
      <w:tblPr>
        <w:tblLayout w:type="fixed"/>
        <w:tblInd w:w="40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93"/>
              </w:rPr>
              <w:t>For the transition period from</w:t>
            </w:r>
          </w:p>
        </w:tc>
        <w:tc>
          <w:tcPr>
            <w:tcW w:w="3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to</w:t>
            </w:r>
          </w:p>
        </w:tc>
        <w:tc>
          <w:tcPr>
            <w:tcW w:w="360" w:type="dxa"/>
            <w:vAlign w:val="bottom"/>
            <w:tcBorders>
              <w:bottom w:val="single" w:sz="8" w:color="auto"/>
            </w:tcBorders>
          </w:tcPr>
          <w:p>
            <w:pPr>
              <w:spacing w:after="0"/>
              <w:rPr>
                <w:sz w:val="17"/>
                <w:szCs w:val="17"/>
                <w:color w:val="auto"/>
              </w:rPr>
            </w:pPr>
          </w:p>
        </w:tc>
      </w:tr>
      <w:tr>
        <w:trPr>
          <w:trHeight w:val="345"/>
        </w:trPr>
        <w:tc>
          <w:tcPr>
            <w:tcW w:w="3140" w:type="dxa"/>
            <w:vAlign w:val="bottom"/>
            <w:gridSpan w:val="4"/>
          </w:tcPr>
          <w:p>
            <w:pPr>
              <w:jc w:val="center"/>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001-38240</w:t>
            </w:r>
          </w:p>
        </w:tc>
      </w:tr>
      <w:tr>
        <w:trPr>
          <w:trHeight w:val="270"/>
        </w:trPr>
        <w:tc>
          <w:tcPr>
            <w:tcW w:w="2540" w:type="dxa"/>
            <w:vAlign w:val="bottom"/>
            <w:gridSpan w:val="2"/>
          </w:tcPr>
          <w:p>
            <w:pPr>
              <w:jc w:val="right"/>
              <w:ind w:right="220"/>
              <w:spacing w:after="0"/>
              <w:rPr>
                <w:sz w:val="20"/>
                <w:szCs w:val="20"/>
                <w:color w:val="auto"/>
              </w:rPr>
            </w:pPr>
            <w:r>
              <w:rPr>
                <w:rFonts w:ascii="Arial" w:cs="Arial" w:eastAsia="Arial" w:hAnsi="Arial"/>
                <w:sz w:val="14"/>
                <w:szCs w:val="14"/>
                <w:color w:val="auto"/>
              </w:rPr>
              <w:t>_____________________</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1" w:lineRule="exact"/>
        <w:rPr>
          <w:sz w:val="24"/>
          <w:szCs w:val="24"/>
          <w:color w:val="auto"/>
        </w:rPr>
      </w:pPr>
    </w:p>
    <w:tbl>
      <w:tblPr>
        <w:tblLayout w:type="fixed"/>
        <w:tblInd w:w="1700" w:type="dxa"/>
        <w:tblCellMar>
          <w:top w:w="0" w:type="dxa"/>
          <w:left w:w="0" w:type="dxa"/>
          <w:bottom w:w="0" w:type="dxa"/>
          <w:right w:w="0" w:type="dxa"/>
        </w:tblCellMar>
      </w:tblPr>
      <w:tr>
        <w:trPr>
          <w:trHeight w:val="346"/>
        </w:trPr>
        <w:tc>
          <w:tcPr>
            <w:tcW w:w="5720" w:type="dxa"/>
            <w:vAlign w:val="bottom"/>
          </w:tcPr>
          <w:p>
            <w:pPr>
              <w:jc w:val="center"/>
              <w:ind w:left="2054"/>
              <w:spacing w:after="0"/>
              <w:rPr>
                <w:sz w:val="20"/>
                <w:szCs w:val="20"/>
                <w:color w:val="auto"/>
              </w:rPr>
            </w:pPr>
            <w:r>
              <w:rPr>
                <w:rFonts w:ascii="Arial" w:cs="Arial" w:eastAsia="Arial" w:hAnsi="Arial"/>
                <w:sz w:val="29"/>
                <w:szCs w:val="29"/>
                <w:b w:val="1"/>
                <w:bCs w:val="1"/>
                <w:color w:val="auto"/>
              </w:rPr>
              <w:t>MONGODB, INC.</w:t>
            </w:r>
          </w:p>
        </w:tc>
        <w:tc>
          <w:tcPr>
            <w:tcW w:w="1440" w:type="dxa"/>
            <w:vAlign w:val="bottom"/>
          </w:tcPr>
          <w:p>
            <w:pPr>
              <w:spacing w:after="0"/>
              <w:rPr>
                <w:sz w:val="24"/>
                <w:szCs w:val="24"/>
                <w:color w:val="auto"/>
              </w:rPr>
            </w:pPr>
          </w:p>
        </w:tc>
      </w:tr>
      <w:tr>
        <w:trPr>
          <w:trHeight w:val="182"/>
        </w:trPr>
        <w:tc>
          <w:tcPr>
            <w:tcW w:w="5720" w:type="dxa"/>
            <w:vAlign w:val="bottom"/>
          </w:tcPr>
          <w:p>
            <w:pPr>
              <w:jc w:val="center"/>
              <w:ind w:left="2054"/>
              <w:spacing w:after="0"/>
              <w:rPr>
                <w:sz w:val="20"/>
                <w:szCs w:val="20"/>
                <w:color w:val="auto"/>
              </w:rPr>
            </w:pPr>
            <w:r>
              <w:rPr>
                <w:rFonts w:ascii="Arial" w:cs="Arial" w:eastAsia="Arial" w:hAnsi="Arial"/>
                <w:sz w:val="14"/>
                <w:szCs w:val="14"/>
                <w:color w:val="auto"/>
                <w:w w:val="93"/>
              </w:rPr>
              <w:t>(Exact name of registrant as specified in its charter)</w:t>
            </w:r>
          </w:p>
        </w:tc>
        <w:tc>
          <w:tcPr>
            <w:tcW w:w="1440" w:type="dxa"/>
            <w:vAlign w:val="bottom"/>
          </w:tcPr>
          <w:p>
            <w:pPr>
              <w:spacing w:after="0"/>
              <w:rPr>
                <w:sz w:val="15"/>
                <w:szCs w:val="15"/>
                <w:color w:val="auto"/>
              </w:rPr>
            </w:pPr>
          </w:p>
        </w:tc>
      </w:tr>
      <w:tr>
        <w:trPr>
          <w:trHeight w:val="189"/>
        </w:trPr>
        <w:tc>
          <w:tcPr>
            <w:tcW w:w="5720" w:type="dxa"/>
            <w:vAlign w:val="bottom"/>
          </w:tcPr>
          <w:p>
            <w:pPr>
              <w:jc w:val="center"/>
              <w:ind w:left="2034"/>
              <w:spacing w:after="0"/>
              <w:rPr>
                <w:sz w:val="20"/>
                <w:szCs w:val="20"/>
                <w:color w:val="auto"/>
              </w:rPr>
            </w:pPr>
            <w:r>
              <w:rPr>
                <w:rFonts w:ascii="Arial" w:cs="Arial" w:eastAsia="Arial" w:hAnsi="Arial"/>
                <w:sz w:val="14"/>
                <w:szCs w:val="14"/>
                <w:color w:val="auto"/>
                <w:w w:val="92"/>
              </w:rPr>
              <w:t>_____________________</w:t>
            </w:r>
          </w:p>
        </w:tc>
        <w:tc>
          <w:tcPr>
            <w:tcW w:w="1440" w:type="dxa"/>
            <w:vAlign w:val="bottom"/>
          </w:tcPr>
          <w:p>
            <w:pPr>
              <w:spacing w:after="0"/>
              <w:rPr>
                <w:sz w:val="16"/>
                <w:szCs w:val="16"/>
                <w:color w:val="auto"/>
              </w:rPr>
            </w:pPr>
          </w:p>
        </w:tc>
      </w:tr>
      <w:tr>
        <w:trPr>
          <w:trHeight w:val="484"/>
        </w:trPr>
        <w:tc>
          <w:tcPr>
            <w:tcW w:w="5720" w:type="dxa"/>
            <w:vAlign w:val="bottom"/>
          </w:tcPr>
          <w:p>
            <w:pPr>
              <w:jc w:val="center"/>
              <w:ind w:right="3114"/>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26-1463205</w:t>
            </w:r>
          </w:p>
        </w:tc>
      </w:tr>
      <w:tr>
        <w:trPr>
          <w:trHeight w:val="180"/>
        </w:trPr>
        <w:tc>
          <w:tcPr>
            <w:tcW w:w="5720" w:type="dxa"/>
            <w:vAlign w:val="bottom"/>
          </w:tcPr>
          <w:p>
            <w:pPr>
              <w:jc w:val="center"/>
              <w:ind w:right="3154"/>
              <w:spacing w:after="0"/>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720" w:type="dxa"/>
            <w:vAlign w:val="bottom"/>
          </w:tcPr>
          <w:p>
            <w:pPr>
              <w:jc w:val="center"/>
              <w:ind w:right="3114"/>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5720" w:type="dxa"/>
            <w:vAlign w:val="bottom"/>
          </w:tcPr>
          <w:p>
            <w:pPr>
              <w:spacing w:after="0"/>
              <w:rPr>
                <w:sz w:val="20"/>
                <w:szCs w:val="20"/>
                <w:color w:val="auto"/>
              </w:rPr>
            </w:pPr>
            <w:r>
              <w:rPr>
                <w:rFonts w:ascii="Arial" w:cs="Arial" w:eastAsia="Arial" w:hAnsi="Arial"/>
                <w:sz w:val="18"/>
                <w:szCs w:val="18"/>
                <w:b w:val="1"/>
                <w:bCs w:val="1"/>
                <w:color w:val="auto"/>
              </w:rPr>
              <w:t>1633 Broadway 38th Floor</w:t>
            </w:r>
          </w:p>
        </w:tc>
        <w:tc>
          <w:tcPr>
            <w:tcW w:w="1440" w:type="dxa"/>
            <w:vAlign w:val="bottom"/>
          </w:tcPr>
          <w:p>
            <w:pPr>
              <w:spacing w:after="0"/>
              <w:rPr>
                <w:sz w:val="22"/>
                <w:szCs w:val="22"/>
                <w:color w:val="auto"/>
              </w:rPr>
            </w:pPr>
          </w:p>
        </w:tc>
      </w:tr>
      <w:tr>
        <w:trPr>
          <w:trHeight w:val="270"/>
        </w:trPr>
        <w:tc>
          <w:tcPr>
            <w:tcW w:w="5720" w:type="dxa"/>
            <w:vAlign w:val="bottom"/>
          </w:tcPr>
          <w:p>
            <w:pPr>
              <w:ind w:left="420"/>
              <w:spacing w:after="0"/>
              <w:rPr>
                <w:sz w:val="20"/>
                <w:szCs w:val="20"/>
                <w:color w:val="auto"/>
              </w:rPr>
            </w:pPr>
            <w:r>
              <w:rPr>
                <w:rFonts w:ascii="Arial" w:cs="Arial" w:eastAsia="Arial" w:hAnsi="Arial"/>
                <w:sz w:val="18"/>
                <w:szCs w:val="18"/>
                <w:b w:val="1"/>
                <w:bCs w:val="1"/>
                <w:color w:val="auto"/>
              </w:rPr>
              <w:t>New York NY</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10019</w:t>
            </w:r>
          </w:p>
        </w:tc>
      </w:tr>
      <w:tr>
        <w:trPr>
          <w:trHeight w:val="218"/>
        </w:trPr>
        <w:tc>
          <w:tcPr>
            <w:tcW w:w="5720" w:type="dxa"/>
            <w:vAlign w:val="bottom"/>
          </w:tcPr>
          <w:p>
            <w:pPr>
              <w:jc w:val="center"/>
              <w:ind w:right="313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bl>
    <w:p>
      <w:pPr>
        <w:spacing w:after="0" w:line="16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646-727-4092</w:t>
      </w:r>
    </w:p>
    <w:p>
      <w:pPr>
        <w:spacing w:after="0" w:line="63"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w:t>
      </w:r>
    </w:p>
    <w:p>
      <w:pPr>
        <w:spacing w:after="0" w:line="11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Title of each class</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Class A Common Stock, par value $0.001</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rPr>
              <w:t>MDB</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84"/>
        </w:trPr>
        <w:tc>
          <w:tcPr>
            <w:tcW w:w="3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per share</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2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69" w:lineRule="exact"/>
        <w:rPr>
          <w:sz w:val="24"/>
          <w:szCs w:val="24"/>
          <w:color w:val="auto"/>
        </w:rPr>
      </w:pPr>
    </w:p>
    <w:p>
      <w:pPr>
        <w:ind w:right="106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01" w:lineRule="exact"/>
        <w:rPr>
          <w:sz w:val="24"/>
          <w:szCs w:val="24"/>
          <w:color w:val="auto"/>
        </w:rPr>
      </w:pPr>
    </w:p>
    <w:p>
      <w:pPr>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6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0940"/>
          </w:cols>
          <w:pgMar w:left="320" w:top="620" w:right="639" w:bottom="1440" w:gutter="0" w:footer="0" w:header="0"/>
        </w:sectPr>
      </w:pPr>
    </w:p>
    <w:bookmarkStart w:id="1" w:name="page2"/>
    <w:bookmarkEnd w:id="1"/>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0"/>
          <w:szCs w:val="20"/>
          <w:color w:val="auto"/>
        </w:rPr>
      </w:pPr>
    </w:p>
    <w:tbl>
      <w:tblPr>
        <w:tblLayout w:type="fixed"/>
        <w:tblInd w:w="420" w:type="dxa"/>
        <w:tblCellMar>
          <w:top w:w="0" w:type="dxa"/>
          <w:left w:w="0" w:type="dxa"/>
          <w:bottom w:w="0" w:type="dxa"/>
          <w:right w:w="0" w:type="dxa"/>
        </w:tblCellMar>
      </w:tblPr>
      <w:tr>
        <w:trPr>
          <w:trHeight w:val="338"/>
        </w:trPr>
        <w:tc>
          <w:tcPr>
            <w:tcW w:w="234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4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288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440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234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400" w:type="dxa"/>
            <w:vAlign w:val="bottom"/>
          </w:tcPr>
          <w:p>
            <w:pPr>
              <w:ind w:left="2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(Do not check if a small reporting company)</w:t>
            </w:r>
          </w:p>
        </w:tc>
        <w:tc>
          <w:tcPr>
            <w:tcW w:w="2880" w:type="dxa"/>
            <w:vAlign w:val="bottom"/>
            <w:vMerge w:val="restart"/>
          </w:tcPr>
          <w:p>
            <w:pPr>
              <w:ind w:left="600"/>
              <w:spacing w:after="0"/>
              <w:rPr>
                <w:sz w:val="20"/>
                <w:szCs w:val="20"/>
                <w:color w:val="auto"/>
              </w:rPr>
            </w:pPr>
            <w:r>
              <w:rPr>
                <w:rFonts w:ascii="Arial" w:cs="Arial" w:eastAsia="Arial" w:hAnsi="Arial"/>
                <w:sz w:val="18"/>
                <w:szCs w:val="18"/>
                <w:color w:val="auto"/>
              </w:rPr>
              <w:t>Small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440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2340" w:type="dxa"/>
            <w:vAlign w:val="bottom"/>
            <w:vMerge w:val="restart"/>
          </w:tcPr>
          <w:p>
            <w:pPr>
              <w:spacing w:after="0"/>
              <w:rPr>
                <w:sz w:val="20"/>
                <w:szCs w:val="20"/>
                <w:color w:val="auto"/>
              </w:rPr>
            </w:pPr>
            <w:r>
              <w:rPr>
                <w:rFonts w:ascii="Arial" w:cs="Arial" w:eastAsia="Arial" w:hAnsi="Arial"/>
                <w:sz w:val="18"/>
                <w:szCs w:val="18"/>
                <w:color w:val="auto"/>
              </w:rPr>
              <w:t>Emerging Growth Company</w:t>
            </w:r>
          </w:p>
        </w:tc>
        <w:tc>
          <w:tcPr>
            <w:tcW w:w="44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44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0"/>
          <w:szCs w:val="20"/>
          <w:color w:val="auto"/>
        </w:rPr>
      </w:pPr>
    </w:p>
    <w:p>
      <w:pPr>
        <w:spacing w:after="0" w:line="242" w:lineRule="exact"/>
        <w:tabs>
          <w:tab w:leader="none" w:pos="89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registrant’s shares of Class A common stock as reported by The Nasdaq Global Market on July 31, 2019 (the last business day of the registrant’s second fiscal quarter), was approximately $6.7 billion.</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23, 2020, there were 48,962,130 shares of the registrant’s Class A common stock and 8,604,123 shares of the registrant’s Class B common stock outstanding.</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2020 annual meeting of shareholders (the “2020 Proxy Statement”) are incorporated by reference into Part III of this Annual Report on Form 10-K where indicated. The 2020 Proxy Statement will be filed with the U.S. Securities and Exchange Commission within 120 days after the end of the registrant’s fiscal year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p>
      <w:pPr>
        <w:spacing w:after="0" w:line="144" w:lineRule="exact"/>
        <w:rPr>
          <w:sz w:val="20"/>
          <w:szCs w:val="20"/>
          <w:color w:val="auto"/>
        </w:rPr>
      </w:pPr>
    </w:p>
    <w:p>
      <w:pPr>
        <w:ind w:left="2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Item 1A.</w:t>
        </w:r>
      </w:hyperlink>
    </w:p>
    <w:p>
      <w:pPr>
        <w:spacing w:after="0" w:line="75" w:lineRule="exact"/>
        <w:rPr>
          <w:sz w:val="20"/>
          <w:szCs w:val="20"/>
          <w:color w:val="auto"/>
        </w:rPr>
      </w:pPr>
    </w:p>
    <w:p>
      <w:pPr>
        <w:ind w:left="20"/>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Item 1B.</w:t>
        </w:r>
      </w:hyperlink>
    </w:p>
    <w:p>
      <w:pPr>
        <w:spacing w:after="0" w:line="75" w:lineRule="exact"/>
        <w:rPr>
          <w:sz w:val="20"/>
          <w:szCs w:val="20"/>
          <w:color w:val="auto"/>
        </w:rPr>
      </w:pPr>
    </w:p>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w:t>
        </w:r>
      </w:hyperlink>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5.</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6.</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7.</w:t>
        </w:r>
      </w:hyperlink>
    </w:p>
    <w:p>
      <w:pPr>
        <w:spacing w:after="0" w:line="144" w:lineRule="exact"/>
        <w:rPr>
          <w:sz w:val="20"/>
          <w:szCs w:val="20"/>
          <w:color w:val="auto"/>
        </w:rPr>
      </w:pPr>
    </w:p>
    <w:p>
      <w:pPr>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Item 7A.</w:t>
        </w:r>
      </w:hyperlink>
    </w:p>
    <w:p>
      <w:pPr>
        <w:spacing w:after="0" w:line="156"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8.</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9.</w:t>
        </w:r>
      </w:hyperlink>
    </w:p>
    <w:p>
      <w:pPr>
        <w:spacing w:after="0" w:line="144" w:lineRule="exact"/>
        <w:rPr>
          <w:sz w:val="20"/>
          <w:szCs w:val="20"/>
          <w:color w:val="auto"/>
        </w:rPr>
      </w:pPr>
    </w:p>
    <w:p>
      <w:pPr>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Item 9A.</w:t>
        </w:r>
      </w:hyperlink>
    </w:p>
    <w:p>
      <w:pPr>
        <w:spacing w:after="0" w:line="156" w:lineRule="exact"/>
        <w:rPr>
          <w:sz w:val="20"/>
          <w:szCs w:val="20"/>
          <w:color w:val="auto"/>
        </w:rPr>
      </w:pPr>
    </w:p>
    <w:p>
      <w:pPr>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Item 9B.</w:t>
        </w:r>
      </w:hyperlink>
    </w:p>
    <w:p>
      <w:pPr>
        <w:spacing w:after="0" w:line="200" w:lineRule="exact"/>
        <w:rPr>
          <w:sz w:val="20"/>
          <w:szCs w:val="20"/>
          <w:color w:val="auto"/>
        </w:rPr>
      </w:pPr>
    </w:p>
    <w:p>
      <w:pPr>
        <w:spacing w:after="0" w:line="307"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Item 10.</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Item 11.</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Item 12.</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Item 13.</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Item 14.</w:t>
        </w:r>
      </w:hyperlink>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15.</w:t>
        </w:r>
      </w:hyperlink>
    </w:p>
    <w:p>
      <w:pPr>
        <w:spacing w:after="0" w:line="144" w:lineRule="exact"/>
        <w:rPr>
          <w:sz w:val="20"/>
          <w:szCs w:val="20"/>
          <w:color w:val="auto"/>
        </w:rPr>
      </w:pPr>
    </w:p>
    <w:p>
      <w:pPr>
        <w:ind w:left="20"/>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Item 16.</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6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auto"/>
                <w:w w:val="93"/>
              </w:rPr>
              <w:t>MongoDB, Inc.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6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auto"/>
                <w:w w:val="96"/>
              </w:rPr>
              <w:t>Form 10-K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40" w:type="dxa"/>
            <w:vAlign w:val="bottom"/>
            <w:gridSpan w:val="18"/>
          </w:tcPr>
          <w:p>
            <w:pPr>
              <w:jc w:val="center"/>
              <w:ind w:right="2880"/>
              <w:spacing w:after="0"/>
              <w:rPr>
                <w:sz w:val="20"/>
                <w:szCs w:val="20"/>
                <w:color w:val="auto"/>
              </w:rPr>
            </w:pPr>
            <w:r>
              <w:rPr>
                <w:rFonts w:ascii="Arial" w:cs="Arial" w:eastAsia="Arial" w:hAnsi="Arial"/>
                <w:sz w:val="18"/>
                <w:szCs w:val="18"/>
                <w:b w:val="1"/>
                <w:bCs w:val="1"/>
                <w:color w:val="auto"/>
                <w:w w:val="90"/>
              </w:rPr>
              <w:t>For the Fiscal Year Ended January 31, 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16"/>
          </w:tcPr>
          <w:p>
            <w:pPr>
              <w:jc w:val="center"/>
              <w:ind w:right="3720"/>
              <w:spacing w:after="0"/>
              <w:rPr>
                <w:sz w:val="20"/>
                <w:szCs w:val="20"/>
                <w:color w:val="auto"/>
              </w:rPr>
            </w:pPr>
            <w:r>
              <w:rPr>
                <w:rFonts w:ascii="Arial" w:cs="Arial" w:eastAsia="Arial" w:hAnsi="Arial"/>
                <w:sz w:val="22"/>
                <w:szCs w:val="22"/>
                <w:b w:val="1"/>
                <w:bCs w:val="1"/>
                <w:color w:val="auto"/>
                <w:w w:val="97"/>
              </w:rPr>
              <w:t>TABLE OF CONTENTS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0"/>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60" w:type="dxa"/>
            <w:vAlign w:val="bottom"/>
            <w:gridSpan w:val="12"/>
          </w:tcPr>
          <w:p>
            <w:pPr>
              <w:jc w:val="center"/>
              <w:ind w:right="4780"/>
              <w:spacing w:after="0" w:line="189"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2"/>
        </w:trPr>
        <w:tc>
          <w:tcPr>
            <w:tcW w:w="39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4780" w:type="dxa"/>
            <w:vAlign w:val="bottom"/>
            <w:gridSpan w:val="9"/>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300" w:type="dxa"/>
            <w:vAlign w:val="bottom"/>
            <w:gridSpan w:val="2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gridSpan w:val="9"/>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Unresolved Staff Comments</w:t>
              </w:r>
            </w:hyperlink>
          </w:p>
        </w:tc>
        <w:tc>
          <w:tcPr>
            <w:tcW w:w="7240" w:type="dxa"/>
            <w:vAlign w:val="bottom"/>
            <w:gridSpan w:val="18"/>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Properties</w:t>
              </w:r>
            </w:hyperlink>
          </w:p>
        </w:tc>
        <w:tc>
          <w:tcPr>
            <w:tcW w:w="1320" w:type="dxa"/>
            <w:vAlign w:val="bottom"/>
            <w:gridSpan w:val="7"/>
          </w:tcPr>
          <w:p>
            <w:pPr>
              <w:spacing w:after="0"/>
              <w:rPr>
                <w:sz w:val="21"/>
                <w:szCs w:val="21"/>
                <w:color w:val="auto"/>
              </w:rPr>
            </w:pPr>
          </w:p>
        </w:tc>
        <w:tc>
          <w:tcPr>
            <w:tcW w:w="7240" w:type="dxa"/>
            <w:vAlign w:val="bottom"/>
            <w:gridSpan w:val="18"/>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gridSpan w:val="4"/>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Legal Proceedings</w:t>
              </w:r>
            </w:hyperlink>
          </w:p>
        </w:tc>
        <w:tc>
          <w:tcPr>
            <w:tcW w:w="7960" w:type="dxa"/>
            <w:vAlign w:val="bottom"/>
            <w:gridSpan w:val="23"/>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30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50"/>
        </w:trPr>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0" w:type="dxa"/>
            <w:vAlign w:val="bottom"/>
            <w:gridSpan w:val="13"/>
          </w:tcPr>
          <w:p>
            <w:pPr>
              <w:jc w:val="center"/>
              <w:ind w:right="474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12"/>
        </w:trPr>
        <w:tc>
          <w:tcPr>
            <w:tcW w:w="8080" w:type="dxa"/>
            <w:vAlign w:val="bottom"/>
            <w:gridSpan w:val="26"/>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Market for Registrant’s Common Equity, Related Stockholder Matters and Issuer Purchases of Equity Securities</w:t>
              </w:r>
            </w:hyperlink>
          </w:p>
        </w:tc>
        <w:tc>
          <w:tcPr>
            <w:tcW w:w="1220" w:type="dxa"/>
            <w:vAlign w:val="bottom"/>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720" w:type="dxa"/>
            <w:vAlign w:val="bottom"/>
            <w:gridSpan w:val="6"/>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Selected Financial Data</w:t>
              </w:r>
            </w:hyperlink>
          </w:p>
        </w:tc>
        <w:tc>
          <w:tcPr>
            <w:tcW w:w="6360" w:type="dxa"/>
            <w:vAlign w:val="bottom"/>
            <w:gridSpan w:val="20"/>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30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60" w:type="dxa"/>
            <w:vAlign w:val="bottom"/>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2840" w:type="dxa"/>
            <w:vAlign w:val="bottom"/>
            <w:gridSpan w:val="4"/>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3340" w:type="dxa"/>
            <w:vAlign w:val="bottom"/>
            <w:gridSpan w:val="1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Financial Statements and Supplementary Data</w:t>
              </w:r>
            </w:hyperlink>
          </w:p>
        </w:tc>
        <w:tc>
          <w:tcPr>
            <w:tcW w:w="1020" w:type="dxa"/>
            <w:vAlign w:val="bottom"/>
            <w:gridSpan w:val="5"/>
          </w:tcPr>
          <w:p>
            <w:pPr>
              <w:spacing w:after="0"/>
              <w:rPr>
                <w:sz w:val="24"/>
                <w:szCs w:val="24"/>
                <w:color w:val="auto"/>
              </w:rPr>
            </w:pPr>
          </w:p>
        </w:tc>
        <w:tc>
          <w:tcPr>
            <w:tcW w:w="4940" w:type="dxa"/>
            <w:vAlign w:val="bottom"/>
            <w:gridSpan w:val="10"/>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30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331"/>
        </w:trPr>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7"/>
          </w:tcPr>
          <w:p>
            <w:pPr>
              <w:spacing w:after="0"/>
              <w:rPr>
                <w:sz w:val="24"/>
                <w:szCs w:val="24"/>
                <w:color w:val="auto"/>
              </w:rPr>
            </w:pPr>
          </w:p>
        </w:tc>
        <w:tc>
          <w:tcPr>
            <w:tcW w:w="282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20" w:type="dxa"/>
            <w:vAlign w:val="bottom"/>
          </w:tcPr>
          <w:p>
            <w:pPr>
              <w:spacing w:after="0"/>
              <w:rPr>
                <w:sz w:val="24"/>
                <w:szCs w:val="24"/>
                <w:color w:val="auto"/>
              </w:rPr>
            </w:pPr>
          </w:p>
        </w:tc>
      </w:tr>
      <w:tr>
        <w:trPr>
          <w:trHeight w:val="331"/>
        </w:trPr>
        <w:tc>
          <w:tcPr>
            <w:tcW w:w="9300" w:type="dxa"/>
            <w:vAlign w:val="bottom"/>
            <w:gridSpan w:val="2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50"/>
        </w:trPr>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III</w:t>
              </w:r>
            </w:hyperlink>
          </w:p>
        </w:tc>
        <w:tc>
          <w:tcPr>
            <w:tcW w:w="4680" w:type="dxa"/>
            <w:vAlign w:val="bottom"/>
            <w:gridSpan w:val="6"/>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Directors, Executive Officers and Corporate Governance</w:t>
              </w:r>
            </w:hyperlink>
          </w:p>
        </w:tc>
        <w:tc>
          <w:tcPr>
            <w:tcW w:w="520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c>
          <w:tcPr>
            <w:tcW w:w="20" w:type="dxa"/>
            <w:vAlign w:val="bottom"/>
          </w:tcPr>
          <w:p>
            <w:pPr>
              <w:spacing w:after="0"/>
              <w:rPr>
                <w:sz w:val="24"/>
                <w:szCs w:val="24"/>
                <w:color w:val="auto"/>
              </w:rPr>
            </w:pPr>
          </w:p>
        </w:tc>
      </w:tr>
      <w:tr>
        <w:trPr>
          <w:trHeight w:val="331"/>
        </w:trPr>
        <w:tc>
          <w:tcPr>
            <w:tcW w:w="930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r>
      <w:tr>
        <w:trPr>
          <w:trHeight w:val="20"/>
        </w:trPr>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Security Ownership of Certain Beneficial Owners and Management and Related Stockholder Matters</w:t>
              </w:r>
            </w:hyperlink>
          </w:p>
        </w:tc>
        <w:tc>
          <w:tcPr>
            <w:tcW w:w="20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c>
          <w:tcPr>
            <w:tcW w:w="20" w:type="dxa"/>
            <w:vAlign w:val="bottom"/>
          </w:tcPr>
          <w:p>
            <w:pPr>
              <w:spacing w:after="0"/>
              <w:rPr>
                <w:sz w:val="24"/>
                <w:szCs w:val="24"/>
                <w:color w:val="auto"/>
              </w:rPr>
            </w:pPr>
          </w:p>
        </w:tc>
      </w:tr>
      <w:tr>
        <w:trPr>
          <w:trHeight w:val="331"/>
        </w:trPr>
        <w:tc>
          <w:tcPr>
            <w:tcW w:w="930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r>
      <w:tr>
        <w:trPr>
          <w:trHeight w:val="331"/>
        </w:trPr>
        <w:tc>
          <w:tcPr>
            <w:tcW w:w="5400" w:type="dxa"/>
            <w:vAlign w:val="bottom"/>
            <w:tcBorders>
              <w:top w:val="single" w:sz="8" w:color="0000EE"/>
            </w:tcBorders>
            <w:gridSpan w:val="2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w:t>
              </w:r>
            </w:hyperlink>
          </w:p>
        </w:tc>
        <w:tc>
          <w:tcPr>
            <w:tcW w:w="390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c>
          <w:tcPr>
            <w:tcW w:w="20" w:type="dxa"/>
            <w:vAlign w:val="bottom"/>
          </w:tcPr>
          <w:p>
            <w:pPr>
              <w:spacing w:after="0"/>
              <w:rPr>
                <w:sz w:val="24"/>
                <w:szCs w:val="24"/>
                <w:color w:val="auto"/>
              </w:rPr>
            </w:pPr>
          </w:p>
        </w:tc>
      </w:tr>
      <w:tr>
        <w:trPr>
          <w:trHeight w:val="250"/>
        </w:trPr>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07">
              <w:r>
                <w:rPr>
                  <w:rFonts w:ascii="Arial" w:cs="Arial" w:eastAsia="Arial" w:hAnsi="Arial"/>
                  <w:sz w:val="18"/>
                  <w:szCs w:val="18"/>
                  <w:b w:val="1"/>
                  <w:bCs w:val="1"/>
                  <w:color w:val="0000EE"/>
                  <w:w w:val="98"/>
                </w:rPr>
                <w:t>PART IV</w:t>
              </w:r>
            </w:hyperlink>
          </w:p>
        </w:tc>
        <w:tc>
          <w:tcPr>
            <w:tcW w:w="4700" w:type="dxa"/>
            <w:vAlign w:val="bottom"/>
            <w:gridSpan w:val="7"/>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9300" w:type="dxa"/>
            <w:vAlign w:val="bottom"/>
            <w:gridSpan w:val="2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Exhibits, Financial Statement Schedules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50"/>
        </w:trPr>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21"/>
                <w:szCs w:val="21"/>
                <w:color w:val="auto"/>
              </w:rPr>
            </w:pPr>
          </w:p>
        </w:tc>
        <w:tc>
          <w:tcPr>
            <w:tcW w:w="6400" w:type="dxa"/>
            <w:vAlign w:val="bottom"/>
            <w:gridSpan w:val="16"/>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r>
    </w:tbl>
    <w:p>
      <w:pPr>
        <w:sectPr>
          <w:pgSz w:w="11900" w:h="16838" w:orient="portrait"/>
          <w:cols w:equalWidth="0" w:num="2">
            <w:col w:w="660" w:space="700"/>
            <w:col w:w="9860"/>
          </w:cols>
          <w:pgMar w:left="340" w:top="337"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1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anticipate and satisfy customer demands, including through the introduction of new features, products or services and the provision of professional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future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17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1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4"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Our business model combines the developer mindshare and adoption benefits of open source with the economic benefits of a proprietary software subscription business model.</w:t>
      </w:r>
    </w:p>
    <w:p>
      <w:pPr>
        <w:spacing w:after="0" w:line="122" w:lineRule="exact"/>
        <w:rPr>
          <w:sz w:val="20"/>
          <w:szCs w:val="20"/>
          <w:color w:val="auto"/>
        </w:rPr>
      </w:pPr>
    </w:p>
    <w:p>
      <w:pPr>
        <w:jc w:val="both"/>
        <w:ind w:right="280" w:firstLine="486"/>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of all sizes and industries and across geographies have significantly increased investment in developers with the strategic goal of improving the organization’s pace of innovation and competitive position.</w:t>
      </w:r>
    </w:p>
    <w:p>
      <w:pPr>
        <w:spacing w:after="0" w:line="13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 database is at the heart of every software application.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200" w:lineRule="exact"/>
        <w:rPr>
          <w:sz w:val="20"/>
          <w:szCs w:val="20"/>
          <w:color w:val="auto"/>
        </w:rPr>
      </w:pPr>
    </w:p>
    <w:p>
      <w:pPr>
        <w:spacing w:after="0" w:line="37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Legacy 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When we refer to a modern database, we are referring to a database that was originally commercialized after the year 2000 and that is designed for globally distributed deployments.</w:t>
      </w:r>
    </w:p>
    <w:p>
      <w:pPr>
        <w:spacing w:after="0" w:line="12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unique platform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the pace of innovation within an organization. Customers can run our platform in any environment, depending on their operational requirements: fully managed as a service or self-managed in the cloud, on-premise or in a hybrid environment.</w:t>
      </w:r>
    </w:p>
    <w:p>
      <w:pPr>
        <w:spacing w:after="0" w:line="138"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database market is one of the largest in the software industry. According to IDC, the worldwide database software market, which it refers to as the data management software market, is forecast to be $71 billion in 2020 growing to approximately $97 billion in 2023, representing an 11%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encourage developer usage, familiarity and adoption of our platform, we offer Community Server, a free-to-download version of our database that is analogous to a “freemium” offering. This allows developers to evaluate our platform in a frictionless manner, which we believe has contributed to our platform's popularity among developers and driven enterprise adoption of our subscription offering. Prior to October 2018, we offered Community Server under the GNU Affero General Public License version 3 (the “AGPL”). In October 2018, we issued a new software license, the Server Side Public License (the “SSPL”), for all versions of Community Server released after that date. Both the SSPL and the AGPL grant licensees broad freedom to view, use, copy, modify and redistribute the source code of Community Server provided certain conditions are met. The SSPL is based on the AGPL but includes an explicit condition that any organization using Community Server to offer MongoDB as a third-party service must open source the software that it uses to offer such service.</w:t>
      </w:r>
    </w:p>
    <w:p>
      <w:pPr>
        <w:spacing w:after="0" w:line="13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economic attractiveness of our subscription-based model is driven by customer renewals and increasing existing customer subscriptions over time, referred to as land-and-expand. 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differentiators of our platform include: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a Modern Platform for Applications.</w:t>
      </w:r>
    </w:p>
    <w:p>
      <w:pPr>
        <w:spacing w:after="0" w:line="17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Our founders were frustrated by the challenges of working with legacy database offerings. Our platform was built to address these challenges while maintaining the best aspects of relational databases, allowing developers both to build new, modern applications that could not be built on relational databases and to more quickly and easily modernize existing applications. While the percentage varies from quarter to quarter, over the course of the past fiscal year, approximately one quarter of our new business related to MongoDB Enterprise Advanced, our primary subscription offering, resulted from applications that were migrated from legacy relational databases. Core features and capabilities of our platform include:</w:t>
      </w:r>
    </w:p>
    <w:p>
      <w:pPr>
        <w:spacing w:after="0" w:line="200" w:lineRule="exact"/>
        <w:rPr>
          <w:sz w:val="20"/>
          <w:szCs w:val="20"/>
          <w:color w:val="auto"/>
        </w:rPr>
      </w:pPr>
    </w:p>
    <w:p>
      <w:pPr>
        <w:spacing w:after="0" w:line="3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660" w:right="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 leverage modern</w:t>
      </w:r>
      <w:r>
        <w:rPr>
          <w:rFonts w:ascii="Arial" w:cs="Arial" w:eastAsia="Arial" w:hAnsi="Arial"/>
          <w:sz w:val="18"/>
          <w:szCs w:val="18"/>
          <w:b w:val="1"/>
          <w:bCs w:val="1"/>
          <w:color w:val="auto"/>
        </w:rPr>
        <w:t xml:space="preserve"> </w:t>
      </w:r>
      <w:r>
        <w:rPr>
          <w:rFonts w:ascii="Arial" w:cs="Arial" w:eastAsia="Arial" w:hAnsi="Arial"/>
          <w:sz w:val="18"/>
          <w:szCs w:val="18"/>
          <w:color w:val="auto"/>
        </w:rPr>
        <w:t>server architectures, delivering millions of operations per second.</w:t>
      </w:r>
    </w:p>
    <w:p>
      <w:pPr>
        <w:spacing w:after="0" w:line="107" w:lineRule="exact"/>
        <w:rPr>
          <w:rFonts w:ascii="Arial" w:cs="Arial" w:eastAsia="Arial" w:hAnsi="Arial"/>
          <w:sz w:val="18"/>
          <w:szCs w:val="18"/>
          <w:color w:val="auto"/>
        </w:rPr>
      </w:pPr>
    </w:p>
    <w:p>
      <w:pPr>
        <w:ind w:left="660" w:right="460" w:hanging="328"/>
        <w:spacing w:after="0" w:line="31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Our architecture scales horizontally across thousands of servers, supporting petabytes of data and millions of users in a globally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distributed environment. It is easy to add capacity to our platform in a modular, predictable and cost-efficient manner.</w:t>
      </w:r>
    </w:p>
    <w:p>
      <w:pPr>
        <w:spacing w:after="0" w:line="85" w:lineRule="exact"/>
        <w:rPr>
          <w:rFonts w:ascii="Arial" w:cs="Arial" w:eastAsia="Arial" w:hAnsi="Arial"/>
          <w:sz w:val="17"/>
          <w:szCs w:val="17"/>
          <w:color w:val="auto"/>
        </w:rPr>
      </w:pPr>
    </w:p>
    <w:p>
      <w:pPr>
        <w:ind w:left="660" w:right="22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Flexibility and Control. </w:t>
      </w:r>
      <w:r>
        <w:rPr>
          <w:rFonts w:ascii="Arial" w:cs="Arial" w:eastAsia="Arial" w:hAnsi="Arial"/>
          <w:sz w:val="18"/>
          <w:szCs w:val="18"/>
          <w:color w:val="auto"/>
        </w:rPr>
        <w:t>MongoDB's intelligent distributed systems architecture enables users to easily place data where their applications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users need it. MongoDB can be run within and across geographically distributed data centers and cloud regions, providing levels of scalability, workload isolation and data locality to meet today's modern application requirements.</w:t>
      </w:r>
    </w:p>
    <w:p>
      <w:pPr>
        <w:spacing w:after="0" w:line="121"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 operate in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distributed environment for “always-on” applications.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Our Platform for Developers.</w:t>
      </w:r>
    </w:p>
    <w:p>
      <w:pPr>
        <w:spacing w:after="0" w:line="17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 database structure. We also develop and maintain drivers in all leading programming languages, allowing developers to interact with our platform using the programming language of their choice, further increasing developer productivity. According to the Stack Overflow Annual Developer Survey, in 2017, 2018 and 2019, more developers wanted to work with MongoDB than any other database.</w:t>
      </w:r>
    </w:p>
    <w:p>
      <w:pPr>
        <w:spacing w:after="0" w:line="11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Customers of MongoDB Atlas, our multi-cloud offering, enjoy the benefits of consuming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operating system configuration, upgrades and more. As a result, MongoDB Atlas unlocks higher levels of developer productivity, allowing organizations to innovate more quickly to better serve their own customers and to capitalize on new business opportunities.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Allow Customers to Run Any Application Anywhere.</w:t>
      </w:r>
    </w:p>
    <w:p>
      <w:pPr>
        <w:spacing w:after="0" w:line="17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a general purpose database, we support applications across a wide range of use cases. Our software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 or in a hybrid environment. Customers can deploy our platform in any of the major public cloud alternatives, providing them with increased flexibility and cost-optimization opportunities by preventing public cloud vendor lock-in. Customers have a consistent experience regardless of infrastructure, providing optionality, flexibility and efficiency.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167" w:lineRule="exact"/>
        <w:rPr>
          <w:sz w:val="20"/>
          <w:szCs w:val="20"/>
          <w:color w:val="auto"/>
        </w:rPr>
      </w:pPr>
    </w:p>
    <w:p>
      <w:pPr>
        <w:ind w:left="660" w:hanging="328"/>
        <w:spacing w:after="0" w:line="28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Maximize Competitive Advantage through Software and Data. </w:t>
      </w:r>
      <w:r>
        <w:rPr>
          <w:rFonts w:ascii="Arial" w:cs="Arial" w:eastAsia="Arial" w:hAnsi="Arial"/>
          <w:sz w:val="17"/>
          <w:szCs w:val="17"/>
          <w:color w:val="auto"/>
        </w:rPr>
        <w:t>Our platform is built to support modern applications, allowing organizations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10" w:lineRule="exact"/>
        <w:rPr>
          <w:rFonts w:ascii="Arial" w:cs="Arial" w:eastAsia="Arial" w:hAnsi="Arial"/>
          <w:sz w:val="17"/>
          <w:szCs w:val="17"/>
          <w:color w:val="auto"/>
        </w:rPr>
      </w:pPr>
    </w:p>
    <w:p>
      <w:pPr>
        <w:ind w:left="660" w:right="220" w:hanging="328"/>
        <w:spacing w:after="0" w:line="30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Increase Developer Productivity. </w:t>
      </w:r>
      <w:r>
        <w:rPr>
          <w:rFonts w:ascii="Arial" w:cs="Arial" w:eastAsia="Arial" w:hAnsi="Arial"/>
          <w:sz w:val="16"/>
          <w:szCs w:val="16"/>
          <w:color w:val="auto"/>
        </w:rPr>
        <w:t>By empowering developers to build and modernize applications quickly and cost-efficiently, we enable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developers’ agility, accelerating the time-to-revenue for new products. Our platform’s document-based architecture and intuitive drivers make developing and iterating on applications very efficient on our platform, increasing developer productivity. MongoDB Atlas allows developers to focus on how their applications use the database, application performance and end-user experience, rather than the database</w:t>
      </w:r>
    </w:p>
    <w:p>
      <w:pPr>
        <w:spacing w:after="0" w:line="200" w:lineRule="exact"/>
        <w:rPr>
          <w:sz w:val="20"/>
          <w:szCs w:val="20"/>
          <w:color w:val="auto"/>
        </w:rPr>
      </w:pPr>
    </w:p>
    <w:p>
      <w:pPr>
        <w:spacing w:after="0" w:line="34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infrastructure management including provisioning, operating system configuration, upgrades, monitoring and backups.</w:t>
      </w:r>
    </w:p>
    <w:p>
      <w:pPr>
        <w:spacing w:after="0" w:line="167" w:lineRule="exact"/>
        <w:rPr>
          <w:sz w:val="20"/>
          <w:szCs w:val="20"/>
          <w:color w:val="auto"/>
        </w:rPr>
      </w:pPr>
    </w:p>
    <w:p>
      <w:pPr>
        <w:jc w:val="both"/>
        <w:ind w:left="660" w:right="2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121"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 By allowing customers to remove themselves from the complexity of managing the database and related underlying infrastructure, MongoDB Atlas can further reduce total cost of ownership.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167" w:lineRule="exact"/>
        <w:rPr>
          <w:sz w:val="20"/>
          <w:szCs w:val="20"/>
          <w:color w:val="auto"/>
        </w:rPr>
      </w:pPr>
    </w:p>
    <w:p>
      <w:pPr>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Acquiring New Customers. </w:t>
      </w:r>
      <w:r>
        <w:rPr>
          <w:rFonts w:ascii="Arial" w:cs="Arial" w:eastAsia="Arial" w:hAnsi="Arial"/>
          <w:sz w:val="18"/>
          <w:szCs w:val="18"/>
          <w:color w:val="auto"/>
        </w:rPr>
        <w:t>We believe there is a substantial opportunity to continue to grow our customer base. We benefit from word-of-mouth</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and frictionless experimentation by the developer community through our Community Server offering. As a result, our self-serve and direct sales prospects are often familiar with our platform and may have already built applications using our technology.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4" w:lineRule="exact"/>
        <w:rPr>
          <w:rFonts w:ascii="Arial" w:cs="Arial" w:eastAsia="Arial" w:hAnsi="Arial"/>
          <w:sz w:val="18"/>
          <w:szCs w:val="18"/>
          <w:color w:val="auto"/>
        </w:rPr>
      </w:pPr>
    </w:p>
    <w:p>
      <w:pPr>
        <w:ind w:left="660" w:right="40" w:hanging="328"/>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Driving Usage of MongoDB Atlas. </w:t>
      </w:r>
      <w:r>
        <w:rPr>
          <w:rFonts w:ascii="Arial" w:cs="Arial" w:eastAsia="Arial" w:hAnsi="Arial"/>
          <w:sz w:val="17"/>
          <w:szCs w:val="17"/>
          <w:color w:val="auto"/>
        </w:rPr>
        <w:t>MongoDB Atlas, our hosted multi-cloud offering, is an important part of our run-anywhere strategy. With</w:t>
      </w:r>
      <w:r>
        <w:rPr>
          <w:rFonts w:ascii="Arial" w:cs="Arial" w:eastAsia="Arial" w:hAnsi="Arial"/>
          <w:sz w:val="17"/>
          <w:szCs w:val="17"/>
          <w:b w:val="1"/>
          <w:bCs w:val="1"/>
          <w:color w:val="auto"/>
        </w:rPr>
        <w:t xml:space="preserve"> </w:t>
      </w:r>
      <w:r>
        <w:rPr>
          <w:rFonts w:ascii="Arial" w:cs="Arial" w:eastAsia="Arial" w:hAnsi="Arial"/>
          <w:sz w:val="17"/>
          <w:szCs w:val="17"/>
          <w:color w:val="auto"/>
        </w:rPr>
        <w:t>MongoDB Atlas, customers can enjoy the benefits of consuming MongoDB as a service in the public cloud, enabling customers to remove themselves from the complexity of managing the database and related underlying infrastructure. We initially launched MongoDB Atlas in 2016 and generated revenue by migrating existing users of our Community Server. We offer tools to easily migrate existing users of our Community Server offering to MongoDB Atlas. During 2018, we expanded the functionality available in MongoDB Atlas beyond that of our Community Server offering, including adding advanced security features, enterprise-standard authentication and database auditing to MongoDB Atlas to allow MongoDB Atlas to support mission-critical enterprise workloads. We continued to enhance the functionality of MongoDB Atlas during 2019, including improving security, privacy and compliance capabilities such as customer identity federation, including single sign-on, as well as being compliant with the Health Insurance Portability and Accountability Act (HIPAA) and certified under the International Organization for Standardization (ISO) 27001 Security Standard. MongoDB Atlas is available on all three major cloud providers (Amazon Web Services (‘‘AWS’’), Google Cloud Platform (‘‘GCP’’) and Microsoft Azure) in North America, Europe and Asia Pacific. We offer a free tier on AWS, GCP and Microsoft Azure, which provides limited processing power and storage, in order to drive trial and adoption of MongoDB Atlas among developers.</w:t>
      </w:r>
    </w:p>
    <w:p>
      <w:pPr>
        <w:spacing w:after="0" w:line="121" w:lineRule="exact"/>
        <w:rPr>
          <w:rFonts w:ascii="Arial" w:cs="Arial" w:eastAsia="Arial" w:hAnsi="Arial"/>
          <w:sz w:val="17"/>
          <w:szCs w:val="17"/>
          <w:color w:val="auto"/>
        </w:rPr>
      </w:pPr>
    </w:p>
    <w:p>
      <w:pPr>
        <w:ind w:left="660" w:right="40" w:hanging="328"/>
        <w:spacing w:after="0" w:line="28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Expanding Sales Within Our Customer Base. </w:t>
      </w:r>
      <w:r>
        <w:rPr>
          <w:rFonts w:ascii="Arial" w:cs="Arial" w:eastAsia="Arial" w:hAnsi="Arial"/>
          <w:sz w:val="16"/>
          <w:szCs w:val="16"/>
          <w:color w:val="auto"/>
        </w:rPr>
        <w:t>We seek to grow our sales with our customers in several ways. As an application grows and</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additional capacity, our customers increase their spending on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20 fiscal quarters, demonstrates our ability to expand within existing customers. See Part II, Item 7, Management’s Discussion and Analysis of Financial Condition and Results of Operations of this Form 10-K for a description of ARR and a discussion of our net ARR expansion rate.</w:t>
      </w:r>
    </w:p>
    <w:p>
      <w:pPr>
        <w:spacing w:after="0" w:line="200" w:lineRule="exact"/>
        <w:rPr>
          <w:sz w:val="20"/>
          <w:szCs w:val="20"/>
          <w:color w:val="auto"/>
        </w:rPr>
      </w:pPr>
    </w:p>
    <w:p>
      <w:pPr>
        <w:spacing w:after="0" w:line="35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660" w:right="4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Extending Product Leadership and Introducing New Products. </w:t>
      </w:r>
      <w:r>
        <w:rPr>
          <w:rFonts w:ascii="Arial" w:cs="Arial" w:eastAsia="Arial" w:hAnsi="Arial"/>
          <w:sz w:val="18"/>
          <w:szCs w:val="18"/>
          <w:color w:val="auto"/>
        </w:rPr>
        <w:t>We intend to continue to invest in our product offerings with the goal of</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the functionality and adoption of our platform. For example, in 2019, we released MongoDB 4.2, which added distributed transactions, client-side field level encryption and an updated Kubernetes operator. The guiding principle of our product innovation is to help developers solve more of their data challenges by utilizing our platform. In 2019, we announced MongoDB Atlas Data Lake, which increased the analytical capabilities of our platform while allowing developers to work with both operational and archived data. We also announced MongoDB Atlas Search, which brings search capabilities inside our operational database. In addition, we completed the acquisition of Realm, developers of a leading mobile application database and data synchronization technology, which we plan to fully integrate with our platform to allow developers to seamlessly work with data on mobile devices.</w:t>
      </w:r>
    </w:p>
    <w:p>
      <w:pPr>
        <w:spacing w:after="0" w:line="13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Fostering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downloaded our Community Server offering over 90 million times from our website since February 2009 and over 35 million times in the last 12 months alone.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annual MongoDB World user conference, MongoDB University and other community-centered events. As of January 31, 2020, there were over one million MongoDB University registrations. We intend to continue to invest in the MongoDB developer community, including creating an online developer hub.</w:t>
      </w:r>
    </w:p>
    <w:p>
      <w:pPr>
        <w:spacing w:after="0" w:line="107" w:lineRule="exact"/>
        <w:rPr>
          <w:rFonts w:ascii="Arial" w:cs="Arial" w:eastAsia="Arial" w:hAnsi="Arial"/>
          <w:sz w:val="16"/>
          <w:szCs w:val="16"/>
          <w:color w:val="auto"/>
        </w:rPr>
      </w:pPr>
    </w:p>
    <w:p>
      <w:pPr>
        <w:ind w:left="660" w:right="40" w:hanging="328"/>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Growing and Cultivating Our Partner Ecosystem. </w:t>
      </w:r>
      <w:r>
        <w:rPr>
          <w:rFonts w:ascii="Arial" w:cs="Arial" w:eastAsia="Arial" w:hAnsi="Arial"/>
          <w:sz w:val="17"/>
          <w:szCs w:val="17"/>
          <w:color w:val="auto"/>
        </w:rPr>
        <w:t>We have built a partner ecosystem of independent software vendors, systems integrators,</w:t>
      </w:r>
      <w:r>
        <w:rPr>
          <w:rFonts w:ascii="Arial" w:cs="Arial" w:eastAsia="Arial" w:hAnsi="Arial"/>
          <w:sz w:val="17"/>
          <w:szCs w:val="17"/>
          <w:b w:val="1"/>
          <w:bCs w:val="1"/>
          <w:color w:val="auto"/>
        </w:rPr>
        <w:t xml:space="preserve"> </w:t>
      </w:r>
      <w:r>
        <w:rPr>
          <w:rFonts w:ascii="Arial" w:cs="Arial" w:eastAsia="Arial" w:hAnsi="Arial"/>
          <w:sz w:val="17"/>
          <w:szCs w:val="17"/>
          <w:color w:val="auto"/>
        </w:rPr>
        <w:t>value added resellers, cloud and technology partners. For example, in 2019, we expanded our global partner ecosystem with the announcement of a new partnership with Alibaba Cloud to offer an authorized MongoDB-as-a-Service solution to users in China for the first time. We have also expanded our business partnerships with all three major cloud providers (AWS, GCP and Microsoft Azure). In addition, our technology partnerships with companies such as Informatica have provided our customers with tools to help them modernize from legacy relational databases to MongoDB which, along with our other technology partnerships, provide us with significant benefits, including lead generation, new customer acquisition, marketplace fulfillment, accelerated deployment and additional customer support. We have also expanded our current partnerships with independent software vendors and global systems integrators including IBM, Accenture, Infosys, HCL, Wipro, Cognizant, Deloitte and Tata Consultancy Services. Our system integrator partners have also been valuable in working with organizations to migrate and modernize applications to our platform, including leveraging the cloud with MongoDB Atlas. We intend to continue to expand and enhance our partner relationships to grow our market presence and drive greater sales efficiency.</w:t>
      </w:r>
    </w:p>
    <w:p>
      <w:pPr>
        <w:spacing w:after="0" w:line="127" w:lineRule="exact"/>
        <w:rPr>
          <w:rFonts w:ascii="Arial" w:cs="Arial" w:eastAsia="Arial" w:hAnsi="Arial"/>
          <w:sz w:val="17"/>
          <w:szCs w:val="17"/>
          <w:color w:val="auto"/>
        </w:rPr>
      </w:pPr>
    </w:p>
    <w:p>
      <w:pPr>
        <w:ind w:left="660" w:right="160" w:hanging="328"/>
        <w:spacing w:after="0" w:line="28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Internationally. </w:t>
      </w:r>
      <w:r>
        <w:rPr>
          <w:rFonts w:ascii="Arial" w:cs="Arial" w:eastAsia="Arial" w:hAnsi="Arial"/>
          <w:sz w:val="17"/>
          <w:szCs w:val="17"/>
          <w:color w:val="auto"/>
        </w:rPr>
        <w:t>We believe there is significant opportunity to continue to expand the use of our platform outside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fiscal years ended January 31, 2020, 2019 and 2018, revenue generated outside of the United States was 41%, 39% and 37% of our total revenue. We intend to continue to expand our sales and drive adoption of our platform globally.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5"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126" w:lineRule="exact"/>
        <w:rPr>
          <w:sz w:val="20"/>
          <w:szCs w:val="20"/>
          <w:color w:val="auto"/>
        </w:rPr>
      </w:pPr>
    </w:p>
    <w:p>
      <w:pPr>
        <w:ind w:left="660" w:right="10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07"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w:t>
      </w:r>
      <w:r>
        <w:rPr>
          <w:rFonts w:ascii="Arial" w:cs="Arial" w:eastAsia="Arial" w:hAnsi="Arial"/>
          <w:sz w:val="18"/>
          <w:szCs w:val="18"/>
          <w:b w:val="1"/>
          <w:bCs w:val="1"/>
          <w:color w:val="auto"/>
        </w:rPr>
        <w:t xml:space="preserve"> </w:t>
      </w:r>
      <w:r>
        <w:rPr>
          <w:rFonts w:ascii="Arial" w:cs="Arial" w:eastAsia="Arial" w:hAnsi="Arial"/>
          <w:sz w:val="18"/>
          <w:szCs w:val="18"/>
          <w:color w:val="auto"/>
        </w:rPr>
        <w:t>do. We accomplish an amazing amount of important work and we are obsessed with follow through.</w:t>
      </w:r>
    </w:p>
    <w:p>
      <w:pPr>
        <w:spacing w:after="0" w:line="107" w:lineRule="exact"/>
        <w:rPr>
          <w:rFonts w:ascii="Arial" w:cs="Arial" w:eastAsia="Arial" w:hAnsi="Arial"/>
          <w:sz w:val="18"/>
          <w:szCs w:val="18"/>
          <w:color w:val="auto"/>
        </w:rPr>
      </w:pPr>
    </w:p>
    <w:p>
      <w:pPr>
        <w:ind w:left="660" w:right="6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Embrace the Power of Differences. </w:t>
      </w:r>
      <w:r>
        <w:rPr>
          <w:rFonts w:ascii="Arial" w:cs="Arial" w:eastAsia="Arial" w:hAnsi="Arial"/>
          <w:sz w:val="18"/>
          <w:szCs w:val="18"/>
          <w:color w:val="auto"/>
        </w:rPr>
        <w:t>We commit to creating a culture of inclusion by seeking and valuing employees from different backgrounds</w:t>
      </w:r>
      <w:r>
        <w:rPr>
          <w:rFonts w:ascii="Arial" w:cs="Arial" w:eastAsia="Arial" w:hAnsi="Arial"/>
          <w:sz w:val="18"/>
          <w:szCs w:val="18"/>
          <w:b w:val="1"/>
          <w:bCs w:val="1"/>
          <w:color w:val="auto"/>
        </w:rPr>
        <w:t xml:space="preserve"> </w:t>
      </w:r>
      <w:r>
        <w:rPr>
          <w:rFonts w:ascii="Arial" w:cs="Arial" w:eastAsia="Arial" w:hAnsi="Arial"/>
          <w:sz w:val="18"/>
          <w:szCs w:val="18"/>
          <w:color w:val="auto"/>
        </w:rPr>
        <w:t>and circumstances. This is cultivated by learning from and respecting each other’s differences. We firmly believe that everyone deserves to feel valued and safe in the workplace and we</w:t>
      </w: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acknowledge that underrepresented groups may not always feel this way. We recognize that a diverse workforce is the best way to broaden our perspectives, foster innovation and enable a sustainable competitive advantage.</w:t>
      </w:r>
    </w:p>
    <w:p>
      <w:pPr>
        <w:spacing w:after="0" w:line="112" w:lineRule="exact"/>
        <w:rPr>
          <w:sz w:val="20"/>
          <w:szCs w:val="20"/>
          <w:color w:val="auto"/>
        </w:rPr>
      </w:pPr>
    </w:p>
    <w:p>
      <w:pPr>
        <w:ind w:left="66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pacing w:after="0" w:line="121"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07" w:lineRule="exact"/>
        <w:rPr>
          <w:rFonts w:ascii="Arial" w:cs="Arial" w:eastAsia="Arial" w:hAnsi="Arial"/>
          <w:sz w:val="18"/>
          <w:szCs w:val="18"/>
          <w:color w:val="auto"/>
        </w:rPr>
      </w:pPr>
    </w:p>
    <w:p>
      <w:pPr>
        <w:ind w:left="660" w:right="8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75"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As of January 31, 2020, we had a total of 1,813 employees, including 729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built MongoDB to be a modern, general purpose database platform. We believe that organizations should be able to run our platform anywhere: from a developer’s laptop, to an enterprise data center, in the public cloud or in a hybrid environment. Our core offerings are MongoDB Enterprise Advanced, MongoDB Atlas and Community Server. MongoDB Enterprise Advanced is our comprehensive offering for enterprise customers that can be run in the cloud, on-premise or in a hybrid environment and includes our proprietary commercial database server, enterprise management capabilities, our graphical user interface, analytics integrations, technical support and a commercial license to our platform. To encourage developer usage, familiarity and adoption of our platform, we offer Community Server as a “freemium” offering. Community Server is a free-to-download version of our database that does not include all of the features of our commercial platform. MongoDB Atlas is our hosted multi-cloud database-as-a-service (“DBaaS”) offering that includes comprehensive infrastructure and management of our database and can also be purchased with additional enterprise features. To support our database platform and increase customer retention, we provide professional services to our customers with the goal of making customers’ applications on our platform successful.</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Enterprise Advanced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171" w:lineRule="exact"/>
        <w:rPr>
          <w:sz w:val="20"/>
          <w:szCs w:val="20"/>
          <w:color w:val="auto"/>
        </w:rPr>
      </w:pPr>
    </w:p>
    <w:p>
      <w:pPr>
        <w:ind w:left="660" w:right="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 It stores, 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132"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access to Cloud Manager Premium and Ops Manager, our</w:t>
      </w:r>
      <w:r>
        <w:rPr>
          <w:rFonts w:ascii="Arial" w:cs="Arial" w:eastAsia="Arial" w:hAnsi="Arial"/>
          <w:sz w:val="18"/>
          <w:szCs w:val="18"/>
          <w:i w:val="1"/>
          <w:iCs w:val="1"/>
          <w:color w:val="auto"/>
        </w:rPr>
        <w:t xml:space="preserve"> </w:t>
      </w:r>
      <w:r>
        <w:rPr>
          <w:rFonts w:ascii="Arial" w:cs="Arial" w:eastAsia="Arial" w:hAnsi="Arial"/>
          <w:sz w:val="18"/>
          <w:szCs w:val="18"/>
          <w:color w:val="auto"/>
        </w:rPr>
        <w:t>sophisticated 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138"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Analytics Integrations. </w:t>
      </w:r>
      <w:r>
        <w:rPr>
          <w:rFonts w:ascii="Arial" w:cs="Arial" w:eastAsia="Arial" w:hAnsi="Arial"/>
          <w:sz w:val="18"/>
          <w:szCs w:val="18"/>
          <w:color w:val="auto"/>
        </w:rPr>
        <w:t>We provide integrations to allow data and business analysts to analyze data in applications running on our platform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existing business intelligence and analytics tools. For integration with business intelligence products like Tableau, analysts can use our MongoDB Connector for BI product, which includes our newly-released ODBC driver to support a connection with Microsoft Excel. We also provide open source connectors</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for Spark and Hadoop, which are often used for data analysis. Our analytics integrations ensure that enterprises can efficiently extract significant value from applications built on our platform.</w:t>
      </w:r>
    </w:p>
    <w:p>
      <w:pPr>
        <w:spacing w:after="0" w:line="116" w:lineRule="exact"/>
        <w:rPr>
          <w:sz w:val="20"/>
          <w:szCs w:val="20"/>
          <w:color w:val="auto"/>
        </w:rPr>
      </w:pPr>
    </w:p>
    <w:p>
      <w:pPr>
        <w:ind w:left="660" w:right="4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w:t>
      </w:r>
    </w:p>
    <w:p>
      <w:pPr>
        <w:spacing w:after="0" w:line="130"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MongoDB Enterprise Advanced represented 47%, 56% and 63% of our total revenue for the fiscal years ended January 31, 2020, 2019 and 2018,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Atlas</w:t>
      </w:r>
    </w:p>
    <w:p>
      <w:pPr>
        <w:spacing w:after="0" w:line="171"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quickly to better serve their own customers and capitalize on new business opportunities.</w:t>
      </w:r>
    </w:p>
    <w:p>
      <w:pPr>
        <w:spacing w:after="0" w:line="10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2018, we introduced additional enterprise functionality, such as advanced security, auditing and compliance, to MongoDB Atlas to allow Atlas to support mission-critical enterprise workloads and continued to expand on those capabilities during 2019. MongoDB Atlas is available on all three major cloud providers (AWS, GCP and Microsoft Azure) in North America, Europe and Asia Pacific, providing customers broad geographic coverage across more than 65 regions globally, enabling them to leverage the benefits of different cloud platforms for different use cases and helping them avoid infrastructure vendor lock-in. To drive usage and experimentation by developers, our introductory offerings for MongoDB Atlas include a free tier, which provides limited processing power and storage.</w:t>
      </w:r>
    </w:p>
    <w:p>
      <w:pPr>
        <w:spacing w:after="0" w:line="138" w:lineRule="exact"/>
        <w:rPr>
          <w:sz w:val="20"/>
          <w:szCs w:val="20"/>
          <w:color w:val="auto"/>
        </w:rPr>
      </w:pPr>
    </w:p>
    <w:p>
      <w:pPr>
        <w:ind w:left="500" w:right="520"/>
        <w:spacing w:after="0" w:line="438" w:lineRule="auto"/>
        <w:rPr>
          <w:sz w:val="20"/>
          <w:szCs w:val="20"/>
          <w:color w:val="auto"/>
        </w:rPr>
      </w:pPr>
      <w:r>
        <w:rPr>
          <w:rFonts w:ascii="Arial" w:cs="Arial" w:eastAsia="Arial" w:hAnsi="Arial"/>
          <w:sz w:val="18"/>
          <w:szCs w:val="18"/>
          <w:color w:val="auto"/>
        </w:rPr>
        <w:t xml:space="preserve">MongoDB Atlas represented 39%, 23% and 7% of our total revenue for the fiscal years ended January 31, 2020, 2019 and 2018, respectively. </w:t>
      </w:r>
      <w:r>
        <w:rPr>
          <w:rFonts w:ascii="Arial" w:cs="Arial" w:eastAsia="Arial" w:hAnsi="Arial"/>
          <w:sz w:val="18"/>
          <w:szCs w:val="18"/>
          <w:u w:val="single" w:color="auto"/>
          <w:color w:val="auto"/>
        </w:rPr>
        <w:t>Community Server</w:t>
      </w:r>
    </w:p>
    <w:p>
      <w:pPr>
        <w:spacing w:after="0" w:line="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Our goal is to convert Community Server users to paying customers of our commercial offerings. Our Community Server has been downloaded over 90 million times from our website alone since February 2009. We directly generate revenue from our Community Server through usage of MongoDB Atlas and indirectly through upselling users to our Enterprise Advanced subscription package.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Professional Services</w:t>
      </w:r>
    </w:p>
    <w:p>
      <w:pPr>
        <w:spacing w:after="0" w:line="17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07" w:lineRule="exact"/>
        <w:rPr>
          <w:sz w:val="20"/>
          <w:szCs w:val="20"/>
          <w:color w:val="auto"/>
        </w:rPr>
      </w:pPr>
    </w:p>
    <w:p>
      <w:pPr>
        <w:ind w:right="400" w:firstLine="486"/>
        <w:spacing w:after="0" w:line="438" w:lineRule="auto"/>
        <w:rPr>
          <w:sz w:val="20"/>
          <w:szCs w:val="20"/>
          <w:color w:val="auto"/>
        </w:rPr>
      </w:pPr>
      <w:r>
        <w:rPr>
          <w:rFonts w:ascii="Arial" w:cs="Arial" w:eastAsia="Arial" w:hAnsi="Arial"/>
          <w:sz w:val="18"/>
          <w:szCs w:val="18"/>
          <w:color w:val="auto"/>
        </w:rPr>
        <w:t xml:space="preserve">Professional services represented 5%, 7% and 9% of our total revenue for the fiscal years ended January 31, 2020, 2019 and 2018, respectively. </w:t>
      </w:r>
      <w:r>
        <w:rPr>
          <w:rFonts w:ascii="Arial" w:cs="Arial" w:eastAsia="Arial" w:hAnsi="Arial"/>
          <w:sz w:val="18"/>
          <w:szCs w:val="18"/>
          <w:b w:val="1"/>
          <w:bCs w:val="1"/>
          <w:color w:val="auto"/>
        </w:rPr>
        <w:t>Our Customers</w:t>
      </w:r>
    </w:p>
    <w:p>
      <w:pPr>
        <w:spacing w:after="0" w:line="1" w:lineRule="exact"/>
        <w:rPr>
          <w:sz w:val="20"/>
          <w:szCs w:val="20"/>
          <w:color w:val="auto"/>
        </w:rPr>
      </w:pPr>
    </w:p>
    <w:p>
      <w:pPr>
        <w:ind w:right="600" w:firstLine="486"/>
        <w:spacing w:after="0" w:line="342" w:lineRule="auto"/>
        <w:rPr>
          <w:sz w:val="20"/>
          <w:szCs w:val="20"/>
          <w:color w:val="auto"/>
        </w:rPr>
      </w:pPr>
      <w:r>
        <w:rPr>
          <w:rFonts w:ascii="Arial" w:cs="Arial" w:eastAsia="Arial" w:hAnsi="Arial"/>
          <w:sz w:val="16"/>
          <w:szCs w:val="16"/>
          <w:color w:val="auto"/>
        </w:rPr>
        <w:t>As of January 31, 2020, we had over 17,000 customers spanning a wide range of industries in more than 100 countries around the world. All affiliated entities are counted as a single customer. No single customer represented more than 10% of our revenue in fiscal year 2020.</w:t>
      </w:r>
    </w:p>
    <w:p>
      <w:pPr>
        <w:spacing w:after="0" w:line="200" w:lineRule="exact"/>
        <w:rPr>
          <w:sz w:val="20"/>
          <w:szCs w:val="20"/>
          <w:color w:val="auto"/>
        </w:rPr>
      </w:pPr>
    </w:p>
    <w:p>
      <w:pPr>
        <w:spacing w:after="0" w:line="31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customer count as of January 31, 2020 includes customers acquired from ObjectLabs Corporation (“mLab”) and Tightdb, Inc. (“Realm”), which acquisitions closed on November 1, 2018 and May 7, 2019, respectively. Our definition of “customer” excludes (1) users of our free offerings, (2) users acquired from mLab who spend $20 or less per month with us and (3) self-serve users acquired from Realm. The excluded mLab and Realm users collectively represent an immaterial portion of the revenue associated with users acquired from those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w:t>
      </w:r>
    </w:p>
    <w:p>
      <w:pPr>
        <w:spacing w:after="0" w:line="11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To drive developer awareness of, engagement with and adoption of our platform, we created our Community Server offering. This lets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In order to assess the most likely commercial prospects, we employ a process-oriented and data-driven approach to customer acquisition. We also utilize advanced marketing technologies and processes to drive awareness and engagement, educate and convert prospects into customers.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w:t>
      </w:r>
    </w:p>
    <w:p>
      <w:pPr>
        <w:spacing w:after="0" w:line="11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January 31, 2020, we had 789 employees in our sales and marketing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3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As of January 31, 2020, we had 476 employees in our research and development organization. We intend to continue to invest in our research and development capabilities to extend our platform.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flexible deployment options, including fully managed as a service or self-managed in the cloud, on-premise or in a hybrid environment;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17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We primarily compete with established legacy database software providers such as IBM, Microsoft, Oracle and other similar companies. We also compete with public cloud providers such as AWS, GCP and Microsoft Azure that offer database functionality and non-relational database software providers.</w:t>
      </w:r>
    </w:p>
    <w:p>
      <w:pPr>
        <w:spacing w:after="0" w:line="13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With the introduction of new technologies and new market entrants, we expect competition to intensify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 xml:space="preserve">We have in the past and expect in the future to experience seasonal fluctuations in our revenue and results from time to time. In addition, as a result of the adoption of Accounting Standards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we may experience greater variability and reduced comparability of our quarterly revenue and results with respect to the timing and nature of certain of our contracts, particularly multi-year contracts that contain a term license. See Notes 2 and 11 for further information about our revenue recognition policy and results in our Notes to Consolidated Financial Statements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30"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As of January 31, 2020, in the United States, we had been issued 25 patents, which expire between 2030 and 2038 and had 46 patent applications pending, of which five are provisional applications. In addition, as of January 31, 2020, we had 14 registered trademarks in the United States and one pending trademark application in the United States.</w:t>
      </w:r>
    </w:p>
    <w:p>
      <w:pPr>
        <w:spacing w:after="0" w:line="130"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Server Side Public License (the “SSPL”). Versions of Community Server released prior to October 16, 2018 are offered under the GNU Affero General Public License version 3 (the “AGPL”). Both the SSPL and the AGPL permit users to run the database without charge but subject to certain terms and conditions. The SSPL explicitly requires Community Server users that offer</w:t>
      </w:r>
    </w:p>
    <w:p>
      <w:pPr>
        <w:spacing w:after="0" w:line="200" w:lineRule="exact"/>
        <w:rPr>
          <w:sz w:val="20"/>
          <w:szCs w:val="20"/>
          <w:color w:val="auto"/>
        </w:rPr>
      </w:pPr>
    </w:p>
    <w:p>
      <w:pPr>
        <w:spacing w:after="0" w:line="35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3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MongoDB, Inc. was incorporated under the laws of the State of Delaware in November 2007 under the name 10Gen, Inc. We changed our name to MongoDB, Inc. on August 27, 2013. In October 2017, we completed our initial public offering and our Class A common stock is listed on The Nasdaq Global Market (“Nasdaq”) under the symbol “MDB.” Our principal executive offices are located at 1633 Broadway, 38th Floor, New York, New York 10019 and our telephone number is (646) 727-4092.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b w:val="1"/>
          <w:bCs w:val="1"/>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w:t>
      </w:r>
    </w:p>
    <w:p>
      <w:pPr>
        <w:spacing w:after="0" w:line="200" w:lineRule="exact"/>
        <w:rPr>
          <w:sz w:val="20"/>
          <w:szCs w:val="20"/>
          <w:color w:val="auto"/>
        </w:rPr>
      </w:pPr>
    </w:p>
    <w:p>
      <w:pPr>
        <w:spacing w:after="0" w:line="38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change, or if we do not address these risks successfully, our operating and financial results could differ materially from our expectations and our business could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194"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have incurred net losses in each period since our inception, including net losses of $175.5 million, $99.0 million and $84.0 million for the fiscal years ended January 31, 2020, 2019 and 2018, respectively. We had an accumulated deficit of $668.2 million as of January 31, 2020.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1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many of which are beyond our control, including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 and expect that intense competition will continue.</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IT executives; product capabilities, including flexibility, scalability, performance, security and reliability; flexible deployment options, including fully managed as a service or self-managed in the cloud, on-premise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42"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9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w:t>
      </w:r>
    </w:p>
    <w:p>
      <w:pPr>
        <w:spacing w:after="0" w:line="200" w:lineRule="exact"/>
        <w:rPr>
          <w:sz w:val="20"/>
          <w:szCs w:val="20"/>
          <w:color w:val="auto"/>
        </w:rPr>
      </w:pPr>
    </w:p>
    <w:p>
      <w:pPr>
        <w:spacing w:after="0" w:line="37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one or a limited number of functions at lower prices, with greater depth than our products or in geographies where we do not operate.</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our sales and marketing organization, we may be unable to add new customers or increase sales to our existing customers.</w:t>
      </w:r>
    </w:p>
    <w:p>
      <w:pPr>
        <w:spacing w:after="0" w:line="11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1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decision to offer Community Server under a new license, the Server Side Public License, may harm adoption of Community Server.</w:t>
      </w:r>
    </w:p>
    <w:p>
      <w:pPr>
        <w:spacing w:after="0" w:line="23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 October 16, 2018, we announced that we were changing the license for Community Server from the GNU Affero General Public License Version 3 (the “AGPL”) to a new software license, the Server Side Public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adoption of Community Server, which in turn could lead to reduced brand and product awareness, ultimately leading to a decline in paying customers and our ability to grow our business or achieve profitability may be harmed.</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16"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introduced MongoDB Atlas in June 2016. We have limited experience marketing, determining pricing for and selling MongoDB Atlas and we are continuing to refine our approach to selling, marketing, pricing and supporting adoption of this offering. We have directed and intend to continue to direct, a significant portion of our financial and operating resources to</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if the AGPL, the SSPL and other open source licenses under which some of our software is licensed are not enforceable.</w:t>
      </w:r>
    </w:p>
    <w:p>
      <w:pPr>
        <w:spacing w:after="0" w:line="1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licensing model for Community Server could negatively affect our ability to monetize and protect our intellectual property rights.</w:t>
      </w:r>
    </w:p>
    <w:p>
      <w:pPr>
        <w:spacing w:after="0" w:line="18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make our Community Server offering available under either the SSPL (for versions released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16"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10"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200" w:lineRule="exact"/>
        <w:rPr>
          <w:sz w:val="20"/>
          <w:szCs w:val="20"/>
          <w:color w:val="auto"/>
        </w:rPr>
      </w:pPr>
    </w:p>
    <w:p>
      <w:pPr>
        <w:spacing w:after="0" w:line="35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1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2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1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33"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980" w:right="200" w:hanging="486"/>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111" w:lineRule="exact"/>
        <w:rPr>
          <w:rFonts w:ascii="Arial" w:cs="Arial" w:eastAsia="Arial" w:hAnsi="Arial"/>
          <w:sz w:val="17"/>
          <w:szCs w:val="17"/>
          <w:color w:val="auto"/>
        </w:rPr>
      </w:pPr>
    </w:p>
    <w:p>
      <w:pPr>
        <w:ind w:left="1960" w:right="20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expand our sales and marketing capabilities and teams;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171" w:lineRule="exact"/>
        <w:rPr>
          <w:rFonts w:ascii="Arial" w:cs="Arial" w:eastAsia="Arial" w:hAnsi="Arial"/>
          <w:sz w:val="18"/>
          <w:szCs w:val="18"/>
          <w:color w:val="auto"/>
        </w:rPr>
      </w:pPr>
    </w:p>
    <w:p>
      <w:pPr>
        <w:ind w:left="1960" w:right="14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quarantine, private travel limitation, or business disruption in regions affecting our operations, stemming from actual, imminent or perceived outbreak of contagious disease, including the coronavirus disease 2019, or COVID-19 pandemic;</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enforce the AGPL or SSPL;</w:t>
      </w:r>
    </w:p>
    <w:p>
      <w:pPr>
        <w:spacing w:after="0" w:line="171" w:lineRule="exact"/>
        <w:rPr>
          <w:rFonts w:ascii="Arial" w:cs="Arial" w:eastAsia="Arial" w:hAnsi="Arial"/>
          <w:sz w:val="18"/>
          <w:szCs w:val="18"/>
          <w:color w:val="auto"/>
        </w:rPr>
      </w:pPr>
    </w:p>
    <w:p>
      <w:pPr>
        <w:ind w:left="1960" w:right="8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171" w:lineRule="exact"/>
        <w:rPr>
          <w:rFonts w:ascii="Arial" w:cs="Arial" w:eastAsia="Arial" w:hAnsi="Arial"/>
          <w:sz w:val="18"/>
          <w:szCs w:val="18"/>
          <w:color w:val="auto"/>
        </w:rPr>
      </w:pPr>
    </w:p>
    <w:p>
      <w:pPr>
        <w:ind w:left="196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71" w:lineRule="exact"/>
        <w:rPr>
          <w:rFonts w:ascii="Arial" w:cs="Arial" w:eastAsia="Arial" w:hAnsi="Arial"/>
          <w:sz w:val="18"/>
          <w:szCs w:val="18"/>
          <w:color w:val="auto"/>
        </w:rPr>
      </w:pPr>
    </w:p>
    <w:p>
      <w:pPr>
        <w:ind w:left="1960" w:right="560" w:hanging="1466"/>
        <w:spacing w:after="0" w:line="308" w:lineRule="auto"/>
        <w:tabs>
          <w:tab w:leader="none" w:pos="9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92" w:lineRule="exact"/>
        <w:rPr>
          <w:rFonts w:ascii="Arial" w:cs="Arial" w:eastAsia="Arial" w:hAnsi="Arial"/>
          <w:sz w:val="17"/>
          <w:szCs w:val="17"/>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171" w:lineRule="exact"/>
        <w:rPr>
          <w:rFonts w:ascii="Arial" w:cs="Arial" w:eastAsia="Arial" w:hAnsi="Arial"/>
          <w:sz w:val="18"/>
          <w:szCs w:val="18"/>
          <w:color w:val="auto"/>
        </w:rPr>
      </w:pPr>
    </w:p>
    <w:p>
      <w:pPr>
        <w:ind w:left="1960" w:right="30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116" w:lineRule="exact"/>
        <w:rPr>
          <w:rFonts w:ascii="Arial" w:cs="Arial" w:eastAsia="Arial" w:hAnsi="Arial"/>
          <w:sz w:val="18"/>
          <w:szCs w:val="18"/>
          <w:color w:val="auto"/>
        </w:rPr>
      </w:pPr>
    </w:p>
    <w:p>
      <w:pPr>
        <w:ind w:left="1960" w:right="14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conditions related to COVID-19;</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7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occurrence of one or more of the foregoing and other factors may cause our results of operations to vary significantly. For example, the full impact of the COVID-19 pandemic is unknown at this time, but could result in material adverse changes in our results of operations for an unknown period of time as the virus and its related political, social and economic impacts spread. We also intend to continue to invest significantly to grow our business in the near future rather than optimizing for profitability or cash flows. Accordingly, historical patterns and our results of operations in any one quarter may not be meaningful and should not be relied upon as indicative of future performance. Additionally, if our quarterly results of</w:t>
      </w:r>
    </w:p>
    <w:p>
      <w:pPr>
        <w:spacing w:after="0" w:line="200" w:lineRule="exact"/>
        <w:rPr>
          <w:sz w:val="20"/>
          <w:szCs w:val="20"/>
          <w:color w:val="auto"/>
        </w:rPr>
      </w:pPr>
    </w:p>
    <w:p>
      <w:pPr>
        <w:spacing w:after="0" w:line="3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operations fall below the expectations of investors or securities analysts who follow our stock, the price of our Class A common stock could decline substantially and we could face costly lawsuits, including securities class action suits.</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3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have recently experienced a period of rapid growth in our business, operations and employee headcount. For fiscal years 2020, 2019 and 2018, our total revenue was $421.7 million, $267.0 million and $166.0 million, respectively, representing a 58% and 61% growth rate, respectively. We have also significantly increased the size of our customer base from over 3,200 customers as of January 31, 2017 to over 17,000 customers as of January 31, 2020 and we grew from 713 employees as of January 31, 2017 to 1,813 employees as of January 31, 2020. We expect to continue to expand our operations and employee headcount in the near term. Our success will depend in part on our ability to continue to grow and to manage this growth, domestically and internationally, effectively.</w:t>
      </w:r>
    </w:p>
    <w:p>
      <w:pPr>
        <w:spacing w:after="0" w:line="13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11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the ordinary course of our business, we collect, store and process personal information and other confidential information of our employees and our customers. We use third-party service providers and subprocessors to help us deliver services to our customers. These vendors may store or process personal information and/or other confidential information of our employees and our customers. We collect such information from individuals located both in the United States and abroad and may store or process such information outside of the country in which it was collected. We, or our service providers, may suffer a security breach or other security incident affecting the systems or networks used to operate our business, or otherwise impacting the data that is stored or processed in the conduct of our business.</w:t>
      </w:r>
    </w:p>
    <w:p>
      <w:pPr>
        <w:spacing w:after="0" w:line="19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addition, because our software, which can be deployed in the cloud, on-premise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For example, industry publications have reported ransomware attacks on MongoDB instances. We believe these attacks were successful due to the failure by users of our Community Server offering to properly turn on the recommended security settings when running these instances.</w:t>
      </w:r>
    </w:p>
    <w:p>
      <w:pPr>
        <w:spacing w:after="0" w:line="188"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Cyberattacks and other malicious internet-based activity continue to increase and the techniques used to obtain unauthorized access or sabotage systems change frequently and generally are not identified until they are launched against a target. For example, we have seen an increase in phishing and spam emails as well as social engineering attempts from “hackers” hoping to use the recent COVID-19 pandemic to their advantage. In addition to traditional computer “hackers,” malicious code (such as viruses and worms), employee theft or misuse and denial-of-service (“DoS”) attacks, sophisticated nation-state and nation-state supported actors now engage in attacks (including advanced persistent threat intrusions). We cannot guarantee that our security measures will be sufficient to protect against unauthorized access to or other compromise of the personal information and/or other confidential information of our employees or customers. The techniques used to sabotage or to obtain unauthorized access to our platform, systems, networks and/or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Any security breach or other security incident could harm our reputation and lead to litigation, indemnity obligations, regulatory investigations and enforcement actions and other liabilities. If our security measures, or those of our services providers, are breached or are believed to have been breached, whether as a result of third-party action, employee, vendor, or contractor error, malfeasance, phishing attacks, social engineering or otherwise, unauthorized access to or loss of data may result.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2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Moreover, unauthorized access to our software, systems, networks, or physical facilities could result in litigation with our customers and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may also face regulatory investigations and actions and fines and penalties for violations of applicable laws or regulation. These litigation and regulatory proceedings could force us to spend money in defense or settlement, divert management’s time and attention, increase our costs of doing business and adversely affect our reputation. We could be required to fundamentally change our business activities and practices or modify our products in response to such litigation, which could have an adverse effect on our business.</w:t>
      </w:r>
    </w:p>
    <w:p>
      <w:pPr>
        <w:spacing w:after="0" w:line="14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17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42" w:lineRule="exact"/>
        <w:rPr>
          <w:sz w:val="20"/>
          <w:szCs w:val="20"/>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171" w:lineRule="exact"/>
        <w:rPr>
          <w:rFonts w:ascii="Arial" w:cs="Arial" w:eastAsia="Arial" w:hAnsi="Arial"/>
          <w:sz w:val="18"/>
          <w:szCs w:val="18"/>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71" w:lineRule="exact"/>
        <w:rPr>
          <w:rFonts w:ascii="Arial" w:cs="Arial" w:eastAsia="Arial" w:hAnsi="Arial"/>
          <w:sz w:val="18"/>
          <w:szCs w:val="18"/>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171" w:lineRule="exact"/>
        <w:rPr>
          <w:rFonts w:ascii="Arial" w:cs="Arial" w:eastAsia="Arial" w:hAnsi="Arial"/>
          <w:sz w:val="18"/>
          <w:szCs w:val="18"/>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convert users of our free offerings to paying customers;</w:t>
      </w:r>
    </w:p>
    <w:p>
      <w:pPr>
        <w:spacing w:after="0" w:line="171" w:lineRule="exact"/>
        <w:rPr>
          <w:rFonts w:ascii="Arial" w:cs="Arial" w:eastAsia="Arial" w:hAnsi="Arial"/>
          <w:sz w:val="18"/>
          <w:szCs w:val="18"/>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171" w:lineRule="exact"/>
        <w:rPr>
          <w:rFonts w:ascii="Arial" w:cs="Arial" w:eastAsia="Arial" w:hAnsi="Arial"/>
          <w:sz w:val="18"/>
          <w:szCs w:val="18"/>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171" w:lineRule="exact"/>
        <w:rPr>
          <w:rFonts w:ascii="Arial" w:cs="Arial" w:eastAsia="Arial" w:hAnsi="Arial"/>
          <w:sz w:val="18"/>
          <w:szCs w:val="18"/>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17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This could impact the variability and comparability of our quarterly revenue results and may have an adverse effect on our business, results of operations and financial condition.</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16"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1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3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2020, 2019 and 2018, total sales and marketing expense represented 53%, 56% and 66%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2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1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subscription offerings are term-based and a majority of our subscription contracts were one year in duration in fiscal year 2020.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7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quickly resolve issues and provide effective ongoing support, our ability to sell new software to existing and new customers could suffer and our reputation and relationships with existing or potential customers could be harmed.</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1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1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Data privacy has become a significant issue in the United States, Europe and in many other countries where we offer our software and services. Our software and services can be used to collect and store substantial amounts of personally identifiable information. We are subject to a variety of federal, state, local and international laws, directives, rules and regulations relating to the collection, use, storage, retention, security, disclosure, transfer, breach notification procedures and other processing of personally identifiable information. The regulatory framework for privacy issues is rapidly evolving and interpretation of these laws, rules and regulations and their application to our software and professional services in the United States and foreign jurisdictions is ongoing and cannot be fully determined at this time.</w:t>
      </w:r>
    </w:p>
    <w:p>
      <w:pPr>
        <w:spacing w:after="0" w:line="138"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(“HIPAA”), the Gramm Leach Bliley Act and state laws relating to privacy and data security. For example, California recently enacted the California Consumer Privacy Act (the “CCPA”), which became effective on January 1, 2020. The CCPA introduced new requirements regarding the handling of personal information of California consumers and households. The law gives individuals the right to request access to and deletion of their information and the right to opt out of sales of their personal information. The CCPA also authorizes private lawsuits to recover statutory damages for certain data breaches. The CCPA may increase our compliance costs and potential liability with respect to other personal information we collect about California residents. In addition to government regulation, privacy advocates and industry groups may propose new and different self-regulatory standards that may apply to us.</w:t>
      </w:r>
    </w:p>
    <w:p>
      <w:pPr>
        <w:spacing w:after="0" w:line="16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Internationally, virtually every jurisdiction in which we operate has established its own data security and privacy legal framework with which we or our customers must comply, including but not limited to the European Union (“E.U.”). The collection, use, disclosure, transfer, or other processing of personal data regarding individuals in the E.U. is subject to the General Data Protection Regulation (the “GDPR”), which came into effect in May 2018. E.U. data protection authorities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have taken steps to cause our processes to be compliant with applicable portions of the GDPR, but we cannot assure you that such steps are effective.</w:t>
      </w:r>
    </w:p>
    <w:p>
      <w:pPr>
        <w:spacing w:after="0" w:line="11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Because the interpretation and application of privacy and data protection laws, regulations, rules and other standards are still uncertain and likely to remain uncertain for the foreseeable future,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w:t>
      </w:r>
    </w:p>
    <w:p>
      <w:pPr>
        <w:spacing w:after="0" w:line="200" w:lineRule="exact"/>
        <w:rPr>
          <w:sz w:val="20"/>
          <w:szCs w:val="20"/>
          <w:color w:val="auto"/>
        </w:rPr>
      </w:pPr>
    </w:p>
    <w:p>
      <w:pPr>
        <w:spacing w:after="0" w:line="36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comply with applicable privacy or data protection laws, regulations and other actual or alleged obligations, could result in additional cost and liability to us, damage our reputation, inhibit sales and adversely affect our business.</w:t>
      </w:r>
    </w:p>
    <w:p>
      <w:pPr>
        <w:spacing w:after="0" w:line="116"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addition, we publish privacy policies and other documentation regarding our collection, processing,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spacing w:after="0" w:line="12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Form 10-K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Market opportunity estimates and growth forecasts included in this Form 10-K are subject to significant uncertainty and are based on third-party assumptions and estimates that may not prove to be accurate. The market in which we compete may not meet the size estimates and may not achieve the growth forecast referenced in this Form 10-K. Even if the market in which we compete meets the size estimates and the growth forecast referenced in this Form 10-K, our business could fail to grow at similar rates, if at all, for a variety of reasons, which would adversely affect our results of operations.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1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success and ability to compete depend in part upon our intellectual property rights. As of January 31, 2020, we had 25 issued patents and 46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1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 For</w:t>
      </w:r>
    </w:p>
    <w:p>
      <w:pPr>
        <w:spacing w:after="0" w:line="200" w:lineRule="exact"/>
        <w:rPr>
          <w:sz w:val="20"/>
          <w:szCs w:val="20"/>
          <w:color w:val="auto"/>
        </w:rPr>
      </w:pPr>
    </w:p>
    <w:p>
      <w:pPr>
        <w:spacing w:after="0" w:line="37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example, Realtime Data (“Realtime”) filed a lawsuit against us in the United States District Court for the District of Delaware in March 2019 alleging that we are infringing three U.S. patents that it holds: U.S. Patent No. 9,116,908 (the “908 Patent”), U.S. Patent No. 9,667,751 (the “751 Patent”) and U.S. Patent No. 8,933,825 (the “825 Patent”). The patent infringement allegations in the lawsuit relate to data compression, decompression, storage and retrieval. This action is currently stayed. See the section titled “Item 3. Legal Proceedings.”</w:t>
      </w:r>
    </w:p>
    <w:p>
      <w:pPr>
        <w:spacing w:after="0" w:line="13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1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international trade relations, political turmoil, natural catastrophes, regional or global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negatively affect the growth of our business.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particular, the recent COVID-19 pandemic may prevent us or our employees, contractors, suppliers, customers and other business partners from conducting marketing and other business activities for an indefinite period of time, which could materially and adversely impact our business, financial results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have resulted in business closures, work stoppages, slowdowns and delays, work-from-home policies, travel restrictions and cancellation of events, among other effects that could negatively impact productivity and disrupt our operations and those of our contractors, suppliers, customers and other business partners. We expect the rapidly evolving COVID-19 pandemic will likely impact our sales pipeline and bookings. In addition, COVID-19 could adversely affect workforces, customers, economies and financial markets globally, potentially leading to an economic downturn.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could materially and adversely impact our business, financial condition or results of operations.</w:t>
      </w:r>
    </w:p>
    <w:p>
      <w:pPr>
        <w:spacing w:after="0" w:line="1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Further, to the extent there is a general economic downturn and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certain precautions due to the recent outbreak of COVID-19 that could harm our business.</w:t>
      </w:r>
    </w:p>
    <w:p>
      <w:pPr>
        <w:spacing w:after="0" w:line="9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light of the uncertain and rapidly evolving situation relating to the spread of COVID-19 and in compliance with recent shelter-in-place orders and other government executive orders directing that all non-essential businesses close their physical operations, we have taken measures intended to help minimize the risk of the virus to our employees, our customers</w:t>
      </w:r>
    </w:p>
    <w:p>
      <w:pPr>
        <w:spacing w:after="0" w:line="200" w:lineRule="exact"/>
        <w:rPr>
          <w:sz w:val="20"/>
          <w:szCs w:val="20"/>
          <w:color w:val="auto"/>
        </w:rPr>
      </w:pPr>
    </w:p>
    <w:p>
      <w:pPr>
        <w:spacing w:after="0" w:line="37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and the communities in which we participate, which could negatively impact our business. These measures include temporarily requiring all employees to work remotely, suspending all non-essential travel worldwide for our employees, canceling, postponing or holding virtually MongoDB-sponsored events and discouraging employee attendance at industry events and in-person work-related meetings. While we have a distributed workforce and our employees are accustomed to working remotely or working with other remote employees, our workforce is not fully remote. Our employees travel frequently to establish and maintain relationships with one another and with our customers, partners and investors, and some of our business processes assume that employees can review and sign documents in person. Although we continue to monitor the situation and may adjust our current policies as more information and guidance become available, temporarily suspending travel and doing business in-person could negatively impact our marketing efforts, our ability to enter into customer contracts in a timely manner, our international expansion efforts, our ability to recruit employees across the organization and, in sales and marketing, in particular, which could have longer term effects on our sales pipeline, or create operational or other challenges as we adjust to a fully-remote workforce, any of which could harm our business. In addition, our management team has, and will likely continue, to spend significant time, attention and resources monitoring the COVID-19 pandemic and seeking to manage its effects on our business and workforce. The extent to which COVID-19 and our precautionary measures may impact our business will depend on future developments, which are highly uncertain and cannot be predicted at this time.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successful relationships with our partners, our business, results of operations and financial condition could be harmed.</w:t>
      </w:r>
    </w:p>
    <w:p>
      <w:pPr>
        <w:spacing w:after="0" w:line="20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16"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1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83"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41"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46"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our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For example, our Chief Technology Officer, Eliot Horowitz has notified us that he intends to resign his employment with us as of the date of our 2020 Annual Meeting of Stockholders.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spacing w:after="0" w:line="11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client services personnel and software engineers, is intense. Our recruiting efforts focus on elite organizations and our primary recruiting competition are well-known, high-paying technology companies. Our continued ability to compete effectively depends on our</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ability to attract new employees and to retain and motivate existing employees. If we do not succeed in attracting well-qualified employees or retaining and motivating existing employees, our business would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1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believe that our culture has been and will continue to be a key contributor to our success. From January 31, 2017 to January 31, 2020, we increased the size of our workforce by 1,100 employees and we expect to continue to hire aggressively as we expand, especially research and development and sales and marketing personnel. If we do not continue to maintain our corporate culture as we grow, we may be unable to foster the innovation, creativity and entrepreneurial spirit we believe we need to support our growth. Our substantial anticipated headcount growth may result in a change to our corporate culture, which could harm our business.</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1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9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16"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In the fiscal years ended January 31, 2020, 2019 and 2018, total revenue generated from customers outside the United States was 41%, 39% and 37%, respectively, of our total revenue. We currently have international offices outside of North America in Europe, the Middle East and Africa (“EMEA”), the Asia-Pacific region and South America, focusing primarily on selling our products and services in those regions. In the future, we may continue to expand our presence in these regions or expand into other international locations. Our current international operations and future initiatives involve a variety of risks, including risks associated with:</w:t>
      </w:r>
    </w:p>
    <w:p>
      <w:pPr>
        <w:spacing w:after="0" w:line="138"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quarantine, private travel limitation, or business disruption in regions affecting our operations, stemming from actual, imminent or perceived outbreak of contagious disease, including the COVID-19 pandemic;</w:t>
      </w:r>
    </w:p>
    <w:p>
      <w:pPr>
        <w:spacing w:after="0" w:line="116" w:lineRule="exact"/>
        <w:rPr>
          <w:rFonts w:ascii="Arial" w:cs="Arial" w:eastAsia="Arial" w:hAnsi="Arial"/>
          <w:sz w:val="18"/>
          <w:szCs w:val="18"/>
          <w:color w:val="auto"/>
        </w:rPr>
      </w:pPr>
    </w:p>
    <w:p>
      <w:pPr>
        <w:ind w:left="980" w:right="7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116"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16"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16"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associated with international operations, including travel, real estate, infrastructure and legal compliance costs;</w:t>
      </w:r>
    </w:p>
    <w:p>
      <w:pPr>
        <w:spacing w:after="0" w:line="171" w:lineRule="exact"/>
        <w:rPr>
          <w:rFonts w:ascii="Arial" w:cs="Arial" w:eastAsia="Arial" w:hAnsi="Arial"/>
          <w:sz w:val="18"/>
          <w:szCs w:val="18"/>
          <w:color w:val="auto"/>
        </w:rPr>
      </w:pPr>
    </w:p>
    <w:p>
      <w:pPr>
        <w:ind w:left="980" w:right="4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devaluation;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171" w:lineRule="exact"/>
        <w:rPr>
          <w:rFonts w:ascii="Arial" w:cs="Arial" w:eastAsia="Arial" w:hAnsi="Arial"/>
          <w:sz w:val="18"/>
          <w:szCs w:val="18"/>
          <w:color w:val="auto"/>
        </w:rPr>
      </w:pPr>
    </w:p>
    <w:p>
      <w:pPr>
        <w:ind w:left="980" w:right="5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71"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social unrest, terrorist activities, natural disasters or regional or global outbreaks of contagious diseases, such as the COVID-19 pandemic;</w:t>
      </w:r>
    </w:p>
    <w:p>
      <w:pPr>
        <w:spacing w:after="0" w:line="116"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200" w:lineRule="exact"/>
        <w:rPr>
          <w:sz w:val="20"/>
          <w:szCs w:val="20"/>
          <w:color w:val="auto"/>
        </w:rPr>
      </w:pPr>
    </w:p>
    <w:p>
      <w:pPr>
        <w:spacing w:after="0" w:line="35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121" w:right="4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13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United Kingdom (the “U.K.”) formally left the E.U. on January 31, 2020, commonly referred to as Brexit. Under the terms of the withdrawal agreement, the U.K. will be subject to a transition period until December 31, 2020 (the “Transition Period”), during which E.U. rules will continue to apply. Negotiations between the U.K. and the E.U. are expected to continue in relation to their customs and trading relationship following the expiry of the Transition Period.</w:t>
      </w:r>
    </w:p>
    <w:p>
      <w:pPr>
        <w:spacing w:after="0" w:line="13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uncertainty concerning the U.K.’s legal, political and economic relationships with the E.U. after the Transition Period may be a source of instability in the international markets, create significant currency fluctuations and otherwise adversely affect trading agreements or similar cross border co-operation arrangements (whether economic, tax, fiscal, legal, regulatory or otherwise). Further, if the U.K. and the E.U. are unable to negotiate acceptable trading and customs terms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after the Transition Period.</w:t>
      </w:r>
    </w:p>
    <w:p>
      <w:pPr>
        <w:spacing w:after="0" w:line="83"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the European single market and the wider commercial, legal and regulatory environment, will impact our U.K. operations and our customers located in the U.K.</w:t>
      </w:r>
    </w:p>
    <w:p>
      <w:pPr>
        <w:spacing w:after="0" w:line="13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ultimate effects of Brexit on us are difficult to predict; however, we currently conduct a significant part of our business in the United Kingdom and in the E.U., with customers located in the United Kingdom accounting for 10%, 10% and 11% of total revenue for fiscal years 2020, 2019 and 2018, respectively. The United Kingdom’s withdrawal from the E.U. could cause disruptions and create uncertainty to our businesses, including affecting the business of and/or our relationships with our customers and suppliers, as altering the relationship among tariffs and currencies, including the value of the British pound and the Euro relative to the U.S. dollar and creating new regulatory costs and challenges. Any of these effects. among others, could adversely impact our financial position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94"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1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1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programs, behavior and events and the internet has experienced a variety of outages and other delays as a result of damage to portions of its infrastructure.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 use of the internet is adversely affected by these issues, demand for our subscription offerings and related services could suffer.</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2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w:t>
      </w:r>
    </w:p>
    <w:p>
      <w:pPr>
        <w:spacing w:after="0" w:line="13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On November 1, 2018, we acquired ObjectLabs Corporation (“mLab”), a privately held company, headquartered in San Francisco, California, that offers cloud database services. On May 7, 2019, we acquired Tightdb, Inc. (“Realm”), a privately held mobile database company. The risks we face in connection with these and any future acquisitions include:</w:t>
      </w:r>
    </w:p>
    <w:p>
      <w:pPr>
        <w:spacing w:after="0" w:line="130" w:lineRule="exact"/>
        <w:rPr>
          <w:sz w:val="20"/>
          <w:szCs w:val="20"/>
          <w:color w:val="auto"/>
        </w:rPr>
      </w:pPr>
    </w:p>
    <w:p>
      <w:pPr>
        <w:ind w:left="1960" w:right="20" w:hanging="1466"/>
        <w:spacing w:after="0" w:line="259" w:lineRule="auto"/>
        <w:tabs>
          <w:tab w:leader="none" w:pos="9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32" w:lineRule="exact"/>
        <w:rPr>
          <w:rFonts w:ascii="Arial" w:cs="Arial" w:eastAsia="Arial" w:hAnsi="Arial"/>
          <w:sz w:val="18"/>
          <w:szCs w:val="18"/>
          <w:color w:val="auto"/>
        </w:rPr>
      </w:pPr>
    </w:p>
    <w:p>
      <w:pPr>
        <w:ind w:left="1960" w:right="180" w:hanging="1466"/>
        <w:spacing w:after="0" w:line="308" w:lineRule="auto"/>
        <w:tabs>
          <w:tab w:leader="none" w:pos="9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92" w:lineRule="exact"/>
        <w:rPr>
          <w:rFonts w:ascii="Arial" w:cs="Arial" w:eastAsia="Arial" w:hAnsi="Arial"/>
          <w:sz w:val="17"/>
          <w:szCs w:val="17"/>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71" w:lineRule="exact"/>
        <w:rPr>
          <w:rFonts w:ascii="Arial" w:cs="Arial" w:eastAsia="Arial" w:hAnsi="Arial"/>
          <w:sz w:val="18"/>
          <w:szCs w:val="18"/>
          <w:color w:val="auto"/>
        </w:rPr>
      </w:pPr>
    </w:p>
    <w:p>
      <w:pPr>
        <w:ind w:left="980" w:right="300" w:hanging="486"/>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71" w:lineRule="exact"/>
        <w:rPr>
          <w:rFonts w:ascii="Arial" w:cs="Arial" w:eastAsia="Arial" w:hAnsi="Arial"/>
          <w:sz w:val="18"/>
          <w:szCs w:val="18"/>
          <w:color w:val="auto"/>
        </w:rPr>
      </w:pPr>
    </w:p>
    <w:p>
      <w:pPr>
        <w:ind w:left="980" w:right="74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11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successfully sell any acquired products or increase adoption or usage of acquired products, or increase spend by acquired customers;</w:t>
      </w:r>
    </w:p>
    <w:p>
      <w:pPr>
        <w:spacing w:after="0" w:line="200" w:lineRule="exact"/>
        <w:rPr>
          <w:sz w:val="20"/>
          <w:szCs w:val="20"/>
          <w:color w:val="auto"/>
        </w:rPr>
      </w:pPr>
    </w:p>
    <w:p>
      <w:pPr>
        <w:spacing w:after="0" w:line="36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71"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including financial maintenance covenants; and</w:t>
      </w:r>
    </w:p>
    <w:p>
      <w:pPr>
        <w:spacing w:after="0" w:line="116"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194"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0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Notes to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incremental borrowing rate related to the Company’s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37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w:t>
      </w:r>
    </w:p>
    <w:p>
      <w:pPr>
        <w:spacing w:after="0" w:line="11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Effective January 31, 2019, we are no longer an “emerging growth company,” as defined in the JOBS Act. As a result, we are also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Class A common stock and we may be subject to investigation or sanctions by the SEC.</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1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200" w:lineRule="exact"/>
        <w:rPr>
          <w:sz w:val="20"/>
          <w:szCs w:val="20"/>
          <w:color w:val="auto"/>
        </w:rPr>
      </w:pPr>
    </w:p>
    <w:p>
      <w:pPr>
        <w:spacing w:after="0" w:line="35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1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1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potential tax reform in the United States may result in significant changes to U.S. federal income taxation law, including changes to the U.S. federal income taxation of corporations (including the Company) and/or changes to the U.S. federal income taxation of stockholders in U.S. corporations, including investors in our Class A common stock. For example, the Tax Cuts and Jobs Act of 2017 was enacted on December 22, 2017 and significantly revised the U.S. corporate income tax law by, among other things, reducing the corporate income tax rate to 21% for tax years beginning in 2018, imposing additional limitations on the deductibility of interest, changing the utilization of future net operating loss carryforwards, allowing for the expensing of certain capital expenditures and implementing a modified territorial system. We are currently unable to predict whether any future changes will occur and, if so, the impact of such changes, including on the U.S. federal income tax considerations relating to the purchase, ownership and disposition of our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January 31, 2020 the Company had net operating loss carryforwards for federal, state, Irish and U.K. income tax purposes of approximately $659.7 million, $475.3 million, $258.8 million and $7.2 million, respectively, which begin to expire in the year ending January 31, 2028 for federal purposes and January 31, 2020 for state purposes. Ireland, U.K. and the U.S. federal losses for years after January 31, 2018 allows net operating losses to be carried forward indefinitely. A lack of future taxable income would adversely affect our ability to utilize these net operating losses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31"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200" w:lineRule="exact"/>
        <w:rPr>
          <w:sz w:val="20"/>
          <w:szCs w:val="20"/>
          <w:color w:val="auto"/>
        </w:rPr>
      </w:pPr>
    </w:p>
    <w:p>
      <w:pPr>
        <w:spacing w:after="0" w:line="38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70"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33"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If we fail to comply with U.S.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3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16"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Our corporate headquarters is located in New York City and we have offices in 43 other locations as of January 31, 2020. A significant natural disaster or man-made problem, such as an earthquake, fire, flood, an act of terrorism, the regional or global outbreak of a contagious disease, such as the COVID-19 pandemic, or other catastrophic event occurring in any of these locations, or where a business partner is located,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extent to which COVID-19 may impact our business is uncertain, however we continue to monitor its effect.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1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200" w:lineRule="exact"/>
        <w:rPr>
          <w:sz w:val="20"/>
          <w:szCs w:val="20"/>
          <w:color w:val="auto"/>
        </w:rPr>
      </w:pPr>
    </w:p>
    <w:p>
      <w:pPr>
        <w:spacing w:after="0" w:line="37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our initial public offering, including our executive officers, employees and directors and their affiliates, which will limit your ability to influence the outcome of important transactions, including a change in control.</w:t>
      </w:r>
    </w:p>
    <w:p>
      <w:pPr>
        <w:spacing w:after="0" w:line="13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a result, as of January 31, 2020, holders of our Class B common stock represented approximately 65% of the voting power of our outstanding capital stock and our directors, executive officers and each of their affiliated entities, represented approximately 54% of the voting power of our outstanding capital stock. This concentrated control will limit the ability of holders of our Class A common stock to influence corporate matters for the foreseeable future. For example, holders of our Class B common stock will be able to control all matters submitted to our stockholders for approval even when the shares of Class B common stock represent a small minority of all outstanding shares of our Class A common stock and Class B common 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Holders of our Class B common stock may also have interests that differ from the interests of holders of our Class A common stock and may vote in a way with which holders of our Class A common stock may disagree and which may be adverse to such 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1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certain board members and their affiliated funds, executive officers and founders individually hold more than ten percent (10%) of the voting power of our capital stock and if they retain a significant portion of their holdings of our Class B common stock for an extended period of time and other Class B holders continue to sell their shares of Class B common stock, they could control an increasingly significant portion of the voting power of our capital stock for the foreseeable future individually. While board members owe a fiduciary duty to our stockholders and must act in good faith and in a manner they reasonably believe to be in the best interests of our stockholders, other significant stockholders are entitled to vote their shares in accordance with their own interests, and could also elect to act collectively, which may not always be in the interests of our stockholders generally.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our stock price or our business.</w:t>
      </w:r>
    </w:p>
    <w:p>
      <w:pPr>
        <w:spacing w:after="0" w:line="171"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our initial public offering,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In July 2017, S&amp;P Dow Jones announced that it will no longer admit companies with multiple-class share structures to certain of its indexes. Because of our dual class structure, we will likely be excluded from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is likely to continue to be volatile, which could cause the value of our Class A common stock to decline.</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has been and is likely to continue to be volatile. Factors that could cause fluctuations in the trading price of our Class A common stock include the following:</w:t>
      </w:r>
    </w:p>
    <w:p>
      <w:pPr>
        <w:spacing w:after="0" w:line="116"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announcements of new products or technologies, commercial relationships, acquisitions or other events by us or our competitors;</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1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for the foreseeable future.</w:t>
      </w:r>
    </w:p>
    <w:p>
      <w:pPr>
        <w:spacing w:after="0" w:line="171"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Class A common stock may only receive a return if the market price of our Class A common stock increases.</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33"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w:t>
      </w:r>
    </w:p>
    <w:p>
      <w:pPr>
        <w:spacing w:after="0" w:line="183"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71" w:lineRule="exact"/>
        <w:rPr>
          <w:rFonts w:ascii="Arial" w:cs="Arial" w:eastAsia="Arial" w:hAnsi="Arial"/>
          <w:sz w:val="18"/>
          <w:szCs w:val="18"/>
          <w:color w:val="auto"/>
        </w:rPr>
      </w:pPr>
    </w:p>
    <w:p>
      <w:pPr>
        <w:ind w:left="1960" w:right="720" w:hanging="1466"/>
        <w:spacing w:after="0" w:line="277" w:lineRule="auto"/>
        <w:tabs>
          <w:tab w:leader="none" w:pos="9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1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16"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95" w:lineRule="exact"/>
        <w:rPr>
          <w:sz w:val="20"/>
          <w:szCs w:val="20"/>
          <w:color w:val="auto"/>
        </w:rPr>
      </w:pPr>
    </w:p>
    <w:p>
      <w:pPr>
        <w:ind w:left="1960" w:right="140" w:hanging="1466"/>
        <w:spacing w:after="0" w:line="277" w:lineRule="auto"/>
        <w:tabs>
          <w:tab w:leader="none" w:pos="9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200" w:lineRule="exact"/>
        <w:rPr>
          <w:sz w:val="20"/>
          <w:szCs w:val="20"/>
          <w:color w:val="auto"/>
        </w:rPr>
      </w:pPr>
    </w:p>
    <w:p>
      <w:pPr>
        <w:spacing w:after="0" w:line="36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1960" w:right="260" w:hanging="1466"/>
        <w:spacing w:after="0" w:line="263"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1960" w:right="380" w:hanging="1466"/>
        <w:spacing w:after="0" w:line="263"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9" w:lineRule="exact"/>
        <w:rPr>
          <w:rFonts w:ascii="Arial" w:cs="Arial" w:eastAsia="Arial" w:hAnsi="Arial"/>
          <w:sz w:val="18"/>
          <w:szCs w:val="18"/>
          <w:color w:val="auto"/>
        </w:rPr>
      </w:pPr>
    </w:p>
    <w:p>
      <w:pPr>
        <w:ind w:left="1960" w:right="380" w:hanging="1466"/>
        <w:spacing w:after="0" w:line="277"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1960" w:hanging="1466"/>
        <w:spacing w:after="0" w:line="275" w:lineRule="auto"/>
        <w:tabs>
          <w:tab w:leader="none" w:pos="9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our Board of Directors, the chairperson of our Board of Directors, our chief executive officer, or, until such time as all of our Class B common stock is automatically converted to Class A common stock in accordance with our corporate charter, the holders of at least 10% of the voting power of our Class A common stock and Class B common stock, voting together, which limitations could delay the ability of our stockholders to force consideration of a proposal or to take action, including the removal of directors;</w:t>
      </w:r>
    </w:p>
    <w:p>
      <w:pPr>
        <w:spacing w:after="0" w:line="122" w:lineRule="exact"/>
        <w:rPr>
          <w:rFonts w:ascii="Arial" w:cs="Arial" w:eastAsia="Arial" w:hAnsi="Arial"/>
          <w:sz w:val="17"/>
          <w:szCs w:val="17"/>
          <w:color w:val="auto"/>
        </w:rPr>
      </w:pPr>
    </w:p>
    <w:p>
      <w:pPr>
        <w:jc w:val="both"/>
        <w:ind w:left="1960" w:right="20" w:hanging="1466"/>
        <w:spacing w:after="0" w:line="301" w:lineRule="auto"/>
        <w:tabs>
          <w:tab w:leader="none" w:pos="9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 majority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103" w:lineRule="exact"/>
        <w:rPr>
          <w:rFonts w:ascii="Arial" w:cs="Arial" w:eastAsia="Arial" w:hAnsi="Arial"/>
          <w:sz w:val="16"/>
          <w:szCs w:val="16"/>
          <w:color w:val="auto"/>
        </w:rPr>
      </w:pPr>
    </w:p>
    <w:p>
      <w:pPr>
        <w:ind w:left="1960" w:right="260" w:hanging="1466"/>
        <w:spacing w:after="0" w:line="342" w:lineRule="auto"/>
        <w:tabs>
          <w:tab w:leader="none" w:pos="9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69" w:lineRule="exact"/>
        <w:rPr>
          <w:rFonts w:ascii="Arial" w:cs="Arial" w:eastAsia="Arial" w:hAnsi="Arial"/>
          <w:sz w:val="16"/>
          <w:szCs w:val="16"/>
          <w:color w:val="auto"/>
        </w:rPr>
      </w:pPr>
    </w:p>
    <w:p>
      <w:pPr>
        <w:ind w:left="1960" w:right="20" w:hanging="1466"/>
        <w:spacing w:after="0" w:line="286" w:lineRule="auto"/>
        <w:tabs>
          <w:tab w:leader="none" w:pos="9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111" w:lineRule="exact"/>
        <w:rPr>
          <w:rFonts w:ascii="Arial" w:cs="Arial" w:eastAsia="Arial" w:hAnsi="Arial"/>
          <w:sz w:val="17"/>
          <w:szCs w:val="17"/>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17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Notes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89" w:lineRule="exact"/>
        <w:rPr>
          <w:sz w:val="20"/>
          <w:szCs w:val="20"/>
          <w:color w:val="auto"/>
        </w:rPr>
      </w:pPr>
    </w:p>
    <w:p>
      <w:pPr>
        <w:ind w:right="120" w:firstLine="531"/>
        <w:spacing w:after="0" w:line="259" w:lineRule="auto"/>
        <w:rPr>
          <w:sz w:val="20"/>
          <w:szCs w:val="20"/>
          <w:color w:val="auto"/>
        </w:rPr>
      </w:pPr>
      <w:r>
        <w:rPr>
          <w:rFonts w:ascii="Arial" w:cs="Arial" w:eastAsia="Arial" w:hAnsi="Arial"/>
          <w:sz w:val="18"/>
          <w:szCs w:val="18"/>
          <w:color w:val="auto"/>
        </w:rPr>
        <w:t>In June and July 2018, we issued $300.0 million aggregate principal amount of 0.75% convertible senior notes due 2024 (the “2024 Notes”)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33"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w:t>
      </w:r>
    </w:p>
    <w:p>
      <w:pPr>
        <w:spacing w:after="0" w:line="200" w:lineRule="exact"/>
        <w:rPr>
          <w:sz w:val="20"/>
          <w:szCs w:val="20"/>
          <w:color w:val="auto"/>
        </w:rPr>
      </w:pPr>
    </w:p>
    <w:p>
      <w:pPr>
        <w:spacing w:after="0" w:line="3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may not be able to engage in any of these activities or engage in these activities on desirable terms, which could result in a default on our debt obligations.</w:t>
      </w:r>
    </w:p>
    <w:p>
      <w:pPr>
        <w:spacing w:after="0" w:line="194"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26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in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Additionally, the conditional conversion feature of the 2024 Notes was triggered as of January 31, 2020, and the 2024 Notes are currently convertible at the option of the holders thereof, in whole or in part, through April 30, 2020. Whether the 2024 Notes will be convertible following such fiscal quarter will depend on the continued satisfaction of this condition or another conversion condition in the future. Upon conversion of the 2024 Notes, unless we elect to deliver solely shares of our Class A common stock to settle such conversion (other than paying cash in lieu of delivering any fractional share), we will be required to make cash payments in respect of the 2024 Notes being converted, which could adversely affect our liquidity.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4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Under Accounting Standards Codification 470-20, Debt with Conversion and Other Options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at the issuance date and the value of the equity component would be treated as debt discount for purposes of accounting for the debt component of the Notes. As a result, we will be required to record a greater amount of non-cash interest expense as a result of the amortization of the discounted carrying value of the Notes to their face amount over the term of the Notes. We will report larger net losses (or lower net income) in our financial results because ASC 470-20 will require interest to include both the amortization of the debt discount and the instrument’s nonconvertible coupon interest rate, which could adversely affect our reported or future financial results, the trading price of our Class A common stock and the trading price of the Notes.</w:t>
      </w:r>
    </w:p>
    <w:p>
      <w:pPr>
        <w:spacing w:after="0" w:line="16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or otherwise elect not to use the treasury stock method in accounting for the shares issuable upon conversion of the Notes, then our diluted earnings per share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Class A common stock.</w:t>
      </w:r>
    </w:p>
    <w:p>
      <w:pPr>
        <w:spacing w:after="0" w:line="11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In connection with the pricing of the Notes, we entered into privately negotiated capped call transactions with certain counterparties. The capped call transactions cover, subject to customary adjustments, the number of shares of our Class A common stock initially underlying the Notes. The capped call transactions are expected to offset the potential dilution to our Class A common stock upon any conversion of the Notes. In connection with establishing their initial hedges of the capped call transactions, the counterparties or their respective affiliates entered into various derivative transactions with respect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concurrently with or shortly after the pricing of the Notes, including with certain investors in the Notes.</w:t>
      </w:r>
    </w:p>
    <w:p>
      <w:pPr>
        <w:spacing w:after="0" w:line="333"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prior to the maturity of the Notes (and are likely to do so on each exercise date of the capped call transactions, which are scheduled to occur during the observation period relating to any conversion of the Notes on or after March 15, 2024, in the case of the 2024 Notes and on or after October 15, 2025, in the case of the 2026 Notes), or following any termination of any portion of the capped call transactions in connection with any repurchase, redemption or early conversions of the Notes or otherwise. This activity could also cause or avoid an increase or a decrease in the market price of our Class A common stock. We do not make any representation or prediction as to the direction or magnitude of any potential effect that the transactions described above may have on the price of shares of our Class A common stock.</w:t>
      </w:r>
    </w:p>
    <w:p>
      <w:pPr>
        <w:spacing w:after="0" w:line="174" w:lineRule="exact"/>
        <w:rPr>
          <w:sz w:val="20"/>
          <w:szCs w:val="20"/>
          <w:color w:val="auto"/>
        </w:rPr>
      </w:pPr>
    </w:p>
    <w:p>
      <w:pPr>
        <w:jc w:val="center"/>
        <w:ind w:right="8380"/>
        <w:spacing w:after="0"/>
        <w:rPr>
          <w:sz w:val="20"/>
          <w:szCs w:val="20"/>
          <w:color w:val="auto"/>
        </w:rPr>
      </w:pPr>
      <w:r>
        <w:rPr>
          <w:rFonts w:ascii="Arial" w:cs="Arial" w:eastAsia="Arial" w:hAnsi="Arial"/>
          <w:sz w:val="16"/>
          <w:szCs w:val="16"/>
          <w:b w:val="1"/>
          <w:bCs w:val="1"/>
          <w:color w:val="auto"/>
        </w:rPr>
        <w:t>Item 1B. Unresolved Staff Comments</w:t>
      </w:r>
    </w:p>
    <w:p>
      <w:pPr>
        <w:spacing w:after="0" w:line="198" w:lineRule="exact"/>
        <w:rPr>
          <w:sz w:val="20"/>
          <w:szCs w:val="20"/>
          <w:color w:val="auto"/>
        </w:rPr>
      </w:pPr>
    </w:p>
    <w:p>
      <w:pPr>
        <w:jc w:val="center"/>
        <w:ind w:right="98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9860"/>
        <w:spacing w:after="0"/>
        <w:rPr>
          <w:sz w:val="20"/>
          <w:szCs w:val="20"/>
          <w:color w:val="auto"/>
        </w:rPr>
      </w:pPr>
      <w:r>
        <w:rPr>
          <w:rFonts w:ascii="Arial" w:cs="Arial" w:eastAsia="Arial" w:hAnsi="Arial"/>
          <w:sz w:val="16"/>
          <w:szCs w:val="16"/>
          <w:b w:val="1"/>
          <w:bCs w:val="1"/>
          <w:color w:val="auto"/>
        </w:rPr>
        <w:t>Item 2. Properties</w:t>
      </w:r>
    </w:p>
    <w:p>
      <w:pPr>
        <w:spacing w:after="0" w:line="19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current principal executive office is located in New York, New York and, as of January 31, 2020, consists of approximately 106,230 square feet of space under a lease that expires in December 2029.</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lease 43 other offices around the world for our employees, including in Palo Alto, Austin, Dublin, Gurgaon and San Francisco.</w:t>
      </w:r>
    </w:p>
    <w:p>
      <w:pPr>
        <w:spacing w:after="0" w:line="17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For example, on March 12, 2019, Realtime Data (“Realtime”) filed a lawsuit against us in the United States District Court for the District of Delaware alleging that we are infringing three U.S. patents that it holds: the 908 Patent, the 751 Patent and the 825 Patent. The patent infringement allegations in the lawsuit relate to data compression, decompression, storage and retrieval. Realtime seeks monetary damages and injunctive relief. In August 2019, the District Court approved the Company and Realtime’s stipulation to stay Realtime’s lawsuit against the Company pending the outcome of Realtime's appeal of the District Court's decision to invalidate two of the asserted patents in a separate action.</w:t>
      </w:r>
    </w:p>
    <w:p>
      <w:pPr>
        <w:spacing w:after="0" w:line="13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194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Our Class A common stock is traded on The Nasdaq Global Market (the “Nasdaq”) under the symbol “MDB.” Our Class B Common Stock is not listed or traded on any exchange, but each share of Class B common stock is convertible at any time at the option of the holder into one share of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As of March 23, 2020, there were 66 stockholders of record of our Class A common stock and the closing price of our Class A common stock was $125.57 per share as reported on the Nasdaq. Because many of our shares of Class A common stock are held by brokers and other institutions on behalf of stockholders, we are unable to estimate the total number of stockholders represented by these record holders. As of March 23, 2020, there were 98 stockholders of record of our Class B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provides information with respect to repurchases of shares of our Class A common stock during the three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33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number of shares purchased</w:t>
            </w: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Average price paid per share</w:t>
            </w:r>
          </w:p>
        </w:tc>
      </w:tr>
      <w:tr>
        <w:trPr>
          <w:trHeight w:val="27"/>
        </w:trPr>
        <w:tc>
          <w:tcPr>
            <w:tcW w:w="4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 to November 30, 2019</w:t>
            </w:r>
          </w:p>
        </w:tc>
        <w:tc>
          <w:tcPr>
            <w:tcW w:w="3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5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December 1 to December 31, 2019 </w:t>
            </w:r>
            <w:r>
              <w:rPr>
                <w:rFonts w:ascii="Arial" w:cs="Arial" w:eastAsia="Arial" w:hAnsi="Arial"/>
                <w:sz w:val="25"/>
                <w:szCs w:val="25"/>
                <w:color w:val="auto"/>
                <w:vertAlign w:val="superscript"/>
              </w:rPr>
              <w:t>(1)</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3"/>
                <w:szCs w:val="23"/>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to January 31, 2020</w:t>
            </w: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1"/>
                <w:szCs w:val="21"/>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4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280" w:right="180" w:hanging="245"/>
        <w:spacing w:after="0" w:line="296" w:lineRule="auto"/>
        <w:tabs>
          <w:tab w:leader="none" w:pos="2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certain stock option grant agreements between us and our employees, in the event an employee’s service with us terminates, we have the right to repurchase shares of Class A common stock that were acquired by such employee pursuant to the exercise of stock options that have not yet vested as of such employee’s termination date. Pursuant to these agreements, we may repurchase all or any unvested shares at the lower of (i) the fair market value of such shares (as determined under our 2016 Amended and Restated Equity Incentive Plan) on the date of repurchase, or (ii) the price equal to the employee’s exercise price for such shares. The shares set forth above were repurchased pursuant to this right of repurchase.</w:t>
      </w:r>
    </w:p>
    <w:p>
      <w:pPr>
        <w:spacing w:after="0" w:line="200" w:lineRule="exact"/>
        <w:rPr>
          <w:sz w:val="20"/>
          <w:szCs w:val="20"/>
          <w:color w:val="auto"/>
        </w:rPr>
      </w:pPr>
    </w:p>
    <w:p>
      <w:pPr>
        <w:spacing w:after="0" w:line="38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graph below shows a comparison, from October 19, 2017 (the date our Class A common stock commenced trading on the Nasdaq)</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through January 31, 2020, of the cumulative total return to stockholders of our Class A common stock relative to the Nasdaq Composite Index (“Nasdaq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Composite”) and the Nasdaq Computer Index (“Nasdaq Computer”).</w:t>
      </w:r>
    </w:p>
    <w:p>
      <w:pPr>
        <w:spacing w:after="0" w:line="15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 graph assumes that $100 was invested in each of our Class A common stock, the Nasdaq Composite and the Nasdaq Computer at their respective closing prices on October 19, 2017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760720" cy="324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200" w:lineRule="exact"/>
        <w:rPr>
          <w:sz w:val="20"/>
          <w:szCs w:val="20"/>
          <w:color w:val="auto"/>
        </w:rPr>
      </w:pPr>
    </w:p>
    <w:p>
      <w:pPr>
        <w:spacing w:after="0" w:line="37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122" w:right="5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 xml:space="preserve">The following selected consolidated financial data should be read in conjunction with Part II, Item 7,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 </w:t>
      </w:r>
      <w:r>
        <w:rPr>
          <w:rFonts w:ascii="Arial" w:cs="Arial" w:eastAsia="Arial" w:hAnsi="Arial"/>
          <w:sz w:val="17"/>
          <w:szCs w:val="17"/>
          <w:color w:val="auto"/>
        </w:rPr>
        <w:t>and the consolidated financial statements and related notes included in Part II, Item 8,</w:t>
      </w:r>
      <w:r>
        <w:rPr>
          <w:rFonts w:ascii="Arial" w:cs="Arial" w:eastAsia="Arial" w:hAnsi="Arial"/>
          <w:sz w:val="17"/>
          <w:szCs w:val="17"/>
          <w:i w:val="1"/>
          <w:iCs w:val="1"/>
          <w:color w:val="auto"/>
        </w:rPr>
        <w:t xml:space="preserve"> Financial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Annual Report on Form 10-K (this “Form 10-K”). The consolidated statements of operations data for the fiscal years ended January 31, 2020, 2019 and 2018, and the consolidated balance sheet data as of January 31, 2020 and 2019 are derived from our audited consolidated financial statements and related notes included elsewhere in this Form 10-K. The consolidated statement of operations data for the fiscal year ended January 31, 2017 and the consolidated balance sheet data as of January 31, 2018 are derived from our audited consolidated financial statements and related notes, which are not included in this Form 10-K. The consolidated statement of operations data for the fiscal year ended January 31, 2016 and the consolidated balance sheet data as of January 31, 2017 and 2016 are derived from consolidated financial statements, which are also not included in this Form 10-K. The selected consolidated financial data in this section are not intended to replace our consolidated financial statements and the related notes and are qualified in their entirety by the consolidated financial statements and related notes included elsewhere in this Form 10-K. Our historical results are not necessarily indicative of our results in any future period.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Years Ended January 31,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 *</w:t>
            </w:r>
          </w:p>
        </w:tc>
        <w:tc>
          <w:tcPr>
            <w:tcW w:w="0" w:type="dxa"/>
            <w:vAlign w:val="bottom"/>
          </w:tcPr>
          <w:p>
            <w:pPr>
              <w:spacing w:after="0"/>
              <w:rPr>
                <w:sz w:val="1"/>
                <w:szCs w:val="1"/>
                <w:color w:val="auto"/>
              </w:rPr>
            </w:pPr>
          </w:p>
        </w:tc>
      </w:tr>
      <w:tr>
        <w:trPr>
          <w:trHeight w:val="26"/>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399,826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248,391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151,853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104,033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58,561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18,625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421,720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267,016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166,028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114,805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65,271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00"/>
              <w:spacing w:after="0" w:line="270" w:lineRule="exact"/>
              <w:rPr>
                <w:sz w:val="20"/>
                <w:szCs w:val="20"/>
                <w:color w:val="auto"/>
              </w:rPr>
            </w:pPr>
            <w:r>
              <w:rPr>
                <w:rFonts w:ascii="Arial" w:cs="Arial" w:eastAsia="Arial" w:hAnsi="Arial"/>
                <w:sz w:val="18"/>
                <w:szCs w:val="18"/>
                <w:color w:val="auto"/>
              </w:rPr>
              <w:t>Subscription</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101,691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56,255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30,766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83"/>
        </w:trPr>
        <w:tc>
          <w:tcPr>
            <w:tcW w:w="4620" w:type="dxa"/>
            <w:vAlign w:val="bottom"/>
            <w:shd w:val="clear" w:color="auto" w:fill="CCEEFF"/>
          </w:tcPr>
          <w:p>
            <w:pPr>
              <w:ind w:left="200"/>
              <w:spacing w:after="0" w:line="283" w:lineRule="exact"/>
              <w:rPr>
                <w:sz w:val="20"/>
                <w:szCs w:val="20"/>
                <w:color w:val="auto"/>
              </w:rPr>
            </w:pPr>
            <w:r>
              <w:rPr>
                <w:rFonts w:ascii="Arial" w:cs="Arial" w:eastAsia="Arial" w:hAnsi="Arial"/>
                <w:sz w:val="18"/>
                <w:szCs w:val="18"/>
                <w:color w:val="auto"/>
              </w:rPr>
              <w:t>Services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23,665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17,313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12,093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10,515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125,356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73,568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42,859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20,861</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223,893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148,296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109,073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56,613</w:t>
            </w:r>
          </w:p>
        </w:tc>
        <w:tc>
          <w:tcPr>
            <w:tcW w:w="0" w:type="dxa"/>
            <w:vAlign w:val="bottom"/>
          </w:tcPr>
          <w:p>
            <w:pPr>
              <w:spacing w:after="0"/>
              <w:rPr>
                <w:sz w:val="1"/>
                <w:szCs w:val="1"/>
                <w:color w:val="auto"/>
              </w:rPr>
            </w:pPr>
          </w:p>
        </w:tc>
      </w:tr>
      <w:tr>
        <w:trPr>
          <w:trHeight w:val="270"/>
        </w:trPr>
        <w:tc>
          <w:tcPr>
            <w:tcW w:w="4620" w:type="dxa"/>
            <w:vAlign w:val="bottom"/>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149,033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89,854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62,202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51,772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43,465</w:t>
            </w:r>
          </w:p>
        </w:tc>
        <w:tc>
          <w:tcPr>
            <w:tcW w:w="0" w:type="dxa"/>
            <w:vAlign w:val="bottom"/>
          </w:tcPr>
          <w:p>
            <w:pPr>
              <w:spacing w:after="0"/>
              <w:rPr>
                <w:sz w:val="1"/>
                <w:szCs w:val="1"/>
                <w:color w:val="auto"/>
              </w:rPr>
            </w:pPr>
          </w:p>
        </w:tc>
      </w:tr>
      <w:tr>
        <w:trPr>
          <w:trHeight w:val="283"/>
        </w:trPr>
        <w:tc>
          <w:tcPr>
            <w:tcW w:w="4620" w:type="dxa"/>
            <w:vAlign w:val="bottom"/>
            <w:shd w:val="clear" w:color="auto" w:fill="CCEEFF"/>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71,304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53,063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36,775</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27,082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444,230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291,213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154,267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117,148</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Weighted-average shares used to compute net loss per share,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55,939,032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52,034,596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23,718,391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12,211,711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11,240,696</w:t>
            </w:r>
          </w:p>
        </w:tc>
        <w:tc>
          <w:tcPr>
            <w:tcW w:w="0" w:type="dxa"/>
            <w:vAlign w:val="bottom"/>
          </w:tcPr>
          <w:p>
            <w:pPr>
              <w:spacing w:after="0"/>
              <w:rPr>
                <w:sz w:val="1"/>
                <w:szCs w:val="1"/>
                <w:color w:val="auto"/>
              </w:rPr>
            </w:pPr>
          </w:p>
        </w:tc>
      </w:tr>
      <w:tr>
        <w:trPr>
          <w:trHeight w:val="40"/>
        </w:trPr>
        <w:tc>
          <w:tcPr>
            <w:tcW w:w="46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3642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stock-based compensation expense as follows (in thousands):</w:t>
      </w:r>
    </w:p>
    <w:p>
      <w:pPr>
        <w:spacing w:after="0" w:line="200" w:lineRule="exact"/>
        <w:rPr>
          <w:sz w:val="20"/>
          <w:szCs w:val="20"/>
          <w:color w:val="auto"/>
        </w:rPr>
      </w:pPr>
    </w:p>
    <w:p>
      <w:pPr>
        <w:spacing w:after="0" w:line="39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102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gridSpan w:val="10"/>
          </w:tcPr>
          <w:p>
            <w:pPr>
              <w:jc w:val="center"/>
              <w:ind w:right="162"/>
              <w:spacing w:after="0"/>
              <w:rPr>
                <w:sz w:val="20"/>
                <w:szCs w:val="20"/>
                <w:color w:val="auto"/>
              </w:rPr>
            </w:pPr>
            <w:r>
              <w:rPr>
                <w:rFonts w:ascii="Arial" w:cs="Arial" w:eastAsia="Arial" w:hAnsi="Arial"/>
                <w:sz w:val="14"/>
                <w:szCs w:val="14"/>
                <w:b w:val="1"/>
                <w:bCs w:val="1"/>
                <w:color w:val="auto"/>
                <w:w w:val="92"/>
              </w:rPr>
              <w:t>Years Ended January 31,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color w:val="auto"/>
              </w:rPr>
              <w:t>Cost of revenue—subscription</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620" w:type="dxa"/>
            <w:vAlign w:val="bottom"/>
            <w:gridSpan w:val="2"/>
            <w:vMerge w:val="continue"/>
          </w:tcPr>
          <w:p>
            <w:pPr>
              <w:spacing w:after="0"/>
              <w:rPr>
                <w:sz w:val="14"/>
                <w:szCs w:val="14"/>
                <w:color w:val="auto"/>
              </w:rPr>
            </w:pP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38"/>
              <w:spacing w:after="0"/>
              <w:rPr>
                <w:sz w:val="20"/>
                <w:szCs w:val="20"/>
                <w:color w:val="auto"/>
              </w:rPr>
            </w:pPr>
            <w:r>
              <w:rPr>
                <w:rFonts w:ascii="Arial" w:cs="Arial" w:eastAsia="Arial" w:hAnsi="Arial"/>
                <w:sz w:val="14"/>
                <w:szCs w:val="14"/>
                <w:color w:val="auto"/>
              </w:rPr>
              <w:t>4,996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2,047</w:t>
            </w:r>
          </w:p>
        </w:tc>
        <w:tc>
          <w:tcPr>
            <w:tcW w:w="480" w:type="dxa"/>
            <w:vAlign w:val="bottom"/>
            <w:gridSpan w:val="5"/>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vMerge w:val="restart"/>
          </w:tcPr>
          <w:p>
            <w:pPr>
              <w:jc w:val="right"/>
              <w:ind w:right="10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8"/>
              <w:spacing w:after="0"/>
              <w:rPr>
                <w:sz w:val="20"/>
                <w:szCs w:val="20"/>
                <w:color w:val="auto"/>
              </w:rPr>
            </w:pPr>
            <w:r>
              <w:rPr>
                <w:rFonts w:ascii="Arial" w:cs="Arial" w:eastAsia="Arial" w:hAnsi="Arial"/>
                <w:sz w:val="14"/>
                <w:szCs w:val="14"/>
                <w:color w:val="auto"/>
              </w:rPr>
              <w:t>570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restart"/>
          </w:tcPr>
          <w:p>
            <w:pPr>
              <w:jc w:val="right"/>
              <w:ind w:right="8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80" w:type="dxa"/>
            <w:vAlign w:val="bottom"/>
            <w:gridSpan w:val="5"/>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revenue—services</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3,047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482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3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tcPr>
          <w:p>
            <w:pPr>
              <w:spacing w:after="0"/>
              <w:rPr>
                <w:sz w:val="16"/>
                <w:szCs w:val="16"/>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4"/>
                <w:szCs w:val="14"/>
                <w:color w:val="auto"/>
              </w:rPr>
              <w:t>26,640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11,059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6,364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18"/>
              <w:spacing w:after="0"/>
              <w:rPr>
                <w:sz w:val="20"/>
                <w:szCs w:val="20"/>
                <w:color w:val="auto"/>
              </w:rPr>
            </w:pPr>
            <w:r>
              <w:rPr>
                <w:rFonts w:ascii="Arial" w:cs="Arial" w:eastAsia="Arial" w:hAnsi="Arial"/>
                <w:sz w:val="14"/>
                <w:szCs w:val="14"/>
                <w:color w:val="auto"/>
              </w:rPr>
              <w:t>5,514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8"/>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26,686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11,687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5,755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79"/>
        </w:trPr>
        <w:tc>
          <w:tcPr>
            <w:tcW w:w="1020" w:type="dxa"/>
            <w:vAlign w:val="bottom"/>
            <w:shd w:val="clear" w:color="auto" w:fill="CCEEFF"/>
          </w:tcPr>
          <w:p>
            <w:pPr>
              <w:spacing w:after="0"/>
              <w:rPr>
                <w:sz w:val="6"/>
                <w:szCs w:val="6"/>
                <w:color w:val="auto"/>
              </w:rPr>
            </w:pPr>
          </w:p>
        </w:tc>
        <w:tc>
          <w:tcPr>
            <w:tcW w:w="3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6"/>
                <w:szCs w:val="16"/>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4"/>
                <w:szCs w:val="14"/>
                <w:color w:val="auto"/>
              </w:rPr>
              <w:t>14,407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11,371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7,927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18"/>
              <w:spacing w:after="0"/>
              <w:rPr>
                <w:sz w:val="20"/>
                <w:szCs w:val="20"/>
                <w:color w:val="auto"/>
              </w:rPr>
            </w:pPr>
            <w:r>
              <w:rPr>
                <w:rFonts w:ascii="Arial" w:cs="Arial" w:eastAsia="Arial" w:hAnsi="Arial"/>
                <w:sz w:val="14"/>
                <w:szCs w:val="14"/>
                <w:color w:val="auto"/>
              </w:rPr>
              <w:t>8,683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8"/>
              <w:spacing w:after="0"/>
              <w:rPr>
                <w:sz w:val="20"/>
                <w:szCs w:val="20"/>
                <w:color w:val="auto"/>
              </w:rPr>
            </w:pPr>
            <w:r>
              <w:rPr>
                <w:rFonts w:ascii="Arial" w:cs="Arial" w:eastAsia="Arial" w:hAnsi="Arial"/>
                <w:sz w:val="14"/>
                <w:szCs w:val="14"/>
                <w:color w:val="auto"/>
              </w:rPr>
              <w:t>4,675</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stock-based compensation expense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75,776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37,403</w:t>
            </w:r>
          </w:p>
        </w:tc>
        <w:tc>
          <w:tcPr>
            <w:tcW w:w="48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21,235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4"/>
                <w:szCs w:val="14"/>
                <w:color w:val="auto"/>
              </w:rPr>
              <w:t>21,004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4"/>
                <w:szCs w:val="14"/>
                <w:color w:val="auto"/>
              </w:rPr>
              <w:t>12,787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gridSpan w:val="10"/>
          </w:tcPr>
          <w:p>
            <w:pPr>
              <w:jc w:val="center"/>
              <w:ind w:right="162"/>
              <w:spacing w:after="0"/>
              <w:rPr>
                <w:sz w:val="20"/>
                <w:szCs w:val="20"/>
                <w:color w:val="auto"/>
              </w:rPr>
            </w:pPr>
            <w:r>
              <w:rPr>
                <w:rFonts w:ascii="Arial" w:cs="Arial" w:eastAsia="Arial" w:hAnsi="Arial"/>
                <w:sz w:val="14"/>
                <w:szCs w:val="14"/>
                <w:b w:val="1"/>
                <w:bCs w:val="1"/>
                <w:color w:val="auto"/>
                <w:w w:val="92"/>
              </w:rPr>
              <w:t>Years Ended January 31,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1000" w:type="dxa"/>
            <w:vAlign w:val="bottom"/>
          </w:tcPr>
          <w:p>
            <w:pPr>
              <w:jc w:val="right"/>
              <w:ind w:right="298"/>
              <w:spacing w:after="0"/>
              <w:rPr>
                <w:sz w:val="20"/>
                <w:szCs w:val="20"/>
                <w:color w:val="auto"/>
              </w:rPr>
            </w:pPr>
            <w:r>
              <w:rPr>
                <w:rFonts w:ascii="Arial" w:cs="Arial" w:eastAsia="Arial" w:hAnsi="Arial"/>
                <w:sz w:val="14"/>
                <w:szCs w:val="14"/>
                <w:b w:val="1"/>
                <w:bCs w:val="1"/>
                <w:color w:val="auto"/>
              </w:rPr>
              <w:t>2020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218"/>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2016 *</w:t>
            </w:r>
          </w:p>
        </w:tc>
        <w:tc>
          <w:tcPr>
            <w:tcW w:w="0" w:type="dxa"/>
            <w:vAlign w:val="bottom"/>
          </w:tcPr>
          <w:p>
            <w:pPr>
              <w:spacing w:after="0"/>
              <w:rPr>
                <w:sz w:val="1"/>
                <w:szCs w:val="1"/>
                <w:color w:val="auto"/>
              </w:rPr>
            </w:pPr>
          </w:p>
        </w:tc>
      </w:tr>
      <w:tr>
        <w:trPr>
          <w:trHeight w:val="26"/>
        </w:trPr>
        <w:tc>
          <w:tcPr>
            <w:tcW w:w="4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30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986,518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465,970</w:t>
            </w:r>
          </w:p>
        </w:tc>
        <w:tc>
          <w:tcPr>
            <w:tcW w:w="48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278,974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113,159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11,147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870,812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401,599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234,750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84,817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1,328,567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733,476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432,844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191,010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156,813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190,779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100,914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68,539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58,260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 current and non-current</w:t>
            </w:r>
          </w:p>
        </w:tc>
        <w:tc>
          <w:tcPr>
            <w:tcW w:w="26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11,863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911,075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216,858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Redeemable convertible preferred stock warrant liability</w:t>
            </w:r>
          </w:p>
        </w:tc>
        <w:tc>
          <w:tcPr>
            <w:tcW w:w="26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345,257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310,315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(668,232)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(488,607)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(389,596)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(305,623)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(259,269)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82,858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247,657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firstLine="8"/>
        <w:spacing w:after="0" w:line="260" w:lineRule="auto"/>
        <w:tabs>
          <w:tab w:leader="none" w:pos="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summary consolidated financial data for the year ended January 31, 2016 does not reflect the adoption of Accounting Standards Update No. 2014-09, </w:t>
      </w:r>
      <w:r>
        <w:rPr>
          <w:rFonts w:ascii="Arial" w:cs="Arial" w:eastAsia="Arial" w:hAnsi="Arial"/>
          <w:sz w:val="18"/>
          <w:szCs w:val="18"/>
          <w:i w:val="1"/>
          <w:iCs w:val="1"/>
          <w:color w:val="auto"/>
        </w:rPr>
        <w:t xml:space="preserve">Revenue from Contracts with Customers (“Topic 606”). </w:t>
      </w:r>
      <w:r>
        <w:rPr>
          <w:rFonts w:ascii="Arial" w:cs="Arial" w:eastAsia="Arial" w:hAnsi="Arial"/>
          <w:sz w:val="18"/>
          <w:szCs w:val="18"/>
          <w:color w:val="auto"/>
        </w:rPr>
        <w:t>All periods subsequent reflect the adoption of Topic 606.</w:t>
      </w:r>
    </w:p>
    <w:p>
      <w:pPr>
        <w:spacing w:after="0" w:line="131" w:lineRule="exact"/>
        <w:rPr>
          <w:sz w:val="20"/>
          <w:szCs w:val="20"/>
          <w:color w:val="auto"/>
        </w:rPr>
      </w:pPr>
    </w:p>
    <w:p>
      <w:pPr>
        <w:ind w:right="140" w:firstLine="8"/>
        <w:spacing w:after="0" w:line="277" w:lineRule="auto"/>
        <w:tabs>
          <w:tab w:leader="none" w:pos="2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Operating lease right-of-use assets and operating lease liabilities, current and non-current were added during the year ended January 31, 2020 to reflect the adoption of Accounting Standards Update No. 2016-02, codified as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the consolidated financial statements and notes thereto included in Part II, Item 8,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of this Form 10-K. All information presented herein is based on our fiscal calendar.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stated, references to particular years, quarters, months or periods refer to our fiscal years ended January 31 and the associated quarters, months and periods of those fiscal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112"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generate revenue primarily from sales of subscriptions, which accounted for 95%, 93% and 91% of our total revenue for the years ended January 31, 2020, 2019 and 2018, respectively. Our primary subscription package is MongoDB Enterprise Advanced, which represented 50%, 60% and 69% of our subscription revenue for the years ended January 31,</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4" w:right="3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2020, 2019 and 2018, respectively. MongoDB Enterprise Advanced is our comprehensive offering for enterprise customers that can be run in the cloud, on-premise or in a hybrid environment and includes our proprietary commercial database server, enterprise management capabilities, our graphical user interface, analytics integrations, technical support and a commercial license to our platform.</w:t>
      </w:r>
    </w:p>
    <w:p>
      <w:pPr>
        <w:spacing w:after="0" w:line="13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are invoiced upfront. When we enter into multi-year subscriptions, we typically invoice the customer on an annual basis.</w:t>
      </w:r>
    </w:p>
    <w:p>
      <w:pPr>
        <w:spacing w:after="0" w:line="12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introduced MongoDB Atlas in June 2016. MongoDB Atlas is our hosted multi-cloud database-as-a-service (“DBaaS”) offering that includes comprehensive infrastructure and management, which we run and manage in the cloud. During the year ended January 31, 2020, MongoDB Atlas revenue represented 39% of our total revenue, as compared to 23% in the prior year, reflecting the continued growth of MongoDB Atlas since its introduction. We have experienced strong growth in self-serve customers of MongoDB Atlas. These customers are charged monthly based on their usage. In addition, we have also seen growth in MongoDB Atlas customers sold by our sales force. These customers typically sign annual commitments and pay in advance or are invoiced monthly based on usage. Given our platform has been downloaded from our website more than 90 million times since February 2009 and over 35 million times in the last 12 months alone, a core component of our growth strategy for MongoDB Atlas is to convert developers and their organizations who are already using Community Server to become customers of MongoDB Atlas and enjoy the benefits of a managed offering.</w:t>
      </w:r>
    </w:p>
    <w:p>
      <w:pPr>
        <w:spacing w:after="0" w:line="11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5%, 7% and 9% of our total revenue for the years ended January 31, 2020, 2019 and 2018,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believe the market for our offerings is large and growing and we have experienced rapid growth. We have made substantial investments in developing our platform and expanding our sales and marketing footprint and intend to continue to invest heavily to grow our business to take advantage of our market opportunity rather than optimizing for profitability or cash flow in the near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Extending Product Leadership and Maintaining Developer Mindshare</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introduced MongoDB Atlas in 2016, an important part of our run-anywhere solution, to capitalize on the existing demand for a managed version of our Community Server offering which many companies currently self-deploy and manage in the cloud. In 2017, we introduced cross-region replication for MongoDB Atlas, which helps ensure that an application remains operational even if an entire cloud region goes down, as well as allowing MongoDB customers to locate data closer to their users for performance or compliance reasons. During 2018, we expanded functionality available in MongoDB Atlas to support mission-critical enterprise workloads and we released MongoDB 4.0, which extended ACID support to multi-document transactions. Most recently, during 2019, we released MongoDB 4.2, which included distributed transactions, field level encryption and an updated Kubernetes Operator. We intend to continue to invest in our engineering capabilities and marketing activities to maintain our strong position in the developer community. We have spent $469.0 million on research and development since our inception. Our results of operations may fluctuate as we make these investments to drive increased customer adoption and usage.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 and Expanding Our Global Reach</w:t>
      </w:r>
    </w:p>
    <w:p>
      <w:pPr>
        <w:spacing w:after="0" w:line="171"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heavily in our sales and marketing efforts and developer community outreach, which are critical to driving customer acquisition. As of January 31, 2020, we had over 17,000 customers across a wide range of industries and in over 100</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countries, compared to over 13,400 customers and over 5,700 customers as of January 31, 2019 and 2018, respectively. All affiliated entities are counted as a single customer.</w:t>
      </w:r>
    </w:p>
    <w:p>
      <w:pPr>
        <w:spacing w:after="0" w:line="116"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customer count as of January 31, 2020 includes customers acquired from ObjectLabs Corporation (“mLab”) and Tightdb, Inc. (“Realm”), which acquisitions closed on November 1, 2018 and May 7, 2019, respectively. Our definition of “customer” excludes (1) users of our free offerings, (2) users acquired from mLab who spend $20 or less per month with us and (3) self-serve users acquired from Realm. The excluded mLab and Realm users collectively represent an immaterial portion of the revenue associated with users acquired from those acquisitions.</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of January 31, 2020, we had over 2,000 customers that were sold through our direct sales force and channel partners, as compared to over 1,750 and over 1,450 such customers as of January 31, 2019 and 2018, respectively. These customers, which we refer to as our Direct Sales Customers, accounted for 78%, 85% and 92% of our subscription revenue for the year ended January 31, 2020, 2019 and 2018, respectively. We are also focused on increasing the number of MongoDB Atlas customers as we emphasize the on-demand scalability of MongoDB Atlas by allowing our customers to consume the product with minimal commitment. After launching in June 2016, we had over 15,400 MongoDB Atlas customers as of January 31, 2020. The growth in MongoDB Atlas customers included customers from mLab and Realm, as described above, as well as new customers to MongoDB and existing MongoDB Enterprise Advanced customers adding incremental MongoDB Atlas workloads.</w:t>
      </w:r>
    </w:p>
    <w:p>
      <w:pPr>
        <w:spacing w:after="0" w:line="12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In an effort to expand our global reach, we recently announced a partnership with Alibaba Cloud to offer an authorized MongoDB-as-a-service solution allowing customers of Alibaba Cloud to use this managed offering from their data centers globally.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Increasing Adoption of MongoDB Atlas</w:t>
      </w:r>
    </w:p>
    <w:p>
      <w:pPr>
        <w:spacing w:after="0" w:line="17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MongoDB Atlas, our hosted multi-cloud offering, is an important part of our run-anywhere strategy and allows us to generate revenue from Community Server, converting users of the free-to-download version of our database to customers. To accelerate adoption of this DBaaS offering, in 2017, we introduced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now available on all three major cloud providers (Amazon Web Services (“AWS”), Google Cloud Platform (“GCP”) and Microsoft Azure) in North America, Europe and Asia Pacific. In addition, MongoDB Atlas is available on AWS Marketplace, making it easier for AWS customers to buy and consume MongoDB Atlas. We recently announced a new business partnership with GCP that will provide deeper product integration and unified billing for GCP customers who are also MongoDB Atlas customers. This partnership will allow GCP customers a seamless integration of all the features of MongoDB Atlas with GCP’s identity and access management, logging and monitoring, Kubernetes and Tensorflow. We also announced an expanded relationship with Microsoft. The new availability of MongoDB Atlas on the Microsoft Azure Marketplace will offer unified billing for joint customers of MongoDB Atlas and Microsoft and will make it easier for established Azure customers to purchase and use MongoDB Atlas. In addition, MongoDB will be part of Microsoft’s strategic partner program.</w:t>
      </w:r>
    </w:p>
    <w:p>
      <w:pPr>
        <w:spacing w:after="0" w:line="12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We have also expanded the functionality available in MongoDB Atlas beyond that of our Community Server offering. We expect this will drive further adoption of MongoDB Atlas as companies migrate mission-critical applications to the public cloud. The enterprise capabilities that we have introduced to MongoDB Atlas include advanced security features, enterprise-standard authentication and database auditing. We have invested significantly in MongoDB Atlas and our ability to drive adoption of MongoDB Atlas is a key component of our growth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which can include offering centralized internal support or providing</w:t>
      </w:r>
    </w:p>
    <w:p>
      <w:pPr>
        <w:spacing w:after="0" w:line="200" w:lineRule="exact"/>
        <w:rPr>
          <w:sz w:val="20"/>
          <w:szCs w:val="20"/>
          <w:color w:val="auto"/>
        </w:rPr>
      </w:pPr>
    </w:p>
    <w:p>
      <w:pPr>
        <w:spacing w:after="0" w:line="38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MongoDB-as-a-service internally. Over time, the average subscription amount for our Direct Sales Customers has increased. In addition, self-service customers have begun to increase their consumption of our products, particularly MongoDB Atlas.</w:t>
      </w:r>
    </w:p>
    <w:p>
      <w:pPr>
        <w:spacing w:after="0" w:line="11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Prior to January 31, 2020, ARR from Direct Sales Customers of MongoDB Atlas was based on their contractual commitments instead of their actual consumption. We believe that our new consumption-based ARR calculation better reflects current customer behavior. The impact of this change on prior reported periods is immaterial. The number of customers with $100,000 or greater in ARR and annualized MRR was 751, 557 and 354 as of January 31, 2020, 2019 and 2018, respectively.</w:t>
      </w:r>
    </w:p>
    <w:p>
      <w:pPr>
        <w:spacing w:after="0" w:line="12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been over 120% for each of the last 20 fiscal quarters.</w:t>
      </w:r>
    </w:p>
    <w:p>
      <w:pPr>
        <w:spacing w:after="0" w:line="138"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in Growth and Scaling Our Business</w:t>
      </w:r>
    </w:p>
    <w:p>
      <w:pPr>
        <w:spacing w:after="0" w:line="17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789 employees as of January 31, 2020 from 466 employees and 394 employees as of January 31, 2019 and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Our subscription revenue is comprised of term licenses and hosted as-a-service solutions. Subscriptions to term licenses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technical support and access to new software versions on a when-and-if available basis. Revenue from our term licenses is recognized upfront for the license component and ratably for the technical support and when-and-if available update components. Revenue from term licenses is typically billed annually in advance. Revenue from our hosted as-a-service solutions is primarily generated on a usage basis and is billed either in arrears or paid up front. The majority of our subscription contracts are one year in duration and are invoiced upfront. Our subscription contracts are generally non-cancelable and non-refundable. When we enter into multi-year subscriptions, we typically invoice the customer on an annual basis.</w:t>
      </w:r>
    </w:p>
    <w:p>
      <w:pPr>
        <w:spacing w:after="0" w:line="11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w:t>
      </w:r>
    </w:p>
    <w:p>
      <w:pPr>
        <w:spacing w:after="0" w:line="116"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the proportion of term license contracts that commence within the period, the rate of customer renewals and expansions, delivery of professional services, the impact of significant transactions and seasonality of or fluctuations in usage for our consumption-based customers. Further, we currently expect our revenue to be negatively impacted by the slowdown in activity associated with the COVID-19 pandemic in fiscal 2021.</w:t>
      </w:r>
    </w:p>
    <w:p>
      <w:pPr>
        <w:spacing w:after="0" w:line="200" w:lineRule="exact"/>
        <w:rPr>
          <w:sz w:val="20"/>
          <w:szCs w:val="20"/>
          <w:color w:val="auto"/>
        </w:rPr>
      </w:pPr>
    </w:p>
    <w:p>
      <w:pPr>
        <w:spacing w:after="0" w:line="36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i w:val="1"/>
          <w:iCs w:val="1"/>
          <w:color w:val="auto"/>
        </w:rPr>
        <w:t xml:space="preserve">Cost of Subscription Revenue. </w:t>
      </w:r>
      <w:r>
        <w:rPr>
          <w:rFonts w:ascii="Arial" w:cs="Arial" w:eastAsia="Arial" w:hAnsi="Arial"/>
          <w:sz w:val="16"/>
          <w:szCs w:val="16"/>
          <w:color w:val="auto"/>
        </w:rPr>
        <w:t>Cost of subscription revenue primarily includes personnel costs, including salaries, bonuses and benefits and stock-based compensation, for employees associated with our subscription arrangements principally related to technical support and allocated shared costs, as well as depreciation and amortization. Our cost of subscription revenue for our hosted as-a-service solutions also includes third-party cloud infrastructure expenses. We expect our cost of subscription revenue to increase in absolute dollars as our subscription revenue increases and, depending on the results of MongoDB Atlas, our cost of subscription revenue may increase as a percentage of subscription revenue as well.</w:t>
      </w:r>
    </w:p>
    <w:p>
      <w:pPr>
        <w:spacing w:after="0" w:line="10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3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34"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9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incur the costs of compliance associated with being a publicly traded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Income (Expense), net</w:t>
      </w:r>
    </w:p>
    <w:p>
      <w:pPr>
        <w:spacing w:after="0" w:line="171"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 xml:space="preserve">Other income (expense), net consists primarily of interest income and gains and losses from foreign currency transactions. During the year ended January 31, 2020, other expenses included the loss from the early extinguishment of a portion of our 0.75% convertible senior notes due 2024 as described in further detail in Note 7,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of this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(Benefit from) Income Taxes</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Provision for income taxes consists primarily of state income taxes in the United States and income taxes in certain foreign jurisdictions in which we conduct business. As of January 31, 2020, we had net operating loss (“NOL”) carryforwards for federal, state, Irish and U.K. income tax purposes of approximately $659.7 million, $475.3 million, $258.8</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million and $7.2 million, respectively, which begin to expire in the year ending January 31, 2028 for federal purposes and January 31, 2020 for state purposes. Ireland, U.K. and the U.S. federal losses for the years after January 31, 2018 allows NOLs to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Utilization of the federal NOL carryforwards and credits may be subject to a substantial annual limitation due to the ownership change limitations provided by the Code,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Years Ended January 31, 2020, 2019 and 2018</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For the years ended January 31, 2020, 2019 and 2018, our total revenue was $421.7 million, $267.0 million and $166.0 million, respectively. Our net loss was $175.5 million, $99.0 million and $84.0 million for the years ended January 31, 2020, 2019 and 2018, respectively. Our operating cash flow was $(29.5) million, $(42.0) million and $(44.9) million for the years ended January 31, 2020, 2019 and 2018, respectively. Our free cash flow was $(35.0) million, $(48.8) million and $(47.0) million for the years ended January 31, 2020, 2019 and 2018, respectively. See the section titled “Liquidity and Capital Resources—Non-GAAP Free Cash Flow”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Years Ended January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6"/>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399,826</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151,853</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14,175</w:t>
            </w:r>
          </w:p>
        </w:tc>
      </w:tr>
      <w:tr>
        <w:trPr>
          <w:trHeight w:val="40"/>
        </w:trPr>
        <w:tc>
          <w:tcPr>
            <w:tcW w:w="59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166,028</w:t>
            </w:r>
          </w:p>
        </w:tc>
      </w:tr>
      <w:tr>
        <w:trPr>
          <w:trHeight w:val="270"/>
        </w:trPr>
        <w:tc>
          <w:tcPr>
            <w:tcW w:w="5960" w:type="dxa"/>
            <w:vAlign w:val="bottom"/>
          </w:tcPr>
          <w:p>
            <w:pPr>
              <w:ind w:left="2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30,766</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12,093</w:t>
            </w:r>
          </w:p>
        </w:tc>
      </w:tr>
      <w:tr>
        <w:trPr>
          <w:trHeight w:val="40"/>
        </w:trPr>
        <w:tc>
          <w:tcPr>
            <w:tcW w:w="59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7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125,356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73,568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42,859</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296,364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193,448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123,169</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960" w:type="dxa"/>
            <w:vAlign w:val="bottom"/>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223,893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148,296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109,073</w:t>
            </w:r>
          </w:p>
        </w:tc>
      </w:tr>
      <w:tr>
        <w:trPr>
          <w:trHeight w:val="270"/>
        </w:trPr>
        <w:tc>
          <w:tcPr>
            <w:tcW w:w="59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89,854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62,202</w:t>
            </w:r>
          </w:p>
        </w:tc>
      </w:tr>
      <w:tr>
        <w:trPr>
          <w:trHeight w:val="283"/>
        </w:trPr>
        <w:tc>
          <w:tcPr>
            <w:tcW w:w="596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36,775</w:t>
            </w:r>
          </w:p>
        </w:tc>
      </w:tr>
      <w:tr>
        <w:trPr>
          <w:trHeight w:val="27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444,230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208,050</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(84,881)</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(176,178)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(82,686)</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(175,522)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(83,973)</w:t>
            </w:r>
          </w:p>
        </w:tc>
      </w:tr>
      <w:tr>
        <w:trPr>
          <w:trHeight w:val="54"/>
        </w:trPr>
        <w:tc>
          <w:tcPr>
            <w:tcW w:w="59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808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5"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stock-based compensation expense as follows (in thousands):</w:t>
      </w: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2"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50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102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8"/>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4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4,996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40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gridSpan w:val="3"/>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020" w:type="dxa"/>
            <w:vAlign w:val="bottom"/>
            <w:gridSpan w:val="2"/>
          </w:tcPr>
          <w:p>
            <w:pPr>
              <w:ind w:left="20"/>
              <w:spacing w:after="0"/>
              <w:rPr>
                <w:sz w:val="20"/>
                <w:szCs w:val="20"/>
                <w:color w:val="auto"/>
              </w:rPr>
            </w:pPr>
            <w:r>
              <w:rPr>
                <w:rFonts w:ascii="Arial" w:cs="Arial" w:eastAsia="Arial" w:hAnsi="Arial"/>
                <w:sz w:val="14"/>
                <w:szCs w:val="14"/>
                <w:color w:val="auto"/>
              </w:rPr>
              <w:t>Cost of revenue—services</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3,047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1,239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4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26,640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6,364</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40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0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26,686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11,687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color w:val="auto"/>
              </w:rPr>
              <w:t>5,752</w:t>
            </w:r>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4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14,407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79"/>
        </w:trPr>
        <w:tc>
          <w:tcPr>
            <w:tcW w:w="1020" w:type="dxa"/>
            <w:vAlign w:val="bottom"/>
            <w:tcBorders>
              <w:bottom w:val="single" w:sz="8" w:color="CCEEFF"/>
            </w:tcBorders>
            <w:shd w:val="clear" w:color="auto" w:fill="CCEEFF"/>
          </w:tcPr>
          <w:p>
            <w:pPr>
              <w:spacing w:after="0"/>
              <w:rPr>
                <w:sz w:val="6"/>
                <w:szCs w:val="6"/>
                <w:color w:val="auto"/>
              </w:rPr>
            </w:pPr>
          </w:p>
        </w:tc>
        <w:tc>
          <w:tcPr>
            <w:tcW w:w="40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gridSpan w:val="2"/>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020" w:type="dxa"/>
            <w:vAlign w:val="bottom"/>
            <w:gridSpan w:val="2"/>
          </w:tcPr>
          <w:p>
            <w:pPr>
              <w:ind w:left="200"/>
              <w:spacing w:after="0"/>
              <w:rPr>
                <w:sz w:val="20"/>
                <w:szCs w:val="20"/>
                <w:color w:val="auto"/>
              </w:rPr>
            </w:pPr>
            <w:r>
              <w:rPr>
                <w:rFonts w:ascii="Arial" w:cs="Arial" w:eastAsia="Arial" w:hAnsi="Arial"/>
                <w:sz w:val="14"/>
                <w:szCs w:val="14"/>
                <w:color w:val="auto"/>
              </w:rPr>
              <w:t>Total stock-based compensation expense</w:t>
            </w:r>
          </w:p>
        </w:tc>
        <w:tc>
          <w:tcPr>
            <w:tcW w:w="3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75,776</w:t>
            </w: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37,403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21,235</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0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10"/>
          </w:tcPr>
          <w:p>
            <w:pPr>
              <w:ind w:left="80"/>
              <w:spacing w:after="0"/>
              <w:rPr>
                <w:sz w:val="20"/>
                <w:szCs w:val="20"/>
                <w:color w:val="auto"/>
              </w:rPr>
            </w:pPr>
            <w:r>
              <w:rPr>
                <w:rFonts w:ascii="Arial" w:cs="Arial" w:eastAsia="Arial" w:hAnsi="Arial"/>
                <w:sz w:val="14"/>
                <w:szCs w:val="14"/>
                <w:b w:val="1"/>
                <w:bCs w:val="1"/>
                <w:color w:val="auto"/>
              </w:rPr>
              <w:t>Years Ended January 31,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9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6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Revenue Data:</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0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
        </w:trPr>
        <w:tc>
          <w:tcPr>
            <w:tcW w:w="1020" w:type="dxa"/>
            <w:vAlign w:val="bottom"/>
            <w:tcBorders>
              <w:bottom w:val="single" w:sz="8" w:color="CCEEFF"/>
            </w:tcBorders>
          </w:tcPr>
          <w:p>
            <w:pPr>
              <w:spacing w:after="0"/>
              <w:rPr>
                <w:sz w:val="3"/>
                <w:szCs w:val="3"/>
                <w:color w:val="auto"/>
              </w:rPr>
            </w:pPr>
          </w:p>
        </w:tc>
        <w:tc>
          <w:tcPr>
            <w:tcW w:w="40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
        </w:trPr>
        <w:tc>
          <w:tcPr>
            <w:tcW w:w="1020" w:type="dxa"/>
            <w:vAlign w:val="bottom"/>
            <w:tcBorders>
              <w:bottom w:val="single" w:sz="8" w:color="CCEEFF"/>
            </w:tcBorders>
          </w:tcPr>
          <w:p>
            <w:pPr>
              <w:spacing w:after="0"/>
              <w:rPr>
                <w:sz w:val="3"/>
                <w:szCs w:val="3"/>
                <w:color w:val="auto"/>
              </w:rPr>
            </w:pPr>
          </w:p>
        </w:tc>
        <w:tc>
          <w:tcPr>
            <w:tcW w:w="40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54"/>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Comparison of the Years Ended January 31, 2020 and 2019</w:t>
            </w: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Years Ended January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5"/>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10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399,826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248,391</w:t>
            </w: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151,435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18,625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3,269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0"/>
        </w:trPr>
        <w:tc>
          <w:tcPr>
            <w:tcW w:w="1020" w:type="dxa"/>
            <w:vAlign w:val="bottom"/>
            <w:tcBorders>
              <w:bottom w:val="single" w:sz="8" w:color="CCEEFF"/>
            </w:tcBorders>
          </w:tcPr>
          <w:p>
            <w:pPr>
              <w:spacing w:after="0"/>
              <w:rPr>
                <w:sz w:val="3"/>
                <w:szCs w:val="3"/>
                <w:color w:val="auto"/>
              </w:rPr>
            </w:pPr>
          </w:p>
        </w:tc>
        <w:tc>
          <w:tcPr>
            <w:tcW w:w="4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4"/>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421,720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267,016</w:t>
            </w: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154,704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$151.4 million including $39.9 million from sales to new customers. The remainder of the increase in subscription revenue resulted from sales to existing customers, which included customers acquired from mLab on November 1, 2018. The increase in services revenue was driven primarily by an increase in sales of professional services to new customers.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14" w:right="3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January 31,</w:t>
            </w:r>
          </w:p>
        </w:tc>
        <w:tc>
          <w:tcPr>
            <w:tcW w:w="400" w:type="dxa"/>
            <w:vAlign w:val="bottom"/>
          </w:tcPr>
          <w:p>
            <w:pPr>
              <w:spacing w:after="0"/>
              <w:rPr>
                <w:sz w:val="16"/>
                <w:szCs w:val="16"/>
                <w:color w:val="auto"/>
              </w:rPr>
            </w:pPr>
          </w:p>
        </w:tc>
        <w:tc>
          <w:tcPr>
            <w:tcW w:w="160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4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594"/>
              <w:spacing w:after="0"/>
              <w:rPr>
                <w:sz w:val="20"/>
                <w:szCs w:val="20"/>
                <w:color w:val="auto"/>
              </w:rPr>
            </w:pPr>
            <w:r>
              <w:rPr>
                <w:rFonts w:ascii="Arial" w:cs="Arial" w:eastAsia="Arial" w:hAnsi="Arial"/>
                <w:sz w:val="14"/>
                <w:szCs w:val="14"/>
                <w:b w:val="1"/>
                <w:bCs w:val="1"/>
                <w:color w:val="auto"/>
              </w:rPr>
              <w:t>%</w:t>
            </w:r>
          </w:p>
        </w:tc>
      </w:tr>
      <w:tr>
        <w:trPr>
          <w:trHeight w:val="26"/>
        </w:trPr>
        <w:tc>
          <w:tcPr>
            <w:tcW w:w="4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101,691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56,255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45,436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Services cost of revenue</w:t>
            </w:r>
          </w:p>
        </w:tc>
        <w:tc>
          <w:tcPr>
            <w:tcW w:w="380" w:type="dxa"/>
            <w:vAlign w:val="bottom"/>
          </w:tcPr>
          <w:p>
            <w:pPr>
              <w:spacing w:after="0"/>
              <w:rPr>
                <w:sz w:val="21"/>
                <w:szCs w:val="21"/>
                <w:color w:val="auto"/>
              </w:rPr>
            </w:pP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23,665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17,313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6,352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0"/>
        </w:trPr>
        <w:tc>
          <w:tcPr>
            <w:tcW w:w="49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r>
      <w:tr>
        <w:trPr>
          <w:trHeight w:val="243"/>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125,356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296,364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193,448</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102,916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40" w:type="dxa"/>
            <w:vAlign w:val="bottom"/>
            <w:tcBorders>
              <w:top w:val="single" w:sz="8" w:color="auto"/>
              <w:bottom w:val="single" w:sz="8" w:color="CCEEFF"/>
            </w:tcBorders>
            <w:shd w:val="clear" w:color="auto" w:fill="CCEEFF"/>
          </w:tcPr>
          <w:p>
            <w:pPr>
              <w:spacing w:after="0"/>
              <w:rPr>
                <w:sz w:val="24"/>
                <w:szCs w:val="24"/>
                <w:color w:val="auto"/>
              </w:rPr>
            </w:pPr>
          </w:p>
        </w:tc>
        <w:tc>
          <w:tcPr>
            <w:tcW w:w="160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156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49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The increase in subscription cost of revenue was primarily due to a $34.5 million increase in third-party cloud infrastructure costs, including costs associated with the growth of MongoDB Atlas, as well as a $7.3 million increase in personnel costs and stock-based compensation associated with increased headcount in our support organization. The increase in services cost of revenue was primarily due to higher headcount in our services organization. Total headcount in our support and services organizations increased 17% from January 31, 2019 to January 31, 2020.</w:t>
      </w:r>
    </w:p>
    <w:p>
      <w:pPr>
        <w:spacing w:after="0" w:line="10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overall gross margin declined due to the increase in subscription revenue from MongoDB Atlas as a percentage of our overall revenue. This change in revenue mix caused gross margin to decline due to the increase in third-party cloud infrastructure costs associated with MongoDB Atlas. In addition, our cost of revenue included higher personnel costs and stock-based compensation. Our services gross margin is subject to fluctuations as a result of timing of sales of standalone consulting and training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5"/>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223,893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148,296</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75,597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increase in sales and marketing expense included $43.0 million from higher personnel costs and stock-based compensation, driven by an increase in our sales and marketing headcount to 789 as of January 31, 2020 from 466 as of January 31, 2019. In addition, we experienced increased payroll taxes associated with employee stock option exercises and restricted stock unit vesting as a result of our higher average stock price as compared to the prior year. Sales and marketing expense also increased $18.9 million from costs associated with our higher headcount, including higher commission expense, increased travel and related expenses, as well as higher facilities and equipment expenses. In addition, expenses increased $9.0 million due to higher spend on marketing programs. Sales and marketing expense also increased $2.3 million primarily from the full-year amortization of the customer relationships intangible asset associated with our acquisition of mLab on November 1,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5"/>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149,033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89,854</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59,179</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increase in research and development expense included $38.4 million from an increase in personnel costs and stock-based compensation as we increased our research and development headcount by 42% to 476 as of January 31, 2020 from 335 as of January 31, 2019, inclusive of employees who joined us as part of the Realm acquisition. Also included in research and development expense was an increase of $11.2 million from the amortization of time-based founder payments associated with the acquisition of mLab and the amortization of acquired developed technology intangible assets associated with the acquisitions of mLab and Realm. Research and development expense also increased $4.9 million from costs associated with our higher headcount, including higher facilities and equipment expenses.</w:t>
      </w:r>
    </w:p>
    <w:p>
      <w:pPr>
        <w:spacing w:after="0" w:line="200" w:lineRule="exact"/>
        <w:rPr>
          <w:sz w:val="20"/>
          <w:szCs w:val="20"/>
          <w:color w:val="auto"/>
        </w:rPr>
      </w:pPr>
    </w:p>
    <w:p>
      <w:pPr>
        <w:spacing w:after="0" w:line="38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71,304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53,063</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18,241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increase in general and administrative expense was primarily due to an increase in general and administrative personnel headcount resulting in $14.3 million of higher personnel costs and stock-based compensation. A portion of the increased personnel costs was from higher payroll taxes associated with employee stock option exercises and restricted stock unit vesting as a result of our higher average stock price as compared to the prior year. In addition, professional services expense, particularly for accounting and legal costs, increased $3.7 million. These higher general and administrative expenses were driven mostly by our overall growth as a public company. General and administrative expense for the year ended January 31, 2019 included costs associated with the move of our New York City office, which resulted in a $1.5 million acceleration of rent payable, deferred rent and associated leasehold improvements related to our former office space, with no comparable expense in the current-year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Years Ended January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26"/>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(4,564)</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 xml:space="preserve">Other expense, net for the year ended January 31, 2020 included a loss of $14.5 million from the early extinguishment of debt associated with the partial repurchase of our 0.75% convertible senior notes due 2024, as described in further detail in Note 7,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in Part II, Item 8, </w:t>
      </w:r>
      <w:r>
        <w:rPr>
          <w:rFonts w:ascii="Arial" w:cs="Arial" w:eastAsia="Arial" w:hAnsi="Arial"/>
          <w:sz w:val="16"/>
          <w:szCs w:val="16"/>
          <w:i w:val="1"/>
          <w:iCs w:val="1"/>
          <w:color w:val="auto"/>
        </w:rPr>
        <w:t xml:space="preserve">Financial Statements and Supplementary Data, </w:t>
      </w:r>
      <w:r>
        <w:rPr>
          <w:rFonts w:ascii="Arial" w:cs="Arial" w:eastAsia="Arial" w:hAnsi="Arial"/>
          <w:sz w:val="16"/>
          <w:szCs w:val="16"/>
          <w:color w:val="auto"/>
        </w:rPr>
        <w:t>of this Form 10-K. In addition, we incurred a full-year of interest expense associated with those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notes, as well as interest expense associated with our financing lease for our New York City office, which expense had previously been capitalized as a build-to-suit asset during the construction phase. These expenses were partially offset by an increase in interest income derived from our larger average cash equivalents and short-term investments balance during the year ended January 31, 2020 as compared to the prior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4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Years Ended January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6"/>
                <w:szCs w:val="16"/>
                <w:color w:val="auto"/>
              </w:rPr>
            </w:pPr>
          </w:p>
        </w:tc>
      </w:tr>
      <w:tr>
        <w:trPr>
          <w:trHeight w:val="25"/>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25"/>
        </w:trPr>
        <w:tc>
          <w:tcPr>
            <w:tcW w:w="5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(3,318)</w:t>
            </w:r>
          </w:p>
        </w:tc>
        <w:tc>
          <w:tcPr>
            <w:tcW w:w="98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 xml:space="preserve">The benefit from income taxes in both periods were primarily due to non-recurring tax benefits associated with the acquisition of Realm and mLab during the years ended January 31, 2020 and 2019, respectively, which reduced our deferred tax asset and the related valuation allowance. Refer to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Form 10-K.</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75"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 xml:space="preserve">The following tables summarize our selected unaudited quarterly consolidated statements of operations data for each of the eight quarters in the period ended January 31, 2020.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and related notes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in this Form 10-K. Historical results are not necessarily indicative of the results that may be expected in the future.</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gridSpan w:val="2"/>
          </w:tcPr>
          <w:p>
            <w:pPr>
              <w:ind w:left="500"/>
              <w:spacing w:after="0"/>
              <w:rPr>
                <w:sz w:val="20"/>
                <w:szCs w:val="20"/>
                <w:color w:val="auto"/>
              </w:rPr>
            </w:pPr>
            <w:r>
              <w:rPr>
                <w:rFonts w:ascii="Arial" w:cs="Arial" w:eastAsia="Arial" w:hAnsi="Arial"/>
                <w:sz w:val="13"/>
                <w:szCs w:val="13"/>
                <w:b w:val="1"/>
                <w:bCs w:val="1"/>
                <w:color w:val="auto"/>
              </w:rPr>
              <w:t>Three Months Ended</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340" w:type="dxa"/>
            <w:vAlign w:val="bottom"/>
            <w:vMerge w:val="restart"/>
          </w:tcPr>
          <w:p>
            <w:pPr>
              <w:spacing w:after="0"/>
              <w:rPr>
                <w:sz w:val="20"/>
                <w:szCs w:val="20"/>
                <w:color w:val="auto"/>
              </w:rPr>
            </w:pPr>
            <w:r>
              <w:rPr>
                <w:rFonts w:ascii="Arial" w:cs="Arial" w:eastAsia="Arial" w:hAnsi="Arial"/>
                <w:sz w:val="13"/>
                <w:szCs w:val="13"/>
                <w:b w:val="1"/>
                <w:bCs w:val="1"/>
                <w:color w:val="auto"/>
                <w:w w:val="88"/>
              </w:rPr>
              <w:t>(in thousands, except share and per share</w:t>
            </w: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20"/>
                <w:szCs w:val="20"/>
                <w:color w:val="auto"/>
              </w:rPr>
            </w:pPr>
            <w:r>
              <w:rPr>
                <w:rFonts w:ascii="Arial" w:cs="Arial" w:eastAsia="Arial" w:hAnsi="Arial"/>
                <w:sz w:val="13"/>
                <w:szCs w:val="13"/>
                <w:b w:val="1"/>
                <w:bCs w:val="1"/>
                <w:color w:val="auto"/>
              </w:rPr>
              <w:t>data)</w:t>
            </w:r>
          </w:p>
        </w:tc>
        <w:tc>
          <w:tcPr>
            <w:tcW w:w="1100" w:type="dxa"/>
            <w:vAlign w:val="bottom"/>
          </w:tcPr>
          <w:p>
            <w:pPr>
              <w:ind w:left="60"/>
              <w:spacing w:after="0"/>
              <w:rPr>
                <w:sz w:val="20"/>
                <w:szCs w:val="20"/>
                <w:color w:val="auto"/>
              </w:rPr>
            </w:pPr>
            <w:r>
              <w:rPr>
                <w:rFonts w:ascii="Arial" w:cs="Arial" w:eastAsia="Arial" w:hAnsi="Arial"/>
                <w:sz w:val="13"/>
                <w:szCs w:val="13"/>
                <w:b w:val="1"/>
                <w:bCs w:val="1"/>
                <w:color w:val="auto"/>
                <w:w w:val="97"/>
              </w:rPr>
              <w:t>January 31, 2020</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auto"/>
              </w:rPr>
              <w:t>October 31, 2019</w:t>
            </w:r>
          </w:p>
        </w:tc>
        <w:tc>
          <w:tcPr>
            <w:tcW w:w="1060" w:type="dxa"/>
            <w:vAlign w:val="bottom"/>
          </w:tcPr>
          <w:p>
            <w:pPr>
              <w:ind w:left="160"/>
              <w:spacing w:after="0"/>
              <w:rPr>
                <w:sz w:val="20"/>
                <w:szCs w:val="20"/>
                <w:color w:val="auto"/>
              </w:rPr>
            </w:pPr>
            <w:r>
              <w:rPr>
                <w:rFonts w:ascii="Arial" w:cs="Arial" w:eastAsia="Arial" w:hAnsi="Arial"/>
                <w:sz w:val="13"/>
                <w:szCs w:val="13"/>
                <w:b w:val="1"/>
                <w:bCs w:val="1"/>
                <w:color w:val="auto"/>
              </w:rPr>
              <w:t>July 31, 2019</w:t>
            </w:r>
          </w:p>
        </w:tc>
        <w:tc>
          <w:tcPr>
            <w:tcW w:w="1080" w:type="dxa"/>
            <w:vAlign w:val="bottom"/>
          </w:tcPr>
          <w:p>
            <w:pPr>
              <w:ind w:left="200"/>
              <w:spacing w:after="0"/>
              <w:rPr>
                <w:sz w:val="20"/>
                <w:szCs w:val="20"/>
                <w:color w:val="auto"/>
              </w:rPr>
            </w:pPr>
            <w:r>
              <w:rPr>
                <w:rFonts w:ascii="Arial" w:cs="Arial" w:eastAsia="Arial" w:hAnsi="Arial"/>
                <w:sz w:val="13"/>
                <w:szCs w:val="13"/>
                <w:b w:val="1"/>
                <w:bCs w:val="1"/>
                <w:color w:val="auto"/>
              </w:rPr>
              <w:t>April 30, 2019</w:t>
            </w:r>
          </w:p>
        </w:tc>
        <w:tc>
          <w:tcPr>
            <w:tcW w:w="2320" w:type="dxa"/>
            <w:vAlign w:val="bottom"/>
          </w:tcPr>
          <w:p>
            <w:pPr>
              <w:ind w:left="140"/>
              <w:spacing w:after="0"/>
              <w:rPr>
                <w:sz w:val="20"/>
                <w:szCs w:val="20"/>
                <w:color w:val="auto"/>
              </w:rPr>
            </w:pPr>
            <w:r>
              <w:rPr>
                <w:rFonts w:ascii="Arial" w:cs="Arial" w:eastAsia="Arial" w:hAnsi="Arial"/>
                <w:sz w:val="13"/>
                <w:szCs w:val="13"/>
                <w:b w:val="1"/>
                <w:bCs w:val="1"/>
                <w:color w:val="auto"/>
                <w:w w:val="98"/>
              </w:rPr>
              <w:t>January 31, 2019   October 31, 2018</w:t>
            </w:r>
          </w:p>
        </w:tc>
        <w:tc>
          <w:tcPr>
            <w:tcW w:w="1040" w:type="dxa"/>
            <w:vAlign w:val="bottom"/>
          </w:tcPr>
          <w:p>
            <w:pPr>
              <w:ind w:left="140"/>
              <w:spacing w:after="0"/>
              <w:rPr>
                <w:sz w:val="20"/>
                <w:szCs w:val="20"/>
                <w:color w:val="auto"/>
              </w:rPr>
            </w:pPr>
            <w:r>
              <w:rPr>
                <w:rFonts w:ascii="Arial" w:cs="Arial" w:eastAsia="Arial" w:hAnsi="Arial"/>
                <w:sz w:val="13"/>
                <w:szCs w:val="13"/>
                <w:b w:val="1"/>
                <w:bCs w:val="1"/>
                <w:color w:val="auto"/>
              </w:rPr>
              <w:t>July 31, 2018</w:t>
            </w:r>
          </w:p>
        </w:tc>
        <w:tc>
          <w:tcPr>
            <w:tcW w:w="1060" w:type="dxa"/>
            <w:vAlign w:val="bottom"/>
          </w:tcPr>
          <w:p>
            <w:pPr>
              <w:ind w:left="180"/>
              <w:spacing w:after="0"/>
              <w:rPr>
                <w:sz w:val="20"/>
                <w:szCs w:val="20"/>
                <w:color w:val="auto"/>
              </w:rPr>
            </w:pPr>
            <w:r>
              <w:rPr>
                <w:rFonts w:ascii="Arial" w:cs="Arial" w:eastAsia="Arial" w:hAnsi="Arial"/>
                <w:sz w:val="13"/>
                <w:szCs w:val="13"/>
                <w:b w:val="1"/>
                <w:bCs w:val="1"/>
                <w:color w:val="auto"/>
              </w:rPr>
              <w:t>April 30,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21" w:lineRule="exact"/>
        <w:rPr>
          <w:sz w:val="20"/>
          <w:szCs w:val="20"/>
          <w:color w:val="auto"/>
        </w:rPr>
      </w:pPr>
    </w:p>
    <w:p>
      <w:pPr>
        <w:ind w:left="200"/>
        <w:spacing w:after="0"/>
        <w:tabs>
          <w:tab w:leader="none" w:pos="2380" w:val="left"/>
        </w:tabs>
        <w:rPr>
          <w:sz w:val="20"/>
          <w:szCs w:val="20"/>
          <w:color w:val="auto"/>
        </w:rPr>
      </w:pPr>
      <w:r>
        <w:rPr>
          <w:rFonts w:ascii="Arial" w:cs="Arial" w:eastAsia="Arial" w:hAnsi="Arial"/>
          <w:sz w:val="10"/>
          <w:szCs w:val="10"/>
          <w:color w:val="auto"/>
        </w:rPr>
        <w:t>Subscription</w:t>
      </w:r>
      <w:r>
        <w:rPr>
          <w:sz w:val="20"/>
          <w:szCs w:val="20"/>
          <w:color w:val="auto"/>
        </w:rPr>
        <w:tab/>
      </w:r>
      <w:r>
        <w:rPr>
          <w:rFonts w:ascii="Arial" w:cs="Arial" w:eastAsia="Arial" w:hAnsi="Arial"/>
          <w:sz w:val="16"/>
          <w:szCs w:val="16"/>
          <w:color w:val="auto"/>
          <w:vertAlign w:val="subscript"/>
        </w:rPr>
        <w: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Subscription</w:t>
      </w:r>
      <w:r>
        <w:rPr>
          <w:rFonts w:ascii="Arial" w:cs="Arial" w:eastAsia="Arial" w:hAnsi="Arial"/>
          <w:sz w:val="8"/>
          <w:szCs w:val="8"/>
          <w:color w:val="auto"/>
        </w:rPr>
        <w:t>(1)</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Services</w:t>
      </w:r>
      <w:r>
        <w:rPr>
          <w:rFonts w:ascii="Arial" w:cs="Arial" w:eastAsia="Arial" w:hAnsi="Arial"/>
          <w:sz w:val="8"/>
          <w:szCs w:val="8"/>
          <w:color w:val="auto"/>
        </w:rPr>
        <w:t>(1)</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cost of revenue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8"/>
          <w:szCs w:val="8"/>
          <w:color w:val="auto"/>
        </w:rPr>
        <w:t>(1)</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8"/>
          <w:szCs w:val="8"/>
          <w:color w:val="auto"/>
        </w:rPr>
        <w:t>(1)</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8"/>
          <w:szCs w:val="8"/>
          <w:color w:val="auto"/>
        </w:rPr>
        <w:t>(1)</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20" w:right="140" w:hanging="188"/>
        <w:spacing w:after="0" w:line="253" w:lineRule="auto"/>
        <w:rPr>
          <w:sz w:val="20"/>
          <w:szCs w:val="20"/>
          <w:color w:val="auto"/>
        </w:rPr>
      </w:pPr>
      <w:r>
        <w:rPr>
          <w:rFonts w:ascii="Arial" w:cs="Arial" w:eastAsia="Arial" w:hAnsi="Arial"/>
          <w:sz w:val="14"/>
          <w:szCs w:val="14"/>
          <w:color w:val="auto"/>
        </w:rPr>
        <w:t>Loss before provision for (benefit from) income taxes</w:t>
      </w:r>
    </w:p>
    <w:p>
      <w:pPr>
        <w:spacing w:after="0" w:line="12" w:lineRule="exact"/>
        <w:rPr>
          <w:sz w:val="20"/>
          <w:szCs w:val="20"/>
          <w:color w:val="auto"/>
        </w:rPr>
      </w:pPr>
    </w:p>
    <w:p>
      <w:pPr>
        <w:ind w:left="220" w:right="380" w:hanging="188"/>
        <w:spacing w:after="0" w:line="253" w:lineRule="auto"/>
        <w:rPr>
          <w:sz w:val="20"/>
          <w:szCs w:val="20"/>
          <w:color w:val="auto"/>
        </w:rPr>
      </w:pPr>
      <w:r>
        <w:rPr>
          <w:rFonts w:ascii="Arial" w:cs="Arial" w:eastAsia="Arial" w:hAnsi="Arial"/>
          <w:sz w:val="14"/>
          <w:szCs w:val="14"/>
          <w:color w:val="auto"/>
        </w:rPr>
        <w:t>Provision for (benefit from) income taxes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188"/>
              <w:spacing w:after="0"/>
              <w:rPr>
                <w:sz w:val="20"/>
                <w:szCs w:val="20"/>
                <w:color w:val="auto"/>
              </w:rPr>
            </w:pPr>
            <w:r>
              <w:rPr>
                <w:rFonts w:ascii="Arial" w:cs="Arial" w:eastAsia="Arial" w:hAnsi="Arial"/>
                <w:sz w:val="14"/>
                <w:szCs w:val="14"/>
                <w:color w:val="auto"/>
                <w:w w:val="86"/>
              </w:rPr>
              <w:t>117,849</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103,827</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94,156</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83,994</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80,632</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66,604</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55,086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46,069</w:t>
            </w:r>
          </w:p>
        </w:tc>
      </w:tr>
      <w:tr>
        <w:trPr>
          <w:trHeight w:val="25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5,674</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5,614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5,394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4,525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4,070</w:t>
            </w:r>
          </w:p>
        </w:tc>
      </w:tr>
      <w:tr>
        <w:trPr>
          <w:trHeight w:val="26"/>
        </w:trPr>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8"/>
        </w:trPr>
        <w:tc>
          <w:tcPr>
            <w:tcW w:w="720" w:type="dxa"/>
            <w:vAlign w:val="bottom"/>
          </w:tcPr>
          <w:p>
            <w:pPr>
              <w:jc w:val="right"/>
              <w:ind w:right="188"/>
              <w:spacing w:after="0"/>
              <w:rPr>
                <w:sz w:val="20"/>
                <w:szCs w:val="20"/>
                <w:color w:val="auto"/>
              </w:rPr>
            </w:pPr>
            <w:r>
              <w:rPr>
                <w:rFonts w:ascii="Arial" w:cs="Arial" w:eastAsia="Arial" w:hAnsi="Arial"/>
                <w:sz w:val="14"/>
                <w:szCs w:val="14"/>
                <w:color w:val="auto"/>
                <w:w w:val="86"/>
              </w:rPr>
              <w:t>123,523</w:t>
            </w:r>
          </w:p>
        </w:tc>
        <w:tc>
          <w:tcPr>
            <w:tcW w:w="260" w:type="dxa"/>
            <w:vAlign w:val="bottom"/>
          </w:tcPr>
          <w:p>
            <w:pPr>
              <w:spacing w:after="0"/>
              <w:rPr>
                <w:sz w:val="20"/>
                <w:szCs w:val="20"/>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109,441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99,368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89,388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85,484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71,782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59,611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50,139</w:t>
            </w:r>
          </w:p>
        </w:tc>
      </w:tr>
      <w:tr>
        <w:trPr>
          <w:trHeight w:val="54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28,226</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26,497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24,373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22,595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20,821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13,248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12,116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10,070</w:t>
            </w:r>
          </w:p>
        </w:tc>
      </w:tr>
      <w:tr>
        <w:trPr>
          <w:trHeight w:val="25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6,565</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5,694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4,510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4,378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3,679</w:t>
            </w:r>
          </w:p>
        </w:tc>
      </w:tr>
      <w:tr>
        <w:trPr>
          <w:trHeight w:val="26"/>
        </w:trPr>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34,791</w:t>
            </w:r>
          </w:p>
        </w:tc>
        <w:tc>
          <w:tcPr>
            <w:tcW w:w="260" w:type="dxa"/>
            <w:vAlign w:val="bottom"/>
          </w:tcPr>
          <w:p>
            <w:pPr>
              <w:spacing w:after="0"/>
              <w:rPr>
                <w:sz w:val="19"/>
                <w:szCs w:val="19"/>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32,191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30,202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13,749</w:t>
            </w:r>
          </w:p>
        </w:tc>
      </w:tr>
      <w:tr>
        <w:trPr>
          <w:trHeight w:val="26"/>
        </w:trPr>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8"/>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88,732</w:t>
            </w:r>
          </w:p>
        </w:tc>
        <w:tc>
          <w:tcPr>
            <w:tcW w:w="260" w:type="dxa"/>
            <w:vAlign w:val="bottom"/>
          </w:tcPr>
          <w:p>
            <w:pPr>
              <w:spacing w:after="0"/>
              <w:rPr>
                <w:sz w:val="20"/>
                <w:szCs w:val="20"/>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77,250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69,166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61,216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59,917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43,117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36,390</w:t>
            </w:r>
          </w:p>
        </w:tc>
      </w:tr>
      <w:tr>
        <w:trPr>
          <w:trHeight w:val="54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67,234</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57,015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53,524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46,120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42,482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36,080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36,537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33,197</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41,638</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39,387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37,140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30,868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26,600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23,179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21,430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18,645</w:t>
            </w:r>
          </w:p>
        </w:tc>
      </w:tr>
      <w:tr>
        <w:trPr>
          <w:trHeight w:val="257"/>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20,763</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19,562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16,174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14,805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14,986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11,227</w:t>
            </w:r>
          </w:p>
        </w:tc>
      </w:tr>
      <w:tr>
        <w:trPr>
          <w:trHeight w:val="26"/>
        </w:trPr>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5"/>
        </w:trPr>
        <w:tc>
          <w:tcPr>
            <w:tcW w:w="720" w:type="dxa"/>
            <w:vAlign w:val="bottom"/>
          </w:tcPr>
          <w:p>
            <w:pPr>
              <w:jc w:val="right"/>
              <w:ind w:right="188"/>
              <w:spacing w:after="0"/>
              <w:rPr>
                <w:sz w:val="20"/>
                <w:szCs w:val="20"/>
                <w:color w:val="auto"/>
              </w:rPr>
            </w:pPr>
            <w:r>
              <w:rPr>
                <w:rFonts w:ascii="Arial" w:cs="Arial" w:eastAsia="Arial" w:hAnsi="Arial"/>
                <w:sz w:val="14"/>
                <w:szCs w:val="14"/>
                <w:color w:val="auto"/>
                <w:w w:val="86"/>
              </w:rPr>
              <w:t>129,635</w:t>
            </w:r>
          </w:p>
        </w:tc>
        <w:tc>
          <w:tcPr>
            <w:tcW w:w="260" w:type="dxa"/>
            <w:vAlign w:val="bottom"/>
          </w:tcPr>
          <w:p>
            <w:pPr>
              <w:spacing w:after="0"/>
              <w:rPr>
                <w:sz w:val="19"/>
                <w:szCs w:val="19"/>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115,964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106,838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91,793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70,221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63,069</w:t>
            </w:r>
          </w:p>
        </w:tc>
      </w:tr>
      <w:tr>
        <w:trPr>
          <w:trHeight w:val="25"/>
        </w:trPr>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8"/>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(40,903)</w:t>
            </w:r>
          </w:p>
        </w:tc>
        <w:tc>
          <w:tcPr>
            <w:tcW w:w="26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(38,714)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(37,672)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(30,577)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(26,679)</w:t>
            </w:r>
          </w:p>
        </w:tc>
      </w:tr>
      <w:tr>
        <w:trPr>
          <w:trHeight w:val="256"/>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(19,396)</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591</w:t>
            </w:r>
          </w:p>
        </w:tc>
      </w:tr>
      <w:tr>
        <w:trPr>
          <w:trHeight w:val="25"/>
        </w:trPr>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19"/>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(60,299)</w:t>
            </w:r>
          </w:p>
        </w:tc>
        <w:tc>
          <w:tcPr>
            <w:tcW w:w="2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(41,824)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(40,677)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(27,536)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(26,088)</w:t>
            </w:r>
          </w:p>
        </w:tc>
      </w:tr>
      <w:tr>
        <w:trPr>
          <w:trHeight w:val="351"/>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2,264</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-2837815</wp:posOffset>
            </wp:positionV>
            <wp:extent cx="7132320" cy="2623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2460" w:space="360"/>
            <w:col w:w="84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(62,563)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(42,383)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79"/>
        </w:trPr>
        <w:tc>
          <w:tcPr>
            <w:tcW w:w="23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38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Weighted-average shares used to</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compute net loss per share, basic</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56,943,622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99"/>
              </w:rPr>
              <w:t>56,411,779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55,647,707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54,710,746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53,825,561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52,702,526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51,185,258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50,350,052</w:t>
            </w:r>
          </w:p>
        </w:tc>
        <w:tc>
          <w:tcPr>
            <w:tcW w:w="0" w:type="dxa"/>
            <w:vAlign w:val="bottom"/>
          </w:tcPr>
          <w:p>
            <w:pPr>
              <w:spacing w:after="0"/>
              <w:rPr>
                <w:sz w:val="1"/>
                <w:szCs w:val="1"/>
                <w:color w:val="auto"/>
              </w:rPr>
            </w:pPr>
          </w:p>
        </w:tc>
      </w:tr>
      <w:tr>
        <w:trPr>
          <w:trHeight w:val="208"/>
        </w:trPr>
        <w:tc>
          <w:tcPr>
            <w:tcW w:w="2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and diluted</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808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5"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stock-based compensation expense as follows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320"/>
              <w:spacing w:after="0"/>
              <w:rPr>
                <w:sz w:val="20"/>
                <w:szCs w:val="20"/>
                <w:color w:val="auto"/>
              </w:rPr>
            </w:pPr>
            <w:r>
              <w:rPr>
                <w:rFonts w:ascii="Arial" w:cs="Arial" w:eastAsia="Arial" w:hAnsi="Arial"/>
                <w:sz w:val="13"/>
                <w:szCs w:val="13"/>
                <w:b w:val="1"/>
                <w:bCs w:val="1"/>
                <w:color w:val="auto"/>
                <w:w w:val="88"/>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January 31, 2020</w:t>
            </w: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October 31, 2019</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July 31, 2019</w:t>
            </w: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April 30, 2019</w:t>
            </w: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January 31, 2019</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October 31, 2018</w:t>
            </w: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July 31, 2018</w:t>
            </w:r>
          </w:p>
        </w:tc>
        <w:tc>
          <w:tcPr>
            <w:tcW w:w="120" w:type="dxa"/>
            <w:vAlign w:val="bottom"/>
          </w:tcPr>
          <w:p>
            <w:pPr>
              <w:spacing w:after="0"/>
              <w:rPr>
                <w:sz w:val="20"/>
                <w:szCs w:val="20"/>
                <w:color w:val="auto"/>
              </w:rPr>
            </w:pPr>
          </w:p>
        </w:tc>
        <w:tc>
          <w:tcPr>
            <w:tcW w:w="880" w:type="dxa"/>
            <w:vAlign w:val="bottom"/>
          </w:tcPr>
          <w:p>
            <w:pPr>
              <w:jc w:val="right"/>
              <w:ind w:right="49"/>
              <w:spacing w:after="0"/>
              <w:rPr>
                <w:sz w:val="20"/>
                <w:szCs w:val="20"/>
                <w:color w:val="auto"/>
              </w:rPr>
            </w:pPr>
            <w:r>
              <w:rPr>
                <w:rFonts w:ascii="Arial" w:cs="Arial" w:eastAsia="Arial" w:hAnsi="Arial"/>
                <w:sz w:val="13"/>
                <w:szCs w:val="13"/>
                <w:b w:val="1"/>
                <w:bCs w:val="1"/>
                <w:color w:val="auto"/>
                <w:w w:val="88"/>
              </w:rPr>
              <w:t>April 30, 2018</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1,520</w:t>
            </w:r>
          </w:p>
        </w:tc>
        <w:tc>
          <w:tcPr>
            <w:tcW w:w="14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1,214</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Cost of revenue—services</w:t>
            </w:r>
          </w:p>
        </w:tc>
        <w:tc>
          <w:tcPr>
            <w:tcW w:w="3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940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8,912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6,844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4,940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9,173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6,879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6,114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3,446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4,193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3,577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2,968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79"/>
        </w:trPr>
        <w:tc>
          <w:tcPr>
            <w:tcW w:w="23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380" w:type="dxa"/>
            <w:vAlign w:val="bottom"/>
          </w:tcPr>
          <w:p>
            <w:pPr>
              <w:ind w:left="200"/>
              <w:spacing w:after="0" w:line="137" w:lineRule="exact"/>
              <w:rPr>
                <w:sz w:val="20"/>
                <w:szCs w:val="20"/>
                <w:color w:val="auto"/>
              </w:rPr>
            </w:pPr>
            <w:r>
              <w:rPr>
                <w:rFonts w:ascii="Arial" w:cs="Arial" w:eastAsia="Arial" w:hAnsi="Arial"/>
                <w:sz w:val="14"/>
                <w:szCs w:val="14"/>
                <w:color w:val="auto"/>
              </w:rPr>
              <w:t>Total stock-based compensation</w:t>
            </w:r>
          </w:p>
        </w:tc>
        <w:tc>
          <w:tcPr>
            <w:tcW w:w="30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24,738</w:t>
            </w:r>
          </w:p>
        </w:tc>
        <w:tc>
          <w:tcPr>
            <w:tcW w:w="14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19,367</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17,662</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14,009</w:t>
            </w:r>
          </w:p>
        </w:tc>
        <w:tc>
          <w:tcPr>
            <w:tcW w:w="100" w:type="dxa"/>
            <w:vAlign w:val="bottom"/>
          </w:tcPr>
          <w:p>
            <w:pPr>
              <w:spacing w:after="0"/>
              <w:rPr>
                <w:sz w:val="11"/>
                <w:szCs w:val="11"/>
                <w:color w:val="auto"/>
              </w:rPr>
            </w:pPr>
          </w:p>
        </w:tc>
        <w:tc>
          <w:tcPr>
            <w:tcW w:w="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3"/>
              </w:rPr>
              <w:t>10,553</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10,264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9,009</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7,577</w:t>
            </w:r>
          </w:p>
        </w:tc>
        <w:tc>
          <w:tcPr>
            <w:tcW w:w="0" w:type="dxa"/>
            <w:vAlign w:val="bottom"/>
          </w:tcPr>
          <w:p>
            <w:pPr>
              <w:spacing w:after="0"/>
              <w:rPr>
                <w:sz w:val="1"/>
                <w:szCs w:val="1"/>
                <w:color w:val="auto"/>
              </w:rPr>
            </w:pPr>
          </w:p>
        </w:tc>
      </w:tr>
      <w:tr>
        <w:trPr>
          <w:trHeight w:val="182"/>
        </w:trPr>
        <w:tc>
          <w:tcPr>
            <w:tcW w:w="2380" w:type="dxa"/>
            <w:vAlign w:val="bottom"/>
          </w:tcPr>
          <w:p>
            <w:pPr>
              <w:ind w:left="380"/>
              <w:spacing w:after="0"/>
              <w:rPr>
                <w:sz w:val="20"/>
                <w:szCs w:val="20"/>
                <w:color w:val="auto"/>
              </w:rPr>
            </w:pPr>
            <w:r>
              <w:rPr>
                <w:rFonts w:ascii="Arial" w:cs="Arial" w:eastAsia="Arial" w:hAnsi="Arial"/>
                <w:sz w:val="14"/>
                <w:szCs w:val="14"/>
                <w:color w:val="auto"/>
              </w:rPr>
              <w:t>expense</w:t>
            </w:r>
          </w:p>
        </w:tc>
        <w:tc>
          <w:tcPr>
            <w:tcW w:w="3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1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January 31, 2020</w:t>
            </w: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October 31, 2019</w:t>
            </w: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July 31, 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April 30, 2019</w:t>
            </w: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January 31, 2019</w:t>
            </w: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October 31, 2018</w:t>
            </w: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July 31, 2018</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April 30, 2018</w:t>
            </w:r>
          </w:p>
        </w:tc>
        <w:tc>
          <w:tcPr>
            <w:tcW w:w="0" w:type="dxa"/>
            <w:vAlign w:val="bottom"/>
          </w:tcPr>
          <w:p>
            <w:pPr>
              <w:spacing w:after="0"/>
              <w:rPr>
                <w:sz w:val="1"/>
                <w:szCs w:val="1"/>
                <w:color w:val="auto"/>
              </w:rPr>
            </w:pPr>
          </w:p>
        </w:tc>
      </w:tr>
      <w:tr>
        <w:trPr>
          <w:trHeight w:val="29"/>
        </w:trPr>
        <w:tc>
          <w:tcPr>
            <w:tcW w:w="2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Percentage of Revenue Data: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Subscription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93 %</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w:t>
            </w: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Subscription</w:t>
            </w: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 of revenue</w:t>
            </w: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2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60" w:type="dxa"/>
            <w:vAlign w:val="bottom"/>
            <w:vMerge w:val="restart"/>
          </w:tcPr>
          <w:p>
            <w:pPr>
              <w:jc w:val="right"/>
              <w:ind w:right="12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80"/>
        </w:trPr>
        <w:tc>
          <w:tcPr>
            <w:tcW w:w="2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04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2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20"/>
              <w:spacing w:after="0" w:line="137" w:lineRule="exact"/>
              <w:rPr>
                <w:sz w:val="20"/>
                <w:szCs w:val="20"/>
                <w:color w:val="auto"/>
              </w:rPr>
            </w:pPr>
            <w:r>
              <w:rPr>
                <w:rFonts w:ascii="Arial" w:cs="Arial" w:eastAsia="Arial" w:hAnsi="Arial"/>
                <w:sz w:val="14"/>
                <w:szCs w:val="14"/>
                <w:color w:val="auto"/>
              </w:rPr>
              <w:t>Loss before provision for (benefit</w:t>
            </w: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20"/>
              <w:spacing w:after="0"/>
              <w:rPr>
                <w:sz w:val="20"/>
                <w:szCs w:val="20"/>
                <w:color w:val="auto"/>
              </w:rPr>
            </w:pPr>
            <w:r>
              <w:rPr>
                <w:rFonts w:ascii="Arial" w:cs="Arial" w:eastAsia="Arial" w:hAnsi="Arial"/>
                <w:sz w:val="14"/>
                <w:szCs w:val="14"/>
                <w:color w:val="auto"/>
              </w:rPr>
              <w:t>from) income taxes</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Provision for (benefit from) income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taxes</w:t>
            </w:r>
          </w:p>
        </w:tc>
        <w:tc>
          <w:tcPr>
            <w:tcW w:w="10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1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Seasonality</w:t>
      </w:r>
    </w:p>
    <w:p>
      <w:pPr>
        <w:spacing w:after="0" w:line="17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 xml:space="preserve">We have in the past and expect in the future to experience seasonal fluctuations in our revenue and results from time to time. In addition, as a result of the adoption of Accounting Standards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we may experience greater variability and reduced comparability of our quarterly revenue and results with respect to the timing and nature of certain of our contracts, particularly multi-year contracts that contain a term license. See Notes 2 and 11 for further information about our revenue recognition policy and results in our Notes to Consolidated Financial Statements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Revenue Trends</w:t>
      </w:r>
    </w:p>
    <w:p>
      <w:pPr>
        <w:spacing w:after="0" w:line="171" w:lineRule="exact"/>
        <w:rPr>
          <w:sz w:val="20"/>
          <w:szCs w:val="20"/>
          <w:color w:val="auto"/>
        </w:rPr>
      </w:pPr>
    </w:p>
    <w:p>
      <w:pPr>
        <w:ind w:right="40" w:firstLine="486"/>
        <w:spacing w:after="0" w:line="219" w:lineRule="exact"/>
        <w:rPr>
          <w:sz w:val="20"/>
          <w:szCs w:val="20"/>
          <w:color w:val="auto"/>
        </w:rPr>
      </w:pPr>
      <w:r>
        <w:rPr>
          <w:rFonts w:ascii="Arial" w:cs="Arial" w:eastAsia="Arial" w:hAnsi="Arial"/>
          <w:sz w:val="18"/>
          <w:szCs w:val="18"/>
          <w:color w:val="auto"/>
        </w:rPr>
        <w:t>Our quarterly revenue increased sequentially for all periods presented due primarily to an increase in the sales of subscriptions and related services. As a result of the adoption of Accounting Standards Update No. 2014</w:t>
      </w:r>
      <w:r>
        <w:rPr>
          <w:rFonts w:ascii="MS PGothic" w:cs="MS PGothic" w:eastAsia="MS PGothic" w:hAnsi="MS PGothic"/>
          <w:sz w:val="18"/>
          <w:szCs w:val="18"/>
          <w:color w:val="auto"/>
        </w:rPr>
        <w:t>‑</w:t>
      </w:r>
      <w:r>
        <w:rPr>
          <w:rFonts w:ascii="Arial" w:cs="Arial" w:eastAsia="Arial" w:hAnsi="Arial"/>
          <w:sz w:val="18"/>
          <w:szCs w:val="18"/>
          <w:color w:val="auto"/>
        </w:rPr>
        <w:t>09, Revenue from Contracts with Customers (Topic 606), we may experience greater variability and reduced comparability of our quarterly revenue and results with respect to the timing and nature of certain of our contracts, particularly multi-year contracts that contain a term license. Our quarterly services revenue experiences fluctuations as a result of timing of sales of standalone consulting and training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Cost of Revenue, Gross Profit and Gross Margin Trends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 We expect that the growth of MongoDB Atlas may reduce subscription gross margin due to the third-party cloud infrastructure costs we incur associated with our DBaaS offering.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Expense Trends</w:t>
      </w:r>
    </w:p>
    <w:p>
      <w:pPr>
        <w:spacing w:after="0" w:line="17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As of January 31, 2020, we had cash, cash equivalents, short-term investments and restricted cash totaling $987.0 million. Our cash and cash equivalents primarily consist of bank deposits and money market funds. Our short-term investments consist of U.S. government treasury securities and our restricted cash represents collateral for our available credit on corporate credit cards.</w:t>
      </w:r>
    </w:p>
    <w:p>
      <w:pPr>
        <w:spacing w:after="0" w:line="13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January 2020, we issued $1.15 billion aggregate principal amount of 0.25% convertible senior notes due 2026 in a private placement (the “2026 Notes”). In June 2018, we issued $250.0 million aggregate principal amount of 0.75% convertible senior notes due 2024 in a private placement and, in July 2018, we issued an additional $50.0 million aggregate principal amount of convertible senior notes pursuant to the exercise in full of the initial purchasers’ option to purchase additional convertible senior notes (collectively, the “2024 Notes”). The total net proceeds from the issuance of the 2026 Notes and 2024 Notes, after deducting initial purchase discounts and estimated debt issuance costs, were approximately $1.13 billion and $291.1 million, respectively. In connection with the pricing of the 2026 Notes and 2024 Notes, we entered into privately negotiated capped call transactions with certain counterparties (the “Capped Calls”). The Capped Calls are expected to partially offset the potential dilution to our Class A common stock upon any conversion of the 2026 Notes and 2024 Notes, with such offset subject to a cap based on the cap price. We used $92.9 million of the proceeds from the 2026 Notes and $37.1 million of the proceeds from the 2024 Notes to purchase the Capped Calls, which was recorded as a reduction to additional paid-in capital.</w:t>
      </w:r>
    </w:p>
    <w:p>
      <w:pPr>
        <w:spacing w:after="0" w:line="112"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 xml:space="preserve">On January 14, 2020, in connection with the issuance of the 2026 Notes, we used a portion of the net proceeds to repurchase $210.0 million aggregate principal amount of the 2024 Notes (“2024 Notes Partial Repurchase”) leaving $90.0 million aggregate principal outstanding on the 2024 Notes as of January 31, 2020. The 2024 Notes Partial Repurchase were not pursuant to a redemption notice and were individually privately negotiated transactions for aggregate cash consideration of $479.2 million. For further discussion on our convertible senior notes, please refer to Note 7, </w:t>
      </w:r>
      <w:r>
        <w:rPr>
          <w:rFonts w:ascii="Arial" w:cs="Arial" w:eastAsia="Arial" w:hAnsi="Arial"/>
          <w:sz w:val="17"/>
          <w:szCs w:val="17"/>
          <w:i w:val="1"/>
          <w:iCs w:val="1"/>
          <w:color w:val="auto"/>
        </w:rPr>
        <w:t>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Senior Notes</w:t>
      </w:r>
      <w:r>
        <w:rPr>
          <w:rFonts w:ascii="Arial" w:cs="Arial" w:eastAsia="Arial" w:hAnsi="Arial"/>
          <w:sz w:val="17"/>
          <w:szCs w:val="17"/>
          <w:color w:val="auto"/>
        </w:rPr>
        <w:t>, in Part II,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 of this Form 10-K.</w:t>
      </w:r>
    </w:p>
    <w:p>
      <w:pPr>
        <w:spacing w:after="0" w:line="12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October 2017, we closed our initial public offering (“IPO”) of 9,200,000 shares of our Class A common stock at an offering price of $24.00 per share, including 1,200,000 shares pursuant to the underwriters’ option to purchase additional shares of our Class A common stock, resulting in net proceeds to us of $201.6 million, after deducting underwriting discounts and commissions of $15.5 million and offering expenses of $3.9 million. Prior to our IPO, we financed our operations principally through private placements of our redeemable convertible preferred stock, which resulted in net proceeds to us of $345.3 million. We believe our existing cash and cash equivalents and short-term investments will be sufficient to fund our operating and capital needs for at least the next 12 months.</w:t>
      </w:r>
    </w:p>
    <w:p>
      <w:pPr>
        <w:spacing w:after="0" w:line="138"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have generated significant operating losses and negative cash flows from operations as reflected in our accumulated deficit and consolidated statements of cash flows. As of January 31, 2020, we had an accumulated deficit of $668.2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Years Ended January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vMerge w:val="continue"/>
          </w:tcPr>
          <w:p>
            <w:pPr>
              <w:spacing w:after="0"/>
              <w:rPr>
                <w:sz w:val="20"/>
                <w:szCs w:val="20"/>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(29,540)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(41,989)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(44,881)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(172,287)</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589,238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288,236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209,892</w:t>
            </w:r>
          </w:p>
        </w:tc>
        <w:tc>
          <w:tcPr>
            <w:tcW w:w="0" w:type="dxa"/>
            <w:vAlign w:val="bottom"/>
          </w:tcPr>
          <w:p>
            <w:pPr>
              <w:spacing w:after="0"/>
              <w:rPr>
                <w:sz w:val="1"/>
                <w:szCs w:val="1"/>
                <w:color w:val="auto"/>
              </w:rPr>
            </w:pPr>
          </w:p>
        </w:tc>
      </w:tr>
      <w:tr>
        <w:trPr>
          <w:trHeight w:val="850"/>
        </w:trPr>
        <w:tc>
          <w:tcPr>
            <w:tcW w:w="43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Non-GAAP Free Cash Flow</w:t>
      </w:r>
    </w:p>
    <w:p>
      <w:pPr>
        <w:spacing w:after="0" w:line="17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generally accepted accounting principles in the United States (“GAAP”), we provide investors with the amount of free cash flow, which is a non-GAAP financial measure. Free cash flow represents net cash used in operating activities less capital expenditures, principal repayments of finance lease liabilities and capitalized software development costs, if any. For the fiscal years ended January 31, 2020, 2019 and 2018, we did not capitalize any software development costs. Free cash flow is a measure used by management to understand and evaluate our liquidity and to generate future operating plans. The exclusion of capital expenditures, principal repayments of finance lease liabilities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3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used in operating activities, the most directly comparable GAAP measure, for each of the periods indicated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Years Ended January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(29,540)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(41,989)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(44,881)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Principal repayments of finance leases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0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(47,016)</w:t>
            </w:r>
          </w:p>
        </w:tc>
        <w:tc>
          <w:tcPr>
            <w:tcW w:w="0" w:type="dxa"/>
            <w:vAlign w:val="bottom"/>
          </w:tcPr>
          <w:p>
            <w:pPr>
              <w:spacing w:after="0"/>
              <w:rPr>
                <w:sz w:val="1"/>
                <w:szCs w:val="1"/>
                <w:color w:val="auto"/>
              </w:rPr>
            </w:pPr>
          </w:p>
        </w:tc>
      </w:tr>
      <w:tr>
        <w:trPr>
          <w:trHeight w:val="40"/>
        </w:trPr>
        <w:tc>
          <w:tcPr>
            <w:tcW w:w="59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71" w:lineRule="exact"/>
        <w:rPr>
          <w:sz w:val="20"/>
          <w:szCs w:val="20"/>
          <w:color w:val="auto"/>
        </w:rPr>
      </w:pPr>
    </w:p>
    <w:p>
      <w:pPr>
        <w:ind w:right="40" w:firstLine="486"/>
        <w:spacing w:after="0" w:line="218" w:lineRule="exact"/>
        <w:rPr>
          <w:sz w:val="20"/>
          <w:szCs w:val="20"/>
          <w:color w:val="auto"/>
        </w:rPr>
      </w:pPr>
      <w:r>
        <w:rPr>
          <w:rFonts w:ascii="Arial" w:cs="Arial" w:eastAsia="Arial" w:hAnsi="Arial"/>
          <w:sz w:val="16"/>
          <w:szCs w:val="16"/>
          <w:color w:val="auto"/>
        </w:rPr>
        <w:t>Cash used in operating activities during the year ended January 31, 2020 was $29.5 million primarily driven by our net loss of $175.5 million and was partially offset by non</w:t>
      </w:r>
      <w:r>
        <w:rPr>
          <w:rFonts w:ascii="MS PGothic" w:cs="MS PGothic" w:eastAsia="MS PGothic" w:hAnsi="MS PGothic"/>
          <w:sz w:val="16"/>
          <w:szCs w:val="16"/>
          <w:color w:val="auto"/>
        </w:rPr>
        <w:t>‑</w:t>
      </w:r>
      <w:r>
        <w:rPr>
          <w:rFonts w:ascii="Arial" w:cs="Arial" w:eastAsia="Arial" w:hAnsi="Arial"/>
          <w:sz w:val="16"/>
          <w:szCs w:val="16"/>
          <w:color w:val="auto"/>
        </w:rPr>
        <w:t>cash charges of $75.8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$14.8 million for the amortization of our debt discount and issuance costs, $14.5 million for the loss on early extinguishment of debt, $12.8 million for depreciation and amortization and $8.8 million for lease-related non-cash charges. In addition, we increased our deferred revenue by $53.1 million, partially offset by a decrease in accounts receivable of $12.7 million, reflecting the overall growth of our sales and our expanding customer base. In addition, our accrued liabilities increased $20.4 million, primarily from commissions and bonuses accrued as of January 31, 2020. Partially offsetting these benefits to our operating cash flow were an increase of $28.4 million in deferred commissions, non-cash benefits of $3.3 million from the non-recurring tax benefit associated with the acquisition of Realm intangible assets, a non-cash benefit of $4.1 million associated with the discount on our short-term investments and a reduction of our prepaid expenses of $3.8 million.</w:t>
      </w:r>
    </w:p>
    <w:p>
      <w:pPr>
        <w:spacing w:after="0" w:line="148" w:lineRule="exact"/>
        <w:rPr>
          <w:sz w:val="20"/>
          <w:szCs w:val="20"/>
          <w:color w:val="auto"/>
        </w:rPr>
      </w:pPr>
    </w:p>
    <w:p>
      <w:pPr>
        <w:ind w:right="20" w:firstLine="486"/>
        <w:spacing w:after="0" w:line="218" w:lineRule="exact"/>
        <w:rPr>
          <w:sz w:val="20"/>
          <w:szCs w:val="20"/>
          <w:color w:val="auto"/>
        </w:rPr>
      </w:pPr>
      <w:r>
        <w:rPr>
          <w:rFonts w:ascii="Arial" w:cs="Arial" w:eastAsia="Arial" w:hAnsi="Arial"/>
          <w:sz w:val="17"/>
          <w:szCs w:val="17"/>
          <w:color w:val="auto"/>
        </w:rPr>
        <w:t>Cash used in operating activities during the year ended January 31, 2019 was $42.0 million primarily driven by our net loss of $99.0 million and was partially offset by non</w:t>
      </w:r>
      <w:r>
        <w:rPr>
          <w:rFonts w:ascii="MS PGothic" w:cs="MS PGothic" w:eastAsia="MS PGothic" w:hAnsi="MS PGothic"/>
          <w:sz w:val="17"/>
          <w:szCs w:val="17"/>
          <w:color w:val="auto"/>
        </w:rPr>
        <w:t>‑</w:t>
      </w:r>
      <w:r>
        <w:rPr>
          <w:rFonts w:ascii="Arial" w:cs="Arial" w:eastAsia="Arial" w:hAnsi="Arial"/>
          <w:sz w:val="17"/>
          <w:szCs w:val="17"/>
          <w:color w:val="auto"/>
        </w:rPr>
        <w:t>cash charges of $37.4 million for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$7.4 million for the amortization of our debt discount and issuance costs and $5.8 million for depreciation and amortization. In addition, our deferred revenue increased $36.7 million resulting from the overall growth of our sales and our expanding customer base and our accrued liabilities increased $13.6 million primarily related to commissions and bonuses not yet paid. The change in deferred revenue and accrued liabilities was partially offset by an increase of $16.1 million in deferred commissions and $19.4 million in accounts receivable, as a result of the overall increase in revenue and deferred revenue, as well as an increase of $5.4 million in prepaid expenses and other current assets. We also benefited from a non-recurring, non-cash adjustment to our provision for income taxes associated with the acquisition of mLab intangible assets, which reduced our deferred tax asset and the related valuation allowance.</w:t>
      </w:r>
    </w:p>
    <w:p>
      <w:pPr>
        <w:spacing w:after="0" w:line="200" w:lineRule="exact"/>
        <w:rPr>
          <w:sz w:val="20"/>
          <w:szCs w:val="20"/>
          <w:color w:val="auto"/>
        </w:rPr>
      </w:pPr>
    </w:p>
    <w:p>
      <w:pPr>
        <w:spacing w:after="0" w:line="39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2020 of $1.6 million resulted from the purchase of marketable securities, net of maturities, $38.6 million of net cash used to acquire Realm and $3.6 million used to purchase property and equipment.</w:t>
      </w:r>
    </w:p>
    <w:p>
      <w:pPr>
        <w:spacing w:after="0" w:line="11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2019 of $160.3 million resulted primarily from the purchase of marketable securities, net of maturities, as well as $55.5 million of net cash used to acquire mLab.</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Cash provided by financing activities during the year ended January 31, 2020 was $589.2 million primarily due to $1.1 billion of proceeds from the issuance of the 2026 Notes, net of issuance costs and the Capped Calls, as well as the proceeds from the exercise of stock options and issuance of common stock under the Employee Stock Purchase Plan. These proceeds were partially offset by $479.1 million used for the 2024 Notes Partial Repurchase.</w:t>
      </w:r>
    </w:p>
    <w:p>
      <w:pPr>
        <w:spacing w:after="0" w:line="9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Cash provided by financing activities during the year ended January 31, 2019 was $288.2 million primarily due to the issuance of the 2024 Notes, net of issuance costs and the Capped Calls, as well as proceeds from the exercise of stock options and issuance of common stock under the Employee Stock Purchase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75"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As of January 31, 2020, we did not have any relationships with any entities or financial partnerships, such as structured finance or special purpose entities that would have been established for the purpose of facilitating off-balance sheet arrangements or other purposes.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January 31, 2020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0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1 to 3 Years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3 to 5 Years</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0.75% convertible senior notes due 2024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0.25% convertible senior notes due 2026</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1,167,266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1,152,875</w:t>
            </w: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42,829</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13,486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1,377</w:t>
            </w: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232,056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1,589,370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66,376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138,232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187,681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1,197,081</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Our principal contractual obligations and commitments consist of the principal and future interest payments related to our 2024 Notes and 2026 Notes, our finance and operating lease obligations under non-cancelable leases for office space expiring through 2029 and our purchase obligations under non-cancelable agreements for subscription and marketing services and cloud infrastructure capacity commitments. In March 2019, we expanded our enterprise partnership arrangement with a cloud infrastructure provider that includes a non-cancelable commitment of $219.0 million over the next five years, which commenced on April 1, 2019. Our previous enterprise partnership arrangement with the same cloud provider of $36.0 million over three years terminated on April 1, 2019. Excluded in the contractual obligations and commitments table above are lease commitments for additional office space that commence after January 31, 2020. The aggregate base rent payments related to these leases for locations in New York City, Dublin and Sydney are approximately $38.5 million with lease commencement dates expected between February 2020 and June 2020.</w:t>
      </w:r>
    </w:p>
    <w:p>
      <w:pPr>
        <w:spacing w:after="0" w:line="111"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 xml:space="preserve">For further details of our contractual obligations and the new lease agreements, refer to our Notes to Consolidated Financial Statements, within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 specifically Note 4,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Note 7, </w:t>
      </w:r>
      <w:r>
        <w:rPr>
          <w:rFonts w:ascii="Arial" w:cs="Arial" w:eastAsia="Arial" w:hAnsi="Arial"/>
          <w:sz w:val="17"/>
          <w:szCs w:val="17"/>
          <w:i w:val="1"/>
          <w:iCs w:val="1"/>
          <w:color w:val="auto"/>
        </w:rPr>
        <w:t>Convertible Senior</w:t>
      </w:r>
      <w:r>
        <w:rPr>
          <w:rFonts w:ascii="Arial" w:cs="Arial" w:eastAsia="Arial" w:hAnsi="Arial"/>
          <w:sz w:val="17"/>
          <w:szCs w:val="17"/>
          <w:color w:val="auto"/>
        </w:rPr>
        <w:t xml:space="preserve"> </w:t>
      </w:r>
      <w:r>
        <w:rPr>
          <w:rFonts w:ascii="Arial" w:cs="Arial" w:eastAsia="Arial" w:hAnsi="Arial"/>
          <w:sz w:val="17"/>
          <w:szCs w:val="17"/>
          <w:i w:val="1"/>
          <w:iCs w:val="1"/>
          <w:color w:val="auto"/>
        </w:rPr>
        <w:t>Notes</w:t>
      </w:r>
      <w:r>
        <w:rPr>
          <w:rFonts w:ascii="Arial" w:cs="Arial" w:eastAsia="Arial" w:hAnsi="Arial"/>
          <w:sz w:val="17"/>
          <w:szCs w:val="17"/>
          <w:color w:val="auto"/>
        </w:rPr>
        <w:t>, Note 8,</w:t>
      </w:r>
      <w:r>
        <w:rPr>
          <w:rFonts w:ascii="Arial" w:cs="Arial" w:eastAsia="Arial" w:hAnsi="Arial"/>
          <w:sz w:val="17"/>
          <w:szCs w:val="17"/>
          <w:i w:val="1"/>
          <w:iCs w:val="1"/>
          <w:color w:val="auto"/>
        </w:rPr>
        <w:t xml:space="preserve"> Leases</w:t>
      </w:r>
      <w:r>
        <w:rPr>
          <w:rFonts w:ascii="Arial" w:cs="Arial" w:eastAsia="Arial" w:hAnsi="Arial"/>
          <w:sz w:val="17"/>
          <w:szCs w:val="17"/>
          <w:color w:val="auto"/>
        </w:rPr>
        <w:t>, Note 9,</w:t>
      </w:r>
      <w:r>
        <w:rPr>
          <w:rFonts w:ascii="Arial" w:cs="Arial" w:eastAsia="Arial" w:hAnsi="Arial"/>
          <w:sz w:val="17"/>
          <w:szCs w:val="17"/>
          <w:i w:val="1"/>
          <w:iCs w:val="1"/>
          <w:color w:val="auto"/>
        </w:rPr>
        <w:t xml:space="preserve"> Commitments and Contingencies </w:t>
      </w:r>
      <w:r>
        <w:rPr>
          <w:rFonts w:ascii="Arial" w:cs="Arial" w:eastAsia="Arial" w:hAnsi="Arial"/>
          <w:sz w:val="17"/>
          <w:szCs w:val="17"/>
          <w:color w:val="auto"/>
        </w:rPr>
        <w:t>and Note 15,</w:t>
      </w:r>
      <w:r>
        <w:rPr>
          <w:rFonts w:ascii="Arial" w:cs="Arial" w:eastAsia="Arial" w:hAnsi="Arial"/>
          <w:sz w:val="17"/>
          <w:szCs w:val="17"/>
          <w:i w:val="1"/>
          <w:iCs w:val="1"/>
          <w:color w:val="auto"/>
        </w:rPr>
        <w:t xml:space="preserve"> Subsequent Events.</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derive our revenue from two sources: (1) sales of subscriptions, including term license and post-contract customer support (“PCS”) and consumption-based database-as-a-service offerings;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spacing w:after="0" w:line="130" w:lineRule="exact"/>
        <w:rPr>
          <w:sz w:val="20"/>
          <w:szCs w:val="20"/>
          <w:color w:val="auto"/>
        </w:rPr>
      </w:pPr>
    </w:p>
    <w:p>
      <w:pPr>
        <w:ind w:left="660" w:right="80" w:hanging="328"/>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Identification of the contract, or contracts, with a customer. </w:t>
      </w:r>
      <w:r>
        <w:rPr>
          <w:rFonts w:ascii="Arial" w:cs="Arial" w:eastAsia="Arial" w:hAnsi="Arial"/>
          <w:sz w:val="16"/>
          <w:szCs w:val="16"/>
          <w:color w:val="auto"/>
        </w:rPr>
        <w:t>We contract with our customers through order forms, which are governed by</w:t>
      </w:r>
      <w:r>
        <w:rPr>
          <w:rFonts w:ascii="Arial" w:cs="Arial" w:eastAsia="Arial" w:hAnsi="Arial"/>
          <w:sz w:val="16"/>
          <w:szCs w:val="16"/>
          <w:b w:val="1"/>
          <w:bCs w:val="1"/>
          <w:color w:val="auto"/>
        </w:rPr>
        <w:t xml:space="preserve"> </w:t>
      </w:r>
      <w:r>
        <w:rPr>
          <w:rFonts w:ascii="Arial" w:cs="Arial" w:eastAsia="Arial" w:hAnsi="Arial"/>
          <w:sz w:val="16"/>
          <w:szCs w:val="16"/>
          <w:color w:val="auto"/>
        </w:rPr>
        <w:t>master sales agreements. 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 We have concluded that our contracts with customers do not contain warranties that give rise to a separate performance obligation.</w:t>
      </w:r>
    </w:p>
    <w:p>
      <w:pPr>
        <w:spacing w:after="0" w:line="105" w:lineRule="exact"/>
        <w:rPr>
          <w:rFonts w:ascii="Arial" w:cs="Arial" w:eastAsia="Arial" w:hAnsi="Arial"/>
          <w:sz w:val="16"/>
          <w:szCs w:val="16"/>
          <w:color w:val="auto"/>
        </w:rPr>
      </w:pPr>
    </w:p>
    <w:p>
      <w:pPr>
        <w:ind w:left="660" w:right="4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Identification of the performance obligations in the contract. </w:t>
      </w:r>
      <w:r>
        <w:rPr>
          <w:rFonts w:ascii="Arial" w:cs="Arial" w:eastAsia="Arial" w:hAnsi="Arial"/>
          <w:sz w:val="18"/>
          <w:szCs w:val="18"/>
          <w:color w:val="auto"/>
        </w:rPr>
        <w:t>Performance obligations promised in a contract are identified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or 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4"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of the transaction price. </w:t>
      </w:r>
      <w:r>
        <w:rPr>
          <w:rFonts w:ascii="Arial" w:cs="Arial" w:eastAsia="Arial" w:hAnsi="Arial"/>
          <w:sz w:val="18"/>
          <w:szCs w:val="18"/>
          <w:color w:val="auto"/>
        </w:rPr>
        <w:t>The transaction price is determined based on the consideration to which we expect to be entitled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transferring services and products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125"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the transaction price to the performance obligations in the contract. </w:t>
      </w:r>
      <w:r>
        <w:rPr>
          <w:rFonts w:ascii="Arial" w:cs="Arial" w:eastAsia="Arial" w:hAnsi="Arial"/>
          <w:sz w:val="17"/>
          <w:szCs w:val="17"/>
          <w:color w:val="auto"/>
        </w:rPr>
        <w:t>If the contract contains a single performance obligation,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we utilize all observable data points including competitor pricing for a similar or identical product, market and industry data points and our pricing practices.</w:t>
      </w:r>
    </w:p>
    <w:p>
      <w:pPr>
        <w:spacing w:after="0" w:line="117" w:lineRule="exact"/>
        <w:rPr>
          <w:rFonts w:ascii="Arial" w:cs="Arial" w:eastAsia="Arial" w:hAnsi="Arial"/>
          <w:sz w:val="17"/>
          <w:szCs w:val="17"/>
          <w:color w:val="auto"/>
        </w:rPr>
      </w:pPr>
    </w:p>
    <w:p>
      <w:pPr>
        <w:ind w:left="660" w:right="40" w:hanging="328"/>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revenue when, or as, we satisfy a performance obligation. </w:t>
      </w:r>
      <w:r>
        <w:rPr>
          <w:rFonts w:ascii="Arial" w:cs="Arial" w:eastAsia="Arial" w:hAnsi="Arial"/>
          <w:sz w:val="18"/>
          <w:szCs w:val="18"/>
          <w:color w:val="auto"/>
        </w:rPr>
        <w:t>We recognize revenue at the time the related performance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satisfied when control of the services or products are transferred to the customers,</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in an amount that reflects the consideration we expect to be entitled to in exchange for those services or products. We record our revenue net of any value added or sales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C2C2C"/>
        </w:rPr>
        <w:t>Business Combinations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use our best estimates and assumptions to assign fair value to the tangible and intangible assets acquired and liabilities assumed as of the acquisition date.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our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Compensation expense related to stock options granted to employees is calculated based on the fair value of stock-based awards on the date of grant. We determine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3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For stock-based awards issued to non-employees, including consultants, we record expense related to stock options based on the fair value of the options calculated using the Black-Scholes option-pricing model over the service performance period.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33"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Our stock price volatility and expected option life involve management's best estimates, both of which impact the fair value of the option calculated under the Black-Scholes option pricing model and, ultimately, the expense that will be recognized over the life of the option.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Consolidated Financial Statements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this Form 10-K for a discussion of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operations both within the United States and internationally and we are exposed to market risk in the ordinary course of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Interest Rate Risk</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cash and cash equivalents primarily consist of bank deposits and money market funds and our short-term investments consist of U.S. government treasury securities. As of January 31, 2020 and 2019, we had cash, cash equivalents, restricted cash and short-term investments of $987.0 million and $466.5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2020 and 2019.</w:t>
      </w:r>
    </w:p>
    <w:p>
      <w:pPr>
        <w:spacing w:after="0" w:line="11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January 2020, we issued $1.15 billion aggregate principal amount of 0.25% convertible senior notes due 2026 in a private placement (the “2026 Notes”). In June 2018, we issued $250.0 million aggregate principal amount of 0.75% convertible senior notes due 2024 in a private placement and, in July 2018, we issued an additional $50.0 million aggregate principal amount of convertible senior notes pursuant to the exercise in full of the initial purchasers’ option to purchase additional convertible senior notes (collectively, the “2024 Notes”). The fair values of the 2026 Notes and 2024 Notes are subject to interest rate risk, market risk and other factors due to the conversion feature. The fair value of the convertible senior notes will generally increase as our Class A common stock price increases and will generally decrease as our Class A</w:t>
      </w:r>
    </w:p>
    <w:p>
      <w:pPr>
        <w:spacing w:after="0" w:line="200" w:lineRule="exact"/>
        <w:rPr>
          <w:sz w:val="20"/>
          <w:szCs w:val="20"/>
          <w:color w:val="auto"/>
        </w:rPr>
      </w:pPr>
    </w:p>
    <w:p>
      <w:pPr>
        <w:spacing w:after="0" w:line="36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122" w:right="37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balance sheet and we present the fair value for required disclosure purposes only.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 Risk</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2020 and 2019.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200" w:lineRule="exact"/>
        <w:rPr>
          <w:sz w:val="20"/>
          <w:szCs w:val="20"/>
          <w:color w:val="auto"/>
        </w:rPr>
      </w:pPr>
    </w:p>
    <w:p>
      <w:pPr>
        <w:spacing w:after="0" w:line="37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642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90"/>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4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40" w:type="dxa"/>
            <w:vAlign w:val="bottom"/>
          </w:tcPr>
          <w:p>
            <w:pPr>
              <w:spacing w:after="0"/>
              <w:rPr>
                <w:sz w:val="19"/>
                <w:szCs w:val="19"/>
                <w:color w:val="auto"/>
              </w:rPr>
            </w:pPr>
          </w:p>
        </w:tc>
        <w:tc>
          <w:tcPr>
            <w:tcW w:w="1040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January 31, 2020 and 2019</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40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 for the years ended January 31, 2020, 2019 and 2018</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400" w:type="dxa"/>
            <w:vAlign w:val="bottom"/>
            <w:gridSpan w:val="7"/>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Statements of Comprehensive Loss for the years ended January 31, 2020, 2019 and 2018</w:t>
              </w:r>
            </w:hyperlink>
          </w:p>
        </w:tc>
        <w:tc>
          <w:tcPr>
            <w:tcW w:w="300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2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Redeemable Convertible Preferred Stock and Stockholders’ Equity (Deficit) for the years ended January 31, 2020,</w:t>
              </w:r>
            </w:hyperlink>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10400" w:type="dxa"/>
            <w:vAlign w:val="bottom"/>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2019 and 2018</w:t>
              </w:r>
            </w:hyperlink>
          </w:p>
        </w:tc>
        <w:tc>
          <w:tcPr>
            <w:tcW w:w="560" w:type="dxa"/>
            <w:vAlign w:val="bottom"/>
            <w:gridSpan w:val="3"/>
          </w:tcPr>
          <w:p>
            <w:pPr>
              <w:jc w:val="right"/>
              <w:ind w:right="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Statements of Cash Flows for years ended January 31, 2020, 2019 and 2018</w:t>
              </w:r>
            </w:hyperlink>
          </w:p>
        </w:tc>
        <w:tc>
          <w:tcPr>
            <w:tcW w:w="39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39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 xml:space="preserve">The supplementary financial information required by this Item 8, is included in Part II,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under the caption “Quarterly Results of Operations Data,”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MongoDB, Inc. and its subsidiaries (the “Company”) as of January 31, 2020 and 2019, and the related consolidated statements of operations, of comprehensive loss, of redeemable convertible preferred stock and stockholders' equity (deficit) and of cash flows for each of the three years in the period ended January 31, 2020, including the related notes and schedule of valuation and qualifying accounts for each of the three years in the period ended January 31, 2020 appearing under Item 15(a)(2) (collectively referred to as the “consolidated financial statements”). We also have audited the Company's internal control over financial reporting as of January 31, 2020,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2020 and 2019, and the results of its operations and its cash flows for each of the three years in the period ended January 31, 2020 in conformity with accounting principles generally accepted in the United States of America. Also in our opinion, the Company maintained, in all material respects, effective internal control over financial reporting as of January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February 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w:t>
      </w:r>
    </w:p>
    <w:p>
      <w:pPr>
        <w:spacing w:after="0" w:line="200" w:lineRule="exact"/>
        <w:rPr>
          <w:sz w:val="20"/>
          <w:szCs w:val="20"/>
          <w:color w:val="auto"/>
        </w:rPr>
      </w:pPr>
    </w:p>
    <w:p>
      <w:pPr>
        <w:spacing w:after="0" w:line="34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Allocation of transaction price in revenue arrangements with multiple performance obligations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Notes 2 and 11 to the consolidated financial statements, other subscription revenue was $237.3 million for the year ended January 31, 2020. Certain of the Company’s contracts with customers contain multiple performance obligations, such as the license portion of time-based software licenses, post-contract customer support, and services. For these contracts that contain multiple performance obligations, management allocates the transaction price to each performance obligation based on a relative standalone selling price. Management determines each standalone selling price based on multiple factors, including past history of selling such performance obligations as standalone products. Management estimates standalone selling price for performance obligations with no observable evidence using adjusted market, cost plus and residual methods to establish the standalone selling prices. In cases where directly observable standalone sales are not available, management utilizes all observable data points including competitor pricing for a similar or identical product, market and industry data points, and the Company’s pricing practices.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 allocation of transaction price in revenue arrangements with multiple performance obligations is a critical audit matter are there was significant judgment by management in 1) estimating the standalone selling price for certain of the Company’s performance obligations, and 2) allocating the transaction price based on a relative allocation of standalone selling price to those individual performance obligations. This in turn led to significant auditor judgment and effort in performing procedures to evaluate management’s estimates of standalone selling price and the allocation of transaction price to the individual performance obligations.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estimating the standalone selling price and the allocation of transaction price to individual performance obligations. These procedures also included, among others, evaluating and testing management’s process for estimating standalone selling prices and testing the reasonableness of management’s estimation of standalone selling prices. Testing the estimation of standalone selling prices involved evaluating the reliability and relevance of source data utilized in management’s calculations. These procedures also included testing the relative allocation of transaction price to individual performance obligations based on a sample of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5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64"/>
              <w:spacing w:after="0"/>
              <w:rPr>
                <w:sz w:val="20"/>
                <w:szCs w:val="20"/>
                <w:color w:val="auto"/>
              </w:rPr>
            </w:pPr>
            <w:r>
              <w:rPr>
                <w:rFonts w:ascii="Arial" w:cs="Arial" w:eastAsia="Arial" w:hAnsi="Arial"/>
                <w:sz w:val="14"/>
                <w:szCs w:val="14"/>
                <w:b w:val="1"/>
                <w:bCs w:val="1"/>
                <w:color w:val="auto"/>
              </w:rPr>
              <w:t>As of January 31,</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8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6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300" w:type="dxa"/>
            <w:vAlign w:val="bottom"/>
            <w:vMerge w:val="restart"/>
          </w:tcPr>
          <w:p>
            <w:pPr>
              <w:jc w:val="right"/>
              <w:ind w:right="124"/>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706,192</w:t>
            </w:r>
          </w:p>
        </w:tc>
        <w:tc>
          <w:tcPr>
            <w:tcW w:w="100" w:type="dxa"/>
            <w:vAlign w:val="bottom"/>
          </w:tcPr>
          <w:p>
            <w:pPr>
              <w:spacing w:after="0"/>
              <w:rPr>
                <w:sz w:val="18"/>
                <w:szCs w:val="18"/>
                <w:color w:val="auto"/>
              </w:rPr>
            </w:pPr>
          </w:p>
        </w:tc>
        <w:tc>
          <w:tcPr>
            <w:tcW w:w="280" w:type="dxa"/>
            <w:vAlign w:val="bottom"/>
            <w:vMerge w:val="restart"/>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147,831</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Short-term investments</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280,326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318,139</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0"/>
              <w:spacing w:after="0"/>
              <w:rPr>
                <w:sz w:val="20"/>
                <w:szCs w:val="20"/>
                <w:color w:val="auto"/>
              </w:rPr>
            </w:pPr>
            <w:r>
              <w:rPr>
                <w:rFonts w:ascii="Arial" w:cs="Arial" w:eastAsia="Arial" w:hAnsi="Arial"/>
                <w:sz w:val="15"/>
                <w:szCs w:val="15"/>
                <w:color w:val="auto"/>
                <w:w w:val="99"/>
              </w:rPr>
              <w:t>Accounts receivable, net of allowance for doubtful accounts of $2,515 and $1,539 as of January 31, 2020 and 2019, respectively</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85,554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72,808</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commissions</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24,219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15,878</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660" w:type="dxa"/>
            <w:vAlign w:val="bottom"/>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21"/>
                <w:szCs w:val="21"/>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16,905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11,580</w:t>
            </w:r>
          </w:p>
        </w:tc>
        <w:tc>
          <w:tcPr>
            <w:tcW w:w="0" w:type="dxa"/>
            <w:vAlign w:val="bottom"/>
          </w:tcPr>
          <w:p>
            <w:pPr>
              <w:spacing w:after="0"/>
              <w:rPr>
                <w:sz w:val="1"/>
                <w:szCs w:val="1"/>
                <w:color w:val="auto"/>
              </w:rPr>
            </w:pPr>
          </w:p>
        </w:tc>
      </w:tr>
      <w:tr>
        <w:trPr>
          <w:trHeight w:val="22"/>
        </w:trPr>
        <w:tc>
          <w:tcPr>
            <w:tcW w:w="8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current assets</w:t>
            </w: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1,113,196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566,236</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58,316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73,664</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11,147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55,830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41,878</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Acquired intangible assets, net</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34,779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15,894</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1,193</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54,684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34,611</w:t>
            </w:r>
          </w:p>
        </w:tc>
        <w:tc>
          <w:tcPr>
            <w:tcW w:w="0" w:type="dxa"/>
            <w:vAlign w:val="bottom"/>
          </w:tcPr>
          <w:p>
            <w:pPr>
              <w:spacing w:after="0"/>
              <w:rPr>
                <w:sz w:val="1"/>
                <w:szCs w:val="1"/>
                <w:color w:val="auto"/>
              </w:rPr>
            </w:pPr>
          </w:p>
        </w:tc>
      </w:tr>
      <w:tr>
        <w:trPr>
          <w:trHeight w:val="202"/>
        </w:trPr>
        <w:tc>
          <w:tcPr>
            <w:tcW w:w="866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3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1,328,567</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733,476</w:t>
            </w:r>
          </w:p>
        </w:tc>
        <w:tc>
          <w:tcPr>
            <w:tcW w:w="0" w:type="dxa"/>
            <w:vAlign w:val="bottom"/>
          </w:tcPr>
          <w:p>
            <w:pPr>
              <w:spacing w:after="0"/>
              <w:rPr>
                <w:sz w:val="1"/>
                <w:szCs w:val="1"/>
                <w:color w:val="auto"/>
              </w:rPr>
            </w:pPr>
          </w:p>
        </w:tc>
      </w:tr>
      <w:tr>
        <w:trPr>
          <w:trHeight w:val="75"/>
        </w:trPr>
        <w:tc>
          <w:tcPr>
            <w:tcW w:w="86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866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8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3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2,849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2,153</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0"/>
              <w:spacing w:after="0"/>
              <w:rPr>
                <w:sz w:val="20"/>
                <w:szCs w:val="20"/>
                <w:color w:val="auto"/>
              </w:rPr>
            </w:pPr>
            <w:r>
              <w:rPr>
                <w:rFonts w:ascii="Arial" w:cs="Arial" w:eastAsia="Arial" w:hAnsi="Arial"/>
                <w:sz w:val="15"/>
                <w:szCs w:val="15"/>
                <w:color w:val="auto"/>
              </w:rPr>
              <w:t>Accrued compensation and benefits</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41,427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25,982</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 liabilities</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0"/>
              <w:spacing w:after="0"/>
              <w:rPr>
                <w:sz w:val="20"/>
                <w:szCs w:val="20"/>
                <w:color w:val="auto"/>
              </w:rPr>
            </w:pPr>
            <w:r>
              <w:rPr>
                <w:rFonts w:ascii="Arial" w:cs="Arial" w:eastAsia="Arial" w:hAnsi="Arial"/>
                <w:sz w:val="15"/>
                <w:szCs w:val="15"/>
                <w:color w:val="auto"/>
              </w:rPr>
              <w:t>Other accrued liabilities</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26,860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14,169</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167,498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122,333</w:t>
            </w:r>
          </w:p>
        </w:tc>
        <w:tc>
          <w:tcPr>
            <w:tcW w:w="0" w:type="dxa"/>
            <w:vAlign w:val="bottom"/>
          </w:tcPr>
          <w:p>
            <w:pPr>
              <w:spacing w:after="0"/>
              <w:rPr>
                <w:sz w:val="1"/>
                <w:szCs w:val="1"/>
                <w:color w:val="auto"/>
              </w:rPr>
            </w:pPr>
          </w:p>
        </w:tc>
      </w:tr>
      <w:tr>
        <w:trPr>
          <w:trHeight w:val="188"/>
        </w:trPr>
        <w:tc>
          <w:tcPr>
            <w:tcW w:w="866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rPr>
              <w:t>242,384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164,637</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rent, non-current</w:t>
            </w:r>
          </w:p>
        </w:tc>
        <w:tc>
          <w:tcPr>
            <w:tcW w:w="3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2,567</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Arial" w:cs="Arial" w:eastAsia="Arial" w:hAnsi="Arial"/>
                <w:sz w:val="15"/>
                <w:szCs w:val="15"/>
                <w:color w:val="auto"/>
              </w:rPr>
              <w:t>Deferred tax liability, non-current</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liabilities, non-current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8"/>
        </w:trPr>
        <w:tc>
          <w:tcPr>
            <w:tcW w:w="8660" w:type="dxa"/>
            <w:vAlign w:val="bottom"/>
          </w:tcPr>
          <w:p>
            <w:pPr>
              <w:ind w:left="20"/>
              <w:spacing w:after="0"/>
              <w:rPr>
                <w:sz w:val="20"/>
                <w:szCs w:val="20"/>
                <w:color w:val="auto"/>
              </w:rPr>
            </w:pPr>
            <w:r>
              <w:rPr>
                <w:rFonts w:ascii="Arial" w:cs="Arial" w:eastAsia="Arial" w:hAnsi="Arial"/>
                <w:sz w:val="15"/>
                <w:szCs w:val="15"/>
                <w:color w:val="auto"/>
              </w:rPr>
              <w:t>Deferred revenue, non-current</w:t>
            </w:r>
          </w:p>
        </w:tc>
        <w:tc>
          <w:tcPr>
            <w:tcW w:w="300" w:type="dxa"/>
            <w:vAlign w:val="bottom"/>
          </w:tcPr>
          <w:p>
            <w:pPr>
              <w:spacing w:after="0"/>
              <w:rPr>
                <w:sz w:val="21"/>
                <w:szCs w:val="21"/>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23,281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15,343</w:t>
            </w:r>
          </w:p>
        </w:tc>
        <w:tc>
          <w:tcPr>
            <w:tcW w:w="0" w:type="dxa"/>
            <w:vAlign w:val="bottom"/>
          </w:tcPr>
          <w:p>
            <w:pPr>
              <w:spacing w:after="0"/>
              <w:rPr>
                <w:sz w:val="1"/>
                <w:szCs w:val="1"/>
                <w:color w:val="auto"/>
              </w:rPr>
            </w:pPr>
          </w:p>
        </w:tc>
      </w:tr>
      <w:tr>
        <w:trPr>
          <w:trHeight w:val="22"/>
        </w:trPr>
        <w:tc>
          <w:tcPr>
            <w:tcW w:w="8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Convertible senior notes,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911,075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216,858</w:t>
            </w:r>
          </w:p>
        </w:tc>
        <w:tc>
          <w:tcPr>
            <w:tcW w:w="0" w:type="dxa"/>
            <w:vAlign w:val="bottom"/>
          </w:tcPr>
          <w:p>
            <w:pPr>
              <w:spacing w:after="0"/>
              <w:rPr>
                <w:sz w:val="1"/>
                <w:szCs w:val="1"/>
                <w:color w:val="auto"/>
              </w:rPr>
            </w:pPr>
          </w:p>
        </w:tc>
      </w:tr>
      <w:tr>
        <w:trPr>
          <w:trHeight w:val="248"/>
        </w:trPr>
        <w:tc>
          <w:tcPr>
            <w:tcW w:w="8660" w:type="dxa"/>
            <w:vAlign w:val="bottom"/>
          </w:tcPr>
          <w:p>
            <w:pPr>
              <w:ind w:left="20"/>
              <w:spacing w:after="0"/>
              <w:rPr>
                <w:sz w:val="20"/>
                <w:szCs w:val="20"/>
                <w:color w:val="auto"/>
              </w:rPr>
            </w:pPr>
            <w:r>
              <w:rPr>
                <w:rFonts w:ascii="Arial" w:cs="Arial" w:eastAsia="Arial" w:hAnsi="Arial"/>
                <w:sz w:val="15"/>
                <w:szCs w:val="15"/>
                <w:color w:val="auto"/>
              </w:rPr>
              <w:t>Other liabilities, non-current</w:t>
            </w:r>
          </w:p>
        </w:tc>
        <w:tc>
          <w:tcPr>
            <w:tcW w:w="300" w:type="dxa"/>
            <w:vAlign w:val="bottom"/>
          </w:tcPr>
          <w:p>
            <w:pPr>
              <w:spacing w:after="0"/>
              <w:rPr>
                <w:sz w:val="21"/>
                <w:szCs w:val="21"/>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60,035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69,399</w:t>
            </w:r>
          </w:p>
        </w:tc>
        <w:tc>
          <w:tcPr>
            <w:tcW w:w="0" w:type="dxa"/>
            <w:vAlign w:val="bottom"/>
          </w:tcPr>
          <w:p>
            <w:pPr>
              <w:spacing w:after="0"/>
              <w:rPr>
                <w:sz w:val="1"/>
                <w:szCs w:val="1"/>
                <w:color w:val="auto"/>
              </w:rPr>
            </w:pPr>
          </w:p>
        </w:tc>
      </w:tr>
      <w:tr>
        <w:trPr>
          <w:trHeight w:val="22"/>
        </w:trPr>
        <w:tc>
          <w:tcPr>
            <w:tcW w:w="8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1,245,709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468,910</w:t>
            </w:r>
          </w:p>
        </w:tc>
        <w:tc>
          <w:tcPr>
            <w:tcW w:w="0" w:type="dxa"/>
            <w:vAlign w:val="bottom"/>
          </w:tcPr>
          <w:p>
            <w:pPr>
              <w:spacing w:after="0"/>
              <w:rPr>
                <w:sz w:val="1"/>
                <w:szCs w:val="1"/>
                <w:color w:val="auto"/>
              </w:rPr>
            </w:pPr>
          </w:p>
        </w:tc>
      </w:tr>
      <w:tr>
        <w:trPr>
          <w:trHeight w:val="188"/>
        </w:trPr>
        <w:tc>
          <w:tcPr>
            <w:tcW w:w="8660" w:type="dxa"/>
            <w:vAlign w:val="bottom"/>
          </w:tcPr>
          <w:p>
            <w:pPr>
              <w:ind w:left="20"/>
              <w:spacing w:after="0"/>
              <w:rPr>
                <w:sz w:val="20"/>
                <w:szCs w:val="20"/>
                <w:color w:val="auto"/>
              </w:rPr>
            </w:pPr>
            <w:r>
              <w:rPr>
                <w:rFonts w:ascii="Arial" w:cs="Arial" w:eastAsia="Arial" w:hAnsi="Arial"/>
                <w:sz w:val="15"/>
                <w:szCs w:val="15"/>
                <w:color w:val="auto"/>
              </w:rPr>
              <w:t>Commitments and contingencies (Note 9)</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200"/>
              <w:spacing w:after="0"/>
              <w:rPr>
                <w:sz w:val="20"/>
                <w:szCs w:val="20"/>
                <w:color w:val="auto"/>
              </w:rPr>
            </w:pPr>
            <w:r>
              <w:rPr>
                <w:rFonts w:ascii="Arial" w:cs="Arial" w:eastAsia="Arial" w:hAnsi="Arial"/>
                <w:sz w:val="15"/>
                <w:szCs w:val="15"/>
                <w:color w:val="auto"/>
                <w:w w:val="91"/>
              </w:rPr>
              <w:t>Class A common stock, par value of $0.001 per share; 1,000,000,000 shares authorized as of January 31, 2020 and 2019; 48,512,090 and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60" w:type="dxa"/>
            <w:vAlign w:val="bottom"/>
          </w:tcPr>
          <w:p>
            <w:pPr>
              <w:ind w:left="380"/>
              <w:spacing w:after="0"/>
              <w:rPr>
                <w:sz w:val="20"/>
                <w:szCs w:val="20"/>
                <w:color w:val="auto"/>
              </w:rPr>
            </w:pPr>
            <w:r>
              <w:rPr>
                <w:rFonts w:ascii="Arial" w:cs="Arial" w:eastAsia="Arial" w:hAnsi="Arial"/>
                <w:sz w:val="15"/>
                <w:szCs w:val="15"/>
                <w:color w:val="auto"/>
              </w:rPr>
              <w:t>36,286,573 shares issued and outstanding as of January 31, 2020 and 2019, respectively</w:t>
            </w:r>
          </w:p>
        </w:tc>
        <w:tc>
          <w:tcPr>
            <w:tcW w:w="3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80"/>
        </w:trPr>
        <w:tc>
          <w:tcPr>
            <w:tcW w:w="86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Class B common stock, par value of $0.001 per share; 100,000,000 shares authorized as of January 31, 2020 and 2019; 8,969,824 and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660" w:type="dxa"/>
            <w:vAlign w:val="bottom"/>
            <w:shd w:val="clear" w:color="auto" w:fill="CCEEFF"/>
          </w:tcPr>
          <w:p>
            <w:pPr>
              <w:ind w:left="380"/>
              <w:spacing w:after="0" w:line="162" w:lineRule="exact"/>
              <w:rPr>
                <w:sz w:val="20"/>
                <w:szCs w:val="20"/>
                <w:color w:val="auto"/>
              </w:rPr>
            </w:pPr>
            <w:r>
              <w:rPr>
                <w:rFonts w:ascii="Arial" w:cs="Arial" w:eastAsia="Arial" w:hAnsi="Arial"/>
                <w:sz w:val="15"/>
                <w:szCs w:val="15"/>
                <w:color w:val="auto"/>
                <w:w w:val="99"/>
              </w:rPr>
              <w:t>18,134,608 shares issued as of January 31, 2020 and 2019, respectively; 8,870,453 and 18,035,237 shares outstanding as of</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January 31, 2020 and 2019, respectively</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8"/>
        </w:trPr>
        <w:tc>
          <w:tcPr>
            <w:tcW w:w="866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752,127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754,612</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99,371 shares (repurchased at an average of $13.27 per share) as of January 31, 2020 and 2019</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(1,319)</w:t>
            </w:r>
          </w:p>
        </w:tc>
        <w:tc>
          <w:tcPr>
            <w:tcW w:w="0" w:type="dxa"/>
            <w:vAlign w:val="bottom"/>
          </w:tcPr>
          <w:p>
            <w:pPr>
              <w:spacing w:after="0"/>
              <w:rPr>
                <w:sz w:val="1"/>
                <w:szCs w:val="1"/>
                <w:color w:val="auto"/>
              </w:rPr>
            </w:pPr>
          </w:p>
        </w:tc>
      </w:tr>
      <w:tr>
        <w:trPr>
          <w:trHeight w:val="62"/>
        </w:trPr>
        <w:tc>
          <w:tcPr>
            <w:tcW w:w="8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(loss)</w:t>
            </w:r>
          </w:p>
        </w:tc>
        <w:tc>
          <w:tcPr>
            <w:tcW w:w="300" w:type="dxa"/>
            <w:vAlign w:val="bottom"/>
          </w:tcPr>
          <w:p>
            <w:pPr>
              <w:spacing w:after="0"/>
              <w:rPr>
                <w:sz w:val="18"/>
                <w:szCs w:val="18"/>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58"/>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(668,232)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(488,607)</w:t>
            </w:r>
          </w:p>
        </w:tc>
        <w:tc>
          <w:tcPr>
            <w:tcW w:w="0" w:type="dxa"/>
            <w:vAlign w:val="bottom"/>
          </w:tcPr>
          <w:p>
            <w:pPr>
              <w:spacing w:after="0"/>
              <w:rPr>
                <w:sz w:val="1"/>
                <w:szCs w:val="1"/>
                <w:color w:val="auto"/>
              </w:rPr>
            </w:pPr>
          </w:p>
        </w:tc>
      </w:tr>
      <w:tr>
        <w:trPr>
          <w:trHeight w:val="215"/>
        </w:trPr>
        <w:tc>
          <w:tcPr>
            <w:tcW w:w="8660" w:type="dxa"/>
            <w:vAlign w:val="bottom"/>
          </w:tcPr>
          <w:p>
            <w:pPr>
              <w:ind w:left="2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82,858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264,566</w:t>
            </w:r>
          </w:p>
        </w:tc>
        <w:tc>
          <w:tcPr>
            <w:tcW w:w="0" w:type="dxa"/>
            <w:vAlign w:val="bottom"/>
          </w:tcPr>
          <w:p>
            <w:pPr>
              <w:spacing w:after="0"/>
              <w:rPr>
                <w:sz w:val="1"/>
                <w:szCs w:val="1"/>
                <w:color w:val="auto"/>
              </w:rPr>
            </w:pPr>
          </w:p>
        </w:tc>
      </w:tr>
      <w:tr>
        <w:trPr>
          <w:trHeight w:val="35"/>
        </w:trPr>
        <w:tc>
          <w:tcPr>
            <w:tcW w:w="8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1,328,567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733,476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January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6"/>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399,826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248,391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151,853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14,175</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421,720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267,016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166,028</w:t>
            </w:r>
          </w:p>
        </w:tc>
      </w:tr>
      <w:tr>
        <w:trPr>
          <w:trHeight w:val="40"/>
        </w:trPr>
        <w:tc>
          <w:tcPr>
            <w:tcW w:w="66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101,691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30,766</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12,093</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125,356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42,859</w:t>
            </w:r>
          </w:p>
        </w:tc>
      </w:tr>
      <w:tr>
        <w:trPr>
          <w:trHeight w:val="40"/>
        </w:trPr>
        <w:tc>
          <w:tcPr>
            <w:tcW w:w="66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123,169</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109,073</w:t>
            </w: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149,033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62,202</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71,304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36,775</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444,230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291,213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208,050</w:t>
            </w:r>
          </w:p>
        </w:tc>
      </w:tr>
      <w:tr>
        <w:trPr>
          <w:trHeight w:val="41"/>
        </w:trPr>
        <w:tc>
          <w:tcPr>
            <w:tcW w:w="66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(84,881)</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(82,686)</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(175,522)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(83,973)</w:t>
            </w:r>
          </w:p>
        </w:tc>
      </w:tr>
      <w:tr>
        <w:trPr>
          <w:trHeight w:val="80"/>
        </w:trPr>
        <w:tc>
          <w:tcPr>
            <w:tcW w:w="66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55,939,032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52,034,596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23,718,391</w:t>
            </w:r>
          </w:p>
        </w:tc>
      </w:tr>
      <w:tr>
        <w:trPr>
          <w:trHeight w:val="40"/>
        </w:trPr>
        <w:tc>
          <w:tcPr>
            <w:tcW w:w="66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January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6"/>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(175,522)</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(83,973)</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293</w:t>
            </w:r>
          </w:p>
        </w:tc>
      </w:tr>
      <w:tr>
        <w:trPr>
          <w:trHeight w:val="40"/>
        </w:trPr>
        <w:tc>
          <w:tcPr>
            <w:tcW w:w="66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77"/>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(175,123)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(83,768)</w:t>
            </w:r>
          </w:p>
        </w:tc>
      </w:tr>
      <w:tr>
        <w:trPr>
          <w:trHeight w:val="54"/>
        </w:trPr>
        <w:tc>
          <w:tcPr>
            <w:tcW w:w="66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data)</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Balances as of January 31, 2017</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Exercise of preferred stock warrants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Exercise of common stock warrants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 option exercises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Repurchase of early exercised options</w:t>
      </w:r>
    </w:p>
    <w:p>
      <w:pPr>
        <w:spacing w:after="0" w:line="132" w:lineRule="exact"/>
        <w:rPr>
          <w:sz w:val="20"/>
          <w:szCs w:val="20"/>
          <w:color w:val="auto"/>
        </w:rPr>
      </w:pPr>
    </w:p>
    <w:p>
      <w:pPr>
        <w:ind w:left="380" w:right="320" w:hanging="188"/>
        <w:spacing w:after="0" w:line="252" w:lineRule="auto"/>
        <w:rPr>
          <w:sz w:val="20"/>
          <w:szCs w:val="20"/>
          <w:color w:val="auto"/>
        </w:rPr>
      </w:pPr>
      <w:r>
        <w:rPr>
          <w:rFonts w:ascii="Arial" w:cs="Arial" w:eastAsia="Arial" w:hAnsi="Arial"/>
          <w:sz w:val="12"/>
          <w:szCs w:val="12"/>
          <w:color w:val="auto"/>
        </w:rPr>
        <w:t>Conversion of redeemable convertible preferred stock to common stock</w:t>
      </w:r>
    </w:p>
    <w:p>
      <w:pPr>
        <w:spacing w:after="0" w:line="34" w:lineRule="exact"/>
        <w:rPr>
          <w:sz w:val="20"/>
          <w:szCs w:val="20"/>
          <w:color w:val="auto"/>
        </w:rPr>
      </w:pPr>
    </w:p>
    <w:p>
      <w:pPr>
        <w:ind w:left="380" w:right="100" w:hanging="188"/>
        <w:spacing w:after="0" w:line="252" w:lineRule="auto"/>
        <w:rPr>
          <w:sz w:val="20"/>
          <w:szCs w:val="20"/>
          <w:color w:val="auto"/>
        </w:rPr>
      </w:pPr>
      <w:r>
        <w:rPr>
          <w:rFonts w:ascii="Arial" w:cs="Arial" w:eastAsia="Arial" w:hAnsi="Arial"/>
          <w:sz w:val="12"/>
          <w:szCs w:val="12"/>
          <w:color w:val="auto"/>
        </w:rPr>
        <w:t>Issuance of common stock upon initial public offering, net of offering costs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Vesting of early exercised stock options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Stock-based compensation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Unrealized loss on available-for-sale securities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Foreign currency translation adjustment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loss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Balances as of January 31, 2018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 option exercises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Repurchase of early exercised options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Vesting of early exercised stock options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Vesting of restricted stock units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Stock-based compensation</w:t>
      </w:r>
    </w:p>
    <w:p>
      <w:pPr>
        <w:spacing w:after="0" w:line="132" w:lineRule="exact"/>
        <w:rPr>
          <w:sz w:val="20"/>
          <w:szCs w:val="20"/>
          <w:color w:val="auto"/>
        </w:rPr>
      </w:pPr>
    </w:p>
    <w:p>
      <w:pPr>
        <w:ind w:left="380" w:hanging="188"/>
        <w:spacing w:after="0" w:line="252" w:lineRule="auto"/>
        <w:rPr>
          <w:sz w:val="20"/>
          <w:szCs w:val="20"/>
          <w:color w:val="auto"/>
        </w:rPr>
      </w:pPr>
      <w:r>
        <w:rPr>
          <w:rFonts w:ascii="Arial" w:cs="Arial" w:eastAsia="Arial" w:hAnsi="Arial"/>
          <w:sz w:val="12"/>
          <w:szCs w:val="12"/>
          <w:color w:val="auto"/>
        </w:rPr>
        <w:t>Issuance of common stock under the Employee Stock Purchase Plan</w:t>
      </w:r>
    </w:p>
    <w:p>
      <w:pPr>
        <w:spacing w:after="0" w:line="48" w:lineRule="exact"/>
        <w:rPr>
          <w:sz w:val="20"/>
          <w:szCs w:val="20"/>
          <w:color w:val="auto"/>
        </w:rPr>
      </w:pPr>
    </w:p>
    <w:p>
      <w:pPr>
        <w:ind w:left="380" w:right="120" w:hanging="188"/>
        <w:spacing w:after="0" w:line="252" w:lineRule="auto"/>
        <w:rPr>
          <w:sz w:val="20"/>
          <w:szCs w:val="20"/>
          <w:color w:val="auto"/>
        </w:rPr>
      </w:pPr>
      <w:r>
        <w:rPr>
          <w:rFonts w:ascii="Arial" w:cs="Arial" w:eastAsia="Arial" w:hAnsi="Arial"/>
          <w:sz w:val="12"/>
          <w:szCs w:val="12"/>
          <w:color w:val="auto"/>
        </w:rPr>
        <w:t>Equity component of the 0.75% convertible senior notes due 2024</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Purchase of capped calls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Unrealized gain on available-for-sale securities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Foreign currency translation adjustment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loss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Balances as of January 31, 2019</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Cumulative effect of accounting change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 option exercises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Repurchase of early exercised options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Vesting of early exercised stock options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Vesting of restricted stock units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Stock-based compensation</w:t>
      </w:r>
    </w:p>
    <w:p>
      <w:pPr>
        <w:spacing w:after="0" w:line="132" w:lineRule="exact"/>
        <w:rPr>
          <w:sz w:val="20"/>
          <w:szCs w:val="20"/>
          <w:color w:val="auto"/>
        </w:rPr>
      </w:pPr>
    </w:p>
    <w:p>
      <w:pPr>
        <w:ind w:left="380" w:hanging="188"/>
        <w:spacing w:after="0" w:line="252" w:lineRule="auto"/>
        <w:rPr>
          <w:sz w:val="20"/>
          <w:szCs w:val="20"/>
          <w:color w:val="auto"/>
        </w:rPr>
      </w:pPr>
      <w:r>
        <w:rPr>
          <w:rFonts w:ascii="Arial" w:cs="Arial" w:eastAsia="Arial" w:hAnsi="Arial"/>
          <w:sz w:val="12"/>
          <w:szCs w:val="12"/>
          <w:color w:val="auto"/>
        </w:rPr>
        <w:t>Issuance of common stock under the Employee Stock Purchase Plan</w:t>
      </w:r>
    </w:p>
    <w:p>
      <w:pPr>
        <w:spacing w:after="0" w:line="34" w:lineRule="exact"/>
        <w:rPr>
          <w:sz w:val="20"/>
          <w:szCs w:val="20"/>
          <w:color w:val="auto"/>
        </w:rPr>
      </w:pPr>
    </w:p>
    <w:p>
      <w:pPr>
        <w:ind w:left="380" w:right="120" w:hanging="188"/>
        <w:spacing w:after="0" w:line="252" w:lineRule="auto"/>
        <w:rPr>
          <w:sz w:val="20"/>
          <w:szCs w:val="20"/>
          <w:color w:val="auto"/>
        </w:rPr>
      </w:pPr>
      <w:r>
        <w:rPr>
          <w:rFonts w:ascii="Arial" w:cs="Arial" w:eastAsia="Arial" w:hAnsi="Arial"/>
          <w:sz w:val="12"/>
          <w:szCs w:val="12"/>
          <w:color w:val="auto"/>
        </w:rPr>
        <w:t>Equity component of the 0.25% convertible senior notes due 2026</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Purchase of capped calls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Impact from 2024 Notes Partial Repurchase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Unrealized gain on available-for-sale securities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Foreign currency translation adjustment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loss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Balances as of January 31, 2020</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6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7"/>
              </w:rPr>
              <w:t>Redeemable</w:t>
            </w:r>
          </w:p>
        </w:tc>
        <w:tc>
          <w:tcPr>
            <w:tcW w:w="176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7"/>
              </w:rPr>
              <w:t>Class A and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Convertible</w:t>
            </w:r>
          </w:p>
        </w:tc>
        <w:tc>
          <w:tcPr>
            <w:tcW w:w="1040" w:type="dxa"/>
            <w:vAlign w:val="bottom"/>
            <w:gridSpan w:val="3"/>
          </w:tcPr>
          <w:p>
            <w:pPr>
              <w:jc w:val="center"/>
              <w:ind w:left="542"/>
              <w:spacing w:after="0" w:line="135" w:lineRule="exact"/>
              <w:rPr>
                <w:sz w:val="20"/>
                <w:szCs w:val="20"/>
                <w:color w:val="auto"/>
              </w:rPr>
            </w:pPr>
            <w:r>
              <w:rPr>
                <w:rFonts w:ascii="Arial" w:cs="Arial" w:eastAsia="Arial" w:hAnsi="Arial"/>
                <w:sz w:val="12"/>
                <w:szCs w:val="12"/>
                <w:b w:val="1"/>
                <w:bCs w:val="1"/>
                <w:color w:val="auto"/>
                <w:w w:val="81"/>
              </w:rPr>
              <w:t>Class B</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8"/>
        </w:trPr>
        <w:tc>
          <w:tcPr>
            <w:tcW w:w="18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7"/>
              </w:rPr>
              <w:t>Preferred Stock</w:t>
            </w:r>
          </w:p>
        </w:tc>
        <w:tc>
          <w:tcPr>
            <w:tcW w:w="17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88"/>
              </w:rPr>
              <w:t>Common Stock</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35"/>
        </w:trPr>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3"/>
                <w:szCs w:val="3"/>
                <w:color w:val="auto"/>
              </w:rPr>
            </w:pPr>
          </w:p>
        </w:tc>
        <w:tc>
          <w:tcPr>
            <w:tcW w:w="7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Treasury</w:t>
            </w:r>
          </w:p>
        </w:tc>
        <w:tc>
          <w:tcPr>
            <w:tcW w:w="920" w:type="dxa"/>
            <w:vAlign w:val="bottom"/>
            <w:gridSpan w:val="3"/>
            <w:vMerge w:val="restart"/>
          </w:tcPr>
          <w:p>
            <w:pPr>
              <w:jc w:val="center"/>
              <w:ind w:right="6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8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3"/>
                <w:szCs w:val="3"/>
                <w:color w:val="auto"/>
              </w:rPr>
            </w:pPr>
          </w:p>
        </w:tc>
        <w:tc>
          <w:tcPr>
            <w:tcW w:w="640" w:type="dxa"/>
            <w:vAlign w:val="bottom"/>
            <w:vMerge w:val="restart"/>
          </w:tcPr>
          <w:p>
            <w:pPr>
              <w:jc w:val="center"/>
              <w:ind w:right="82"/>
              <w:spacing w:after="0" w:line="135"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2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Capital</w:t>
            </w:r>
          </w:p>
        </w:tc>
        <w:tc>
          <w:tcPr>
            <w:tcW w:w="14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80" w:type="dxa"/>
            <w:vAlign w:val="bottom"/>
          </w:tcPr>
          <w:p>
            <w:pPr>
              <w:spacing w:after="0"/>
              <w:rPr>
                <w:sz w:val="13"/>
                <w:szCs w:val="13"/>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640" w:type="dxa"/>
            <w:vAlign w:val="bottom"/>
          </w:tcPr>
          <w:p>
            <w:pPr>
              <w:jc w:val="center"/>
              <w:ind w:right="82"/>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right"/>
              <w:ind w:right="62"/>
              <w:spacing w:after="0"/>
              <w:rPr>
                <w:sz w:val="20"/>
                <w:szCs w:val="20"/>
                <w:color w:val="auto"/>
              </w:rPr>
            </w:pPr>
            <w:r>
              <w:rPr>
                <w:rFonts w:ascii="Arial" w:cs="Arial" w:eastAsia="Arial" w:hAnsi="Arial"/>
                <w:sz w:val="12"/>
                <w:szCs w:val="12"/>
                <w:color w:val="auto"/>
              </w:rPr>
              <w:t>41,148,282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345,257</w:t>
            </w:r>
          </w:p>
        </w:tc>
        <w:tc>
          <w:tcPr>
            <w:tcW w:w="120" w:type="dxa"/>
            <w:vAlign w:val="bottom"/>
          </w:tcPr>
          <w:p>
            <w:pPr>
              <w:spacing w:after="0"/>
              <w:rPr>
                <w:sz w:val="20"/>
                <w:szCs w:val="20"/>
                <w:color w:val="auto"/>
              </w:rPr>
            </w:pP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13,093,621</w:t>
            </w:r>
          </w:p>
        </w:tc>
        <w:tc>
          <w:tcPr>
            <w:tcW w:w="120" w:type="dxa"/>
            <w:vAlign w:val="bottom"/>
          </w:tcPr>
          <w:p>
            <w:pPr>
              <w:spacing w:after="0"/>
              <w:rPr>
                <w:sz w:val="20"/>
                <w:szCs w:val="20"/>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62,557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(1,319)</w:t>
            </w:r>
          </w:p>
        </w:tc>
        <w:tc>
          <w:tcPr>
            <w:tcW w:w="100" w:type="dxa"/>
            <w:vAlign w:val="bottom"/>
          </w:tcPr>
          <w:p>
            <w:pPr>
              <w:spacing w:after="0"/>
              <w:rPr>
                <w:sz w:val="20"/>
                <w:szCs w:val="20"/>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(364)</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(305,623)</w:t>
            </w:r>
          </w:p>
        </w:tc>
        <w:tc>
          <w:tcPr>
            <w:tcW w:w="100" w:type="dxa"/>
            <w:vAlign w:val="bottom"/>
          </w:tcPr>
          <w:p>
            <w:pPr>
              <w:spacing w:after="0"/>
              <w:rPr>
                <w:sz w:val="20"/>
                <w:szCs w:val="20"/>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(244,736)</w:t>
            </w:r>
          </w:p>
        </w:tc>
        <w:tc>
          <w:tcPr>
            <w:tcW w:w="0" w:type="dxa"/>
            <w:vAlign w:val="bottom"/>
          </w:tcPr>
          <w:p>
            <w:pPr>
              <w:spacing w:after="0"/>
              <w:rPr>
                <w:sz w:val="1"/>
                <w:szCs w:val="1"/>
                <w:color w:val="auto"/>
              </w:rPr>
            </w:pPr>
          </w:p>
        </w:tc>
      </w:tr>
      <w:tr>
        <w:trPr>
          <w:trHeight w:val="270"/>
        </w:trPr>
        <w:tc>
          <w:tcPr>
            <w:tcW w:w="800" w:type="dxa"/>
            <w:vAlign w:val="bottom"/>
          </w:tcPr>
          <w:p>
            <w:pPr>
              <w:jc w:val="right"/>
              <w:ind w:right="62"/>
              <w:spacing w:after="0"/>
              <w:rPr>
                <w:sz w:val="20"/>
                <w:szCs w:val="20"/>
                <w:color w:val="auto"/>
              </w:rPr>
            </w:pPr>
            <w:r>
              <w:rPr>
                <w:rFonts w:ascii="Arial" w:cs="Arial" w:eastAsia="Arial" w:hAnsi="Arial"/>
                <w:sz w:val="12"/>
                <w:szCs w:val="12"/>
                <w:color w:val="auto"/>
              </w:rPr>
              <w:t>85,170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1,171</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99,534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1,263,722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5,596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5,597</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(34,710)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24"/>
        </w:trPr>
        <w:tc>
          <w:tcPr>
            <w:tcW w:w="800" w:type="dxa"/>
            <w:vAlign w:val="bottom"/>
          </w:tcPr>
          <w:p>
            <w:pPr>
              <w:jc w:val="right"/>
              <w:ind w:right="22"/>
              <w:spacing w:after="0"/>
              <w:rPr>
                <w:sz w:val="20"/>
                <w:szCs w:val="20"/>
                <w:color w:val="auto"/>
              </w:rPr>
            </w:pPr>
            <w:r>
              <w:rPr>
                <w:rFonts w:ascii="Arial" w:cs="Arial" w:eastAsia="Arial" w:hAnsi="Arial"/>
                <w:sz w:val="12"/>
                <w:szCs w:val="12"/>
                <w:color w:val="auto"/>
              </w:rPr>
              <w:t>(41,233,452)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(346,428)</w:t>
            </w:r>
          </w:p>
        </w:tc>
        <w:tc>
          <w:tcPr>
            <w:tcW w:w="120" w:type="dxa"/>
            <w:vAlign w:val="bottom"/>
          </w:tcPr>
          <w:p>
            <w:pPr>
              <w:spacing w:after="0"/>
              <w:rPr>
                <w:sz w:val="24"/>
                <w:szCs w:val="24"/>
                <w:color w:val="auto"/>
              </w:rPr>
            </w:pP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26,953,404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346,401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346,428</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9,200,000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201,611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201,620</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1,280</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21,235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21,235</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283"/>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(83,973)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(83,973)</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50,575,571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638,680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(1,319)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(389,596)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247,657</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3,144,202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22,197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22,200</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(35,668)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7"/>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1,204</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263,129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37,403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37,403</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374,576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10,531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10,531</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81,683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81,683</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(37,086)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(37,086)</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283"/>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(99,011)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(99,011)</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54,321,810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754,612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(1,319)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(488,607)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264,566</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(4,103)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(4,103)</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2,163,361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16,774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16,777</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(5,677)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748,061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75,776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75,776</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154,988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13,420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13,420</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288,998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288,998</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(93,820)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(93,820)</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(303,929)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(303,929)</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256"/>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2"/>
                <w:szCs w:val="22"/>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(175,522)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(175,522)</w:t>
            </w:r>
          </w:p>
        </w:tc>
        <w:tc>
          <w:tcPr>
            <w:tcW w:w="0" w:type="dxa"/>
            <w:vAlign w:val="bottom"/>
          </w:tcPr>
          <w:p>
            <w:pPr>
              <w:spacing w:after="0"/>
              <w:rPr>
                <w:sz w:val="1"/>
                <w:szCs w:val="1"/>
                <w:color w:val="auto"/>
              </w:rPr>
            </w:pPr>
          </w:p>
        </w:tc>
      </w:tr>
      <w:tr>
        <w:trPr>
          <w:trHeight w:val="34"/>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57,382,543</w:t>
            </w:r>
          </w:p>
        </w:tc>
        <w:tc>
          <w:tcPr>
            <w:tcW w:w="120" w:type="dxa"/>
            <w:vAlign w:val="bottom"/>
          </w:tcPr>
          <w:p>
            <w:pPr>
              <w:spacing w:after="0"/>
              <w:rPr>
                <w:sz w:val="17"/>
                <w:szCs w:val="17"/>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752,127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(1,319)</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225</w:t>
            </w:r>
          </w:p>
        </w:tc>
        <w:tc>
          <w:tcPr>
            <w:tcW w:w="10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(668,232)</w:t>
            </w:r>
          </w:p>
        </w:tc>
        <w:tc>
          <w:tcPr>
            <w:tcW w:w="100" w:type="dxa"/>
            <w:vAlign w:val="bottom"/>
          </w:tcPr>
          <w:p>
            <w:pPr>
              <w:spacing w:after="0"/>
              <w:rPr>
                <w:sz w:val="17"/>
                <w:szCs w:val="17"/>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82,858</w:t>
            </w:r>
          </w:p>
        </w:tc>
        <w:tc>
          <w:tcPr>
            <w:tcW w:w="0" w:type="dxa"/>
            <w:vAlign w:val="bottom"/>
          </w:tcPr>
          <w:p>
            <w:pPr>
              <w:spacing w:after="0"/>
              <w:rPr>
                <w:sz w:val="1"/>
                <w:szCs w:val="1"/>
                <w:color w:val="auto"/>
              </w:rPr>
            </w:pPr>
          </w:p>
        </w:tc>
      </w:tr>
      <w:tr>
        <w:trPr>
          <w:trHeight w:val="34"/>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-6917055</wp:posOffset>
            </wp:positionV>
            <wp:extent cx="70891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-6574155</wp:posOffset>
            </wp:positionV>
            <wp:extent cx="70891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-6231255</wp:posOffset>
            </wp:positionV>
            <wp:extent cx="7089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-5854065</wp:posOffset>
            </wp:positionV>
            <wp:extent cx="70891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20574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-5476875</wp:posOffset>
            </wp:positionV>
            <wp:extent cx="70891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-5133975</wp:posOffset>
            </wp:positionV>
            <wp:extent cx="70891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-4791075</wp:posOffset>
            </wp:positionV>
            <wp:extent cx="70891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-4448175</wp:posOffset>
            </wp:positionV>
            <wp:extent cx="70891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-4105275</wp:posOffset>
            </wp:positionV>
            <wp:extent cx="70891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-3762375</wp:posOffset>
            </wp:positionV>
            <wp:extent cx="708914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-3342640</wp:posOffset>
            </wp:positionV>
            <wp:extent cx="70891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-2999740</wp:posOffset>
            </wp:positionV>
            <wp:extent cx="70891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-2656840</wp:posOffset>
            </wp:positionV>
            <wp:extent cx="70891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-2313940</wp:posOffset>
            </wp:positionV>
            <wp:extent cx="70891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-1971040</wp:posOffset>
            </wp:positionV>
            <wp:extent cx="70891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-1628140</wp:posOffset>
            </wp:positionV>
            <wp:extent cx="70891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-1250950</wp:posOffset>
            </wp:positionV>
            <wp:extent cx="70891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20574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-873760</wp:posOffset>
            </wp:positionV>
            <wp:extent cx="70891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-530860</wp:posOffset>
            </wp:positionV>
            <wp:extent cx="70891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-187960</wp:posOffset>
            </wp:positionV>
            <wp:extent cx="70891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80"/>
            <w:col w:w="8000"/>
          </w:cols>
          <w:pgMar w:left="320" w:top="122" w:right="3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3"/>
        </w:trPr>
        <w:tc>
          <w:tcPr>
            <w:tcW w:w="6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4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42"/>
              <w:spacing w:after="0"/>
              <w:rPr>
                <w:sz w:val="20"/>
                <w:szCs w:val="20"/>
                <w:color w:val="auto"/>
              </w:rPr>
            </w:pPr>
            <w:r>
              <w:rPr>
                <w:rFonts w:ascii="Arial" w:cs="Arial" w:eastAsia="Arial" w:hAnsi="Arial"/>
                <w:sz w:val="12"/>
                <w:szCs w:val="12"/>
                <w:b w:val="1"/>
                <w:bCs w:val="1"/>
                <w:color w:val="auto"/>
              </w:rPr>
              <w:t>2018</w:t>
            </w:r>
          </w:p>
        </w:tc>
      </w:tr>
      <w:tr>
        <w:trPr>
          <w:trHeight w:val="33"/>
        </w:trPr>
        <w:tc>
          <w:tcPr>
            <w:tcW w:w="6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7"/>
              </w:rPr>
              <w:t>(175,522)</w:t>
            </w:r>
          </w:p>
        </w:tc>
        <w:tc>
          <w:tcPr>
            <w:tcW w:w="120" w:type="dxa"/>
            <w:vAlign w:val="bottom"/>
          </w:tcPr>
          <w:p>
            <w:pPr>
              <w:spacing w:after="0"/>
              <w:rPr>
                <w:sz w:val="21"/>
                <w:szCs w:val="21"/>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(99,011)</w:t>
            </w:r>
          </w:p>
        </w:tc>
        <w:tc>
          <w:tcPr>
            <w:tcW w:w="120" w:type="dxa"/>
            <w:vAlign w:val="bottom"/>
          </w:tcPr>
          <w:p>
            <w:pPr>
              <w:spacing w:after="0"/>
              <w:rPr>
                <w:sz w:val="21"/>
                <w:szCs w:val="21"/>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(83,973)</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Depreciation and amortization</w:t>
            </w:r>
          </w:p>
        </w:tc>
        <w:tc>
          <w:tcPr>
            <w:tcW w:w="880" w:type="dxa"/>
            <w:vAlign w:val="bottom"/>
          </w:tcPr>
          <w:p>
            <w:pPr>
              <w:spacing w:after="0"/>
              <w:rPr>
                <w:sz w:val="21"/>
                <w:szCs w:val="21"/>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12,783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5,792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3,703</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Stock-based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75,776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37,403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21,235</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Amortization of debt discount and issuance costs</w:t>
            </w:r>
          </w:p>
        </w:tc>
        <w:tc>
          <w:tcPr>
            <w:tcW w:w="880" w:type="dxa"/>
            <w:vAlign w:val="bottom"/>
          </w:tcPr>
          <w:p>
            <w:pPr>
              <w:spacing w:after="0"/>
              <w:rPr>
                <w:sz w:val="21"/>
                <w:szCs w:val="21"/>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14,847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7,399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Amortization of finance right-of-use assets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Amortization of operating right-of-use assets</w:t>
            </w:r>
          </w:p>
        </w:tc>
        <w:tc>
          <w:tcPr>
            <w:tcW w:w="880" w:type="dxa"/>
            <w:vAlign w:val="bottom"/>
          </w:tcPr>
          <w:p>
            <w:pPr>
              <w:spacing w:after="0"/>
              <w:rPr>
                <w:sz w:val="21"/>
                <w:szCs w:val="21"/>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Non-cash interest on finance lease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880" w:type="dxa"/>
            <w:vAlign w:val="bottom"/>
          </w:tcPr>
          <w:p>
            <w:pPr>
              <w:spacing w:after="0"/>
              <w:rPr>
                <w:sz w:val="21"/>
                <w:szCs w:val="21"/>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(3,292)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(4,960)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(302)</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Accretion of discount on short-term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(4,060)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(152)</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Change in fair value of warrant liability</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(101)</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Loss on early extinguishment of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6640" w:type="dxa"/>
            <w:vAlign w:val="bottom"/>
          </w:tcPr>
          <w:p>
            <w:pPr>
              <w:ind w:left="20"/>
              <w:spacing w:after="0"/>
              <w:rPr>
                <w:sz w:val="20"/>
                <w:szCs w:val="20"/>
                <w:color w:val="auto"/>
              </w:rPr>
            </w:pPr>
            <w:r>
              <w:rPr>
                <w:rFonts w:ascii="Arial" w:cs="Arial" w:eastAsia="Arial" w:hAnsi="Arial"/>
                <w:sz w:val="12"/>
                <w:szCs w:val="12"/>
                <w:color w:val="auto"/>
              </w:rPr>
              <w:t>Change in operating assets and liabilities, net of the impact from the acquisition:</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Accounts receivable, net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(12,692)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(19,445)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(16,095)</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Prepaid expenses and other current assets</w:t>
            </w:r>
          </w:p>
        </w:tc>
        <w:tc>
          <w:tcPr>
            <w:tcW w:w="880" w:type="dxa"/>
            <w:vAlign w:val="bottom"/>
          </w:tcPr>
          <w:p>
            <w:pPr>
              <w:spacing w:after="0"/>
              <w:rPr>
                <w:sz w:val="21"/>
                <w:szCs w:val="21"/>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(3,794)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(1,487)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(2,436)</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66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Deferred commissions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(28,362)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(16,134)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(6,422)</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Other long-term assets</w:t>
            </w:r>
          </w:p>
        </w:tc>
        <w:tc>
          <w:tcPr>
            <w:tcW w:w="880" w:type="dxa"/>
            <w:vAlign w:val="bottom"/>
          </w:tcPr>
          <w:p>
            <w:pPr>
              <w:spacing w:after="0"/>
              <w:rPr>
                <w:sz w:val="21"/>
                <w:szCs w:val="21"/>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(687)</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Accounts payable</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(371)</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Deferred rent</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1,642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(133)</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Accrued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20,439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13,564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8,115</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Operating lease liabilities</w:t>
            </w:r>
          </w:p>
        </w:tc>
        <w:tc>
          <w:tcPr>
            <w:tcW w:w="880" w:type="dxa"/>
            <w:vAlign w:val="bottom"/>
          </w:tcPr>
          <w:p>
            <w:pPr>
              <w:spacing w:after="0"/>
              <w:rPr>
                <w:sz w:val="21"/>
                <w:szCs w:val="21"/>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(3,291)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Deferred revenue</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53,054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36,680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32,738</w:t>
            </w:r>
          </w:p>
        </w:tc>
      </w:tr>
      <w:tr>
        <w:trPr>
          <w:trHeight w:val="263"/>
        </w:trPr>
        <w:tc>
          <w:tcPr>
            <w:tcW w:w="6640" w:type="dxa"/>
            <w:vAlign w:val="bottom"/>
          </w:tcPr>
          <w:p>
            <w:pPr>
              <w:ind w:left="200"/>
              <w:spacing w:after="0"/>
              <w:rPr>
                <w:sz w:val="20"/>
                <w:szCs w:val="20"/>
                <w:color w:val="auto"/>
              </w:rPr>
            </w:pPr>
            <w:r>
              <w:rPr>
                <w:rFonts w:ascii="Arial" w:cs="Arial" w:eastAsia="Arial" w:hAnsi="Arial"/>
                <w:sz w:val="12"/>
                <w:szCs w:val="12"/>
                <w:color w:val="auto"/>
              </w:rPr>
              <w:t>Other liabilities, non-current</w:t>
            </w:r>
          </w:p>
        </w:tc>
        <w:tc>
          <w:tcPr>
            <w:tcW w:w="880" w:type="dxa"/>
            <w:vAlign w:val="bottom"/>
          </w:tcPr>
          <w:p>
            <w:pPr>
              <w:spacing w:after="0"/>
              <w:rPr>
                <w:sz w:val="22"/>
                <w:szCs w:val="2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778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2"/>
                <w:szCs w:val="22"/>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57"/>
        </w:trPr>
        <w:tc>
          <w:tcPr>
            <w:tcW w:w="6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Net cash used in operating activities</w:t>
            </w: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(29,540)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(41,989)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(44,881)</w:t>
            </w:r>
          </w:p>
        </w:tc>
      </w:tr>
      <w:tr>
        <w:trPr>
          <w:trHeight w:val="243"/>
        </w:trPr>
        <w:tc>
          <w:tcPr>
            <w:tcW w:w="664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8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Purchases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(3,564)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(6,848)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(2,135)</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Acquisition, net of cash acquired</w:t>
            </w:r>
          </w:p>
        </w:tc>
        <w:tc>
          <w:tcPr>
            <w:tcW w:w="880" w:type="dxa"/>
            <w:vAlign w:val="bottom"/>
          </w:tcPr>
          <w:p>
            <w:pPr>
              <w:spacing w:after="0"/>
              <w:rPr>
                <w:sz w:val="21"/>
                <w:szCs w:val="21"/>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(38,629)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(55,517)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Proceeds from maturities of marketable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82,230</w:t>
            </w:r>
          </w:p>
        </w:tc>
      </w:tr>
      <w:tr>
        <w:trPr>
          <w:trHeight w:val="263"/>
        </w:trPr>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Purchases of marketable securities</w:t>
            </w: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97"/>
              </w:rPr>
              <w:t>(429,452)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(547,914)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(252,382)</w:t>
            </w:r>
          </w:p>
        </w:tc>
      </w:tr>
      <w:tr>
        <w:trPr>
          <w:trHeight w:val="257"/>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Net cash used in investing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(160,279)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(172,287)</w:t>
            </w:r>
          </w:p>
        </w:tc>
      </w:tr>
      <w:tr>
        <w:trPr>
          <w:trHeight w:val="254"/>
        </w:trPr>
        <w:tc>
          <w:tcPr>
            <w:tcW w:w="664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8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6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Proceeds from exercise of stock options, including early exercised stock options</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16,775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22,244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8,367</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Proceeds from the issuance of common stock under the Employee Stock Purchase Plan</w:t>
            </w:r>
          </w:p>
        </w:tc>
        <w:tc>
          <w:tcPr>
            <w:tcW w:w="880" w:type="dxa"/>
            <w:vAlign w:val="bottom"/>
          </w:tcPr>
          <w:p>
            <w:pPr>
              <w:spacing w:after="0"/>
              <w:rPr>
                <w:sz w:val="21"/>
                <w:szCs w:val="21"/>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13,420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10,532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Repurchase of early exercised stock options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(242)</w:t>
            </w:r>
          </w:p>
        </w:tc>
      </w:tr>
      <w:tr>
        <w:trPr>
          <w:trHeight w:val="236"/>
        </w:trPr>
        <w:tc>
          <w:tcPr>
            <w:tcW w:w="6640" w:type="dxa"/>
            <w:vAlign w:val="bottom"/>
          </w:tcPr>
          <w:p>
            <w:pPr>
              <w:ind w:left="200"/>
              <w:spacing w:after="0"/>
              <w:rPr>
                <w:sz w:val="20"/>
                <w:szCs w:val="20"/>
                <w:color w:val="auto"/>
              </w:rPr>
            </w:pPr>
            <w:r>
              <w:rPr>
                <w:rFonts w:ascii="Arial" w:cs="Arial" w:eastAsia="Arial" w:hAnsi="Arial"/>
                <w:sz w:val="12"/>
                <w:szCs w:val="12"/>
                <w:color w:val="auto"/>
              </w:rPr>
              <w:t>Principal repayments of finance leases</w:t>
            </w:r>
          </w:p>
        </w:tc>
        <w:tc>
          <w:tcPr>
            <w:tcW w:w="8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(1,915)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34"/>
        </w:trPr>
        <w:tc>
          <w:tcPr>
            <w:tcW w:w="6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Proceeds from borrowings on convertible senior notes, net of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1,132,991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291,145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36"/>
        </w:trPr>
        <w:tc>
          <w:tcPr>
            <w:tcW w:w="6640" w:type="dxa"/>
            <w:vAlign w:val="bottom"/>
          </w:tcPr>
          <w:p>
            <w:pPr>
              <w:ind w:left="200"/>
              <w:spacing w:after="0"/>
              <w:rPr>
                <w:sz w:val="20"/>
                <w:szCs w:val="20"/>
                <w:color w:val="auto"/>
              </w:rPr>
            </w:pPr>
            <w:r>
              <w:rPr>
                <w:rFonts w:ascii="Arial" w:cs="Arial" w:eastAsia="Arial" w:hAnsi="Arial"/>
                <w:sz w:val="12"/>
                <w:szCs w:val="12"/>
                <w:color w:val="auto"/>
              </w:rPr>
              <w:t>Payments for 2024 Notes Partial Repurchase</w:t>
            </w:r>
          </w:p>
        </w:tc>
        <w:tc>
          <w:tcPr>
            <w:tcW w:w="8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7"/>
              </w:rPr>
              <w:t>(479,070)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34"/>
        </w:trPr>
        <w:tc>
          <w:tcPr>
            <w:tcW w:w="6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Payment for purchase of capped calls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(92,920)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(37,086)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36"/>
        </w:trPr>
        <w:tc>
          <w:tcPr>
            <w:tcW w:w="6640" w:type="dxa"/>
            <w:vAlign w:val="bottom"/>
          </w:tcPr>
          <w:p>
            <w:pPr>
              <w:ind w:left="200"/>
              <w:spacing w:after="0"/>
              <w:rPr>
                <w:sz w:val="20"/>
                <w:szCs w:val="20"/>
                <w:color w:val="auto"/>
              </w:rPr>
            </w:pPr>
            <w:r>
              <w:rPr>
                <w:rFonts w:ascii="Arial" w:cs="Arial" w:eastAsia="Arial" w:hAnsi="Arial"/>
                <w:sz w:val="12"/>
                <w:szCs w:val="12"/>
                <w:color w:val="auto"/>
              </w:rPr>
              <w:t>Proceeds from tenant improvement allowance on build-to-suit lease</w:t>
            </w:r>
          </w:p>
        </w:tc>
        <w:tc>
          <w:tcPr>
            <w:tcW w:w="8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1,728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34"/>
        </w:trPr>
        <w:tc>
          <w:tcPr>
            <w:tcW w:w="6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Proceeds from initial public offering, net of underwriting discounts and commissions</w:t>
            </w: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205,494</w:t>
            </w:r>
          </w:p>
        </w:tc>
      </w:tr>
      <w:tr>
        <w:trPr>
          <w:trHeight w:val="250"/>
        </w:trPr>
        <w:tc>
          <w:tcPr>
            <w:tcW w:w="6640" w:type="dxa"/>
            <w:vAlign w:val="bottom"/>
          </w:tcPr>
          <w:p>
            <w:pPr>
              <w:ind w:left="200"/>
              <w:spacing w:after="0"/>
              <w:rPr>
                <w:sz w:val="20"/>
                <w:szCs w:val="20"/>
                <w:color w:val="auto"/>
              </w:rPr>
            </w:pPr>
            <w:r>
              <w:rPr>
                <w:rFonts w:ascii="Arial" w:cs="Arial" w:eastAsia="Arial" w:hAnsi="Arial"/>
                <w:sz w:val="12"/>
                <w:szCs w:val="12"/>
                <w:color w:val="auto"/>
              </w:rPr>
              <w:t>Proceeds from exercise of redeemable convertible preferred stock warrants</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Payment of initial public offering costs</w:t>
            </w:r>
          </w:p>
        </w:tc>
        <w:tc>
          <w:tcPr>
            <w:tcW w:w="8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(3,728)</w:t>
            </w:r>
          </w:p>
        </w:tc>
      </w:tr>
      <w:tr>
        <w:trPr>
          <w:trHeight w:val="244"/>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Net cash provided by financing activities</w:t>
            </w:r>
          </w:p>
        </w:tc>
        <w:tc>
          <w:tcPr>
            <w:tcW w:w="8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589,238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288,236</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209,892</w:t>
            </w: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291</w:t>
            </w:r>
          </w:p>
        </w:tc>
      </w:tr>
      <w:tr>
        <w:trPr>
          <w:trHeight w:val="230"/>
        </w:trPr>
        <w:tc>
          <w:tcPr>
            <w:tcW w:w="6640" w:type="dxa"/>
            <w:vAlign w:val="bottom"/>
          </w:tcPr>
          <w:p>
            <w:pPr>
              <w:ind w:left="20"/>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558,359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85,920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(6,985)</w:t>
            </w:r>
          </w:p>
        </w:tc>
      </w:tr>
      <w:tr>
        <w:trPr>
          <w:trHeight w:val="20"/>
        </w:trPr>
        <w:tc>
          <w:tcPr>
            <w:tcW w:w="6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beginning of year</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148,347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62,427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69,412</w:t>
            </w:r>
          </w:p>
        </w:tc>
      </w:tr>
      <w:tr>
        <w:trPr>
          <w:trHeight w:val="203"/>
        </w:trPr>
        <w:tc>
          <w:tcPr>
            <w:tcW w:w="664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end of year</w:t>
            </w:r>
          </w:p>
        </w:tc>
        <w:tc>
          <w:tcPr>
            <w:tcW w:w="880" w:type="dxa"/>
            <w:vAlign w:val="bottom"/>
            <w:tcBorders>
              <w:top w:val="single" w:sz="8" w:color="auto"/>
            </w:tcBorders>
          </w:tcPr>
          <w:p>
            <w:pPr>
              <w:jc w:val="right"/>
              <w:ind w:right="7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706,706</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148,347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62,427</w:t>
            </w:r>
          </w:p>
        </w:tc>
      </w:tr>
      <w:tr>
        <w:trPr>
          <w:trHeight w:val="34"/>
        </w:trPr>
        <w:tc>
          <w:tcPr>
            <w:tcW w:w="6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345"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22" w:right="339" w:bottom="345"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4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42"/>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cash flow disclosure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2"/>
                <w:szCs w:val="12"/>
                <w:color w:val="auto"/>
              </w:rPr>
              <w:t>Cash paid during the period for:</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Income taxes, net of refunds</w:t>
            </w:r>
          </w:p>
        </w:tc>
        <w:tc>
          <w:tcPr>
            <w:tcW w:w="92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tcPr>
          <w:p>
            <w:pPr>
              <w:ind w:left="380"/>
              <w:spacing w:after="0"/>
              <w:rPr>
                <w:sz w:val="20"/>
                <w:szCs w:val="20"/>
                <w:color w:val="auto"/>
              </w:rPr>
            </w:pPr>
            <w:r>
              <w:rPr>
                <w:rFonts w:ascii="Arial" w:cs="Arial" w:eastAsia="Arial" w:hAnsi="Arial"/>
                <w:sz w:val="12"/>
                <w:szCs w:val="12"/>
                <w:color w:val="auto"/>
              </w:rPr>
              <w:t>Interest expense, net</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2,375</w:t>
            </w:r>
          </w:p>
        </w:tc>
        <w:tc>
          <w:tcPr>
            <w:tcW w:w="120" w:type="dxa"/>
            <w:vAlign w:val="bottom"/>
          </w:tcPr>
          <w:p>
            <w:pPr>
              <w:spacing w:after="0"/>
              <w:rPr>
                <w:sz w:val="15"/>
                <w:szCs w:val="15"/>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1,044</w:t>
            </w:r>
          </w:p>
        </w:tc>
        <w:tc>
          <w:tcPr>
            <w:tcW w:w="120" w:type="dxa"/>
            <w:vAlign w:val="bottom"/>
          </w:tcPr>
          <w:p>
            <w:pPr>
              <w:spacing w:after="0"/>
              <w:rPr>
                <w:sz w:val="15"/>
                <w:szCs w:val="15"/>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Noncash investing and financing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2"/>
                <w:szCs w:val="12"/>
                <w:color w:val="auto"/>
              </w:rPr>
              <w:t>Construction costs related to build-to-suit lease obligations</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11,683</w:t>
            </w:r>
          </w:p>
        </w:tc>
        <w:tc>
          <w:tcPr>
            <w:tcW w:w="120" w:type="dxa"/>
            <w:vAlign w:val="bottom"/>
          </w:tcPr>
          <w:p>
            <w:pPr>
              <w:spacing w:after="0"/>
              <w:rPr>
                <w:sz w:val="19"/>
                <w:szCs w:val="19"/>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Vesting of early exercised stock options</w:t>
            </w:r>
          </w:p>
        </w:tc>
        <w:tc>
          <w:tcPr>
            <w:tcW w:w="92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1,204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w w:val="90"/>
              </w:rPr>
              <w:t>Conversion of redeemable convertible preferred stock warrant liability to redeemable convertible preferred stock as a result of warrant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40" w:type="dxa"/>
            <w:vAlign w:val="bottom"/>
            <w:vMerge w:val="continue"/>
          </w:tcPr>
          <w:p>
            <w:pPr>
              <w:spacing w:after="0"/>
              <w:rPr>
                <w:sz w:val="9"/>
                <w:szCs w:val="9"/>
                <w:color w:val="auto"/>
              </w:rPr>
            </w:pPr>
          </w:p>
        </w:tc>
        <w:tc>
          <w:tcPr>
            <w:tcW w:w="920" w:type="dxa"/>
            <w:vAlign w:val="bottom"/>
            <w:vMerge w:val="restart"/>
          </w:tcPr>
          <w:p>
            <w:pPr>
              <w:jc w:val="right"/>
              <w:ind w:right="782"/>
              <w:spacing w:after="0"/>
              <w:rPr>
                <w:sz w:val="20"/>
                <w:szCs w:val="20"/>
                <w:color w:val="auto"/>
              </w:rPr>
            </w:pPr>
            <w:r>
              <w:rPr>
                <w:rFonts w:ascii="Arial" w:cs="Arial" w:eastAsia="Arial" w:hAnsi="Arial"/>
                <w:sz w:val="12"/>
                <w:szCs w:val="12"/>
                <w:color w:val="auto"/>
                <w:w w:val="89"/>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02"/>
              <w:spacing w:after="0"/>
              <w:rPr>
                <w:sz w:val="20"/>
                <w:szCs w:val="20"/>
                <w:color w:val="auto"/>
              </w:rPr>
            </w:pPr>
            <w:r>
              <w:rPr>
                <w:rFonts w:ascii="Arial" w:cs="Arial" w:eastAsia="Arial" w:hAnsi="Arial"/>
                <w:sz w:val="12"/>
                <w:szCs w:val="12"/>
                <w:color w:val="auto"/>
                <w:w w:val="8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148"/>
        </w:trPr>
        <w:tc>
          <w:tcPr>
            <w:tcW w:w="6640" w:type="dxa"/>
            <w:vAlign w:val="bottom"/>
          </w:tcPr>
          <w:p>
            <w:pPr>
              <w:ind w:left="380"/>
              <w:spacing w:after="0"/>
              <w:rPr>
                <w:sz w:val="20"/>
                <w:szCs w:val="20"/>
                <w:color w:val="auto"/>
              </w:rPr>
            </w:pPr>
            <w:r>
              <w:rPr>
                <w:rFonts w:ascii="Arial" w:cs="Arial" w:eastAsia="Arial" w:hAnsi="Arial"/>
                <w:sz w:val="12"/>
                <w:szCs w:val="12"/>
                <w:color w:val="auto"/>
              </w:rPr>
              <w:t>exercise</w:t>
            </w:r>
          </w:p>
        </w:tc>
        <w:tc>
          <w:tcPr>
            <w:tcW w:w="92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Conversion of redeemable convertible preferred stock to common stock</w:t>
            </w:r>
          </w:p>
        </w:tc>
        <w:tc>
          <w:tcPr>
            <w:tcW w:w="92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346,428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tcPr>
          <w:p>
            <w:pPr>
              <w:ind w:left="200"/>
              <w:spacing w:after="0"/>
              <w:rPr>
                <w:sz w:val="20"/>
                <w:szCs w:val="20"/>
                <w:color w:val="auto"/>
              </w:rPr>
            </w:pPr>
            <w:r>
              <w:rPr>
                <w:rFonts w:ascii="Arial" w:cs="Arial" w:eastAsia="Arial" w:hAnsi="Arial"/>
                <w:sz w:val="12"/>
                <w:szCs w:val="12"/>
                <w:color w:val="auto"/>
              </w:rPr>
              <w:t>Debt issuance and capped call costs included in accounts payable and accrued liabilities</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4,200</w:t>
            </w:r>
          </w:p>
        </w:tc>
        <w:tc>
          <w:tcPr>
            <w:tcW w:w="120" w:type="dxa"/>
            <w:vAlign w:val="bottom"/>
          </w:tcPr>
          <w:p>
            <w:pPr>
              <w:spacing w:after="0"/>
              <w:rPr>
                <w:sz w:val="15"/>
                <w:szCs w:val="15"/>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Purchases of property and equipment included in accounts payable and accrued liabilities</w:t>
            </w:r>
          </w:p>
        </w:tc>
        <w:tc>
          <w:tcPr>
            <w:tcW w:w="92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tcPr>
          <w:p>
            <w:pPr>
              <w:ind w:left="200"/>
              <w:spacing w:after="0"/>
              <w:rPr>
                <w:sz w:val="20"/>
                <w:szCs w:val="20"/>
                <w:color w:val="auto"/>
              </w:rPr>
            </w:pPr>
            <w:r>
              <w:rPr>
                <w:rFonts w:ascii="Arial" w:cs="Arial" w:eastAsia="Arial" w:hAnsi="Arial"/>
                <w:sz w:val="12"/>
                <w:szCs w:val="12"/>
                <w:color w:val="auto"/>
              </w:rPr>
              <w:t>Estimated fair value of office space under a build-to-suit lease</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54,709</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664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w w:val="89"/>
              </w:rPr>
              <w:t>Reconciliation of cash, cash equivalents and restricted cash within the consolidated balance sheets to the amounts shown in the</w:t>
            </w:r>
          </w:p>
        </w:tc>
        <w:tc>
          <w:tcPr>
            <w:tcW w:w="9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b w:val="1"/>
                <w:bCs w:val="1"/>
                <w:color w:val="auto"/>
              </w:rPr>
              <w:t>statements of cash flows above:</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2"/>
                <w:szCs w:val="12"/>
                <w:color w:val="auto"/>
              </w:rPr>
              <w:t>Cash and cash equivalents</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706,192</w:t>
            </w:r>
          </w:p>
        </w:tc>
        <w:tc>
          <w:tcPr>
            <w:tcW w:w="120" w:type="dxa"/>
            <w:vAlign w:val="bottom"/>
          </w:tcPr>
          <w:p>
            <w:pPr>
              <w:spacing w:after="0"/>
              <w:rPr>
                <w:sz w:val="19"/>
                <w:szCs w:val="19"/>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147,831</w:t>
            </w:r>
          </w:p>
        </w:tc>
        <w:tc>
          <w:tcPr>
            <w:tcW w:w="120" w:type="dxa"/>
            <w:vAlign w:val="bottom"/>
          </w:tcPr>
          <w:p>
            <w:pPr>
              <w:spacing w:after="0"/>
              <w:rPr>
                <w:sz w:val="19"/>
                <w:szCs w:val="19"/>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61,902</w:t>
            </w: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Restricted cash, non-current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203"/>
        </w:trPr>
        <w:tc>
          <w:tcPr>
            <w:tcW w:w="6640" w:type="dxa"/>
            <w:vAlign w:val="bottom"/>
          </w:tcPr>
          <w:p>
            <w:pPr>
              <w:ind w:left="40"/>
              <w:spacing w:after="0"/>
              <w:rPr>
                <w:sz w:val="20"/>
                <w:szCs w:val="20"/>
                <w:color w:val="auto"/>
              </w:rPr>
            </w:pPr>
            <w:r>
              <w:rPr>
                <w:rFonts w:ascii="Arial" w:cs="Arial" w:eastAsia="Arial" w:hAnsi="Arial"/>
                <w:sz w:val="12"/>
                <w:szCs w:val="12"/>
                <w:color w:val="auto"/>
              </w:rPr>
              <w:t>Total cash, cash equivalents and restricted cash</w:t>
            </w:r>
          </w:p>
        </w:tc>
        <w:tc>
          <w:tcPr>
            <w:tcW w:w="920" w:type="dxa"/>
            <w:vAlign w:val="bottom"/>
            <w:tcBorders>
              <w:top w:val="single" w:sz="8" w:color="auto"/>
            </w:tcBorders>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6"/>
              </w:rPr>
              <w:t>706,706</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148,347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62,427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the Company’s platform at scale in the cloud, on-premise or in a hybrid environment. In addition to selling its software, the Company provides post-contract support, training and consulting services for its offerings. The Company’s fiscal year ends January 31.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assumptions and judgments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the incremental borrowing rate related to the Company’s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The Company bases these estimates on historical and anticipated results, trends and various other assumptions that it believes are reasonable under the circumstances, including assumptions as to future events.</w:t>
      </w:r>
    </w:p>
    <w:p>
      <w:pPr>
        <w:spacing w:after="0" w:line="12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COVID-19 pandemic is expected to result in a global slowdown of economic activity that is likely to decrease demand for a broad variety of goods and services, including from the Company’s customers, while also disrupting sales channels and marketing activities for an unknown period of time. The Company currently expects its revenue to be negatively impacted by the slowdown in activity associated with the COVID-19 pandemic for the year ending January 31, 2021.</w:t>
      </w:r>
    </w:p>
    <w:p>
      <w:pPr>
        <w:spacing w:after="0" w:line="13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w:t>
      </w:r>
    </w:p>
    <w:p>
      <w:pPr>
        <w:spacing w:after="0" w:line="17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foreign subsidiaries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income (loss) as a component of stockholders' equity.</w:t>
      </w:r>
    </w:p>
    <w:p>
      <w:pPr>
        <w:spacing w:after="0" w:line="200" w:lineRule="exact"/>
        <w:rPr>
          <w:sz w:val="20"/>
          <w:szCs w:val="20"/>
          <w:color w:val="auto"/>
        </w:rPr>
      </w:pPr>
    </w:p>
    <w:p>
      <w:pPr>
        <w:spacing w:after="0" w:line="37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Comprehensive Loss</w:t>
      </w:r>
    </w:p>
    <w:p>
      <w:pPr>
        <w:spacing w:after="0" w:line="17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Company’s comprehensive loss includes net loss, unrealized gains and losses on available-for-sale debt securities and foreign currency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Cash and Cash Equivalents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such investments primarily in money market funds.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Marketable Securities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Company’s short-term investments consist of U.S. government treasury securities.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 As a result, the Company classifies its short-term investments within current assets on the consolidated balance sheets.</w:t>
      </w:r>
    </w:p>
    <w:p>
      <w:pPr>
        <w:spacing w:after="0" w:line="134"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Available-for-sale debt securities are recorded at fair value each reporting period. Unrealized gains and losses on these short-term investments are reported as a separate component of accumulated other comprehensive income (loss) on the consolidated balance sheets until realized. The Company periodically evaluates its short-term investments to assess whether those with unrealized loss positions are other than temporarily impaired. The Company considers various factors in determining whether to recognize an impairment charge. Realized gains and losses and declines in an investment's fair value deemed to be other than temporary are determined based on the specific identification method and are reported in other income (expense), net in the consolidated statements of operations. For the years ended January 31, 2020, 2019 and 2018, the Company has not recorded any other-than-temporary-impairment charges in its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Cash</w:t>
      </w:r>
    </w:p>
    <w:p>
      <w:pPr>
        <w:spacing w:after="0" w:line="171"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As of January 31, 2020 and 2019, the Company pledged $0.5 million of collateral for its available credit on corporate credit cards. Restricted cash balances have been excluded from our cash and cash equivalents balance and are included in other assets on the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Fair Value of Financial Instruments</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Company’s financial instruments consist of cash and cash equivalents, short-term investments, accounts receivable, accounts payable and accrued liabilities. Cash equivalents are measured at fair value on a recurring basis. Short-term investments classified as available-for-sale debt securities are recorded at fair value. Accounts receivable, accounts payable and accrued liabilities are stated at their carrying value, which approximates fair value due to the short time to the expected receipt or payment date.</w:t>
      </w:r>
    </w:p>
    <w:p>
      <w:pPr>
        <w:spacing w:after="0" w:line="133"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Assets and liabilities recorded at fair value on a recurring basis in the balance sheets consisting of cash equivalents and short-term investments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standard describes a fair value hierarchy based on three levels of inputs, as described below, of which the first two are considered observable and the last unobservable, that may be used to measure fair value:</w:t>
      </w:r>
    </w:p>
    <w:p>
      <w:pPr>
        <w:spacing w:after="0" w:line="11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1: Observable inputs, such as quoted prices (unadjusted) in active markets for identical assets or liabilities at the measurement date.</w:t>
      </w:r>
    </w:p>
    <w:p>
      <w:pPr>
        <w:spacing w:after="0" w:line="182" w:lineRule="exact"/>
        <w:rPr>
          <w:rFonts w:ascii="Arial" w:cs="Arial" w:eastAsia="Arial" w:hAnsi="Arial"/>
          <w:sz w:val="17"/>
          <w:szCs w:val="17"/>
          <w:color w:val="auto"/>
        </w:rPr>
      </w:pPr>
    </w:p>
    <w:p>
      <w:pPr>
        <w:ind w:left="660" w:right="1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22" w:right="37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Company’s financial instruments that are carried at fair value consist of Level 1 assets, which include highly liquid money market funds classified as cash equivalents and U.S. government treasury securities classified as short-term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Concentration of Credit Risk</w:t>
      </w:r>
    </w:p>
    <w:p>
      <w:pPr>
        <w:spacing w:after="0" w:line="171"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spacing w:after="0" w:line="1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spacing w:after="0" w:line="13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of January 31, 2020 and 2019, no customer represented 10% or more of net accounts receivable. For the years ended January 31, 2020, 2019 and 2018, no customer represented 10% of more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Capitalized Software Costs</w:t>
      </w:r>
    </w:p>
    <w:p>
      <w:pPr>
        <w:spacing w:after="0" w:line="17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spacing w:after="0" w:line="138"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Costs related to software acquired, developed, or modified solely to meet the Company’s internal requirements, with no substantive plans to market such software at the time of development, or costs related to the development of web-based product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costs related to computer software developed for internal use or web-based product in the years ended January 31, 2020 and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Property and Equipment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are recorded at cost and depreciated using the straight-line method over the following estimated useful lives: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 and Equipment</w:t>
            </w:r>
          </w:p>
        </w:tc>
        <w:tc>
          <w:tcPr>
            <w:tcW w:w="120" w:type="dxa"/>
            <w:vAlign w:val="bottom"/>
            <w:tcBorders>
              <w:bottom w:val="single" w:sz="8" w:color="CCEEFF"/>
            </w:tcBorders>
          </w:tcPr>
          <w:p>
            <w:pPr>
              <w:spacing w:after="0"/>
              <w:rPr>
                <w:sz w:val="16"/>
                <w:szCs w:val="16"/>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Two to three years</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5380" w:type="dxa"/>
            <w:vAlign w:val="bottom"/>
          </w:tcPr>
          <w:p>
            <w:pPr>
              <w:ind w:left="20"/>
              <w:spacing w:after="0"/>
              <w:rPr>
                <w:sz w:val="20"/>
                <w:szCs w:val="20"/>
                <w:color w:val="auto"/>
              </w:rPr>
            </w:pPr>
            <w:r>
              <w:rPr>
                <w:rFonts w:ascii="Arial" w:cs="Arial" w:eastAsia="Arial" w:hAnsi="Arial"/>
                <w:sz w:val="18"/>
                <w:szCs w:val="18"/>
                <w:color w:val="auto"/>
              </w:rPr>
              <w:t>Two to three years</w:t>
            </w:r>
          </w:p>
        </w:tc>
      </w:tr>
      <w:tr>
        <w:trPr>
          <w:trHeight w:val="27"/>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Servers</w:t>
            </w: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years</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5380" w:type="dxa"/>
            <w:vAlign w:val="bottom"/>
          </w:tcPr>
          <w:p>
            <w:pPr>
              <w:ind w:left="20"/>
              <w:spacing w:after="0"/>
              <w:rPr>
                <w:sz w:val="20"/>
                <w:szCs w:val="20"/>
                <w:color w:val="auto"/>
              </w:rPr>
            </w:pPr>
            <w:r>
              <w:rPr>
                <w:rFonts w:ascii="Arial" w:cs="Arial" w:eastAsia="Arial" w:hAnsi="Arial"/>
                <w:sz w:val="18"/>
                <w:szCs w:val="18"/>
                <w:color w:val="auto"/>
              </w:rPr>
              <w:t>Five years</w:t>
            </w:r>
          </w:p>
        </w:tc>
      </w:tr>
      <w:tr>
        <w:trPr>
          <w:trHeight w:val="27"/>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Lesser of estimated useful life or remaining lease term</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Building</w:t>
            </w:r>
          </w:p>
        </w:tc>
        <w:tc>
          <w:tcPr>
            <w:tcW w:w="5380" w:type="dxa"/>
            <w:vAlign w:val="bottom"/>
          </w:tcPr>
          <w:p>
            <w:pPr>
              <w:ind w:left="20"/>
              <w:spacing w:after="0"/>
              <w:rPr>
                <w:sz w:val="20"/>
                <w:szCs w:val="20"/>
                <w:color w:val="auto"/>
              </w:rPr>
            </w:pPr>
            <w:r>
              <w:rPr>
                <w:rFonts w:ascii="Arial" w:cs="Arial" w:eastAsia="Arial" w:hAnsi="Arial"/>
                <w:sz w:val="18"/>
                <w:szCs w:val="18"/>
                <w:color w:val="auto"/>
              </w:rPr>
              <w:t>Forty years</w:t>
            </w:r>
          </w:p>
        </w:tc>
      </w:tr>
    </w:tbl>
    <w:p>
      <w:pPr>
        <w:spacing w:after="0" w:line="39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200" w:lineRule="exact"/>
        <w:rPr>
          <w:sz w:val="20"/>
          <w:szCs w:val="20"/>
          <w:color w:val="auto"/>
        </w:rPr>
      </w:pPr>
    </w:p>
    <w:p>
      <w:pPr>
        <w:spacing w:after="0" w:line="37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Business Combinations</w:t>
      </w:r>
    </w:p>
    <w:p>
      <w:pPr>
        <w:spacing w:after="0" w:line="17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as of the acquisition date. The excess of the fair value of purchase consideration over the fair values of these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Leases</w:t>
      </w:r>
    </w:p>
    <w:p>
      <w:pPr>
        <w:spacing w:after="0" w:line="171"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 xml:space="preserve">The consolidated financial statements for the year ended January 31, 2020 reflect the adoption of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February 1, 2019, using the modified retrospective method. The consolidated financial statements for the years ended January 31, 2019 and prior were not adjusted. Refer to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xml:space="preserve"> regarding the adoption impact of ASC 842 for the year ended January 31, 2020.</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determines if an arrangement is, or contains, a lease at inception. An arrangement is or contains a lease if the arrangement conveys the right to control the use of an identified asset for a period of time in exchange for consideration. To determine whether an arrangement is or contains a lease, the Company considers all relevant facts and circumstances to assess whether the customer has both of the following: (1) the right to obtain substantially all of the economic benefits from use of the identified asset; and (2) the right to direct the use of the identified asset.</w:t>
      </w:r>
    </w:p>
    <w:p>
      <w:pPr>
        <w:spacing w:after="0" w:line="117"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The Company accounts for lease components and non-lease components as a single lease component for all leases. The Company has elected an accounting policy to not recognize right-of-use assets or lease liabilities for short-term leases, which have a lease term of twelve months or less, and instead recognize the associated lease payments for short-term leases in the consolidated statements of operations on a straight-line basis over the lease term.</w:t>
      </w:r>
    </w:p>
    <w:p>
      <w:pPr>
        <w:spacing w:after="0" w:line="95"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color w:val="auto"/>
        </w:rPr>
        <w:t>The Company measures lease liabilities based on the present value of lease payments over the lease term at the lease commencement date. As the Company’s leases generally do not provide an implicit discount rate, the net present value of future minimum lease payments is determined using the Company’s incremental borrowing rate, which is the estimated rate the Company would have to pay on a collateralized basis with similar terms and payments and in a similar economic environment where the leased asset is located. Options in the lease terms to extend or terminate the lease are not reflected in the lease liabilities unless it is reasonably certain that any such options will be exercised.</w:t>
      </w:r>
    </w:p>
    <w:p>
      <w:pPr>
        <w:spacing w:after="0" w:line="12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The Company measures right-of-use assets at the lease commencement date based on the corresponding lease liabilities adjusted for (i) prepayments made to the lessor at or before the commencement date, (ii) initial direct costs incurred and (iii) certain tenant incentives under the lease. The Company evaluates the recoverability of the right-of-use assets for possible impairment in accordance with the long-lived assets policy.</w:t>
      </w:r>
    </w:p>
    <w:p>
      <w:pPr>
        <w:spacing w:after="0" w:line="11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spacing w:after="0" w:line="117"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Long-Lived Assets, Including Goodwill and Other Acquired Intangible Assets</w:t>
      </w:r>
    </w:p>
    <w:p>
      <w:pPr>
        <w:spacing w:after="0" w:line="17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Company evaluates the recoverability of property and equipment and acquired finite-lived intangible assets for possible impairment whenever events or circumstances indicate that the carrying amount of such assets may not be recoverable. Recoverability of these assets is measured by a comparison of the carrying amounts to the future undiscounted</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cash flows the assets are expected to generate. If such review indicates that the carrying amount of property and equipment and intangible assets is not recoverable, the carrying amount of such assets is reduced to fair value. The Company has not recorded any material impairment charges related to property and equipment or acquired finite-lived intangible assets during the years presented.</w:t>
      </w:r>
    </w:p>
    <w:p>
      <w:pPr>
        <w:spacing w:after="0" w:line="130"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In addition to the recoverability assessment, the Company periodically reviews the remaining estimated useful lives of property and equipment and acquired finite-lived intangible assets. If the estimated useful life assumption for any asset is changed due to new information, the remaining unamortized balance would be depreciated or amortized over the revised estimated useful life, on a prospective basis.</w:t>
      </w:r>
    </w:p>
    <w:p>
      <w:pPr>
        <w:spacing w:after="0" w:line="1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tests goodwill for impairment at least annually or more frequently if events or changes in circumstances indicate that the carrying value of goodwill may not be recoverable.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goodwill carrying amount over the implied fair value is recognized as an impairment loss and the carrying value of goodwill is written down to fair value. No indications of impairment of goodwill were identified during the years ended January 31, 2020, 2019 and 2018, and accordingly, the Company has not recorded any impairment of goodwill during those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 Recognition</w:t>
      </w:r>
    </w:p>
    <w:p>
      <w:pPr>
        <w:spacing w:after="0" w:line="1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derives its revenue from two sources: (1) sales of subscriptions, including term license and post-contract customer support (“PCS”) and consumption-based database-as-a-service offering; and (2) services revenue comprised of consulting and training arrangements. The Company recognizes revenue when its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130" w:lineRule="exact"/>
        <w:rPr>
          <w:sz w:val="20"/>
          <w:szCs w:val="20"/>
          <w:color w:val="auto"/>
        </w:rPr>
      </w:pPr>
    </w:p>
    <w:p>
      <w:pPr>
        <w:ind w:left="660" w:right="40" w:hanging="328"/>
        <w:spacing w:after="0" w:line="27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contract, or contracts, with a customer </w:t>
      </w:r>
      <w:r>
        <w:rPr>
          <w:rFonts w:ascii="Arial" w:cs="Arial" w:eastAsia="Arial" w:hAnsi="Arial"/>
          <w:sz w:val="17"/>
          <w:szCs w:val="17"/>
          <w:color w:val="auto"/>
        </w:rPr>
        <w:t>- The Company contracts with its customers through order forms,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master sales agreements.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The Company has concluded that its contracts with customers do not contain warranties that give rise to a separate performance obligation.</w:t>
      </w:r>
    </w:p>
    <w:p>
      <w:pPr>
        <w:spacing w:after="0" w:line="119" w:lineRule="exact"/>
        <w:rPr>
          <w:rFonts w:ascii="Arial" w:cs="Arial" w:eastAsia="Arial" w:hAnsi="Arial"/>
          <w:sz w:val="17"/>
          <w:szCs w:val="17"/>
          <w:color w:val="auto"/>
        </w:rPr>
      </w:pPr>
    </w:p>
    <w:p>
      <w:pPr>
        <w:ind w:left="660" w:right="120" w:hanging="328"/>
        <w:spacing w:after="0" w:line="273"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performance obligations in the contract </w:t>
      </w:r>
      <w:r>
        <w:rPr>
          <w:rFonts w:ascii="Arial" w:cs="Arial" w:eastAsia="Arial" w:hAnsi="Arial"/>
          <w:sz w:val="17"/>
          <w:szCs w:val="17"/>
          <w:color w:val="auto"/>
        </w:rPr>
        <w:t>- Performance obligations promised in a contract are identified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17" w:lineRule="exact"/>
        <w:rPr>
          <w:rFonts w:ascii="Arial" w:cs="Arial" w:eastAsia="Arial" w:hAnsi="Arial"/>
          <w:sz w:val="17"/>
          <w:szCs w:val="17"/>
          <w:color w:val="auto"/>
        </w:rPr>
      </w:pPr>
    </w:p>
    <w:p>
      <w:pPr>
        <w:ind w:left="660" w:right="32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of the transaction price </w:t>
      </w:r>
      <w:r>
        <w:rPr>
          <w:rFonts w:ascii="Arial" w:cs="Arial" w:eastAsia="Arial" w:hAnsi="Arial"/>
          <w:sz w:val="18"/>
          <w:szCs w:val="18"/>
          <w:color w:val="auto"/>
        </w:rPr>
        <w:t>- The transaction price is determined based on the consideration to which the Company expects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in exchange for transferring services and products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660" w:right="40" w:hanging="328"/>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the transaction price to the performance obligations in the contract </w:t>
      </w:r>
      <w:r>
        <w:rPr>
          <w:rFonts w:ascii="Arial" w:cs="Arial" w:eastAsia="Arial" w:hAnsi="Arial"/>
          <w:sz w:val="17"/>
          <w:szCs w:val="17"/>
          <w:color w:val="auto"/>
        </w:rPr>
        <w:t>- If the contract contains a single performance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the Company utilizes all observable data points including competitor pricing for a similar or identical product, market and industry data points and the Company’s pricing practices to establish the SSP.</w:t>
      </w:r>
    </w:p>
    <w:p>
      <w:pPr>
        <w:spacing w:after="0" w:line="119" w:lineRule="exact"/>
        <w:rPr>
          <w:rFonts w:ascii="Arial" w:cs="Arial" w:eastAsia="Arial" w:hAnsi="Arial"/>
          <w:sz w:val="17"/>
          <w:szCs w:val="17"/>
          <w:color w:val="auto"/>
        </w:rPr>
      </w:pPr>
    </w:p>
    <w:p>
      <w:pPr>
        <w:ind w:left="660" w:right="4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revenue when, or as, the Company satisfies a performance obligation </w:t>
      </w:r>
      <w:r>
        <w:rPr>
          <w:rFonts w:ascii="Arial" w:cs="Arial" w:eastAsia="Arial" w:hAnsi="Arial"/>
          <w:sz w:val="18"/>
          <w:szCs w:val="18"/>
          <w:color w:val="auto"/>
        </w:rPr>
        <w:t>- The Company recognizes revenue at the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Subscription Revenue</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When the Company enters into multi-year subscription contracts, the Company typically invoices the customer on an annual basis. The Company’s subscription contracts are generally non-cancelable and non-refundable.</w:t>
      </w:r>
    </w:p>
    <w:p>
      <w:pPr>
        <w:spacing w:after="0" w:line="133"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The Company’s subscription revenue includes time-based software licenses sold in conjunction with PCS. These subscription offerings are generally priced on a per server basis, subject to a per server RAM limit. Performance obligations related to subscription revenue for time-based software licenses include a license portion, which represents functional intellectual property under which a customer has the legal right to the license. The license provides significant standalone functionality and is therefore deemed a distinct performance obligation. License revenue is recognized at a point in time, upon delivery and transfer of control of the underlying license to the customer, which is typically the subscription start date.</w:t>
      </w:r>
    </w:p>
    <w:p>
      <w:pPr>
        <w:spacing w:after="0" w:line="12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Performance obligations related to PCS include unspecified updates, as well as support and maintenance. While separate performance obligations are identified within PCS, the underlying performance obligations generally have a consistent continuous pattern of transfer to a customer during the term of a contract. Revenue from PCS is recognized ratably over the contract duration.</w:t>
      </w:r>
    </w:p>
    <w:p>
      <w:pPr>
        <w:spacing w:after="0" w:line="13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Company also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 usage-basis, as the consumption of this service represents a direct measurement of the value to the customer of the goods or services transferred to date relative to the remaining goods or services promised under the contract.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Services Revenue</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Company’s services contracts are generally provisioned on a time-and-materials basis. Revenue is recognized on a proportional performance basis as the services are delivered to the customers.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171"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Certain of the Company’s contracts with customers contain multiple performance obligations, including those described above such as the license portion of time-based software licenses, PCS, database-as-a-service offering and services. For these contracts, the Company accounts for individual performance obligations separately if they are distinct. The transaction price is allocated to the separate performance obligations on a relative SSP basis.</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 of Subscription Revenue</w:t>
      </w:r>
    </w:p>
    <w:p>
      <w:pPr>
        <w:spacing w:after="0" w:line="171"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Cost of subscription revenue primarily includes personnel costs, including salaries, bonuses and benefits and stock-based compensation, for employees associated with the Company’s subscription arrangements principally related to support and allocated shared costs, as well as depreciation and amortization. The cost of subscription revenue for the Company’s database-as-a-service offering also includes third-party cloud infrastructure.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 of Services Revenue</w:t>
      </w:r>
    </w:p>
    <w:p>
      <w:pPr>
        <w:spacing w:after="0" w:line="17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Cost of services revenue primarily includes personnel costs, including salaries and benefits and stock-based compensation, for employees associated with the Company’s professional service contracts, travel costs and allocated shared costs, as well as depreciation and amortization.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Commissions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Company capitalizes its incremental costs of obtaining non-cancelable subscription contracts with customers, which generally consist of sales commissions paid to the Company’s sales force and related payroll taxes. These costs are recorded on the Company’s consolidated balance sheets as deferred commissions. Amortization is recognized based on the expected future revenue streams under the customer contracts over a period of benefit that the Company has determined to be generally five years. The Company determined the period of benefit by taking into consideration its customer contracts, its technology and other factors. For all other sales commissions and related payroll taxes for non-cancelable subscription contracts, the Company also capitalizes such costs,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streams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Revenue</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Deferred revenue primarily consists of customer billings or payments received in advance of revenues being recognized from the Company’s subscription and services contracts. The Company generally invoices its customers annually in advance for its subscription services. Typical payment terms provide that customers pay a portion of the total arrangement fee within 30 days of the contract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Deferred revenue does not necessarily represent the total contract value of annual or multi-year, non-cancelable subscription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Accounts Receivable and Allowance for Doubtful Accounts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 records a receivable when an unconditional right to consideration exists and transfer of control has occurred,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33"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Accounts receivable are recorded at the invoiced amounts and do not bear interest. The Company performs initial and ongoing evaluations of its customers' financial position and generally extends credit without collateral. The Company determines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the Company no longer actively pursues collection of the receivable.</w:t>
      </w:r>
    </w:p>
    <w:p>
      <w:pPr>
        <w:spacing w:after="0" w:line="200" w:lineRule="exact"/>
        <w:rPr>
          <w:sz w:val="20"/>
          <w:szCs w:val="20"/>
          <w:color w:val="auto"/>
        </w:rPr>
      </w:pPr>
    </w:p>
    <w:p>
      <w:pPr>
        <w:spacing w:after="0" w:line="36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Convertible Senior Notes</w:t>
      </w:r>
    </w:p>
    <w:p>
      <w:pPr>
        <w:spacing w:after="0" w:line="171"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In accounting for the issuance of the Company’s convertible senior notes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represents the debt discount that is amortized to interest expense over the respective terms of the Notes using the effective interest rate method. The equity component was recorded in additional paid-in capital and is not remeasured as long as it continues to meet the conditions for equity classification.</w:t>
      </w:r>
    </w:p>
    <w:p>
      <w:pPr>
        <w:spacing w:after="0" w:line="12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accounting for the debt issuance costs related to the Notes, the Company allocated the total amount incurred to the liability and equity components of the Notes based on their relative values. Issuance costs attributable to the liability component are being amortized to interest expense over the contractual term of the Notes. The issuance costs attributable to the equity component were netted against the equity component representing the conversion option in additional paid-in capital.</w:t>
      </w:r>
    </w:p>
    <w:p>
      <w:pPr>
        <w:spacing w:after="0" w:line="13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Transactions involving contemporaneous exchanges of cash between the same debtor and creditor in connection with the issuance of a new debt obligation and satisfaction of an existing debt obligation by the debtor should be evaluated as a modification or an exchange transaction depending on whether the exchange is determined to have substantially different terms. For exchange transactions that are considered an extinguishment of debt, the total consideration for such an exchange is separated into liability and equity components by estimating the fair value of a similar liability without a conversion option and assigning the residual value to the equity component. The gain or loss on extinguishment of the debt is subsequently determined by comparing repurchase consideration allocated to the liability component to the sum of the carrying value of the liability component, net of the proportionate amounts of unamortized debt discount and remaining unamortized debt issuance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17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Advertising</w:t>
      </w:r>
    </w:p>
    <w:p>
      <w:pPr>
        <w:spacing w:after="0" w:line="17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Advertising costs are expensed as incurred or the first time the advertising takes place, based on the nature of the advertising and include direct marketing, events, public relations, sales collateral materials and partner programs. Advertising costs were $7.6 million, $5.1 million and $3.4 million for the years ended January 31, 2020, 2019 and 2018, respectively. Advertising costs are recorded in sales and marketing expenses in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w:t>
      </w:r>
    </w:p>
    <w:p>
      <w:pPr>
        <w:spacing w:after="0" w:line="171"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Compensation expense related to stock-based awards granted to employees and non-employees is calculated based on the fair value of stock-based awards on the date of grant. For restricted stock units, fair value is based on the closing price of the Company’s Class A common stock on the grant date. For stock options and purchase rights issued to employees under the 2017 Employee Stock Purchase Plan, the Company determines the grant date fair value using the Black-Scholes option-pricing model. The Company’s stock price volatility and expected option life involve management's best estimates, both of which impact the fair value estimated under the Black-Scholes option-pricing model and, ultimately, the expense that will be recognized.</w:t>
      </w:r>
    </w:p>
    <w:p>
      <w:pPr>
        <w:spacing w:after="0" w:line="10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Company recognizes the related stock-based compensation expense for restricted stock units and stock options on a straight-line basis over the period in which an employee is required to provide service in exchange for the stock-based award, which is generally four years. The Company has elected to account for forfeitures as they occur. The Company recognizes the stock-based compensation expense related to the 2017 Employee Stock Purchase Plan on a straight-line basis over the offering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Net Loss Per Share</w:t>
      </w:r>
    </w:p>
    <w:p>
      <w:pPr>
        <w:spacing w:after="0" w:line="17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w:t>
      </w: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giving effect to all potentially dilutive common stock equivalents outstanding for the period, including stock options and restricted stock units.</w:t>
      </w:r>
    </w:p>
    <w:p>
      <w:pPr>
        <w:spacing w:after="0" w:line="17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 xml:space="preserve">Prior to the Company’s closing of its initial public offering in October 2017, the Company calculated basic and diluted net loss per share attributable to common stockholders in conformity with the two-class method required for companies with participating securities. The Company considered all series of redeemable convertible preferred stock to have been participating securities as the holders were entitled to receive non-cumulative dividends on a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basis in the event that a dividend had been paid on common stock. See Note 13,</w:t>
      </w:r>
      <w:r>
        <w:rPr>
          <w:rFonts w:ascii="Arial" w:cs="Arial" w:eastAsia="Arial" w:hAnsi="Arial"/>
          <w:sz w:val="16"/>
          <w:szCs w:val="16"/>
          <w:i w:val="1"/>
          <w:iCs w:val="1"/>
          <w:color w:val="auto"/>
        </w:rPr>
        <w:t xml:space="preserve"> Net Loss per Share</w:t>
      </w:r>
      <w:r>
        <w:rPr>
          <w:rFonts w:ascii="Arial" w:cs="Arial" w:eastAsia="Arial" w:hAnsi="Arial"/>
          <w:sz w:val="16"/>
          <w:szCs w:val="16"/>
          <w:color w:val="auto"/>
        </w:rPr>
        <w:t>, for further details on the Company’s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securities, including warrants to purchase redeemable convertible preferred stock and common stock.</w:t>
      </w:r>
    </w:p>
    <w:p>
      <w:pPr>
        <w:spacing w:after="0" w:line="1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the two-class method, basic net loss per share attributable to common stockholders was calculated by dividing the net loss by the weighted-average number of shares of common stock outstanding during the period, less shares subject to repurchase. The net loss attributable to common stockholders was not allocated to the redeemable convertible preferred stock as the holders of redeemable convertible preferred stock did not have a contractual obligation to share in losses. Diluted net loss per share attributable to common stockholders was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were considered common shares equivalents, but had been excluded from the calculation of diluted net loss per share attributable to common stockholders as their effect was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Segment Information</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operates its business as one operating segment as the Company’s chief operating decision maker, the Company’s Chief Executive Officer, reviews financial information on an aggregate and consolidated basis for purposes of allocating resources and evaluating financial performance. Since the Company has a single operating unit and reporting segment structure, all required segment information can be found in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Income Taxes</w:t>
      </w:r>
    </w:p>
    <w:p>
      <w:pPr>
        <w:spacing w:after="0" w:line="17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spacing w:after="0" w:line="1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Related Party Transactions</w:t>
      </w:r>
    </w:p>
    <w:p>
      <w:pPr>
        <w:spacing w:after="0" w:line="17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All contracts with related parties are executed in the ordinary course of business. There were no material related party transactions in the years ended January 31, 2020, 2019 and 2018. As of January 31, 2020 and 2019, there were no material amounts payable to or amounts receivable from related parties.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Recently Adopted Accounting Pronouncements</w:t>
      </w:r>
    </w:p>
    <w:p>
      <w:pPr>
        <w:spacing w:after="0" w:line="17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In February 2016, the Financial Accounting Standards Board issued ASU No. 2016-02, codified as ASC 842, which requires lessees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 lease liability for the obligation to make lease payments and a right-of-use asset for the right to use the underlying asset for the lease term while recognizing expense in a manner similar to the previous guidance under ASC 840. ASC 842 retains the distinction between finance leases and operating leases and the classification criteria for finance leases remains similar.</w:t>
      </w:r>
    </w:p>
    <w:p>
      <w:pPr>
        <w:spacing w:after="0" w:line="133"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 xml:space="preserve">The Company adopted the new lease accounting standard effective February 1, 2019 on a modified retrospective basis for leases that existed as of February 1, 2019 using the additional transition method described in ASU No. 2018-11, </w:t>
      </w:r>
      <w:r>
        <w:rPr>
          <w:rFonts w:ascii="Arial" w:cs="Arial" w:eastAsia="Arial" w:hAnsi="Arial"/>
          <w:sz w:val="16"/>
          <w:szCs w:val="16"/>
          <w:i w:val="1"/>
          <w:iCs w:val="1"/>
          <w:color w:val="auto"/>
        </w:rPr>
        <w:t>Leases – Targeted Improvements</w:t>
      </w:r>
      <w:r>
        <w:rPr>
          <w:rFonts w:ascii="Arial" w:cs="Arial" w:eastAsia="Arial" w:hAnsi="Arial"/>
          <w:sz w:val="16"/>
          <w:szCs w:val="16"/>
          <w:color w:val="auto"/>
        </w:rPr>
        <w:t>, which was issued in July 2018. Under the additional transition method, the Company recognized the cumulative effect of initially applying ASC 842 as an adjustment to the right-of-use assets and lease liabilities on its condensed consolidated balance sheet on February 1, 2019 without retrospective application to comparative periods. The Company elected the practical expedients which allow it to carry forward its assessment on whether an arrangement is a lease or contains a lease, the historical lease classification and the initial direct costs for any leases that expired or existed prior to</w:t>
      </w:r>
    </w:p>
    <w:p>
      <w:pPr>
        <w:spacing w:after="0" w:line="200" w:lineRule="exact"/>
        <w:rPr>
          <w:sz w:val="20"/>
          <w:szCs w:val="20"/>
          <w:color w:val="auto"/>
        </w:rPr>
      </w:pPr>
    </w:p>
    <w:p>
      <w:pPr>
        <w:spacing w:after="0" w:line="35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adoption of ASC 842. In addition, the Company elected the short-term lease exception and the practical expedient to account for lease components and non-lease components as a single lease component.</w:t>
      </w:r>
    </w:p>
    <w:p>
      <w:pPr>
        <w:spacing w:after="0" w:line="11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connection with the adoption of ASC 842, the Company recognized operating lease right-of-use assets and operating lease liabilities on the consolidated balance sheet primarily related to the office facilities of $10.3 million and $11.3 million, respectively. The difference between the operating lease right-of-use assets and operating lease liabilities primarily represented the existing deferred rent liability balance as of the adoption date of $1.0 million.</w:t>
      </w:r>
    </w:p>
    <w:p>
      <w:pPr>
        <w:spacing w:after="0" w:line="13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Prior to the adoption of ASC 842, as a result of the Company’s involvement during the construction period, whereby the Company had certain indemnification obligations related to the construction, the Company was considered, for accounting purposes only, the owner of the construction project under build-to-suit lease accounting and accordingly, the Company accounted for the New York City office lease as a financing arrangement. As of January 31, 2019, $55.7 million of the build-to-suit lease asset was included in “Property and equipment, net” and the related $70.2 million financing lease obligation was included in “Other liabilities, non-current” on the consolidated balance sheets. Upon the adoption of ASC 842, this lease was classified as a finance lease, where the Company derecognized its build-to-suit asset and related liabilities, recognized finance right-of-use assets of $43.4 million and finance lease liabilities of $64.0 million, reduced the existing deferred rent liability balance as of the adoption date of $1.9 million, and recorded $4.1 million as a decrease to the opening accumulated deficit as of February 1, 2019.</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Leases</w:t>
      </w:r>
      <w:r>
        <w:rPr>
          <w:rFonts w:ascii="Arial" w:cs="Arial" w:eastAsia="Arial" w:hAnsi="Arial"/>
          <w:sz w:val="18"/>
          <w:szCs w:val="18"/>
          <w:color w:val="auto"/>
        </w:rPr>
        <w:t>, for further details of the Company’s leases subsequent to the adoption of ASC 842.</w:t>
      </w:r>
    </w:p>
    <w:p>
      <w:pPr>
        <w:spacing w:after="0" w:line="17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In June 2018, the FASB issued ASU No. 2018-07,</w:t>
      </w:r>
      <w:r>
        <w:rPr>
          <w:rFonts w:ascii="Arial" w:cs="Arial" w:eastAsia="Arial" w:hAnsi="Arial"/>
          <w:sz w:val="17"/>
          <w:szCs w:val="17"/>
          <w:i w:val="1"/>
          <w:iCs w:val="1"/>
          <w:color w:val="auto"/>
        </w:rPr>
        <w:t xml:space="preserve"> Compensation - Stock Compensation (Topic 718): Improvements to Non-employee Share-Based Payment Accounting</w:t>
      </w:r>
      <w:r>
        <w:rPr>
          <w:rFonts w:ascii="Arial" w:cs="Arial" w:eastAsia="Arial" w:hAnsi="Arial"/>
          <w:sz w:val="17"/>
          <w:szCs w:val="17"/>
          <w:color w:val="auto"/>
        </w:rPr>
        <w:t>, which expands the scope of Topic 718 to include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with certain exceptions. The new guidance was effective for the Company for fiscal year beginning February 1, 2019 and the adoption had no material impact on its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New Accounting Pronouncements Not Yet Adopted</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Simplifying the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The new standard will simplify the measurement of goodwill by eliminating step two of the two-step impairment test. 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the Company for the fiscal year beginning February 1, 2020. The Company does not expect the adoption of the new accounting standard to have a material impact on its consolidated financial statements.</w:t>
      </w:r>
    </w:p>
    <w:p>
      <w:pPr>
        <w:spacing w:after="0" w:line="138"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i w:val="1"/>
          <w:iCs w:val="1"/>
          <w:color w:val="auto"/>
        </w:rPr>
        <w:t>Cloud Computing</w:t>
      </w:r>
      <w:r>
        <w:rPr>
          <w:rFonts w:ascii="Arial" w:cs="Arial" w:eastAsia="Arial" w:hAnsi="Arial"/>
          <w:sz w:val="17"/>
          <w:szCs w:val="17"/>
          <w:color w:val="auto"/>
        </w:rPr>
        <w:t>. In August 2018, the FASB issued ASU 2018-15,</w:t>
      </w:r>
      <w:r>
        <w:rPr>
          <w:rFonts w:ascii="Arial" w:cs="Arial" w:eastAsia="Arial" w:hAnsi="Arial"/>
          <w:sz w:val="17"/>
          <w:szCs w:val="17"/>
          <w:i w:val="1"/>
          <w:iCs w:val="1"/>
          <w:color w:val="auto"/>
        </w:rPr>
        <w:t xml:space="preserve"> Customer’s Accounting for Implementation Costs Incurred in a Cloud Computing Arrangement That Is a Service Contract</w:t>
      </w:r>
      <w:r>
        <w:rPr>
          <w:rFonts w:ascii="Arial" w:cs="Arial" w:eastAsia="Arial" w:hAnsi="Arial"/>
          <w:sz w:val="17"/>
          <w:szCs w:val="17"/>
          <w:color w:val="auto"/>
        </w:rPr>
        <w:t>, which aligns the accounting for implementation costs incurred in a hosting arrangement that is a</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contract with the accounting for implementation costs incurred to develop or obtain internal-use software under ASC 350-40, in order to determine which costs to capitalize and recognize as an asset and which costs to expense. ASU 2018-15 becomes effective for the Company for the fiscal year beginning February 1, 2020. The Company expects to apply ASU 2018-15 prospectively for implementation costs incurred after the date of adoption and does not expect ASU 2018-15 to have a material impact on its consolidated financial statements upon adoption.</w:t>
      </w:r>
    </w:p>
    <w:p>
      <w:pPr>
        <w:spacing w:after="0" w:line="12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i w:val="1"/>
          <w:iCs w:val="1"/>
          <w:color w:val="auto"/>
        </w:rPr>
        <w:t>Credit Losses</w:t>
      </w:r>
      <w:r>
        <w:rPr>
          <w:rFonts w:ascii="Arial" w:cs="Arial" w:eastAsia="Arial" w:hAnsi="Arial"/>
          <w:sz w:val="16"/>
          <w:szCs w:val="16"/>
          <w:color w:val="auto"/>
        </w:rPr>
        <w:t>. In June 2016, the FASB issued ASU No. 2016-13,</w:t>
      </w:r>
      <w:r>
        <w:rPr>
          <w:rFonts w:ascii="Arial" w:cs="Arial" w:eastAsia="Arial" w:hAnsi="Arial"/>
          <w:sz w:val="16"/>
          <w:szCs w:val="16"/>
          <w:i w:val="1"/>
          <w:iCs w:val="1"/>
          <w:color w:val="auto"/>
        </w:rPr>
        <w:t xml:space="preserve"> Financial Instruments-Credit Losses (Topic 326)</w:t>
      </w:r>
      <w:r>
        <w:rPr>
          <w:rFonts w:ascii="Arial" w:cs="Arial" w:eastAsia="Arial" w:hAnsi="Arial"/>
          <w:sz w:val="16"/>
          <w:szCs w:val="16"/>
          <w:color w:val="auto"/>
        </w:rPr>
        <w:t>: Measurement of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on Financial Instruments, which requires the measurement and recognition of expected credit losses for financial assets held at amortized cost, which includes the Company's accounts receivables, certain financial instruments and contract assets. ASU 2016-13 replaces the existing incurred loss impairment model with an expected loss methodology, which will result in more timely recognition of credit losses. ASU 2016-13 eliminates the concept of other-than-temporary impairment and requires credit losses related to available-for-sale debt securities to be recorded through an allowance for credit losses rather than as a reduction in the amortized cost basis of the securities. ASU 2016-13 becomes effective for the Company for the fiscal year beginning February 1, 2020 and requires a cumulative effect adjustment to the balance sheet as of the beginning of the first reporting period in which the guidance is effective. The Company is currently evaluating the impact of the adoption of this ASU No. 2016-13 on its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January 31, 2020 and 2019 and indicate the fair value hierarchy of the valuation inputs utilized to determine such fair value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spacing w:after="0"/>
              <w:rPr>
                <w:sz w:val="20"/>
                <w:szCs w:val="20"/>
                <w:color w:val="auto"/>
              </w:rPr>
            </w:pPr>
            <w:r>
              <w:rPr>
                <w:rFonts w:ascii="Arial" w:cs="Arial" w:eastAsia="Arial" w:hAnsi="Arial"/>
                <w:sz w:val="14"/>
                <w:szCs w:val="14"/>
                <w:b w:val="1"/>
                <w:bCs w:val="1"/>
                <w:color w:val="auto"/>
              </w:rPr>
              <w:t>Fair Value Measurement at January 31, 2020</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0"/>
                <w:szCs w:val="20"/>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6"/>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623,856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623,856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280,326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280,326</w:t>
            </w: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904,182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904,182</w:t>
            </w:r>
          </w:p>
        </w:tc>
      </w:tr>
      <w:tr>
        <w:trPr>
          <w:trHeight w:val="54"/>
        </w:trPr>
        <w:tc>
          <w:tcPr>
            <w:tcW w:w="50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2"/>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Arial" w:cs="Arial" w:eastAsia="Arial" w:hAnsi="Arial"/>
                <w:sz w:val="14"/>
                <w:szCs w:val="14"/>
                <w:b w:val="1"/>
                <w:bCs w:val="1"/>
                <w:color w:val="auto"/>
              </w:rPr>
              <w:t>Fair Value Measurement at January 31, 2019</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
        </w:trPr>
        <w:tc>
          <w:tcPr>
            <w:tcW w:w="5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0"/>
                <w:szCs w:val="20"/>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6"/>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88,015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318,139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318,139</w:t>
            </w: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406,154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406,154</w:t>
            </w:r>
          </w:p>
        </w:tc>
      </w:tr>
      <w:tr>
        <w:trPr>
          <w:trHeight w:val="54"/>
        </w:trPr>
        <w:tc>
          <w:tcPr>
            <w:tcW w:w="50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color w:val="auto"/>
        </w:rPr>
        <w:t>The Company utilized the market approach and Level 1 valuation inputs to value its money market mutual funds and U.S. government treasury securities because published net asset values were readily available. As of January 31, 2020 and 2019, gross realized and unrealized gains and losses for cash equivalents and short-term investments were not material and the contractual maturity of all marketable securities was less than one year.</w:t>
      </w:r>
    </w:p>
    <w:p>
      <w:pPr>
        <w:spacing w:after="0" w:line="9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In addition to its cash, cash equivalents and short-term investments, the Company measures the fair value of its outstanding convertible senior notes on a quarterly basis for disclosure purposes. The Company considers the fair value of the convertible senior notes at January 31, 2020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consolidated financial statements for further details.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2020</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January 31, 2019</w:t>
            </w:r>
          </w:p>
        </w:tc>
      </w:tr>
      <w:tr>
        <w:trPr>
          <w:trHeight w:val="250"/>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Servers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2,224</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985</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56,161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Finance lease right-of-use assets</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39,411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77,105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(3,441)</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58,316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73,664</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December 2017, the Company entered into a lease agreement for 106,230 rentable square feet of office space to accommodate its growing employee base in New York City. As a result of the Company’s involvement during the construction period, whereby the Company had certain indemnification obligations related to the construction, the Company was considered, for accounting purposes only, the owner of the construction project under build-to-suit lease accounting. Accordingly, the Company recorded the estimated fair value of the leased space as an asset, noted in the table above as “Building.” Costs incurred to renovate the new office space were capitalized as “Construction in process” and upon completion, reclassified to the “Building” asset. The Company also recorded a corresponding long-term lease liability. Prior to the adoption of ASC 842, as of January 31, 2019, $55.7 million of our build-to-suit lease asset was included in “Property and equipment, net” and the related $70.2 million financing lease obligation was included in “Other liabilities, non-current” on the consolidated balance sheets. Upon the adoption of ASC 842, this lease was classified as a finance lease, where we derecognized our build-to-suit asset and related liabilities.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the adoption impact of ASC 842 on the consolidated financial statements as of February 1, 2020.</w:t>
      </w:r>
    </w:p>
    <w:p>
      <w:pPr>
        <w:spacing w:after="0" w:line="131"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 xml:space="preserve">Depreciation and amortization expense related to property and equipment was $2.7 million, $2.9 million and $2.8 million for the years ended January 31, 2020, 2019 and 2018, respectively. Depreciation and amortization expense for the year ended January 31, 2020 excludes amortization with respect to the finance lease right-of-use asset, which is described further in Note 8,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75"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The Company acquired all of the issued and outstanding capital stock of Tightdb, Inc. (“Realm”) on May 7, 2019 (the “Acquisition Date”) for a purchase price of $39.0 million in cash, subject to working capital, cash, debt, transaction expenses and other closing adjustments. Realm, based in San Francisco, California, offers a mobile database, as well as a platform with real-time data synchronization between mobile applications and cloud databases.</w:t>
      </w:r>
    </w:p>
    <w:p>
      <w:pPr>
        <w:spacing w:after="0" w:line="9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 used the acquisition method to account for the purchase of Realm, which met the definition of a business. As of January 31, 2020, the Company had finalized the working capital, cash, debt, transaction expenses and other closing adjustments and identified and recorded the fair value of the assets and liabilities acquired, as well as the residual value to goodwill. The allocation of the purchase price was based on available information and assumptions at the time of the initial valuation and may be subject to change within the measurement period.</w:t>
      </w:r>
    </w:p>
    <w:p>
      <w:pPr>
        <w:spacing w:after="0" w:line="11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total merger consideration, after closing adjustments, was $38.8 million, which included adjustments for cash and working capital. The following table represents a summary of the purchase price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Amounts</w:t>
            </w: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price pursuant to the merger agreement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39,000</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Estimated cash amount</w:t>
            </w:r>
          </w:p>
        </w:tc>
        <w:tc>
          <w:tcPr>
            <w:tcW w:w="660" w:type="dxa"/>
            <w:vAlign w:val="bottom"/>
          </w:tcPr>
          <w:p>
            <w:pPr>
              <w:spacing w:after="0"/>
              <w:rPr>
                <w:sz w:val="21"/>
                <w:szCs w:val="21"/>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115</w:t>
            </w:r>
          </w:p>
        </w:tc>
      </w:tr>
      <w:tr>
        <w:trPr>
          <w:trHeight w:val="27"/>
        </w:trPr>
        <w:tc>
          <w:tcPr>
            <w:tcW w:w="5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Downward closing working capital adjustment</w:t>
            </w:r>
          </w:p>
        </w:tc>
        <w:tc>
          <w:tcPr>
            <w:tcW w:w="6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57"/>
        </w:trPr>
        <w:tc>
          <w:tcPr>
            <w:tcW w:w="5820" w:type="dxa"/>
            <w:vAlign w:val="bottom"/>
          </w:tcPr>
          <w:p>
            <w:pPr>
              <w:ind w:left="280"/>
              <w:spacing w:after="0"/>
              <w:rPr>
                <w:sz w:val="20"/>
                <w:szCs w:val="20"/>
                <w:color w:val="auto"/>
              </w:rPr>
            </w:pPr>
            <w:r>
              <w:rPr>
                <w:rFonts w:ascii="Arial" w:cs="Arial" w:eastAsia="Arial" w:hAnsi="Arial"/>
                <w:sz w:val="18"/>
                <w:szCs w:val="18"/>
                <w:color w:val="auto"/>
              </w:rPr>
              <w:t>Total purchase price to be allocated</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38,763</w:t>
            </w:r>
          </w:p>
        </w:tc>
      </w:tr>
      <w:tr>
        <w:trPr>
          <w:trHeight w:val="20"/>
        </w:trPr>
        <w:tc>
          <w:tcPr>
            <w:tcW w:w="5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summarizes the purchase price allocation fair values of the assets acquired and liabilities and the value of goodwill assumed at the Acquisition Date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Financial and tangible assets,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Identifiable intangible asset - developed technology</w:t>
            </w:r>
          </w:p>
        </w:tc>
        <w:tc>
          <w:tcPr>
            <w:tcW w:w="460" w:type="dxa"/>
            <w:vAlign w:val="bottom"/>
          </w:tcPr>
          <w:p>
            <w:pPr>
              <w:spacing w:after="0"/>
              <w:rPr>
                <w:sz w:val="21"/>
                <w:szCs w:val="21"/>
                <w:color w:val="auto"/>
              </w:rPr>
            </w:pPr>
          </w:p>
        </w:tc>
        <w:tc>
          <w:tcPr>
            <w:tcW w:w="2460" w:type="dxa"/>
            <w:vAlign w:val="bottom"/>
          </w:tcPr>
          <w:p>
            <w:pPr>
              <w:jc w:val="right"/>
              <w:ind w:right="13"/>
              <w:spacing w:after="0"/>
              <w:rPr>
                <w:sz w:val="20"/>
                <w:szCs w:val="20"/>
                <w:color w:val="auto"/>
              </w:rPr>
            </w:pPr>
            <w:r>
              <w:rPr>
                <w:rFonts w:ascii="Arial" w:cs="Arial" w:eastAsia="Arial" w:hAnsi="Arial"/>
                <w:sz w:val="18"/>
                <w:szCs w:val="18"/>
                <w:color w:val="auto"/>
              </w:rPr>
              <w:t>27,300</w:t>
            </w:r>
          </w:p>
        </w:tc>
      </w:tr>
      <w:tr>
        <w:trPr>
          <w:trHeight w:val="27"/>
        </w:trPr>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Identifiable intangible asset - customer relationships</w:t>
            </w:r>
          </w:p>
        </w:tc>
        <w:tc>
          <w:tcPr>
            <w:tcW w:w="4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(excluding deferred tax liability impact)</w:t>
            </w:r>
          </w:p>
        </w:tc>
        <w:tc>
          <w:tcPr>
            <w:tcW w:w="46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10,070</w:t>
            </w:r>
          </w:p>
        </w:tc>
      </w:tr>
      <w:tr>
        <w:trPr>
          <w:trHeight w:val="257"/>
        </w:trPr>
        <w:tc>
          <w:tcPr>
            <w:tcW w:w="5820" w:type="dxa"/>
            <w:vAlign w:val="bottom"/>
          </w:tcPr>
          <w:p>
            <w:pPr>
              <w:ind w:left="28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38,763</w:t>
            </w:r>
          </w:p>
        </w:tc>
      </w:tr>
      <w:tr>
        <w:trPr>
          <w:trHeight w:val="20"/>
        </w:trPr>
        <w:tc>
          <w:tcPr>
            <w:tcW w:w="5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Financial and tangible assets, net primarily include the cash acquired and accounts receivable, net of existing Realm obligations as of the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Developed technology includes both the Realm mobile database and the Realm Object Server, which together automatically synchronize data between mobile applications and cloud databases, including MongoDB Atlas. The Company determined the economic useful life to be five years based on the expected time period that the asset would contribute to the Company’s future cash flows without significant upgrades. The fair value of developed technology was estimated using the reproduction cost method (Level 3), which utilized assumptions for the cost to replace, such as the workforce, timing and resources required, as well as a theoretical profit margin and opportunity cost.</w:t>
      </w:r>
    </w:p>
    <w:p>
      <w:pPr>
        <w:spacing w:after="0" w:line="122"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Customer relationships represent the fair value of projected subscription revenue that is expected to be generated from existing customers of Realm as of the Acquisition Date. The Company determined the economic useful life to be five years and the fair value of customer relationships was estimated using the replacement cost approach (Level 3), which utilized assumptions for sales and marketing expenses to determine the estimated cost to acquire a Realm customer. Other assumptions include a theoretical profit margin and opportunity costs.</w:t>
      </w:r>
    </w:p>
    <w:p>
      <w:pPr>
        <w:spacing w:after="0" w:line="117" w:lineRule="exact"/>
        <w:rPr>
          <w:sz w:val="20"/>
          <w:szCs w:val="20"/>
          <w:color w:val="auto"/>
        </w:rPr>
      </w:pPr>
    </w:p>
    <w:p>
      <w:pPr>
        <w:jc w:val="both"/>
        <w:ind w:right="420" w:firstLine="486"/>
        <w:spacing w:after="0" w:line="263" w:lineRule="auto"/>
        <w:rPr>
          <w:sz w:val="20"/>
          <w:szCs w:val="20"/>
          <w:color w:val="auto"/>
        </w:rPr>
      </w:pPr>
      <w:r>
        <w:rPr>
          <w:rFonts w:ascii="Arial" w:cs="Arial" w:eastAsia="Arial" w:hAnsi="Arial"/>
          <w:sz w:val="18"/>
          <w:szCs w:val="18"/>
          <w:color w:val="auto"/>
        </w:rPr>
        <w:t xml:space="preserve">These two intangible assets acquired are being amortized over their estimated useful lives using the straight-line method of amortization, which approximates the distribution of the economic value of the identified intangible assets. See Note 6, </w:t>
      </w:r>
      <w:r>
        <w:rPr>
          <w:rFonts w:ascii="Arial" w:cs="Arial" w:eastAsia="Arial" w:hAnsi="Arial"/>
          <w:sz w:val="18"/>
          <w:szCs w:val="18"/>
          <w:i w:val="1"/>
          <w:iCs w:val="1"/>
          <w:color w:val="auto"/>
        </w:rPr>
        <w:t>Goodwill and Acquired Intangible Assets, Net</w:t>
      </w:r>
      <w:r>
        <w:rPr>
          <w:rFonts w:ascii="Arial" w:cs="Arial" w:eastAsia="Arial" w:hAnsi="Arial"/>
          <w:sz w:val="18"/>
          <w:szCs w:val="18"/>
          <w:color w:val="auto"/>
        </w:rPr>
        <w:t>, for further details.</w:t>
      </w:r>
    </w:p>
    <w:p>
      <w:pPr>
        <w:spacing w:after="0" w:line="130"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 xml:space="preserve">Deferred revenue was estimated at fair value under the cost build-up method (Level 3), which was determined based on estimated direct and indirect costs to support and fulfill the subscription obligation plus an assumed operating margin. Deferred revenue will be recognized based on the revenue criteria set forth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13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Goodwill related to the acquisition, which represents the difference between the purchase price and fair values of identifiable net assets, is primarily attributable to assembled workforce, as well as expected synergies of the combination. The goodwill is not tax deductible for U.S. income tax purposes. In addition to the goodwill recorded through the purchase price allocation disclosed in the table above, the Company recorded an additional $3.5 million to goodwill during the three months ended July 31, 2019, resulting from deferred tax liabilities associated with the acquired intangible assets. During the three months ended January 31, 2020, the Company completed its net operating losses limitation analysis under Section 382 of the U.S. Internal Revenue Code of 1986 with respect to the acquisition of Realm and made a final determination that $3.9 million should be recorded to goodwill associated with the acquired deferred tax liabilities from Realm. Accordingly, the Company recorded a measurement period adjustment of $0.4 million for the period ended January 31, 2020 as an additional income tax benefit and an increase to goodwill.</w:t>
      </w:r>
    </w:p>
    <w:p>
      <w:pPr>
        <w:spacing w:after="0" w:line="124" w:lineRule="exact"/>
        <w:rPr>
          <w:sz w:val="20"/>
          <w:szCs w:val="20"/>
          <w:color w:val="auto"/>
        </w:rPr>
      </w:pPr>
    </w:p>
    <w:p>
      <w:pPr>
        <w:ind w:right="900" w:firstLine="486"/>
        <w:spacing w:after="0" w:line="342" w:lineRule="auto"/>
        <w:rPr>
          <w:sz w:val="20"/>
          <w:szCs w:val="20"/>
          <w:color w:val="auto"/>
        </w:rPr>
      </w:pPr>
      <w:r>
        <w:rPr>
          <w:rFonts w:ascii="Arial" w:cs="Arial" w:eastAsia="Arial" w:hAnsi="Arial"/>
          <w:sz w:val="16"/>
          <w:szCs w:val="16"/>
          <w:color w:val="auto"/>
        </w:rPr>
        <w:t>The Company incurred acquisition-related costs for the Realm acquisition of $0.6 million during the year ended January 31, 2020. These acquisition-related costs were included in general and administrative expenses in the Company’s consolidated statements of operations.</w:t>
      </w:r>
    </w:p>
    <w:p>
      <w:pPr>
        <w:spacing w:after="0" w:line="70" w:lineRule="exact"/>
        <w:rPr>
          <w:sz w:val="20"/>
          <w:szCs w:val="20"/>
          <w:color w:val="auto"/>
        </w:rPr>
      </w:pPr>
    </w:p>
    <w:p>
      <w:pPr>
        <w:jc w:val="both"/>
        <w:ind w:right="300" w:firstLine="486"/>
        <w:spacing w:after="0" w:line="301" w:lineRule="auto"/>
        <w:rPr>
          <w:sz w:val="20"/>
          <w:szCs w:val="20"/>
          <w:color w:val="auto"/>
        </w:rPr>
      </w:pPr>
      <w:r>
        <w:rPr>
          <w:rFonts w:ascii="Arial" w:cs="Arial" w:eastAsia="Arial" w:hAnsi="Arial"/>
          <w:sz w:val="16"/>
          <w:szCs w:val="16"/>
          <w:color w:val="auto"/>
        </w:rPr>
        <w:t>The Company included Realm’s estimated fair value of assets acquired and liabilities assumed in its consolidated balance sheet beginning on the Acquisition Date. The results of operations for Realm subsequent to the Acquisition Date have been included in, but are not material to, the Company's consolidated statements of operations for the year ended January 31, 2020. The pro forma results of operations for the Realm acquisition have not been presented because they were not material to the Company’s consolidated statements of operations for the years ended January 31, 2020, 2019 and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January 31, 2020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January 31, 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the year</w:t>
            </w:r>
          </w:p>
        </w:tc>
        <w:tc>
          <w:tcPr>
            <w:tcW w:w="2060" w:type="dxa"/>
            <w:vAlign w:val="bottom"/>
            <w:tcBorders>
              <w:bottom w:val="single" w:sz="8" w:color="CCEEFF"/>
            </w:tcBorders>
            <w:shd w:val="clear" w:color="auto" w:fill="CCEEFF"/>
          </w:tcPr>
          <w:p>
            <w:pPr>
              <w:jc w:val="right"/>
              <w:ind w:right="1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Increase in goodwill related to business combinations</w:t>
            </w:r>
          </w:p>
        </w:tc>
        <w:tc>
          <w:tcPr>
            <w:tcW w:w="20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13,952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20" w:type="dxa"/>
            <w:vAlign w:val="bottom"/>
          </w:tcPr>
          <w:p>
            <w:pPr>
              <w:jc w:val="right"/>
              <w:ind w:right="15"/>
              <w:spacing w:after="0"/>
              <w:rPr>
                <w:sz w:val="20"/>
                <w:szCs w:val="20"/>
                <w:color w:val="auto"/>
              </w:rPr>
            </w:pPr>
            <w:r>
              <w:rPr>
                <w:rFonts w:ascii="Arial" w:cs="Arial" w:eastAsia="Arial" w:hAnsi="Arial"/>
                <w:sz w:val="18"/>
                <w:szCs w:val="18"/>
                <w:color w:val="auto"/>
              </w:rPr>
              <w:t>40,178</w:t>
            </w:r>
          </w:p>
        </w:tc>
      </w:tr>
      <w:tr>
        <w:trPr>
          <w:trHeight w:val="27"/>
        </w:trPr>
        <w:tc>
          <w:tcPr>
            <w:tcW w:w="55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the year</w:t>
            </w:r>
          </w:p>
        </w:tc>
        <w:tc>
          <w:tcPr>
            <w:tcW w:w="2060" w:type="dxa"/>
            <w:vAlign w:val="bottom"/>
            <w:tcBorders>
              <w:bottom w:val="single" w:sz="8" w:color="auto"/>
            </w:tcBorders>
            <w:shd w:val="clear" w:color="auto" w:fill="CCEEFF"/>
          </w:tcPr>
          <w:p>
            <w:pPr>
              <w:jc w:val="right"/>
              <w:ind w:right="1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41,878</w:t>
            </w:r>
          </w:p>
        </w:tc>
      </w:tr>
      <w:tr>
        <w:trPr>
          <w:trHeight w:val="20"/>
        </w:trPr>
        <w:tc>
          <w:tcPr>
            <w:tcW w:w="55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details on the addition to goodwill.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gross carrying amount and accumulated amortization of the Company’s intangible assets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2020</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263"/>
        </w:trPr>
        <w:tc>
          <w:tcPr>
            <w:tcW w:w="4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20" w:type="dxa"/>
            <w:vAlign w:val="bottom"/>
          </w:tcPr>
          <w:p>
            <w:pPr>
              <w:spacing w:after="0"/>
              <w:rPr>
                <w:sz w:val="22"/>
                <w:szCs w:val="22"/>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Amortization</w:t>
            </w:r>
          </w:p>
        </w:tc>
        <w:tc>
          <w:tcPr>
            <w:tcW w:w="380" w:type="dxa"/>
            <w:vAlign w:val="bottom"/>
          </w:tcPr>
          <w:p>
            <w:pPr>
              <w:spacing w:after="0"/>
              <w:rPr>
                <w:sz w:val="22"/>
                <w:szCs w:val="22"/>
                <w:color w:val="auto"/>
              </w:rPr>
            </w:pPr>
          </w:p>
        </w:tc>
        <w:tc>
          <w:tcPr>
            <w:tcW w:w="1860" w:type="dxa"/>
            <w:vAlign w:val="bottom"/>
          </w:tcPr>
          <w:p>
            <w:pPr>
              <w:jc w:val="right"/>
              <w:ind w:right="554"/>
              <w:spacing w:after="0"/>
              <w:rPr>
                <w:sz w:val="20"/>
                <w:szCs w:val="20"/>
                <w:color w:val="auto"/>
              </w:rPr>
            </w:pPr>
            <w:r>
              <w:rPr>
                <w:rFonts w:ascii="Arial" w:cs="Arial" w:eastAsia="Arial" w:hAnsi="Arial"/>
                <w:sz w:val="14"/>
                <w:szCs w:val="14"/>
                <w:b w:val="1"/>
                <w:bCs w:val="1"/>
                <w:color w:val="auto"/>
              </w:rPr>
              <w:t>Net Book Value</w:t>
            </w: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23,205</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11,570</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50,055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34,779</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02"/>
        </w:trPr>
        <w:tc>
          <w:tcPr>
            <w:tcW w:w="4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2019</w:t>
            </w: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64"/>
        </w:trPr>
        <w:tc>
          <w:tcPr>
            <w:tcW w:w="4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20" w:type="dxa"/>
            <w:vAlign w:val="bottom"/>
          </w:tcPr>
          <w:p>
            <w:pPr>
              <w:spacing w:after="0"/>
              <w:rPr>
                <w:sz w:val="22"/>
                <w:szCs w:val="22"/>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Amortization</w:t>
            </w:r>
          </w:p>
        </w:tc>
        <w:tc>
          <w:tcPr>
            <w:tcW w:w="380" w:type="dxa"/>
            <w:vAlign w:val="bottom"/>
          </w:tcPr>
          <w:p>
            <w:pPr>
              <w:spacing w:after="0"/>
              <w:rPr>
                <w:sz w:val="22"/>
                <w:szCs w:val="22"/>
                <w:color w:val="auto"/>
              </w:rPr>
            </w:pPr>
          </w:p>
        </w:tc>
        <w:tc>
          <w:tcPr>
            <w:tcW w:w="1860" w:type="dxa"/>
            <w:vAlign w:val="bottom"/>
          </w:tcPr>
          <w:p>
            <w:pPr>
              <w:jc w:val="right"/>
              <w:ind w:right="554"/>
              <w:spacing w:after="0"/>
              <w:rPr>
                <w:sz w:val="20"/>
                <w:szCs w:val="20"/>
                <w:color w:val="auto"/>
              </w:rPr>
            </w:pPr>
            <w:r>
              <w:rPr>
                <w:rFonts w:ascii="Arial" w:cs="Arial" w:eastAsia="Arial" w:hAnsi="Arial"/>
                <w:sz w:val="14"/>
                <w:szCs w:val="14"/>
                <w:b w:val="1"/>
                <w:bCs w:val="1"/>
                <w:color w:val="auto"/>
              </w:rPr>
              <w:t>Net Book Value</w:t>
            </w:r>
          </w:p>
        </w:tc>
      </w:tr>
      <w:tr>
        <w:trPr>
          <w:trHeight w:val="249"/>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3,042</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12,825</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15,894</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Acquired intangible assets are amortized on a straight-line basis. As of January 31, 2020, the weighted-average remaining useful lives of identifiable, acquisition-related intangible assets was 4.3 years for developed technology, 0.2 years for domain name and 3.8 years for customer relationships. Amortization expense of intangible assets was $10.1 million, $2.3 million and $0.9 million for the years ended January 31, 2020, 2019 and 2018, respectively. Amortization expense for developed technology and the domain name was included as research and development expense in the Company’s consolidated statements of operations. Amortization expense for customer relationships was included as sales and marketing expense in the Company’s consolidated statements of operations.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2020, future amortization expense related to the intangible assets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ind w:left="40"/>
              <w:spacing w:after="0"/>
              <w:rPr>
                <w:sz w:val="20"/>
                <w:szCs w:val="20"/>
                <w:color w:val="auto"/>
              </w:rPr>
            </w:pPr>
            <w:r>
              <w:rPr>
                <w:rFonts w:ascii="Arial" w:cs="Arial" w:eastAsia="Arial" w:hAnsi="Arial"/>
                <w:sz w:val="14"/>
                <w:szCs w:val="14"/>
                <w:b w:val="1"/>
                <w:bCs w:val="1"/>
                <w:color w:val="auto"/>
              </w:rPr>
              <w:t>Years Ending January 31,</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7,825</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w:t>
            </w: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17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June 2018, the Company issued $250.0 million aggregate principal amount of 0.75% convertible senior notes due 2024 in a private placement and, in July 2018, the Company issued an additional $50.0 million aggregate principal amount of convertible senior notes pursuant to the exercise in full of the initial purchasers’ option to purchase additional convertible senior notes (collectively, the “2024 Notes”). The 2024 Notes are senior unsecured obligations of the Company and interest is payable semiannually in arrears on June 15 and December 15 of each year, beginning on December 15, 2018, at a rate of 0.75% per year. The 2024 Notes will mature on June 15, 2024, unless earlier converted, redeemed or repurchased. The total net proceeds from the offering, after deducting initial purchase discounts and debt issuance costs, were approximately $291.1 million.</w:t>
      </w:r>
    </w:p>
    <w:p>
      <w:pPr>
        <w:spacing w:after="0" w:line="11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total net proceeds from the offering, after deducting initial purchase discounts and estimated debt issuance costs, were approximately $1.13 billion.</w:t>
      </w:r>
    </w:p>
    <w:p>
      <w:pPr>
        <w:spacing w:after="0" w:line="18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On January 14, 2020, in connection with the issuance of the 2026 Notes, the Company used a portion of the net proceeds to repurchase $210.0 million aggregate principal amount of the 2024 Notes (the “2024 Notes Partial Repurchase”) leaving $90.0 million aggregate principal outstanding on the 2024 Notes immediately after the exchange. The 2024 Notes Partial Repurchase were not pursuant to a redemption notice and were individually privately negotiated transactions. The 2024 Notes Partial Repurchase and issuance of the 2026 Notes were deemed to have substantially different terms due to the significant difference between the value of the conversion option immediately prior to and after the exchange, and accordingly, the 2024 Notes Partial Repurchase was accounted for as a debt extinguishment. The Company used $479.2 million of the net proceeds from the issuance of the 2026 Notes to complete the 2024 Notes Partial Repurchase, of which $175.1 million and $303.9 million were allocated to the liability and equity components of the 2024 Notes, respectively, and $0.2 million was allocated to the proportional interest paid. The cash consideration allocated to the liability component was based on the fair value of the liability component utilizing an effective discount rate of 5.04%. This rate was based on the Company’s estimated rate for a similar liability with the same maturity, but without the conversion option. To derive this effective discount rate, the Company observed the trading details of its 2024 Notes immediately prior to the repurchase date to determine the volatility of its 2024 Notes. The Company utilized the observed volatility to calculate the effective discount rate, which was adjusted to reflect the term of the remaining 2024 Notes. The cash consideration allocated to the equity component was calculated by deducting the fair value of the liability component from the aggregate cash consideration. The loss on extinguishment was subsequently determined by comparing the allocated cash consideration with the carrying value of the liability component, which includes the proportionate amounts of unamortized debt discount and the remaining unamortized debt issuance costs.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net carrying amount of the liability component of the 2024 Notes immediately prior to the repurchase was as follows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2234"/>
              <w:spacing w:after="0"/>
              <w:rPr>
                <w:sz w:val="20"/>
                <w:szCs w:val="20"/>
                <w:color w:val="auto"/>
              </w:rPr>
            </w:pPr>
            <w:r>
              <w:rPr>
                <w:rFonts w:ascii="Arial" w:cs="Arial" w:eastAsia="Arial" w:hAnsi="Arial"/>
                <w:sz w:val="14"/>
                <w:szCs w:val="14"/>
                <w:b w:val="1"/>
                <w:bCs w:val="1"/>
                <w:color w:val="auto"/>
              </w:rPr>
              <w:t>January 14, 2020</w:t>
            </w:r>
          </w:p>
        </w:tc>
      </w:tr>
      <w:tr>
        <w:trPr>
          <w:trHeight w:val="264"/>
        </w:trPr>
        <w:tc>
          <w:tcPr>
            <w:tcW w:w="5520" w:type="dxa"/>
            <w:vAlign w:val="bottom"/>
          </w:tcPr>
          <w:p>
            <w:pPr>
              <w:spacing w:after="0"/>
              <w:rPr>
                <w:sz w:val="22"/>
                <w:szCs w:val="22"/>
                <w:color w:val="auto"/>
              </w:rPr>
            </w:pPr>
          </w:p>
        </w:tc>
        <w:tc>
          <w:tcPr>
            <w:tcW w:w="2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 Notes Total</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9"/>
              </w:rPr>
              <w:t>2024 Notes Partial Repurchase</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Principal</w:t>
            </w:r>
          </w:p>
        </w:tc>
        <w:tc>
          <w:tcPr>
            <w:tcW w:w="2020" w:type="dxa"/>
            <w:vAlign w:val="bottom"/>
          </w:tcPr>
          <w:p>
            <w:pPr>
              <w:jc w:val="right"/>
              <w:ind w:right="181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ind w:right="14"/>
              <w:spacing w:after="0"/>
              <w:rPr>
                <w:sz w:val="20"/>
                <w:szCs w:val="20"/>
                <w:color w:val="auto"/>
              </w:rPr>
            </w:pPr>
            <w:r>
              <w:rPr>
                <w:rFonts w:ascii="Arial" w:cs="Arial" w:eastAsia="Arial" w:hAnsi="Arial"/>
                <w:sz w:val="18"/>
                <w:szCs w:val="18"/>
                <w:color w:val="auto"/>
              </w:rPr>
              <w:t>209,998</w:t>
            </w:r>
          </w:p>
        </w:tc>
      </w:tr>
      <w:tr>
        <w:trPr>
          <w:trHeight w:val="27"/>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2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(45,756)</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20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(3,623)</w:t>
            </w:r>
          </w:p>
        </w:tc>
      </w:tr>
      <w:tr>
        <w:trPr>
          <w:trHeight w:val="27"/>
        </w:trPr>
        <w:tc>
          <w:tcPr>
            <w:tcW w:w="55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carrying amount</w:t>
            </w:r>
          </w:p>
        </w:tc>
        <w:tc>
          <w:tcPr>
            <w:tcW w:w="2020" w:type="dxa"/>
            <w:vAlign w:val="bottom"/>
            <w:tcBorders>
              <w:bottom w:val="single" w:sz="8" w:color="auto"/>
            </w:tcBorders>
            <w:shd w:val="clear" w:color="auto" w:fill="CCEEFF"/>
          </w:tcPr>
          <w:p>
            <w:pPr>
              <w:jc w:val="right"/>
              <w:ind w:right="18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229,459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160,619</w:t>
            </w:r>
          </w:p>
        </w:tc>
      </w:tr>
      <w:tr>
        <w:trPr>
          <w:trHeight w:val="20"/>
        </w:trPr>
        <w:tc>
          <w:tcPr>
            <w:tcW w:w="55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2024 Notes Partial Repurchase resulted in a loss of early extinguishment of debt calculated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January 14, 2020</w:t>
            </w:r>
          </w:p>
        </w:tc>
      </w:tr>
      <w:tr>
        <w:trPr>
          <w:trHeight w:val="249"/>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consideration allocated to the liability component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175,141</w:t>
            </w:r>
          </w:p>
        </w:tc>
      </w:tr>
      <w:tr>
        <w:trPr>
          <w:trHeight w:val="229"/>
        </w:trPr>
        <w:tc>
          <w:tcPr>
            <w:tcW w:w="6920" w:type="dxa"/>
            <w:vAlign w:val="bottom"/>
          </w:tcPr>
          <w:p>
            <w:pPr>
              <w:ind w:left="280"/>
              <w:spacing w:after="0"/>
              <w:rPr>
                <w:sz w:val="20"/>
                <w:szCs w:val="20"/>
                <w:color w:val="auto"/>
              </w:rPr>
            </w:pPr>
            <w:r>
              <w:rPr>
                <w:rFonts w:ascii="Arial" w:cs="Arial" w:eastAsia="Arial" w:hAnsi="Arial"/>
                <w:sz w:val="18"/>
                <w:szCs w:val="18"/>
                <w:color w:val="auto"/>
                <w:w w:val="99"/>
              </w:rPr>
              <w:t>Less: Net carrying amount of the liability component associated with the 2024 Notes</w:t>
            </w:r>
          </w:p>
        </w:tc>
        <w:tc>
          <w:tcPr>
            <w:tcW w:w="5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30"/>
        </w:trPr>
        <w:tc>
          <w:tcPr>
            <w:tcW w:w="6920" w:type="dxa"/>
            <w:vAlign w:val="bottom"/>
          </w:tcPr>
          <w:p>
            <w:pPr>
              <w:ind w:left="280"/>
              <w:spacing w:after="0"/>
              <w:rPr>
                <w:sz w:val="20"/>
                <w:szCs w:val="20"/>
                <w:color w:val="auto"/>
              </w:rPr>
            </w:pPr>
            <w:r>
              <w:rPr>
                <w:rFonts w:ascii="Arial" w:cs="Arial" w:eastAsia="Arial" w:hAnsi="Arial"/>
                <w:sz w:val="18"/>
                <w:szCs w:val="18"/>
                <w:color w:val="auto"/>
              </w:rPr>
              <w:t>Partial Repurchase</w:t>
            </w:r>
          </w:p>
        </w:tc>
        <w:tc>
          <w:tcPr>
            <w:tcW w:w="50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(160,619)</w:t>
            </w:r>
          </w:p>
        </w:tc>
      </w:tr>
      <w:tr>
        <w:trPr>
          <w:trHeight w:val="27"/>
        </w:trPr>
        <w:tc>
          <w:tcPr>
            <w:tcW w:w="6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2024 Notes Partial Repurchase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14,522</w:t>
            </w: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connection with the 2024 Notes Partial Repurchase, the cash consideration allocated to the equity component of $303.9 million was recorded as a reduction to additional paid-in capital on the Company’s consolidated balance sheet as of January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Terms of the 2024 Notes</w:t>
      </w:r>
    </w:p>
    <w:p>
      <w:pPr>
        <w:spacing w:after="0" w:line="17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For the 2024 Notes, the initial conversion rate is 14.6738 shares of the Company’s Class A common stock per $1,000 principal amount of the 2024 Notes, which is equal to an initial conversion price of approximately $68.15 per share of Class A common stock, subject to adjustment upon the occurrence of specified events.</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2024 Notes will be convertible at the option of the holders at any time prior to the close of business on the business day immediately preceding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15, 2024, only under the following circumstances:</w:t>
      </w:r>
    </w:p>
    <w:p>
      <w:pPr>
        <w:spacing w:after="0" w:line="157" w:lineRule="exact"/>
        <w:rPr>
          <w:sz w:val="20"/>
          <w:szCs w:val="20"/>
          <w:color w:val="auto"/>
        </w:rPr>
      </w:pPr>
    </w:p>
    <w:p>
      <w:pPr>
        <w:ind w:left="980" w:right="400" w:hanging="324"/>
        <w:spacing w:after="0" w:line="279"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October 31, 2018 (and only during such fiscal quarter), if the last reported sale price of the Company’s Class A common stock for at least 20 trading days (whether or not consecutive) during a period of 30 consecutive trading days ending on and including, the last trading day of the immediately preceding fiscal quarter is greater than or equal to 130% of the conversion price of the 2024 Notes on each applicable trading day;</w:t>
      </w:r>
    </w:p>
    <w:p>
      <w:pPr>
        <w:spacing w:after="0" w:line="117" w:lineRule="exact"/>
        <w:rPr>
          <w:rFonts w:ascii="Arial" w:cs="Arial" w:eastAsia="Arial" w:hAnsi="Arial"/>
          <w:sz w:val="17"/>
          <w:szCs w:val="17"/>
          <w:color w:val="auto"/>
        </w:rPr>
      </w:pPr>
    </w:p>
    <w:p>
      <w:pPr>
        <w:ind w:left="980" w:right="260" w:hanging="324"/>
        <w:spacing w:after="0" w:line="311"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five-business day period after any five consecutive trading day period (the “measurement period”) in which the trading price per $1,000 principal amount of the 2024 Notes for each trading day of the measurement period was less than 98% of the product of the last reported sale price of the Company’s Class A common stock and the conversion rate of the 2024 Notes on each such trading day;</w:t>
      </w:r>
    </w:p>
    <w:p>
      <w:pPr>
        <w:spacing w:after="0" w:line="94"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Company calls any or all of the 2024 Notes for redemption, at any time prior to the close of business on the scheduled trading day immediately preceding the redemption date;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2024 Notes).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or after March 15, 2024, until the close of business on the scheduled trading day immediately preceding the maturity date, holders may convert all or any portion of their 2024 Notes, in multiples of $1,000 principal amount, at the option of the holder, regardless of the foregoing circumstances. Upon conversion, the Company will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2024 Notes) occurs prior to the maturity date, holders of the 2024 Notes will have the right to require the Company to repurchase for cash all or any portion of their 2024 Notes at a repurchase price equal to 100% of the principal amount of the 2024 Notes to be repurchased, plus accrued and unpaid interest to, but excluding, the fundamental change repurchase date. In addition, if specific corporate events occur prior to the applicable maturity date, or if the Company elects to redeem the 2024 Notes, the Company will increase the conversion rate for a holder who elects to convert their notes in connection with such a corporate event or redemption in certain circumstances. It is the Company’s current intent to settle the principal amount of the 2024 Notes in cash.</w:t>
      </w:r>
    </w:p>
    <w:p>
      <w:pPr>
        <w:spacing w:after="0" w:line="13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During the three months ended January 31, 2020, the conditional conversion feature of the 2024 Notes was triggered as the last reported sale price of the Company's Class A common stock was more than or equal to 130% of the conversion price for at least 20 trading days in the period of 30 consecutive trading days ending on January 31, 2020 (the last trading day of the fiscal quarter) and therefore the 2024 Notes are currently convertible, in whole or in part, at the option of the holders between February 1, 2020 through April 30, 2020. Whether the 2024 Notes will be convertible following such period will depend on the continued satisfaction of this condition or another conversion condition in the future. During the three months ended January 31, 2020, certain holders elected to convert an immaterial amount of their 2024 Notes, unrelated to the 2024 Notes Partial Repurchase. Since the Company has the election of repaying the 2024 Notes in cash, shares of the Company’s Class A common stock, or a combination of both, the Company continued to classify the liability component of the 2024 Notes as long-term debt on the Company’s consolidated balance sheet as of January 31, 2020.</w:t>
      </w:r>
    </w:p>
    <w:p>
      <w:pPr>
        <w:spacing w:after="0" w:line="11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Company may not redeem the 2024 Notes prior to June 20, 2021. On or after June 20, 2021, the Company may redeem for cash all or any portion of the 2024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2024 Notes to be redeemed, plus accrued and unpaid interest to, but excluding, the redemption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Terms of the 2026 Notes</w:t>
      </w:r>
    </w:p>
    <w:p>
      <w:pPr>
        <w:spacing w:after="0" w:line="17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For the 2026 Notes, the initial conversion rate is 4.7349 shares of the Company’s Class A common stock per $1,000 principal amount of the 2024 Notes, which is equal to an initial conversion price of approximately $211.20 per share of Class A common stock, subject to adjustment upon the occurrence of specified events.</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2026 Notes will be convertible at the option of the holders at any time prior to the close of business on the business day immediately preceding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15, 2025, only under the following circumstances:</w:t>
      </w:r>
    </w:p>
    <w:p>
      <w:pPr>
        <w:spacing w:after="0" w:line="157" w:lineRule="exact"/>
        <w:rPr>
          <w:sz w:val="20"/>
          <w:szCs w:val="20"/>
          <w:color w:val="auto"/>
        </w:rPr>
      </w:pPr>
    </w:p>
    <w:p>
      <w:pPr>
        <w:ind w:left="980" w:right="400" w:hanging="324"/>
        <w:spacing w:after="0" w:line="279"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April 30, 2020 (and only during such fiscal quarter), if the last reported sale price of the Company’s Class A common stock for at least 20 trading days (whether or not consecutive) during a period of 30 consecutive trading days ending on and including, the last trading day of the immediately preceding fiscal quarter is greater than or equal to 130% of the conversion price of the 2026 Notes on each applicable trading day;</w:t>
      </w:r>
    </w:p>
    <w:p>
      <w:pPr>
        <w:spacing w:after="0" w:line="117" w:lineRule="exact"/>
        <w:rPr>
          <w:rFonts w:ascii="Arial" w:cs="Arial" w:eastAsia="Arial" w:hAnsi="Arial"/>
          <w:sz w:val="17"/>
          <w:szCs w:val="17"/>
          <w:color w:val="auto"/>
        </w:rPr>
      </w:pPr>
    </w:p>
    <w:p>
      <w:pPr>
        <w:ind w:left="980" w:right="260" w:hanging="324"/>
        <w:spacing w:after="0" w:line="31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five-business day period after any five consecutive trading day period (the “measurement period”) in which the trading price per $1,000 principal amount of the 2026 Notes for each trading day of the measurement period was less than 98% of the product of the last reported sale price of the Company’s Class A common stock and the conversion rate of the 2026 Notes on each such trading day;</w:t>
      </w:r>
    </w:p>
    <w:p>
      <w:pPr>
        <w:spacing w:after="0" w:line="94"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calls any or all of the 2026 Notes for redemption, at any time prior to the close of business on the scheduled trading day immediately preceding the redemption date;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2026 Notes).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or after October 15, 2025, until the close of business on the scheduled trading day immediately preceding the maturity date, holders may convert all or any portion of their 2026 Notes, in multiples of $1,000 principal amount, at the option of the holder, regardless of the foregoing circumstances. Upon conversion, the Company will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2026 Notes) occurs prior to the maturity date, holders of the 2026 Notes will have the right to require the Company to repurchase for cash all or any portion of their 2026 Notes at a repurchase price equal to 100% of the principal amount of the 2026 Notes to be repurchased, plus accrued and unpaid interest to, but excluding, the fundamental change repurchase date. In addition, if specific corporate events occur prior to the applicable maturity date, or if the Company elects to redeem the 2026 Notes, the Company will increase the conversion rate for a holder who elects to convert their notes in connection with such a corporate event or redemption in certain circumstances. It is the Company’s current intent to settle the principal amount of the 2026 Notes in cash. During the year ended January 31, 2020, the conditions allowing holders of the 2026 Notes to convert have not been met. The 2026 Notes were therefore not convertible during the year ended January 31, 2020 and the liability component was classified as long-term debt on the Company’s consolidated balance sheet as of January 31, 2020.</w:t>
      </w:r>
    </w:p>
    <w:p>
      <w:pPr>
        <w:spacing w:after="0" w:line="125"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Company may not redeem the 2026 Notes prior to January 20, 2023. On or after January 20, 2023, the Company may redeem for cash all or any portion of the 2026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2026 Notes to be redeemed, plus accrued and unpaid interest to, but excluding, the redemption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Accounting for the 2024 Notes and 2026 Notes</w:t>
      </w:r>
    </w:p>
    <w:p>
      <w:pPr>
        <w:spacing w:after="0" w:line="17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2024 Notes and 2026 Notes were separated into liability and equity components for accounting purposes. The carrying amounts of the liability component were initially calculated by measuring the fair value of similar liabilities that do not have associated convertible features. The carrying amounts of the equity component representing the conversion option were determined by deducting the fair value of the liability component from the par value of the respective convertible senior notes. This difference represents the debt discount that is amortized to interest expense over the respective terms of the 2024 Notes and 2026 Notes using the effective interest rate method. The carrying amounts of the equity component representing the conversion option was determined to be $84.2 million and $294.9 million for the 2024 Notes and 2026 Notes, respectively. The equity component was recorded in additional paid-in capital and is not remeasured as long as it continues to meet the conditions for equity classification.</w:t>
      </w:r>
    </w:p>
    <w:p>
      <w:pPr>
        <w:spacing w:after="0" w:line="11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accounting for the debt issuance costs of $8.8 million and $20.3 million related to the 2024 Notes and 2026 Notes, respectively, the Company allocated each of the total amounts incurred to the liability and equity components of the 2024 Notes and 2026 Notes based on their relative values. Issuance costs attributable to the liability component of the 2024 Notes were $6.3 million upon issuance and were amortized, along with the debt discount, to interest expense over the contractual</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term of the 2024 Notes at an effective interest rate of 7.03%. Issuance costs attributable to the liability component of the 2026 Notes were $15.1 million upon issuance and will be amortized, along with the debt discount, to interest expense over the contractual term of the 2026 Notes at an effective interest rate of 5.60%. Issuance costs attributable to the equity component were $2.5 million and $5.2 million for the 2024 Notes and 2026 Notes, respectively, and are netted against the equity component representing the conversion option in additional paid-in capital. The net carrying amount of the equity component of the 2024 Notes recorded in additional paid-in capital was $81.7 million. For the 2026 Notes, the net carrying amount of the equity component was $289.0 million, which, in addition to the allocated issuance costs, also included a net deferred tax impact of $0.7 million. There was no deferred tax impact related to the 2024 Notes due to the full valuation allowance at the time of issuance for the 2024 Notes.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amounts of the liability component of the 2024 Notes and 2026 Notes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2020</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January 31, 2019</w:t>
            </w:r>
          </w:p>
        </w:tc>
      </w:tr>
      <w:tr>
        <w:trPr>
          <w:trHeight w:val="264"/>
        </w:trPr>
        <w:tc>
          <w:tcPr>
            <w:tcW w:w="5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2024 Notes *</w:t>
            </w:r>
          </w:p>
        </w:tc>
        <w:tc>
          <w:tcPr>
            <w:tcW w:w="5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2026 Notes</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6"/>
              <w:spacing w:after="0"/>
              <w:rPr>
                <w:sz w:val="20"/>
                <w:szCs w:val="20"/>
                <w:color w:val="auto"/>
              </w:rPr>
            </w:pPr>
            <w:r>
              <w:rPr>
                <w:rFonts w:ascii="Arial" w:cs="Arial" w:eastAsia="Arial" w:hAnsi="Arial"/>
                <w:sz w:val="14"/>
                <w:szCs w:val="14"/>
                <w:b w:val="1"/>
                <w:bCs w:val="1"/>
                <w:color w:val="auto"/>
              </w:rPr>
              <w:t>2024 Notes</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Principal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90,002</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1,150,000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300,000</w:t>
            </w: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(77,211)</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(5,931)</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carrying amount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69,026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842,049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216,858</w:t>
            </w: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*Reflects the impact of the 2024 Notes Partial Repurchase on January 14, 2020.</w:t>
      </w:r>
    </w:p>
    <w:p>
      <w:pPr>
        <w:spacing w:after="0" w:line="17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January 31, 2020, the total estimated fair values (Level 2) of the outstanding 2024 Notes and the 2026 Notes were approximately $220.2 million and $1.2 billion, respectively. The fair values were determined based on the closing trading price per $100 of the 2024 Notes and 2026 Notes as of the last day of trading for the period. The fair values of the 2024 Notes and 2026 Notes are primarily affected by the trading price of the Company’s common stock and market interest rates.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interest expense related to the 2024 Notes and 2026 Notes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42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Year Ended January 31, 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January 31, 2019</w:t>
            </w:r>
          </w:p>
        </w:tc>
      </w:tr>
      <w:tr>
        <w:trPr>
          <w:trHeight w:val="25"/>
        </w:trPr>
        <w:tc>
          <w:tcPr>
            <w:tcW w:w="4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8"/>
        </w:trPr>
        <w:tc>
          <w:tcPr>
            <w:tcW w:w="4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2024 Notes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2026 Notes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2024 Notes</w:t>
            </w:r>
          </w:p>
        </w:tc>
      </w:tr>
      <w:tr>
        <w:trPr>
          <w:trHeight w:val="25"/>
        </w:trPr>
        <w:tc>
          <w:tcPr>
            <w:tcW w:w="4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12,021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6,956</w:t>
            </w: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83"/>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issuance costs</w:t>
            </w:r>
          </w:p>
        </w:tc>
        <w:tc>
          <w:tcPr>
            <w:tcW w:w="1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7"/>
        </w:trPr>
        <w:tc>
          <w:tcPr>
            <w:tcW w:w="4180" w:type="dxa"/>
            <w:vAlign w:val="bottom"/>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14,966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8,696</w:t>
            </w:r>
          </w:p>
        </w:tc>
      </w:tr>
      <w:tr>
        <w:trPr>
          <w:trHeight w:val="54"/>
        </w:trPr>
        <w:tc>
          <w:tcPr>
            <w:tcW w:w="418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Capped Calls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connection with the pricing of the 2024 Notes and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corresponds to the initial conversion price of the 2024 Notes. These Capped Calls have initial cap prices of $106.90 per share, subject to certain adjustments.</w:t>
      </w:r>
    </w:p>
    <w:p>
      <w:pPr>
        <w:spacing w:after="0" w:line="13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w:t>
      </w:r>
    </w:p>
    <w:p>
      <w:pPr>
        <w:spacing w:after="0" w:line="13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Capped Calls are expected to partially offset the potential dilution to the Company’s Class A common stock upon any conversion of the 2024 Notes or 2026 Notes, with such offset subject to a cap based on the cap price. The Capped Calls associated with the 2024 Notes and 2026 Notes cover, subject to anti-dilution adjustments, approximately 4.4 million shares and 5.4 million shares of the Company’s Class A common stock, respectively.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w:t>
      </w:r>
    </w:p>
    <w:p>
      <w:pPr>
        <w:spacing w:after="0" w:line="200" w:lineRule="exact"/>
        <w:rPr>
          <w:sz w:val="20"/>
          <w:szCs w:val="20"/>
          <w:color w:val="auto"/>
        </w:rPr>
      </w:pPr>
    </w:p>
    <w:p>
      <w:pPr>
        <w:spacing w:after="0" w:line="36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 deliver, insolvency filings and hedging disruptions. For accounting purposes, the Capped Calls are separate transactions and not part of the terms of the 2024 Notes and 2026 Notes. As these transactions meet certain accounting criteria, the Capped Calls are recorded in stockholders' equity and are not accounted for as derivatives. The cost of $37.1 million and $93.8 million incurred to purchase the Capped Calls associated with the 2024 Notes and 2026 Notes, respectively, was recorded as a reduction to additional paid-in capital and will not be remeasured. The Company did not unwind any of its Capped Calls in connection with the 2024 Notes Partial Repurchase.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Finance Lease</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December 2017, the Company entered into a lease agreement for 106,230 rentable square feet of office space (the “Premises”) to accommodate its growing employee base in New York City. The Company received delivery of the Premises on January 1, 2018 to commence construction to renovate the Premises. Total estimated aggregate base rent payments over the initial 12-year term of the lease are $87.3 million and payments began in July 2019. The Company has the option to extend the term of the lease by an additional 5 years.</w:t>
      </w:r>
    </w:p>
    <w:p>
      <w:pPr>
        <w:spacing w:after="0" w:line="13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 xml:space="preserve">As a result of the Company’s involvement during the construction period, whereby the Company had certain indemnification obligations related to the construction, the Company was considered, for accounting purposes only, the owner of the construction project under build-to-suit lease accounting. Refer to Note 4,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for further details.</w:t>
      </w:r>
    </w:p>
    <w:p>
      <w:pPr>
        <w:spacing w:after="0" w:line="130" w:lineRule="exact"/>
        <w:rPr>
          <w:sz w:val="20"/>
          <w:szCs w:val="20"/>
          <w:color w:val="auto"/>
        </w:rPr>
      </w:pPr>
    </w:p>
    <w:p>
      <w:pPr>
        <w:jc w:val="both"/>
        <w:ind w:right="300" w:firstLine="486"/>
        <w:spacing w:after="0" w:line="259" w:lineRule="auto"/>
        <w:rPr>
          <w:sz w:val="20"/>
          <w:szCs w:val="20"/>
          <w:color w:val="auto"/>
        </w:rPr>
      </w:pPr>
      <w:r>
        <w:rPr>
          <w:rFonts w:ascii="Arial" w:cs="Arial" w:eastAsia="Arial" w:hAnsi="Arial"/>
          <w:sz w:val="18"/>
          <w:szCs w:val="18"/>
          <w:color w:val="auto"/>
        </w:rPr>
        <w:t>On September 4, 2018, construction of the Premises was completed. The Company evaluated whether to de-recognize the build-to-suit asset and liability under the “sale-leaseback” accounting guidance. The Company concluded that it lacks transferability of the risks and rewards of ownership and therefore did not meet with the requirements for sale-leaseback accounting. Accordingly, the Company accounts for the New York City office lease as a financing arrangement.</w:t>
      </w:r>
    </w:p>
    <w:p>
      <w:pPr>
        <w:spacing w:after="0" w:line="13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vacated its former office space as of September 30, 2018, prior to the expiration of the lease on December 31, 2018. The remaining rent payable, deferred rent and associated leasehold improvements for the former office space were expensed in full on September 30, 2018 and resulted in a charge of $1.5 million recorded as a general and administrative operating expense in the Company’s consolidated statement of operations. As of January 31, 2019, there was no liability associated with the former office space.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Leases</w:t>
      </w:r>
    </w:p>
    <w:p>
      <w:pPr>
        <w:spacing w:after="0" w:line="171"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The Company has entered into non-cancelable operating leases, primarily related to rental of office space expiring through 2029. The Company recognizes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The Company may receive renewal or expansion options, leasehold improvement allowances or other incentives on certain lease agreements.</w:t>
      </w:r>
    </w:p>
    <w:p>
      <w:pPr>
        <w:spacing w:after="0" w:line="103"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 xml:space="preserve">In August 2016, the Company amended an existing irrevocable, standby letter of credit with Silicon Valley Bank for $0.5 million to serve as a security deposit for the Company’s former headquarters lease in New York City. The amendment reduced the letter of credit from $1.1 million to $0.5 million. In February 2019, the Company terminated its standby letter of credit after vacating the former NYC office space, as discussed above under </w:t>
      </w:r>
      <w:r>
        <w:rPr>
          <w:rFonts w:ascii="Arial" w:cs="Arial" w:eastAsia="Arial" w:hAnsi="Arial"/>
          <w:sz w:val="18"/>
          <w:szCs w:val="18"/>
          <w:i w:val="1"/>
          <w:iCs w:val="1"/>
          <w:color w:val="auto"/>
        </w:rPr>
        <w:t>Financing Leases</w:t>
      </w:r>
      <w:r>
        <w:rPr>
          <w:rFonts w:ascii="Arial" w:cs="Arial" w:eastAsia="Arial" w:hAnsi="Arial"/>
          <w:sz w:val="18"/>
          <w:szCs w:val="18"/>
          <w:color w:val="auto"/>
        </w:rPr>
        <w:t>.</w:t>
      </w:r>
    </w:p>
    <w:p>
      <w:pPr>
        <w:spacing w:after="0" w:line="133"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In January 2017, the Company entered into an irrevocable, standby letter of credit with Silicon Valley Bank for $0.4 million, expiring April 2023, to serve as a security deposit for the Company’s lease in Texas. In October 2017, the Company entered into an irrevocable, standby letter of credit with Silicon Valley Bank for $0.2 million, which subsequently increased in March 2020 to $0.5 million, expiring March 2026, to serve as a security deposit for the Company’s lease in Australia. In October 2019, the Company entered into an irrevocable, standby letter of credit with Silicon Valley Bank for $0.3 million, expiring October 2025, to serve as a security deposit for the Company’s additional office space in New York City, as described further below.</w:t>
      </w:r>
    </w:p>
    <w:p>
      <w:pPr>
        <w:spacing w:after="0" w:line="200" w:lineRule="exact"/>
        <w:rPr>
          <w:sz w:val="20"/>
          <w:szCs w:val="20"/>
          <w:color w:val="auto"/>
        </w:rPr>
      </w:pPr>
    </w:p>
    <w:p>
      <w:pPr>
        <w:spacing w:after="0" w:line="35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Lease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the Company’s lease costs included in its consolidated statement of operations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January 31, 2020</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Amortization of finance lease right-of-use assets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3,976</w:t>
            </w:r>
          </w:p>
        </w:tc>
      </w:tr>
      <w:tr>
        <w:trPr>
          <w:trHeight w:val="27"/>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finance 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58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4,712</w:t>
            </w:r>
          </w:p>
        </w:tc>
      </w:tr>
      <w:tr>
        <w:trPr>
          <w:trHeight w:val="27"/>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58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14,556</w:t>
            </w:r>
          </w:p>
        </w:tc>
      </w:tr>
      <w:tr>
        <w:trPr>
          <w:trHeight w:val="20"/>
        </w:trPr>
        <w:tc>
          <w:tcPr>
            <w:tcW w:w="4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Total rent expense related to financing and operating leases under the previous lease guidance was $10.7 million and $9.1 million for the years ended January 31,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Balance Sheet Components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balances of the Company’s finance and operating leases were recorded on the consolidated balance sheet as follows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January 31, 2020</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w:t>
            </w:r>
          </w:p>
        </w:tc>
        <w:tc>
          <w:tcPr>
            <w:tcW w:w="4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39,411</w:t>
            </w:r>
          </w:p>
        </w:tc>
      </w:tr>
      <w:tr>
        <w:trPr>
          <w:trHeight w:val="27"/>
        </w:trPr>
        <w:tc>
          <w:tcPr>
            <w:tcW w:w="3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liabilities (current)</w:t>
            </w:r>
          </w:p>
        </w:tc>
        <w:tc>
          <w:tcPr>
            <w:tcW w:w="4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liabilities, non-current</w:t>
            </w:r>
          </w:p>
        </w:tc>
        <w:tc>
          <w:tcPr>
            <w:tcW w:w="4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59,257</w:t>
            </w:r>
          </w:p>
        </w:tc>
      </w:tr>
      <w:tr>
        <w:trPr>
          <w:trHeight w:val="27"/>
        </w:trPr>
        <w:tc>
          <w:tcPr>
            <w:tcW w:w="3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4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11,147</w:t>
            </w:r>
          </w:p>
        </w:tc>
      </w:tr>
      <w:tr>
        <w:trPr>
          <w:trHeight w:val="27"/>
        </w:trPr>
        <w:tc>
          <w:tcPr>
            <w:tcW w:w="3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4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4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Supplemental Information</w:t>
      </w:r>
    </w:p>
    <w:p>
      <w:pPr>
        <w:spacing w:after="0" w:line="17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table presents supplemental information related to the Company’s finance and operating leases (in thousands, except weighted-average information):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January 31, 2020</w:t>
            </w:r>
          </w:p>
        </w:tc>
      </w:tr>
      <w:tr>
        <w:trPr>
          <w:trHeight w:val="249"/>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580" w:type="dxa"/>
            <w:vAlign w:val="bottom"/>
          </w:tcPr>
          <w:p>
            <w:pPr>
              <w:jc w:val="right"/>
              <w:ind w:right="112"/>
              <w:spacing w:after="0"/>
              <w:rPr>
                <w:sz w:val="20"/>
                <w:szCs w:val="20"/>
                <w:color w:val="auto"/>
              </w:rPr>
            </w:pPr>
            <w:r>
              <w:rPr>
                <w:rFonts w:ascii="Arial" w:cs="Arial" w:eastAsia="Arial" w:hAnsi="Arial"/>
                <w:sz w:val="18"/>
                <w:szCs w:val="18"/>
                <w:color w:val="auto"/>
              </w:rPr>
              <w:t>1,817</w:t>
            </w:r>
          </w:p>
        </w:tc>
      </w:tr>
      <w:tr>
        <w:trPr>
          <w:trHeight w:val="27"/>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4,450</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w:t>
            </w:r>
          </w:p>
        </w:tc>
        <w:tc>
          <w:tcPr>
            <w:tcW w:w="580" w:type="dxa"/>
            <w:vAlign w:val="bottom"/>
          </w:tcPr>
          <w:p>
            <w:pPr>
              <w:spacing w:after="0"/>
              <w:rPr>
                <w:sz w:val="21"/>
                <w:szCs w:val="21"/>
                <w:color w:val="auto"/>
              </w:rPr>
            </w:pPr>
          </w:p>
        </w:tc>
        <w:tc>
          <w:tcPr>
            <w:tcW w:w="2580" w:type="dxa"/>
            <w:vAlign w:val="bottom"/>
          </w:tcPr>
          <w:p>
            <w:pPr>
              <w:jc w:val="right"/>
              <w:ind w:right="112"/>
              <w:spacing w:after="0"/>
              <w:rPr>
                <w:sz w:val="20"/>
                <w:szCs w:val="20"/>
                <w:color w:val="auto"/>
              </w:rPr>
            </w:pPr>
            <w:r>
              <w:rPr>
                <w:rFonts w:ascii="Arial" w:cs="Arial" w:eastAsia="Arial" w:hAnsi="Arial"/>
                <w:sz w:val="18"/>
                <w:szCs w:val="18"/>
                <w:color w:val="auto"/>
              </w:rPr>
              <w:t>1,915</w:t>
            </w:r>
          </w:p>
        </w:tc>
      </w:tr>
      <w:tr>
        <w:trPr>
          <w:trHeight w:val="27"/>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5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3,930</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5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9.9</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21"/>
                <w:szCs w:val="21"/>
                <w:color w:val="auto"/>
              </w:rPr>
            </w:pPr>
          </w:p>
        </w:tc>
        <w:tc>
          <w:tcPr>
            <w:tcW w:w="2580" w:type="dxa"/>
            <w:vAlign w:val="bottom"/>
          </w:tcPr>
          <w:p>
            <w:pPr>
              <w:jc w:val="right"/>
              <w:ind w:right="112"/>
              <w:spacing w:after="0"/>
              <w:rPr>
                <w:sz w:val="20"/>
                <w:szCs w:val="20"/>
                <w:color w:val="auto"/>
              </w:rPr>
            </w:pPr>
            <w:r>
              <w:rPr>
                <w:rFonts w:ascii="Arial" w:cs="Arial" w:eastAsia="Arial" w:hAnsi="Arial"/>
                <w:sz w:val="18"/>
                <w:szCs w:val="18"/>
                <w:color w:val="auto"/>
              </w:rPr>
              <w:t>4.2</w:t>
            </w:r>
          </w:p>
        </w:tc>
      </w:tr>
      <w:tr>
        <w:trPr>
          <w:trHeight w:val="27"/>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5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58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Maturities of Lease Liabilities</w:t>
      </w:r>
    </w:p>
    <w:p>
      <w:pPr>
        <w:spacing w:after="0" w:line="17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Future minimum lease payments under non-cancelable finance and operating leases on an annual undiscounted cash flow basis as of January 31, 2020 were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ind w:left="40"/>
              <w:spacing w:after="0"/>
              <w:rPr>
                <w:sz w:val="20"/>
                <w:szCs w:val="20"/>
                <w:color w:val="auto"/>
              </w:rPr>
            </w:pPr>
            <w:r>
              <w:rPr>
                <w:rFonts w:ascii="Arial" w:cs="Arial" w:eastAsia="Arial" w:hAnsi="Arial"/>
                <w:sz w:val="14"/>
                <w:szCs w:val="14"/>
                <w:b w:val="1"/>
                <w:bCs w:val="1"/>
                <w:color w:val="auto"/>
              </w:rPr>
              <w:t>Year Ending January 31,</w:t>
            </w:r>
          </w:p>
        </w:tc>
        <w:tc>
          <w:tcPr>
            <w:tcW w:w="30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Finance Lease</w:t>
            </w:r>
          </w:p>
        </w:tc>
        <w:tc>
          <w:tcPr>
            <w:tcW w:w="24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b w:val="1"/>
                <w:bCs w:val="1"/>
                <w:color w:val="auto"/>
              </w:rPr>
              <w:t>Operating Leases</w:t>
            </w:r>
          </w:p>
        </w:tc>
      </w:tr>
      <w:tr>
        <w:trPr>
          <w:trHeight w:val="25"/>
        </w:trPr>
        <w:tc>
          <w:tcPr>
            <w:tcW w:w="6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42,829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1,377</w:t>
            </w:r>
          </w:p>
        </w:tc>
      </w:tr>
      <w:tr>
        <w:trPr>
          <w:trHeight w:val="40"/>
        </w:trPr>
        <w:tc>
          <w:tcPr>
            <w:tcW w:w="6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54"/>
        </w:trPr>
        <w:tc>
          <w:tcPr>
            <w:tcW w:w="63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11,863</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Less current obligations under leases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54"/>
        </w:trPr>
        <w:tc>
          <w:tcPr>
            <w:tcW w:w="63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95"/>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59,257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Excluded in the lease obligation table above is a new agreement to lease an additional 21,000 square feet of office space in New York City, which will be recognized as an operating lease upon the lease commencement date. The Company entered into this agreement in October 2019 and expects the lease to commence on or around April 2020 for a term of five years with no renewal period. The total estimated aggregate base rent payments are $8.1 million with payments beginning four months subsequent to the commencement date.</w:t>
      </w:r>
    </w:p>
    <w:p>
      <w:pPr>
        <w:spacing w:after="0" w:line="133"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December 2019, the Company entered into a new agreement to lease approximately 40,000 square feet of office space in Dublin, Ireland, which will be recognized as an operating lease upon the lease commencement date. Accordingly, this lease is also excluded from the lease obligation table above. The Company expects the lease to commence on or around June 2020 for a term of 12 years with two five-year renewal options. The total estimated aggregate base rent payments, excluding the renewal options, for the Dublin office space are approximately $27.0 million.</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60"/>
          </w:cols>
          <w:pgMar w:left="320" w:top="121" w:right="41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Future minimum lease payments under non-cancelable financing and operating leases, based on the previous lease accounting standard,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 were as follows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ind w:left="40"/>
              <w:spacing w:after="0"/>
              <w:rPr>
                <w:sz w:val="20"/>
                <w:szCs w:val="20"/>
                <w:color w:val="auto"/>
              </w:rPr>
            </w:pPr>
            <w:r>
              <w:rPr>
                <w:rFonts w:ascii="Arial" w:cs="Arial" w:eastAsia="Arial" w:hAnsi="Arial"/>
                <w:sz w:val="14"/>
                <w:szCs w:val="14"/>
                <w:b w:val="1"/>
                <w:bCs w:val="1"/>
                <w:color w:val="auto"/>
              </w:rPr>
              <w:t>Year Ending January 31,</w:t>
            </w:r>
          </w:p>
        </w:tc>
        <w:tc>
          <w:tcPr>
            <w:tcW w:w="28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Financing Lease</w:t>
            </w:r>
          </w:p>
        </w:tc>
        <w:tc>
          <w:tcPr>
            <w:tcW w:w="24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b w:val="1"/>
                <w:bCs w:val="1"/>
                <w:color w:val="auto"/>
              </w:rPr>
              <w:t>Operating Leases</w:t>
            </w:r>
          </w:p>
        </w:tc>
      </w:tr>
      <w:tr>
        <w:trPr>
          <w:trHeight w:val="26"/>
        </w:trPr>
        <w:tc>
          <w:tcPr>
            <w:tcW w:w="6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3,765</w:t>
            </w:r>
          </w:p>
        </w:tc>
      </w:tr>
      <w:tr>
        <w:trPr>
          <w:trHeight w:val="27"/>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7"/>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51,274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2,149</w:t>
            </w:r>
          </w:p>
        </w:tc>
      </w:tr>
      <w:tr>
        <w:trPr>
          <w:trHeight w:val="40"/>
        </w:trPr>
        <w:tc>
          <w:tcPr>
            <w:tcW w:w="63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96"/>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87,298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 includes certain non-cancelable agreements primarily for subscription, marketing services and cloud infrastructure capacity commitments entered into by the Company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Year Ending January 31,</w:t>
            </w:r>
          </w:p>
        </w:tc>
        <w:tc>
          <w:tcPr>
            <w:tcW w:w="220" w:type="dxa"/>
            <w:vAlign w:val="bottom"/>
          </w:tcPr>
          <w:p>
            <w:pPr>
              <w:spacing w:after="0"/>
              <w:rPr>
                <w:sz w:val="16"/>
                <w:szCs w:val="16"/>
                <w:color w:val="auto"/>
              </w:rPr>
            </w:pPr>
          </w:p>
        </w:tc>
        <w:tc>
          <w:tcPr>
            <w:tcW w:w="1560" w:type="dxa"/>
            <w:vAlign w:val="bottom"/>
          </w:tcPr>
          <w:p>
            <w:pPr>
              <w:jc w:val="right"/>
              <w:ind w:right="252"/>
              <w:spacing w:after="0"/>
              <w:rPr>
                <w:sz w:val="20"/>
                <w:szCs w:val="20"/>
                <w:color w:val="auto"/>
              </w:rPr>
            </w:pPr>
            <w:r>
              <w:rPr>
                <w:rFonts w:ascii="Arial" w:cs="Arial" w:eastAsia="Arial" w:hAnsi="Arial"/>
                <w:sz w:val="14"/>
                <w:szCs w:val="14"/>
                <w:b w:val="1"/>
                <w:bCs w:val="1"/>
                <w:color w:val="auto"/>
              </w:rPr>
              <w:t>Other Obligations</w:t>
            </w:r>
          </w:p>
        </w:tc>
      </w:tr>
      <w:tr>
        <w:trPr>
          <w:trHeight w:val="26"/>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50,413</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56,847</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52,496</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61,450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6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95"/>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232,056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Leases</w:t>
      </w:r>
      <w:r>
        <w:rPr>
          <w:rFonts w:ascii="Arial" w:cs="Arial" w:eastAsia="Arial" w:hAnsi="Arial"/>
          <w:sz w:val="18"/>
          <w:szCs w:val="18"/>
          <w:color w:val="auto"/>
        </w:rPr>
        <w:t>, for further details on obligations under non-cancelable finance and operating leases, including future minimum lease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From time to time, the Company has become involved in claims, litigation and other legal matters arising in the ordinary course of business including intellectual property claims, labor and employment claims and breach of contract claims. For example, on March 12, 2019, Realtime Data (“Realtime”) filed a lawsuit against the Company in the United States District Court for the District of Delaware alleging that the Company is infringing three U.S. patents that it holds: U.S. Patent No. 9,116,908, U.S. Patent No. 9,667,751 and U.S. Patent No. 8,933,825. The patent infringement allegations in the lawsuit relate to data compression, decompression, storage and retrieval. Realtime seeks monetary damages and injunctive relief. In August 2019, the District Court approved the Company and Realtime’s stipulation to stay Realtime’s lawsuit against the Company pending the outcome of Realtime's appeal of the District Court's decision to invalidate two of the asserted patents in a separate action.</w:t>
      </w:r>
    </w:p>
    <w:p>
      <w:pPr>
        <w:spacing w:after="0" w:line="12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Company investigates these claims, litigation and other legal matters as they arise. Although claims and litigation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30"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The Company accrues estimates for resolution of legal and other contingencies when losses are probable and estimable. From time to time, the Company is a party to litigation and subject to claims and threatened claims incident to the ordinary course of business, including intellectual property claims, labor and employment claims, breach of contract claims and other matters.</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Although the results of claims and litigation are inherently unpredictable, the Company believes that there was less than a reasonable possibility that the Company had incurred a material loss with respect to such loss contingencies, as of January 31, 2020 and 2019, therefore, the Company has not recorded an accrual for such contingencies.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(Deficit)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Class A and Class B Common Stock</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upon the following: (1) sale or transfer of such share of Class B common stock, subject to specified permitted transfers; (2) the death of the Class B common stockholder (or nine months after the date of death if the stockholder is one of the founders); and (3) on the final conversion date, defined as the earlier of (a) the first trading day on or after the date on which the outstanding shares of Class B common stock represent less than 10% of the then-outstanding Class A and Class B common stock; or (b) the date specified by vote of the Board of Directors and the holders of a majority of the outstanding shares of Class B common stock and redeemable convertible preferred stock, voting together as a single class on an as-converted basis. Class A and Class B common stock are referred to as common stock throughout the notes to the consolidated financial statements, unless otherwise noted.</w:t>
      </w:r>
    </w:p>
    <w:p>
      <w:pPr>
        <w:spacing w:after="0" w:line="131" w:lineRule="exact"/>
        <w:rPr>
          <w:sz w:val="20"/>
          <w:szCs w:val="20"/>
          <w:color w:val="auto"/>
        </w:rPr>
      </w:pPr>
    </w:p>
    <w:p>
      <w:pPr>
        <w:ind w:right="520" w:firstLine="486"/>
        <w:spacing w:after="0" w:line="263" w:lineRule="auto"/>
        <w:rPr>
          <w:sz w:val="20"/>
          <w:szCs w:val="20"/>
          <w:color w:val="auto"/>
        </w:rPr>
      </w:pPr>
      <w:r>
        <w:rPr>
          <w:rFonts w:ascii="Arial" w:cs="Arial" w:eastAsia="Arial" w:hAnsi="Arial"/>
          <w:sz w:val="18"/>
          <w:szCs w:val="18"/>
          <w:color w:val="auto"/>
        </w:rPr>
        <w:t>As of January 31, 2020, the Company had authorized 1,000,000,000 shares and 100,000,000 shares of Class A and Class B common stock, respectively, each par value $0.001 per share, of which 48,512,090 shares of Class A common stock were issued and outstanding and 8,969,824 and 8,870,453 shares of Class B common stock were issued and outstanding,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Disaggregation of Revenue</w:t>
      </w:r>
    </w:p>
    <w:p>
      <w:pPr>
        <w:spacing w:after="0" w:line="17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Based on the information provided to and reviewed by the Company’s Chief Executive Officer,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which includes mLab, and other subscription products, which includes MongoDB Enterprise Advanced.</w:t>
      </w:r>
    </w:p>
    <w:p>
      <w:pPr>
        <w:spacing w:after="0" w:line="200" w:lineRule="exact"/>
        <w:rPr>
          <w:sz w:val="20"/>
          <w:szCs w:val="20"/>
          <w:color w:val="auto"/>
        </w:rPr>
      </w:pPr>
    </w:p>
    <w:p>
      <w:pPr>
        <w:spacing w:after="0" w:line="35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320" w:top="121" w:right="39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presents the Company’s revenues disaggregated by primary geographical markets, subscription product categories and services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w w:val="92"/>
              </w:rPr>
              <w:t>Years Ended January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Primary geographical markets: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272,358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172,688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110,616</w:t>
            </w: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48,129</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Asia Pacific</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7,283</w:t>
            </w:r>
          </w:p>
        </w:tc>
      </w:tr>
      <w:tr>
        <w:trPr>
          <w:trHeight w:val="40"/>
        </w:trPr>
        <w:tc>
          <w:tcPr>
            <w:tcW w:w="49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36"/>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166,028</w:t>
            </w:r>
          </w:p>
        </w:tc>
      </w:tr>
      <w:tr>
        <w:trPr>
          <w:trHeight w:val="304"/>
        </w:trPr>
        <w:tc>
          <w:tcPr>
            <w:tcW w:w="49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Subscription product categories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MongoDB Atlas-related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162,510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60,241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11,265</w:t>
            </w: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subscription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140,588</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14,175</w:t>
            </w:r>
          </w:p>
        </w:tc>
      </w:tr>
      <w:tr>
        <w:trPr>
          <w:trHeight w:val="40"/>
        </w:trPr>
        <w:tc>
          <w:tcPr>
            <w:tcW w:w="49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96"/>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166,028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Customers located in the United States accounted for 59%, 61% and 63% of total revenue for the years ended January 31, 2020, 2019 and 2018, respectively. Customers located in the United Kingdom accounted for 10%, 10% and 11% of total revenue for the years ended January 31, 2020, 2019 and 2018, respectively. No other country accounted for 10% or more of revenue for the periods presented.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2020 and 2019, substantially all of the Company’s long-lived assets were located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Contract Liabilities</w:t>
      </w:r>
    </w:p>
    <w:p>
      <w:pPr>
        <w:spacing w:after="0" w:line="171" w:lineRule="exact"/>
        <w:rPr>
          <w:sz w:val="20"/>
          <w:szCs w:val="20"/>
          <w:color w:val="auto"/>
        </w:rPr>
      </w:pPr>
    </w:p>
    <w:p>
      <w:pPr>
        <w:jc w:val="both"/>
        <w:ind w:right="40" w:firstLine="486"/>
        <w:spacing w:after="0" w:line="287" w:lineRule="auto"/>
        <w:rPr>
          <w:sz w:val="20"/>
          <w:szCs w:val="20"/>
          <w:color w:val="auto"/>
        </w:rPr>
      </w:pPr>
      <w:r>
        <w:rPr>
          <w:rFonts w:ascii="Arial" w:cs="Arial" w:eastAsia="Arial" w:hAnsi="Arial"/>
          <w:sz w:val="16"/>
          <w:szCs w:val="16"/>
          <w:color w:val="auto"/>
        </w:rPr>
        <w:t>The Company’s contract liabilities are recorded as deferred revenue in the Company’s consolidated balance sheet and consists of customer invoices issued or payments received in advance of revenues being recognized from the Company’s subscription and services contracts. Deferred revenue, including current and non-current balances as of January 31, 2020, 2019 and 2018 was $190.8 million, $137.7 million and $100.9 million, respectively.</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Approximately 29% and 31% of the total revenue recognized in the years ended January 31, 2020 and 2019 was from deferred revenue at the beginning of each respective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Remaining Performance Obligations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2020, the aggregate transaction price allocated to remaining performance obligations was $210.2 million. Approximately 54%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Unbilled Receivables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were recorded as part of accounts receivable, net in the Company’s consolidated balance sheets. As of January 31, 2020, 2019 and 2018, unbilled receivables were $6.7 million, $8.0 million and $3.8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Costs Capitalized to Obtain Contracts with Customers</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Deferred commissions were $77.0 million and $48.6 million as of January 31, 2020 and 2019, respectively. Amortization expense with respect to deferred commissions was $19.4 million, $14.1 million and $9.9 million for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ended January 31, 2020, 2019 and 2018, respectively. There was no impairment loss in relation to the costs capitalized for the periods presented.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Incentive Plans and Employee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2008 Stock Incentive Plan and 2016 Equity Incentive Plan</w:t>
      </w:r>
    </w:p>
    <w:p>
      <w:pPr>
        <w:spacing w:after="0" w:line="171"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Company adopted the 2008 Stock Incentive Plan (as amended, the “2008 Plan”) in 2008 and the 2016 Equity Incentive Plan (as amended, the “2016 Plan”) in 2016,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As of January 31, 2020, the Company had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200" w:lineRule="exact"/>
        <w:rPr>
          <w:sz w:val="20"/>
          <w:szCs w:val="20"/>
          <w:color w:val="auto"/>
        </w:rPr>
      </w:pPr>
    </w:p>
    <w:p>
      <w:pPr>
        <w:spacing w:after="0" w:line="3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121" w:right="39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 and Restricted Stock Units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stock option and RSU award activity for the 2008 and 2016 Plans (in thousands, except share and per share data and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6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Available</w:t>
            </w:r>
          </w:p>
        </w:tc>
        <w:tc>
          <w:tcPr>
            <w:tcW w:w="12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0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Grant</w:t>
            </w: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0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
        </w:trPr>
        <w:tc>
          <w:tcPr>
            <w:tcW w:w="38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2018</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4,636,564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12,637,435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246,227</w:t>
            </w:r>
          </w:p>
        </w:tc>
        <w:tc>
          <w:tcPr>
            <w:tcW w:w="0" w:type="dxa"/>
            <w:vAlign w:val="bottom"/>
          </w:tcPr>
          <w:p>
            <w:pPr>
              <w:spacing w:after="0"/>
              <w:rPr>
                <w:sz w:val="1"/>
                <w:szCs w:val="1"/>
                <w:color w:val="auto"/>
              </w:rPr>
            </w:pPr>
          </w:p>
        </w:tc>
      </w:tr>
      <w:tr>
        <w:trPr>
          <w:trHeight w:val="243"/>
        </w:trPr>
        <w:tc>
          <w:tcPr>
            <w:tcW w:w="3840" w:type="dxa"/>
            <w:vAlign w:val="bottom"/>
          </w:tcPr>
          <w:p>
            <w:pPr>
              <w:ind w:left="260"/>
              <w:spacing w:after="0"/>
              <w:rPr>
                <w:sz w:val="20"/>
                <w:szCs w:val="20"/>
                <w:color w:val="auto"/>
              </w:rPr>
            </w:pPr>
            <w:r>
              <w:rPr>
                <w:rFonts w:ascii="Arial" w:cs="Arial" w:eastAsia="Arial" w:hAnsi="Arial"/>
                <w:sz w:val="18"/>
                <w:szCs w:val="18"/>
                <w:color w:val="auto"/>
              </w:rPr>
              <w:t>Authorized</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2,528,778</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Options exercised</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60"/>
              <w:spacing w:after="0"/>
              <w:rPr>
                <w:sz w:val="20"/>
                <w:szCs w:val="20"/>
                <w:color w:val="auto"/>
              </w:rPr>
            </w:pPr>
            <w:r>
              <w:rPr>
                <w:rFonts w:ascii="Arial" w:cs="Arial" w:eastAsia="Arial" w:hAnsi="Arial"/>
                <w:sz w:val="18"/>
                <w:szCs w:val="18"/>
                <w:color w:val="auto"/>
              </w:rPr>
              <w:t>Early exercised shares repurchased</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35,668</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Options forfeited and expired</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872,223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60"/>
              <w:spacing w:after="0"/>
              <w:rPr>
                <w:sz w:val="20"/>
                <w:szCs w:val="20"/>
                <w:color w:val="auto"/>
              </w:rPr>
            </w:pPr>
            <w:r>
              <w:rPr>
                <w:rFonts w:ascii="Arial" w:cs="Arial" w:eastAsia="Arial" w:hAnsi="Arial"/>
                <w:sz w:val="18"/>
                <w:szCs w:val="18"/>
                <w:color w:val="auto"/>
              </w:rPr>
              <w:t>RSUs 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(2,134,844)</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RSUs forfeited and canceled</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128,687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Balance - January 31, 2019</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6,067,076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8,621,010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729,392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Authorized</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2,716,090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(2,163,361)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exercised shares repurchased</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Options forfeited and expired</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278,650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 granted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(2,347,359)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RSUs forfeited and canceled</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306,641</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2020</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7,026,775</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6,178,999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965,860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Options vested and exercisable - January 31, 2019</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5,342,183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456,275</w:t>
            </w:r>
          </w:p>
        </w:tc>
        <w:tc>
          <w:tcPr>
            <w:tcW w:w="0" w:type="dxa"/>
            <w:vAlign w:val="bottom"/>
          </w:tcPr>
          <w:p>
            <w:pPr>
              <w:spacing w:after="0"/>
              <w:rPr>
                <w:sz w:val="1"/>
                <w:szCs w:val="1"/>
                <w:color w:val="auto"/>
              </w:rPr>
            </w:pPr>
          </w:p>
        </w:tc>
      </w:tr>
      <w:tr>
        <w:trPr>
          <w:trHeight w:val="80"/>
        </w:trPr>
        <w:tc>
          <w:tcPr>
            <w:tcW w:w="384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Options vested and exercisable - January 31, 2020</w:t>
            </w: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4,693,273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736,034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vested and exercisable - Stock options</w:t>
            </w: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6,178,999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w w:val="96"/>
              </w:rPr>
              <w:t>vested and expected to vest -January 31, 2020</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965,860</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The weighted-average grant date fair value of options granted was $4.76 per share during the year ended January 31, 2018. There were no options granted during the years ended January 31, 2020 and 2019. The intrinsic value of options exercised for the years ended January 31, 2020, 2019 and 2018 was determined to be $293.9 million, $198.9 million and $4.1 million, respectively.</w:t>
      </w:r>
    </w:p>
    <w:p>
      <w:pPr>
        <w:spacing w:after="0" w:line="13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The aggregate grant date fair value of stock options vested during the years ended January 31, 2020, 2019 and 2018, was $6.3 million, $15.9 million and $13.5 million, respectively. As of January 31, 2020, there was $5.1 million of unrecognized stock-based compensation expense related to outstanding stock options granted to employees that is expected to be recognized over a weighted-average period of 1.2 years.</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year ended January 31, 2020:</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8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92"/>
        </w:trPr>
        <w:tc>
          <w:tcPr>
            <w:tcW w:w="5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Date Fair Value per RSU</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January 31, 2018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245,746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RSUs 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2,134,844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 vested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RSUs forfeited and canceled</w:t>
            </w:r>
          </w:p>
        </w:tc>
        <w:tc>
          <w:tcPr>
            <w:tcW w:w="1880" w:type="dxa"/>
            <w:vAlign w:val="bottom"/>
          </w:tcPr>
          <w:p>
            <w:pPr>
              <w:jc w:val="right"/>
              <w:spacing w:after="0"/>
              <w:rPr>
                <w:sz w:val="20"/>
                <w:szCs w:val="20"/>
                <w:color w:val="auto"/>
              </w:rPr>
            </w:pPr>
            <w:r>
              <w:rPr>
                <w:rFonts w:ascii="Arial" w:cs="Arial" w:eastAsia="Arial" w:hAnsi="Arial"/>
                <w:sz w:val="18"/>
                <w:szCs w:val="18"/>
                <w:color w:val="auto"/>
              </w:rPr>
              <w:t>(128,687)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 January 31, 2019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1,988,774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RSUs 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2,347,359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 vested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RSUs forfeited and canceled</w:t>
            </w:r>
          </w:p>
        </w:tc>
        <w:tc>
          <w:tcPr>
            <w:tcW w:w="1880" w:type="dxa"/>
            <w:vAlign w:val="bottom"/>
          </w:tcPr>
          <w:p>
            <w:pPr>
              <w:jc w:val="right"/>
              <w:spacing w:after="0"/>
              <w:rPr>
                <w:sz w:val="20"/>
                <w:szCs w:val="20"/>
                <w:color w:val="auto"/>
              </w:rPr>
            </w:pPr>
            <w:r>
              <w:rPr>
                <w:rFonts w:ascii="Arial" w:cs="Arial" w:eastAsia="Arial" w:hAnsi="Arial"/>
                <w:sz w:val="18"/>
                <w:szCs w:val="18"/>
                <w:color w:val="auto"/>
              </w:rPr>
              <w:t>(306,641)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 January 31, 2020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3,281,431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January 31, 2020, there was $310.2 million of unrecognized stock-based compensation expense related to outstanding RSUs granted to employees that is expected to be recognized over a weighted-average period of 3.1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2016 China Stock Appreciation Rights Plan</w:t>
      </w:r>
    </w:p>
    <w:p>
      <w:pPr>
        <w:spacing w:after="0" w:line="17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April 2016, the Company adopted the 2016 China Stock Appreciation Rights Plan (as amended, the “China SAR Plan”) for its employees in China. For grants made prior to the IPO, the China SAR Plan included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the Company’s common stock being publicly traded (a qualifying liquidity event).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12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For the years ended January 31, 2020, 2019 and 2018 the Company granted 5,975, 3,650 and 8,000 units of the China SAR Plan, respectively, at a weighted average strike price of $129.89, $74.92 and $27.35 per share, respectively. During the years ended January 31, 2020, 2019 and 2018, upon the vesting of 4,958, 14,273 and 9,302 units, respectively, the total expense and liability related to China SAR was $2.1 million, $1.1 million and $0.2 million, respectively. These amounts were recorded as part of the “Accrued compensation and benefits” on the Company’s consolidated balance sheet. During the year ended January 31, 2020, the Company paid $0.2 million in cash upon the exercise of 2,066 units. The Company did not recognize any compensation expense related to the China SAR Plan prior to October 18, 2017 because the Company had determined the performance conditions, with respect to the occurrence of a qualifying liquidity event, were not probable until the successful IPO.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2017 Employee Stock Purchase Plan</w:t>
      </w:r>
    </w:p>
    <w:p>
      <w:pPr>
        <w:spacing w:after="0" w:line="171"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 October 2017, the Company’s Board of Directors adopted and stockholders approved, the 2017 Employee Stock Purchase Plan (the “2017 ESPP”). A total of 995,000 shares of the Company’s Class A common stock were initially authorized for issuance under the ESPP, which subsequently increased to 1,500,755 on February 1, 2018 and to 2,043,973 on February 1, 2019 pursuant to the automatic annual increase feature in the ESPP. As of January 31, 2020, there were 1,514,409 shares of the Company’s Class A common stock available for issuance under the 2017 ESPP. Subject to any plan limitations, the 2017 ESPP allows eligible employees to contribute, normally through payroll deductions, up to 15% of their earnings for the purchase of the Company’s Class A common stock at a discounted price per share. Except for the initial offering period, the ESPP provides for separate six-month offering periods.</w:t>
      </w:r>
    </w:p>
    <w:p>
      <w:pPr>
        <w:spacing w:after="0" w:line="200" w:lineRule="exact"/>
        <w:rPr>
          <w:sz w:val="20"/>
          <w:szCs w:val="20"/>
          <w:color w:val="auto"/>
        </w:rPr>
      </w:pPr>
    </w:p>
    <w:p>
      <w:pPr>
        <w:spacing w:after="0" w:line="38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Unless otherwise determined by the Board of Directors, the Company’s Class A common stock will be purchased for the accounts of employees participating in the ESPP at a price per share that is the lesser of (1) 85% of the fair market value of the Company’s Class A common stock on the first trading day of the offering period, which for the initial offering period is the price at which shares of the Company’s Class A common stock were first sold to the public, or (2) 85% of the fair market value of the Company’s Class A common stock on the last trading day of the offering period.</w:t>
      </w:r>
    </w:p>
    <w:p>
      <w:pPr>
        <w:spacing w:after="0" w:line="103"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During the years ended January 31, 2020 and 2019 there were 154,988 and 374,576 shares, respectively, of Class A common stock purchased under the ESPP. During the year ended January 31, 2018, no shares of Class A common stock were purchased under the ESPP. The total expense related to the ESPP for years ended January 31, 2020, 2019 and 2018 was $5.1 million, $2.9 million and $0.7 million, respectively. As of January 31, 2020, there was $2.2 million of unrecognized stock-based compensation expense related to the ESPP offering period expected to end in June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 Repricing</w:t>
      </w:r>
    </w:p>
    <w:p>
      <w:pPr>
        <w:spacing w:after="0" w:line="17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April 13, 2016, the Company amended all then-current employee and active non-employee stock options with an exercise price greater than $6.50 per share that remained outstanding and unexercised on such date to reprice their respective exercise prices to $6.50 per share, the fair market value of the Company’s common stock as of April 13, 2016, as determined by the Board of Directors. Pursuant to this repricing, options to purchase 6,898,736 shares of common stock were repriced, including options to purchase 3,303,786 shares of common stock held by the Company’s executive officers. The Company determined the total incremental compensation expense related to the repriced awards was $10.7 million, of which $0.2 million, $1.9 million and $2.4 million was recorded during the years ended January 31, 2020, 2019 and 2018,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Early Exercise of Stock Options</w:t>
      </w:r>
    </w:p>
    <w:p>
      <w:pPr>
        <w:spacing w:after="0" w:line="17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Company allows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(1) the then-current fair market value of the common stock on the date of repurchase and (2) the original purchase price. The proceeds initially are recorded in other current and non-current liabilities from the early exercise of stock options and reclassified to common stock and paid-in capital as the repurchase right lapses.</w:t>
      </w:r>
    </w:p>
    <w:p>
      <w:pPr>
        <w:spacing w:after="0" w:line="12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For the years ended January 31, 2020 and 2019, the Company issued common stock of 1,064 and 6,059 shares, respectively, for stock options exercised prior to vesting. For the years ended January 31, 2020 and 2019, the Company repurchased 5,677 and 35,668 shares, respectively, of common stock related to unvested stock options at the original exercise price due to the termination of employees. As of January 31, 2020 and 2019, there were 14,332 and 59,356 shares, respectively, held by employees and directors that were subject to potential repurchase at an aggregate price of $0.1 million and $0.5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Determination of Fair Value</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For RSUs, fair value is based on the closing price of the Company’s Class A common stock on the grant date. For stock options, the determination of fair value on the date of grant is based on an option-pricing model, which is utilizes the fair value of the Company’s common stock, as well as assumptions regarding a number of complex and subjective variables. The Company uses the Black-Scholes option-pricing model to calculate the fair value of stock options, which requires the use of assumptions including actual and projected employee stock option exercise behaviors, expected price volatility of the Company’s common stock, the risk-free interest rate and expected dividends. Each of these inputs is subjective and generally requires significant judgment to determine.</w:t>
      </w:r>
    </w:p>
    <w:p>
      <w:pPr>
        <w:spacing w:after="0" w:line="138"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Prior to the IPO, the fair value of common stock underlying the stock options had historically been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with input from the Company’s management. The Board of Directors previously determined the fair value of the common stock at the time of grant of the options by considering a number of objective and subjective factors, including valuations of comparable companies, sales of redeemable convertible preferred stock, sales of common stock to unrelated third parties, operating and financial performance, the lack of liquidity of the Company’s capital stock and general and industry-specific economic outlook. Subsequent to the IPO, the fair value of the underlying common stock is determined by the closing price, on the date of grant, of the Company’s Class A common stock, which is traded publicly on The Nasdaq Global Market.</w:t>
      </w:r>
    </w:p>
    <w:p>
      <w:pPr>
        <w:spacing w:after="0" w:line="110"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For option grants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“plain vanilla,” the Company determines the expected term using the simplified</w:t>
      </w: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method. The simplified method deems the term to be the average of the time-to-vesting and the contractual life of the options. For other option grants, the Company estimates the expected term using historical data on employee exercises and post-vesting employment termination behavior taking into account the contractual life of the award.</w:t>
      </w:r>
    </w:p>
    <w:p>
      <w:pPr>
        <w:spacing w:after="0" w:line="13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has limited trading history of its common stock,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volatilities of several unrelated public companies within the Company’s industry that the Company considers to be comparable to its own business over a period equivalent to the expected term of the stock option grants.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time of grant for zero-coupon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option’s expected term.</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assumed to be zero as the Company has never paid dividends and has no current plans to do so.</w:t>
      </w:r>
    </w:p>
    <w:p>
      <w:pPr>
        <w:spacing w:after="0" w:line="183"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fair value of stock options granted was estimated on the date of grant using the Black-Scholes option pricing model with the following assumptions: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 Ended January 31,</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56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38"/>
        </w:trPr>
        <w:tc>
          <w:tcPr>
            <w:tcW w:w="56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0"/>
                <w:szCs w:val="20"/>
                <w:color w:val="auto"/>
              </w:rPr>
            </w:pPr>
          </w:p>
        </w:tc>
        <w:tc>
          <w:tcPr>
            <w:tcW w:w="180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2018</w:t>
            </w:r>
          </w:p>
        </w:tc>
      </w:tr>
      <w:tr>
        <w:trPr>
          <w:trHeight w:val="26"/>
        </w:trPr>
        <w:tc>
          <w:tcPr>
            <w:tcW w:w="56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- 6.20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w:t>
            </w:r>
          </w:p>
        </w:tc>
        <w:tc>
          <w:tcPr>
            <w:tcW w:w="960" w:type="dxa"/>
            <w:vAlign w:val="bottom"/>
          </w:tcPr>
          <w:p>
            <w:pPr>
              <w:ind w:left="40"/>
              <w:spacing w:after="0"/>
              <w:rPr>
                <w:sz w:val="20"/>
                <w:szCs w:val="20"/>
                <w:color w:val="auto"/>
              </w:rPr>
            </w:pPr>
            <w:r>
              <w:rPr>
                <w:rFonts w:ascii="Arial" w:cs="Arial" w:eastAsia="Arial" w:hAnsi="Arial"/>
                <w:sz w:val="18"/>
                <w:szCs w:val="18"/>
                <w:color w:val="auto"/>
              </w:rPr>
              <w:t>- 45.7%</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- 2.4%</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0" w:type="dxa"/>
            <w:vAlign w:val="bottom"/>
            <w:gridSpan w:val="2"/>
          </w:tcPr>
          <w:p>
            <w:pPr>
              <w:jc w:val="right"/>
              <w:ind w:right="690"/>
              <w:spacing w:after="0"/>
              <w:rPr>
                <w:sz w:val="20"/>
                <w:szCs w:val="20"/>
                <w:color w:val="auto"/>
              </w:rPr>
            </w:pPr>
            <w:r>
              <w:rPr>
                <w:rFonts w:ascii="Arial" w:cs="Arial" w:eastAsia="Arial" w:hAnsi="Arial"/>
                <w:sz w:val="18"/>
                <w:szCs w:val="18"/>
                <w:color w:val="auto"/>
              </w:rPr>
              <w:t>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No stock options were granted during the years ended January 31, 2020 and 2019.</w:t>
      </w:r>
    </w:p>
    <w:p>
      <w:pPr>
        <w:spacing w:after="0" w:line="171"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fair value of the purchase rights granted under the 2017 ESPP was estimated on the first day of the offering period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Years Ended January 31,</w:t>
            </w:r>
          </w:p>
        </w:tc>
        <w:tc>
          <w:tcPr>
            <w:tcW w:w="10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r>
      <w:tr>
        <w:trPr>
          <w:trHeight w:val="238"/>
        </w:trPr>
        <w:tc>
          <w:tcPr>
            <w:tcW w:w="5060" w:type="dxa"/>
            <w:vAlign w:val="bottom"/>
          </w:tcPr>
          <w:p>
            <w:pPr>
              <w:spacing w:after="0"/>
              <w:rPr>
                <w:sz w:val="20"/>
                <w:szCs w:val="20"/>
                <w:color w:val="auto"/>
              </w:rPr>
            </w:pPr>
          </w:p>
        </w:tc>
        <w:tc>
          <w:tcPr>
            <w:tcW w:w="1860" w:type="dxa"/>
            <w:vAlign w:val="bottom"/>
            <w:gridSpan w:val="2"/>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8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2019</w:t>
            </w:r>
          </w:p>
        </w:tc>
      </w:tr>
      <w:tr>
        <w:trPr>
          <w:trHeight w:val="25"/>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Expected term (in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- 0.54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- 0.54</w:t>
            </w: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980" w:type="dxa"/>
            <w:vAlign w:val="bottom"/>
          </w:tcPr>
          <w:p>
            <w:pPr>
              <w:ind w:left="20"/>
              <w:spacing w:after="0"/>
              <w:rPr>
                <w:sz w:val="20"/>
                <w:szCs w:val="20"/>
                <w:color w:val="auto"/>
              </w:rPr>
            </w:pPr>
            <w:r>
              <w:rPr>
                <w:rFonts w:ascii="Arial" w:cs="Arial" w:eastAsia="Arial" w:hAnsi="Arial"/>
                <w:sz w:val="18"/>
                <w:szCs w:val="18"/>
                <w:color w:val="auto"/>
              </w:rPr>
              <w:t>- 48%</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Pr>
          <w:p>
            <w:pPr>
              <w:ind w:left="20"/>
              <w:spacing w:after="0"/>
              <w:rPr>
                <w:sz w:val="20"/>
                <w:szCs w:val="20"/>
                <w:color w:val="auto"/>
              </w:rPr>
            </w:pPr>
            <w:r>
              <w:rPr>
                <w:rFonts w:ascii="Arial" w:cs="Arial" w:eastAsia="Arial" w:hAnsi="Arial"/>
                <w:sz w:val="18"/>
                <w:szCs w:val="18"/>
                <w:color w:val="auto"/>
              </w:rPr>
              <w:t>- 54%</w:t>
            </w: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- 2.5%</w:t>
            </w: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right"/>
              <w:ind w:right="735"/>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880" w:type="dxa"/>
            <w:vAlign w:val="bottom"/>
            <w:gridSpan w:val="2"/>
          </w:tcPr>
          <w:p>
            <w:pPr>
              <w:jc w:val="right"/>
              <w:ind w:right="730"/>
              <w:spacing w:after="0"/>
              <w:rPr>
                <w:sz w:val="20"/>
                <w:szCs w:val="20"/>
                <w:color w:val="auto"/>
              </w:rPr>
            </w:pPr>
            <w:r>
              <w:rPr>
                <w:rFonts w:ascii="Arial" w:cs="Arial" w:eastAsia="Arial" w:hAnsi="Arial"/>
                <w:sz w:val="18"/>
                <w:szCs w:val="18"/>
                <w:color w:val="auto"/>
              </w:rPr>
              <w:t>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 Expense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stock-based compensation expense recognized in the Company’s consolidated statements of operations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6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5"/>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revenue—subscription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Cost of revenue—services</w:t>
            </w:r>
          </w:p>
        </w:tc>
        <w:tc>
          <w:tcPr>
            <w:tcW w:w="9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462</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26,640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6,364</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26,686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5,752</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14,407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7,927</w:t>
            </w:r>
          </w:p>
        </w:tc>
      </w:tr>
      <w:tr>
        <w:trPr>
          <w:trHeight w:val="236"/>
        </w:trPr>
        <w:tc>
          <w:tcPr>
            <w:tcW w:w="630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75,776</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37,403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21,235</w:t>
            </w:r>
          </w:p>
        </w:tc>
      </w:tr>
      <w:tr>
        <w:trPr>
          <w:trHeight w:val="54"/>
        </w:trPr>
        <w:tc>
          <w:tcPr>
            <w:tcW w:w="63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0"/>
        </w:trPr>
        <w:tc>
          <w:tcPr>
            <w:tcW w:w="6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7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stock equivalents outstanding for the period, including stock options and restricted stock units.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details on the Company’s methodology for calculating net loss per share.</w:t>
      </w:r>
    </w:p>
    <w:p>
      <w:pPr>
        <w:spacing w:after="0" w:line="13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Basic and diluted net loss per share was the same for each year presented, as the inclusion of all potential common shares outstanding would have been anti-dilutive due to the net loss reported for each year presented.</w:t>
      </w:r>
    </w:p>
    <w:p>
      <w:pPr>
        <w:spacing w:after="0" w:line="11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Each share of Class A common stock is entitled to one vote per share and each share of Class B common stock is entitled to 10 votes per share. As the liquidation and dividend rights are identical for Class A and Class B common stock, the undistributed earnings are allocated on a proportionate basis and the resulting net loss per share will, therefore, be the same for both Class A and Class B common stock on an individual or combined basis.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Years Ended January 31,</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20"/>
                <w:szCs w:val="20"/>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6"/>
        </w:trPr>
        <w:tc>
          <w:tcPr>
            <w:tcW w:w="5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(175,522)</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(99,011)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(83,973)</w:t>
            </w:r>
          </w:p>
        </w:tc>
      </w:tr>
      <w:tr>
        <w:trPr>
          <w:trHeight w:val="54"/>
        </w:trPr>
        <w:tc>
          <w:tcPr>
            <w:tcW w:w="5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29"/>
        </w:trPr>
        <w:tc>
          <w:tcPr>
            <w:tcW w:w="5560" w:type="dxa"/>
            <w:vAlign w:val="bottom"/>
          </w:tcPr>
          <w:p>
            <w:pPr>
              <w:ind w:left="160"/>
              <w:spacing w:after="0"/>
              <w:rPr>
                <w:sz w:val="20"/>
                <w:szCs w:val="20"/>
                <w:color w:val="auto"/>
              </w:rPr>
            </w:pPr>
            <w:r>
              <w:rPr>
                <w:rFonts w:ascii="Arial" w:cs="Arial" w:eastAsia="Arial" w:hAnsi="Arial"/>
                <w:sz w:val="18"/>
                <w:szCs w:val="18"/>
                <w:color w:val="auto"/>
                <w:w w:val="92"/>
              </w:rPr>
              <w:t>Weighted-average shares used to compute net loss per share, basic and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5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55,939,032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52,034,596</w:t>
            </w:r>
          </w:p>
        </w:tc>
        <w:tc>
          <w:tcPr>
            <w:tcW w:w="42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23,718,391</w:t>
            </w:r>
          </w:p>
        </w:tc>
      </w:tr>
      <w:tr>
        <w:trPr>
          <w:trHeight w:val="54"/>
        </w:trPr>
        <w:tc>
          <w:tcPr>
            <w:tcW w:w="5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24"/>
        </w:trPr>
        <w:tc>
          <w:tcPr>
            <w:tcW w:w="5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r>
    </w:tbl>
    <w:p>
      <w:pPr>
        <w:spacing w:after="0" w:line="200" w:lineRule="exact"/>
        <w:rPr>
          <w:sz w:val="20"/>
          <w:szCs w:val="20"/>
          <w:color w:val="auto"/>
        </w:rPr>
      </w:pPr>
    </w:p>
    <w:p>
      <w:pPr>
        <w:spacing w:after="0" w:line="27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shares underlying the conversion option in the 2024 Notes and 2026 Notes were not considered in the calculation of diluted net loss per share as the effect would have been anti-dilutive. Based on the initial conversion price, the entire outstanding principal amount of the 2024 Notes and 2026 Notes as of January 31, 2020 would have been convertible into approximately 4.4 million shares and 5.4 million shares, respectively, of the Company’s Class A common stock. However, the Company currently expects to settle the principal amount of the 2024 Notes and 2026 Notes in cash. As a result, only the amount by which the conversion value exceeds the aggregate principal amount of the 2024 Notes and 2026 Notes (the “conversion spread”) is considered in the diluted earnings per share computation under the treasury stock method. The conversion spread has a dilutive impact on diluted net income per share when the average market price of the Company’s Class A common stock for a given period exceeds the initial conversion price of $68.15 per share for the 2024 Notes and $211.20 per share for the 2026 Notes. 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Class A common stock upon any conversion of the 2024 Notes and 2026 Notes.</w:t>
      </w:r>
    </w:p>
    <w:p>
      <w:pPr>
        <w:spacing w:after="0" w:line="128"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During the three months ended January 31, 2020, the average market price of the Company’s Class A common stock was $139.22, which exceeded the initial conversion price of the 2024 Notes. As of January 31, 2020, the Company had not received any material conversion notices for the 2024 Notes. For disclosure purposes, the Company calculated the potentially dilutive effect of the conversion spread for the 2024 Notes, which is included in the table below. The Company excluded the potentially dilutive effect of the conversion spread for the 2026 Notes as the average market price of the Company’s Class A common stock during the three months ended January 31, 2020 was less than the conversion price of the 2026 Notes.</w:t>
      </w:r>
    </w:p>
    <w:p>
      <w:pPr>
        <w:spacing w:after="0" w:line="200" w:lineRule="exact"/>
        <w:rPr>
          <w:sz w:val="20"/>
          <w:szCs w:val="20"/>
          <w:color w:val="auto"/>
        </w:rPr>
      </w:pPr>
    </w:p>
    <w:p>
      <w:pPr>
        <w:spacing w:after="0" w:line="35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121" w:right="37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 January 31,</w:t>
            </w:r>
          </w:p>
        </w:tc>
        <w:tc>
          <w:tcPr>
            <w:tcW w:w="1580" w:type="dxa"/>
            <w:vAlign w:val="bottom"/>
          </w:tcPr>
          <w:p>
            <w:pPr>
              <w:spacing w:after="0"/>
              <w:rPr>
                <w:sz w:val="16"/>
                <w:szCs w:val="16"/>
                <w:color w:val="auto"/>
              </w:rPr>
            </w:pPr>
          </w:p>
        </w:tc>
      </w:tr>
      <w:tr>
        <w:trPr>
          <w:trHeight w:val="26"/>
        </w:trPr>
        <w:tc>
          <w:tcPr>
            <w:tcW w:w="56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5660" w:type="dxa"/>
            <w:vAlign w:val="bottom"/>
          </w:tcPr>
          <w:p>
            <w:pPr>
              <w:spacing w:after="0"/>
              <w:rPr>
                <w:sz w:val="20"/>
                <w:szCs w:val="20"/>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5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5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6"/>
        </w:trPr>
        <w:tc>
          <w:tcPr>
            <w:tcW w:w="56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(as converted)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19,534,014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warrants (as converted)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22,592</w:t>
            </w:r>
          </w:p>
        </w:tc>
      </w:tr>
      <w:tr>
        <w:trPr>
          <w:trHeight w:val="27"/>
        </w:trPr>
        <w:tc>
          <w:tcPr>
            <w:tcW w:w="5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90,143</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Stock options to purchase Class A common stock</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2,145,462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3,174,009</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2,552,397</w:t>
            </w:r>
          </w:p>
        </w:tc>
      </w:tr>
      <w:tr>
        <w:trPr>
          <w:trHeight w:val="27"/>
        </w:trPr>
        <w:tc>
          <w:tcPr>
            <w:tcW w:w="5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to purchase Class B common stock</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5,076,831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7,691,386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9,612,572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Unvested restricted stock units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2,914,575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1,447,642</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exercised stock options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126,447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236,675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Shares underlying the conversion spread in the 2024 Notes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2,112,279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227,982</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loss before provision for (benefit from) income taxes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3"/>
        </w:trPr>
        <w:tc>
          <w:tcPr>
            <w:tcW w:w="4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(49,827)</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(32,859)</w:t>
            </w:r>
          </w:p>
        </w:tc>
      </w:tr>
      <w:tr>
        <w:trPr>
          <w:trHeight w:val="27"/>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(82,686)</w:t>
            </w: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the provision for (benefit from) income taxes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4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1,493</w:t>
            </w:r>
          </w:p>
        </w:tc>
      </w:tr>
      <w:tr>
        <w:trPr>
          <w:trHeight w:val="27"/>
        </w:trPr>
        <w:tc>
          <w:tcPr>
            <w:tcW w:w="4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4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items accounting for the difference between income taxes computed at the federal statutory income tax rate and the provision for (benefit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consisted of the following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rate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(36,997)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564</w:t>
            </w: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(41,800)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1,741</w:t>
            </w: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72,263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(11,791)</w:t>
            </w: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Prior year true ups</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 due to the Tax Act</w:t>
            </w: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33,110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741</w:t>
            </w:r>
          </w:p>
        </w:tc>
      </w:tr>
      <w:tr>
        <w:trPr>
          <w:trHeight w:val="27"/>
        </w:trPr>
        <w:tc>
          <w:tcPr>
            <w:tcW w:w="4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overall tax benefit recorded for the current fiscal year is driven by a net release in the Company's valuation allowance on deferred tax assets relative to the prior year, principally as a result of deferred taxes recorded in purchase accounting as part of the Realm acquisition and partially offset by the establishment of the valuation allowance on the net deferred tax assets in the U.K.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Impact of the 2017 Tax Cuts and Jobs Act</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On December 22, 2017, the Tax Cuts and Jobs Act (the “Tax Act”) significantly revised the U.S. corporate income tax law, by among other things, reducing the corporate income tax rate to 21% for tax years beginning in 2018, implementing a modified territorial system that includes a one-time transition tax on deemed repatriated earnings of foreign subsidiaries and creating new taxes on certain foreign sourced earnings. As of January 31, 2019, the Company completed its accounting for the income tax effects of the Tax Act, in accordance with the U.S. Securities and Exchange Commission Staff Accounting Bulletin No. 118.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Income Taxes</w:t>
      </w:r>
    </w:p>
    <w:p>
      <w:pPr>
        <w:spacing w:after="0" w:line="171"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Significant components of the Company’s deferred tax assets for federal and state income taxes are as follows as of January 31, 2020 and 2019, respectively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Years Ended January 31,</w:t>
            </w:r>
          </w:p>
        </w:tc>
      </w:tr>
      <w:tr>
        <w:trPr>
          <w:trHeight w:val="264"/>
        </w:trPr>
        <w:tc>
          <w:tcPr>
            <w:tcW w:w="49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204,193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121,024</w:t>
            </w:r>
          </w:p>
        </w:tc>
      </w:tr>
      <w:tr>
        <w:trPr>
          <w:trHeight w:val="27"/>
        </w:trPr>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Finance and operating lease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reserves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Gross 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254,741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124,033</w:t>
            </w:r>
          </w:p>
        </w:tc>
      </w:tr>
      <w:tr>
        <w:trPr>
          <w:trHeight w:val="27"/>
        </w:trPr>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(101,502)</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Total deferred tax assets, net of valuation allowance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22,531</w:t>
            </w:r>
          </w:p>
        </w:tc>
      </w:tr>
      <w:tr>
        <w:trPr>
          <w:trHeight w:val="27"/>
        </w:trPr>
        <w:tc>
          <w:tcPr>
            <w:tcW w:w="4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Finance and operating lease right-of-use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(19,066)</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(21,382)</w:t>
            </w:r>
          </w:p>
        </w:tc>
      </w:tr>
      <w:tr>
        <w:trPr>
          <w:trHeight w:val="257"/>
        </w:trPr>
        <w:tc>
          <w:tcPr>
            <w:tcW w:w="4940" w:type="dxa"/>
            <w:vAlign w:val="bottom"/>
          </w:tcPr>
          <w:p>
            <w:pPr>
              <w:ind w:left="40"/>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r>
      <w:tr>
        <w:trPr>
          <w:trHeight w:val="20"/>
        </w:trPr>
        <w:tc>
          <w:tcPr>
            <w:tcW w:w="4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2020 and 2019 was $137.0 million and $101.5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123"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As of January 31, 2020 the Company had net operating loss carryforwards for federal, state, Irish and U.K. income tax purposes of $659.7 million, $475.3 million, $258.8 million and $7.2 million, respectively, which begin to expire in the year ending January 31, 2028 for federal purposes and January 31, 2020 for state purposes. Ireland, U.K. and the U.S. federal losses for years after January 31, 2018 allows net operating losses to be carried forward indefinitely. The Company also has federal research credit carryforwards of $6.6 million, which begin to expire in the year ending January 31, 2029.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Uncertain Tax Positions</w:t>
      </w:r>
    </w:p>
    <w:p>
      <w:pPr>
        <w:spacing w:after="0" w:line="171"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 xml:space="preserve">The calculation of the Company’s tax obligations involves dealing with uncertainties in the application of complex tax laws and regulations. ASC 740, </w:t>
      </w:r>
      <w:r>
        <w:rPr>
          <w:rFonts w:ascii="Arial" w:cs="Arial" w:eastAsia="Arial" w:hAnsi="Arial"/>
          <w:sz w:val="17"/>
          <w:szCs w:val="17"/>
          <w:i w:val="1"/>
          <w:iCs w:val="1"/>
          <w:color w:val="auto"/>
        </w:rPr>
        <w:t>Income Taxes</w:t>
      </w:r>
      <w:r>
        <w:rPr>
          <w:rFonts w:ascii="Arial" w:cs="Arial" w:eastAsia="Arial" w:hAnsi="Arial"/>
          <w:sz w:val="17"/>
          <w:szCs w:val="17"/>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160"/>
          </w:cols>
          <w:pgMar w:left="320" w:top="121" w:right="41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those income tax positions where it is determined there is less than 50% likelihood that a tax benefit will be sustained, no tax benefit has been recognized.</w:t>
      </w:r>
    </w:p>
    <w:p>
      <w:pPr>
        <w:spacing w:after="0" w:line="11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changes in the Company’s unrecognized gross tax benefits during the periods presented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3"/>
        </w:trPr>
        <w:tc>
          <w:tcPr>
            <w:tcW w:w="48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4,400</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Increase (decrease) in tax positions in prior years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
        </w:trPr>
        <w:tc>
          <w:tcPr>
            <w:tcW w:w="4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w:t>
            </w: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4,049</w:t>
            </w: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 of January 31, 2020, 2019 and 2018 there was $0.1 million, $0.1 million and $0.0 million, respectively, of unrecognized tax benefits that would impact our effective tax rate if recognized.</w:t>
      </w:r>
    </w:p>
    <w:p>
      <w:pPr>
        <w:spacing w:after="0" w:line="11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Company continues to evaluate whether to continue applying the exception to the presumption of the repatriation of foreign earnings applying the rules of the Tax Act and continues to be permanently reinvested outside of the United States. The Company has not provided for U.S. federal income and foreign withholding taxes on approximately $1.9 million of undistributed earnings from non-U.S. operations as of January 31, 2020 because the Company intends to reinvest such earnings indefinitely outside of the United States. If the Company were to distribute these earnings, foreign tax credits may become available under current law to reduce the resulting U.S. income tax liability. The Company has estimated the amount of unrecognized deferred tax liability related to these earnings to be approximately $0.2 million.</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is not currently under Internal Revenue Service, state, or foreign income tax examination.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2014 through January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7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February 2020, the Company entered into an agreement to expand and extend its lease arrangement for offices in Sydney, Australia. The Company will increase its square footage for a total of approximately 25,000 square feet with total estimated aggregate base rent payments of $3.4 million over a five-year term beginning February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January 31, 2020. Based on the evaluation of our disclosure controls and procedures as of January 31, 2020, our Chief Executive Officer and Chief Financial Officer concluded that, as of such date, our disclosure controls and procedures were effective at the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2020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3"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2020. The effectiveness of our internal control over financial reporting as of January 31, 2020 has been audited by PricewaterhouseCoopers LLP, an independent registered public accounting firm, as stated in its report which is included in Item 8 of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2020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will be included in the 2020 Proxy Statement to be filed with the SEC within 120 days after the end of our fiscal year ended January 31, 2020 and is incorporated herein by reference.</w:t>
      </w:r>
    </w:p>
    <w:p>
      <w:pPr>
        <w:spacing w:after="0" w:line="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gridSpan w:val="5"/>
          </w:tcPr>
          <w:p>
            <w:pPr>
              <w:ind w:left="460"/>
              <w:spacing w:after="0"/>
              <w:rPr>
                <w:sz w:val="20"/>
                <w:szCs w:val="20"/>
                <w:color w:val="auto"/>
              </w:rPr>
            </w:pPr>
            <w:r>
              <w:rPr>
                <w:rFonts w:ascii="Arial" w:cs="Arial" w:eastAsia="Arial" w:hAnsi="Arial"/>
                <w:sz w:val="22"/>
                <w:szCs w:val="22"/>
                <w:b w:val="1"/>
                <w:bCs w:val="1"/>
                <w:color w:val="auto"/>
              </w:rPr>
              <w:t>PART IV</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1068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680" w:type="dxa"/>
            <w:vAlign w:val="bottom"/>
            <w:gridSpan w:val="11"/>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680" w:type="dxa"/>
            <w:vAlign w:val="bottom"/>
            <w:gridSpan w:val="11"/>
          </w:tcPr>
          <w:p>
            <w:pPr>
              <w:spacing w:after="0"/>
              <w:rPr>
                <w:sz w:val="20"/>
                <w:szCs w:val="20"/>
                <w:color w:val="auto"/>
              </w:rPr>
            </w:pPr>
            <w:r>
              <w:rPr>
                <w:rFonts w:ascii="Arial" w:cs="Arial" w:eastAsia="Arial" w:hAnsi="Arial"/>
                <w:sz w:val="18"/>
                <w:szCs w:val="18"/>
                <w:b w:val="1"/>
                <w:bCs w:val="1"/>
                <w:color w:val="auto"/>
              </w:rPr>
              <w:t>(1) All 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4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Page</w:t>
            </w:r>
          </w:p>
        </w:tc>
      </w:tr>
      <w:tr>
        <w:trPr>
          <w:trHeight w:val="202"/>
        </w:trPr>
        <w:tc>
          <w:tcPr>
            <w:tcW w:w="40" w:type="dxa"/>
            <w:vAlign w:val="bottom"/>
          </w:tcPr>
          <w:p>
            <w:pPr>
              <w:spacing w:after="0"/>
              <w:rPr>
                <w:sz w:val="17"/>
                <w:szCs w:val="17"/>
                <w:color w:val="auto"/>
              </w:rPr>
            </w:pPr>
          </w:p>
        </w:tc>
        <w:tc>
          <w:tcPr>
            <w:tcW w:w="4220" w:type="dxa"/>
            <w:vAlign w:val="bottom"/>
            <w:gridSpan w:val="4"/>
          </w:tcPr>
          <w:p>
            <w:pPr>
              <w:spacing w:after="0" w:line="202"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642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91"/>
        </w:trPr>
        <w:tc>
          <w:tcPr>
            <w:tcW w:w="40" w:type="dxa"/>
            <w:vAlign w:val="bottom"/>
          </w:tcPr>
          <w:p>
            <w:pPr>
              <w:spacing w:after="0"/>
              <w:rPr>
                <w:sz w:val="24"/>
                <w:szCs w:val="24"/>
                <w:color w:val="auto"/>
              </w:rPr>
            </w:pPr>
          </w:p>
        </w:tc>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4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January 31, 2020 and 2019</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 for the years ended January 31, 2020, 2019 and 2018</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0" w:type="dxa"/>
            <w:vAlign w:val="bottom"/>
            <w:gridSpan w:val="7"/>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Statements of Comprehensive Loss for the years ended January 31, 2020, 2019 and 2018</w:t>
              </w:r>
            </w:hyperlink>
          </w:p>
        </w:tc>
        <w:tc>
          <w:tcPr>
            <w:tcW w:w="300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Redeemable Convertible Preferred Stock and Stockholders’ Equity (Deficit) for the years ended January 31, 2020,</w:t>
              </w:r>
            </w:hyperlink>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2019 and 2018</w:t>
              </w:r>
            </w:hyperlink>
          </w:p>
        </w:tc>
        <w:tc>
          <w:tcPr>
            <w:tcW w:w="560" w:type="dxa"/>
            <w:vAlign w:val="bottom"/>
            <w:gridSpan w:val="3"/>
          </w:tcPr>
          <w:p>
            <w:pPr>
              <w:jc w:val="right"/>
              <w:ind w:right="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Statements of Cash Flows for years ended January 31, 2020, 2019 and 2018</w:t>
              </w:r>
            </w:hyperlink>
          </w:p>
        </w:tc>
        <w:tc>
          <w:tcPr>
            <w:tcW w:w="39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39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details the activity of the allowance for doubtful accounts and the deferred tax asset valuation allowance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 2019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Balance at Beginning of</w:t>
            </w:r>
          </w:p>
        </w:tc>
        <w:tc>
          <w:tcPr>
            <w:tcW w:w="400" w:type="dxa"/>
            <w:vAlign w:val="bottom"/>
          </w:tcPr>
          <w:p>
            <w:pPr>
              <w:spacing w:after="0"/>
              <w:rPr>
                <w:sz w:val="14"/>
                <w:szCs w:val="14"/>
                <w:color w:val="auto"/>
              </w:rPr>
            </w:pPr>
          </w:p>
        </w:tc>
        <w:tc>
          <w:tcPr>
            <w:tcW w:w="13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5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5"/>
              </w:rPr>
              <w:t>Usage (Deductions)</w:t>
            </w:r>
          </w:p>
        </w:tc>
        <w:tc>
          <w:tcPr>
            <w:tcW w:w="160" w:type="dxa"/>
            <w:vAlign w:val="bottom"/>
          </w:tcPr>
          <w:p>
            <w:pPr>
              <w:spacing w:after="0"/>
              <w:rPr>
                <w:sz w:val="14"/>
                <w:szCs w:val="14"/>
                <w:color w:val="auto"/>
              </w:rPr>
            </w:pPr>
          </w:p>
        </w:tc>
        <w:tc>
          <w:tcPr>
            <w:tcW w:w="16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Balance at End of Year</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Year</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January 31, 2020</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1,539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35,479</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136,981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Year ended January 31, 2019</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77,265</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24,237</w:t>
            </w:r>
          </w:p>
        </w:tc>
        <w:tc>
          <w:tcPr>
            <w:tcW w:w="2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101,502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January 31, 2018</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958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1,417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80,758</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77,265</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80" w:type="dxa"/>
            <w:vAlign w:val="bottom"/>
            <w:gridSpan w:val="2"/>
          </w:tcPr>
          <w:p>
            <w:pPr>
              <w:ind w:left="380"/>
              <w:spacing w:after="0"/>
              <w:rPr>
                <w:sz w:val="20"/>
                <w:szCs w:val="20"/>
                <w:color w:val="auto"/>
              </w:rPr>
            </w:pPr>
            <w:r>
              <w:rPr>
                <w:rFonts w:ascii="Arial" w:cs="Arial" w:eastAsia="Arial" w:hAnsi="Arial"/>
                <w:sz w:val="14"/>
                <w:szCs w:val="14"/>
                <w:b w:val="1"/>
                <w:bCs w:val="1"/>
                <w:color w:val="auto"/>
                <w:w w:val="94"/>
              </w:rPr>
              <w:t>Incorporated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5380" w:type="dxa"/>
            <w:vAlign w:val="bottom"/>
            <w:gridSpan w:val="3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28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File No.</w:t>
            </w:r>
          </w:p>
        </w:tc>
        <w:tc>
          <w:tcPr>
            <w:tcW w:w="800" w:type="dxa"/>
            <w:vAlign w:val="bottom"/>
          </w:tcPr>
          <w:p>
            <w:pPr>
              <w:ind w:left="180"/>
              <w:spacing w:after="0" w:line="147" w:lineRule="exact"/>
              <w:rPr>
                <w:sz w:val="20"/>
                <w:szCs w:val="20"/>
                <w:color w:val="auto"/>
              </w:rPr>
            </w:pPr>
            <w:r>
              <w:rPr>
                <w:rFonts w:ascii="Arial" w:cs="Arial" w:eastAsia="Arial" w:hAnsi="Arial"/>
                <w:sz w:val="14"/>
                <w:szCs w:val="14"/>
                <w:b w:val="1"/>
                <w:bCs w:val="1"/>
                <w:color w:val="auto"/>
              </w:rPr>
              <w:t>Exhibit</w:t>
            </w:r>
          </w:p>
        </w:tc>
        <w:tc>
          <w:tcPr>
            <w:tcW w:w="102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5380" w:type="dxa"/>
            <w:vAlign w:val="bottom"/>
            <w:gridSpan w:val="35"/>
            <w:vMerge w:val="continue"/>
          </w:tcPr>
          <w:p>
            <w:pPr>
              <w:spacing w:after="0"/>
              <w:rPr>
                <w:sz w:val="9"/>
                <w:szCs w:val="9"/>
                <w:color w:val="auto"/>
              </w:rPr>
            </w:pPr>
          </w:p>
        </w:tc>
        <w:tc>
          <w:tcPr>
            <w:tcW w:w="7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35"/>
          </w:tcPr>
          <w:p>
            <w:pPr>
              <w:spacing w:after="0"/>
              <w:rPr>
                <w:rFonts w:ascii="Arial" w:cs="Arial" w:eastAsia="Arial" w:hAnsi="Arial"/>
                <w:sz w:val="18"/>
                <w:szCs w:val="18"/>
                <w:color w:val="0000FF"/>
                <w:w w:val="98"/>
              </w:rPr>
            </w:pPr>
            <w:hyperlink r:id="rId38">
              <w:r>
                <w:rPr>
                  <w:rFonts w:ascii="Arial" w:cs="Arial" w:eastAsia="Arial" w:hAnsi="Arial"/>
                  <w:sz w:val="18"/>
                  <w:szCs w:val="18"/>
                  <w:color w:val="0000FF"/>
                  <w:w w:val="98"/>
                </w:rPr>
                <w:t>Agreement and Plan of Merger, dated as of October 9, 2018,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10-Q</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2.1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12/16/18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top w:val="single" w:sz="8" w:color="0000FF"/>
            </w:tcBorders>
            <w:gridSpan w:val="22"/>
          </w:tcPr>
          <w:p>
            <w:pPr>
              <w:spacing w:after="0" w:line="196"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among the Company, Mammoth Merger Sub, Inc., ObjectLabs</w:t>
              </w:r>
            </w:hyperlink>
          </w:p>
        </w:tc>
        <w:tc>
          <w:tcPr>
            <w:tcW w:w="50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top w:val="single" w:sz="8" w:color="0000FF"/>
            </w:tcBorders>
            <w:gridSpan w:val="18"/>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Corporation and Shareholder Representative Services LLC</w:t>
              </w:r>
            </w:hyperlink>
          </w:p>
        </w:tc>
        <w:tc>
          <w:tcPr>
            <w:tcW w:w="88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20"/>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Amended and Restated Certificate of Incorporation of Registrant</w:t>
              </w:r>
            </w:hyperlink>
          </w:p>
        </w:tc>
        <w:tc>
          <w:tcPr>
            <w:tcW w:w="700" w:type="dxa"/>
            <w:vAlign w:val="bottom"/>
            <w:gridSpan w:val="1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3.1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10/25/17</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0000FF"/>
            </w:tcBorders>
            <w:gridSpan w:val="10"/>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Amended and Restated Bylaws of Registrant</w:t>
              </w:r>
            </w:hyperlink>
          </w:p>
        </w:tc>
        <w:tc>
          <w:tcPr>
            <w:tcW w:w="2140" w:type="dxa"/>
            <w:vAlign w:val="bottom"/>
            <w:gridSpan w:val="2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3.4</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9/21/17</w:t>
            </w: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15"/>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Form of Class A common stock certificate of Registrant</w:t>
              </w:r>
            </w:hyperlink>
          </w:p>
        </w:tc>
        <w:tc>
          <w:tcPr>
            <w:tcW w:w="1340" w:type="dxa"/>
            <w:vAlign w:val="bottom"/>
            <w:gridSpan w:val="20"/>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4.1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bottom w:val="single" w:sz="8" w:color="0000FF"/>
            </w:tcBorders>
            <w:gridSpan w:val="21"/>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Fifth Amended and Restated Investors’ Rights Agreement by and</w:t>
              </w:r>
            </w:hyperlink>
          </w:p>
        </w:tc>
        <w:tc>
          <w:tcPr>
            <w:tcW w:w="660" w:type="dxa"/>
            <w:vAlign w:val="bottom"/>
            <w:gridSpan w:val="14"/>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4.1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among the Registrant and certain of its stockholders, dated October 2,</w:t>
              </w:r>
            </w:hyperlink>
          </w:p>
        </w:tc>
        <w:tc>
          <w:tcPr>
            <w:tcW w:w="3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42">
              <w:r>
                <w:rPr>
                  <w:rFonts w:ascii="Arial" w:cs="Arial" w:eastAsia="Arial" w:hAnsi="Arial"/>
                  <w:sz w:val="18"/>
                  <w:szCs w:val="18"/>
                  <w:color w:val="0000FF"/>
                  <w:w w:val="84"/>
                </w:rPr>
                <w:t>2013</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35"/>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Indenture, dated as of June 28, 2018, by and between the Registrant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4.1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6/28/18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U.S. Bank National Association, as Trustee</w:t>
              </w:r>
            </w:hyperlink>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32"/>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Form of Global Note, representing MongoDB, Inc.’s 0.75% Convertible</w:t>
              </w:r>
            </w:hyperlink>
          </w:p>
        </w:tc>
        <w:tc>
          <w:tcPr>
            <w:tcW w:w="180" w:type="dxa"/>
            <w:vAlign w:val="bottom"/>
            <w:gridSpan w:val="3"/>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4.2</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6/28/18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5"/>
          </w:tcPr>
          <w:p>
            <w:pPr>
              <w:spacing w:after="0" w:line="196"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Senior Notes due 2024 (included as Exhibit A to the Indenture filed as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Exhibit 4.3)</w:t>
              </w:r>
            </w:hyperlink>
          </w:p>
        </w:tc>
        <w:tc>
          <w:tcPr>
            <w:tcW w:w="4180" w:type="dxa"/>
            <w:vAlign w:val="bottom"/>
            <w:tcBorders>
              <w:top w:val="single" w:sz="8" w:color="0000FF"/>
            </w:tcBorders>
            <w:gridSpan w:val="23"/>
          </w:tcPr>
          <w:p>
            <w:pPr>
              <w:spacing w:after="0"/>
              <w:rPr>
                <w:sz w:val="17"/>
                <w:szCs w:val="17"/>
                <w:color w:val="auto"/>
              </w:rPr>
            </w:pPr>
          </w:p>
        </w:tc>
        <w:tc>
          <w:tcPr>
            <w:tcW w:w="3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33"/>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Indenture, dated as of January 14, 2020, by and between MongoDB, Inc.</w:t>
              </w:r>
            </w:hyperlink>
          </w:p>
        </w:tc>
        <w:tc>
          <w:tcPr>
            <w:tcW w:w="140" w:type="dxa"/>
            <w:vAlign w:val="bottom"/>
            <w:gridSpan w:val="2"/>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4.1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1/14/20</w:t>
            </w: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40" w:type="dxa"/>
            <w:vAlign w:val="bottom"/>
            <w:gridSpan w:val="13"/>
            <w:vMerge w:val="restart"/>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and U.S. Bank National Association, as Trustee</w:t>
              </w:r>
            </w:hyperlink>
          </w:p>
        </w:tc>
        <w:tc>
          <w:tcPr>
            <w:tcW w:w="1940" w:type="dxa"/>
            <w:vAlign w:val="bottom"/>
            <w:gridSpan w:val="22"/>
            <w:vMerge w:val="restart"/>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40" w:type="dxa"/>
            <w:vAlign w:val="bottom"/>
            <w:tcBorders>
              <w:bottom w:val="single" w:sz="8" w:color="0000FF"/>
            </w:tcBorders>
            <w:gridSpan w:val="13"/>
            <w:vMerge w:val="continue"/>
          </w:tcPr>
          <w:p>
            <w:pPr>
              <w:spacing w:after="0"/>
              <w:rPr>
                <w:sz w:val="5"/>
                <w:szCs w:val="5"/>
                <w:color w:val="auto"/>
              </w:rPr>
            </w:pPr>
          </w:p>
        </w:tc>
        <w:tc>
          <w:tcPr>
            <w:tcW w:w="1940" w:type="dxa"/>
            <w:vAlign w:val="bottom"/>
            <w:gridSpan w:val="22"/>
            <w:vMerge w:val="continue"/>
          </w:tcPr>
          <w:p>
            <w:pPr>
              <w:spacing w:after="0"/>
              <w:rPr>
                <w:sz w:val="5"/>
                <w:szCs w:val="5"/>
                <w:color w:val="auto"/>
              </w:rPr>
            </w:pPr>
          </w:p>
        </w:tc>
        <w:tc>
          <w:tcPr>
            <w:tcW w:w="7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32"/>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Form of Global Note, representing MongoDB, Inc.’s 0.25% Convertible</w:t>
              </w:r>
            </w:hyperlink>
          </w:p>
        </w:tc>
        <w:tc>
          <w:tcPr>
            <w:tcW w:w="180" w:type="dxa"/>
            <w:vAlign w:val="bottom"/>
            <w:gridSpan w:val="3"/>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7"/>
              </w:rPr>
              <w:t>4.2</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1/14/20</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5"/>
          </w:tcPr>
          <w:p>
            <w:pPr>
              <w:spacing w:after="0" w:line="196"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Senior Notes due 2026 (included as Exhibit A to the Indenture filed as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Exhibit 4.5)</w:t>
              </w:r>
            </w:hyperlink>
          </w:p>
        </w:tc>
        <w:tc>
          <w:tcPr>
            <w:tcW w:w="3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3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Description of Registered Securities</w:t>
              </w:r>
            </w:hyperlink>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19"/>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2008 Stock Incentive Plan and Forms of Option Agreement and</w:t>
              </w:r>
            </w:hyperlink>
          </w:p>
        </w:tc>
        <w:tc>
          <w:tcPr>
            <w:tcW w:w="780" w:type="dxa"/>
            <w:vAlign w:val="bottom"/>
            <w:gridSpan w:val="16"/>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2"/>
          </w:tcPr>
          <w:p>
            <w:pPr>
              <w:spacing w:after="0" w:line="196" w:lineRule="exact"/>
              <w:rPr>
                <w:rFonts w:ascii="Arial" w:cs="Arial" w:eastAsia="Arial" w:hAnsi="Arial"/>
                <w:sz w:val="18"/>
                <w:szCs w:val="18"/>
                <w:color w:val="0000FF"/>
                <w:w w:val="88"/>
              </w:rPr>
            </w:pPr>
            <w:hyperlink r:id="rId46">
              <w:r>
                <w:rPr>
                  <w:rFonts w:ascii="Arial" w:cs="Arial" w:eastAsia="Arial" w:hAnsi="Arial"/>
                  <w:sz w:val="18"/>
                  <w:szCs w:val="18"/>
                  <w:color w:val="0000FF"/>
                  <w:w w:val="88"/>
                </w:rPr>
                <w:t>Exercise Notice thereunder, as amended to date</w:t>
              </w:r>
            </w:hyperlink>
          </w:p>
        </w:tc>
        <w:tc>
          <w:tcPr>
            <w:tcW w:w="1960" w:type="dxa"/>
            <w:vAlign w:val="bottom"/>
            <w:gridSpan w:val="23"/>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9"/>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Amended and Restated 2016 Equity Incentive Plan and Forms of Stock</w:t>
              </w:r>
            </w:hyperlink>
          </w:p>
        </w:tc>
        <w:tc>
          <w:tcPr>
            <w:tcW w:w="240" w:type="dxa"/>
            <w:vAlign w:val="bottom"/>
            <w:gridSpan w:val="6"/>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10.2</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5"/>
          </w:tcPr>
          <w:p>
            <w:pPr>
              <w:spacing w:after="0" w:line="196"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Option Agreement, Notice of Exercise, Stock Option Grant Notice and</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Restricted Stock Unit Award Agreement thereunder</w:t>
              </w:r>
            </w:hyperlink>
          </w:p>
        </w:tc>
        <w:tc>
          <w:tcPr>
            <w:tcW w:w="2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18">
              <w:r>
                <w:rPr>
                  <w:rFonts w:ascii="Arial" w:cs="Arial" w:eastAsia="Arial" w:hAnsi="Arial"/>
                  <w:sz w:val="18"/>
                  <w:szCs w:val="18"/>
                  <w:color w:val="0000FF"/>
                  <w:w w:val="90"/>
                </w:rPr>
                <w:t>Amended and Restated Form of Restricted Stock Unit Award</w:t>
              </w:r>
            </w:hyperlink>
          </w:p>
        </w:tc>
        <w:tc>
          <w:tcPr>
            <w:tcW w:w="960" w:type="dxa"/>
            <w:vAlign w:val="bottom"/>
            <w:gridSpan w:val="18"/>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Agreement, effective as of February 26, 2020</w:t>
              </w:r>
            </w:hyperlink>
          </w:p>
        </w:tc>
        <w:tc>
          <w:tcPr>
            <w:tcW w:w="210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23"/>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Forms of Restricted Stock Award Grant Notice and Restricted Stock</w:t>
              </w:r>
            </w:hyperlink>
          </w:p>
        </w:tc>
        <w:tc>
          <w:tcPr>
            <w:tcW w:w="460" w:type="dxa"/>
            <w:vAlign w:val="bottom"/>
            <w:gridSpan w:val="12"/>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10-K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10.3</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3/30/18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5"/>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Award Agreement under the Amended and Restated 2016 Equity</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Incentive Plan</w:t>
              </w:r>
            </w:hyperlink>
          </w:p>
        </w:tc>
        <w:tc>
          <w:tcPr>
            <w:tcW w:w="3640" w:type="dxa"/>
            <w:vAlign w:val="bottom"/>
            <w:tcBorders>
              <w:top w:val="single" w:sz="8" w:color="0000FF"/>
            </w:tcBorders>
            <w:gridSpan w:val="16"/>
          </w:tcPr>
          <w:p>
            <w:pPr>
              <w:spacing w:after="0"/>
              <w:rPr>
                <w:sz w:val="17"/>
                <w:szCs w:val="17"/>
                <w:color w:val="auto"/>
              </w:rPr>
            </w:pPr>
          </w:p>
        </w:tc>
        <w:tc>
          <w:tcPr>
            <w:tcW w:w="70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24"/>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2016 China Stock Appreciation Rights Plan and Form of China Stock</w:t>
              </w:r>
            </w:hyperlink>
          </w:p>
        </w:tc>
        <w:tc>
          <w:tcPr>
            <w:tcW w:w="360" w:type="dxa"/>
            <w:vAlign w:val="bottom"/>
            <w:gridSpan w:val="11"/>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10.3</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Appreciation Rights Award Agreement</w:t>
              </w:r>
            </w:hyperlink>
          </w:p>
        </w:tc>
        <w:tc>
          <w:tcPr>
            <w:tcW w:w="2560" w:type="dxa"/>
            <w:vAlign w:val="bottom"/>
            <w:gridSpan w:val="28"/>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35"/>
          </w:tcPr>
          <w:p>
            <w:pPr>
              <w:spacing w:after="0"/>
              <w:rPr>
                <w:rFonts w:ascii="Arial" w:cs="Arial" w:eastAsia="Arial" w:hAnsi="Arial"/>
                <w:sz w:val="18"/>
                <w:szCs w:val="18"/>
                <w:color w:val="0000FF"/>
              </w:rPr>
            </w:pPr>
            <w:hyperlink r:id="rId50">
              <w:r>
                <w:rPr>
                  <w:rFonts w:ascii="Arial" w:cs="Arial" w:eastAsia="Arial" w:hAnsi="Arial"/>
                  <w:sz w:val="18"/>
                  <w:szCs w:val="18"/>
                  <w:color w:val="0000FF"/>
                </w:rPr>
                <w:t>2017 Employee Stock Purchase Plan</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10.4</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8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30"/>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Form of Indemnification Agreement by and between the Registrant and</w:t>
              </w:r>
            </w:hyperlink>
          </w:p>
        </w:tc>
        <w:tc>
          <w:tcPr>
            <w:tcW w:w="220" w:type="dxa"/>
            <w:vAlign w:val="bottom"/>
            <w:gridSpan w:val="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10.5</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each of its directors and executive officers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8"/>
            <w:shd w:val="clear" w:color="auto" w:fill="0000FF"/>
          </w:tcPr>
          <w:p>
            <w:pPr>
              <w:spacing w:after="0" w:line="20" w:lineRule="exact"/>
              <w:rPr>
                <w:sz w:val="1"/>
                <w:szCs w:val="1"/>
                <w:color w:val="auto"/>
              </w:rPr>
            </w:pPr>
          </w:p>
        </w:tc>
        <w:tc>
          <w:tcPr>
            <w:tcW w:w="2080" w:type="dxa"/>
            <w:vAlign w:val="bottom"/>
            <w:gridSpan w:val="20"/>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28"/>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Amended and Restated Offer Letter, dated September 29, 2017, by and</w:t>
              </w:r>
            </w:hyperlink>
          </w:p>
        </w:tc>
        <w:tc>
          <w:tcPr>
            <w:tcW w:w="260" w:type="dxa"/>
            <w:vAlign w:val="bottom"/>
            <w:gridSpan w:val="7"/>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5"/>
              </w:rPr>
              <w:t>10.6</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between the Registrant and Dev Ittycheria</w:t>
              </w:r>
            </w:hyperlink>
          </w:p>
        </w:tc>
        <w:tc>
          <w:tcPr>
            <w:tcW w:w="2340" w:type="dxa"/>
            <w:vAlign w:val="bottom"/>
            <w:gridSpan w:val="27"/>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303530</wp:posOffset>
            </wp:positionV>
            <wp:extent cx="565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72390</wp:posOffset>
            </wp:positionV>
            <wp:extent cx="565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449" w:lineRule="exact"/>
        <w:rPr>
          <w:sz w:val="20"/>
          <w:szCs w:val="20"/>
          <w:color w:val="auto"/>
        </w:rPr>
      </w:pPr>
    </w:p>
    <w:p>
      <w:pPr>
        <w:sectPr>
          <w:pgSz w:w="11900" w:h="16838" w:orient="portrait"/>
          <w:cols w:equalWidth="0" w:num="2">
            <w:col w:w="10240" w:space="260"/>
            <w:col w:w="580"/>
          </w:cols>
          <w:pgMar w:left="320" w:top="121" w:right="4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080"/>
          </w:cols>
          <w:pgMar w:left="320" w:top="121" w:right="49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8"/>
        </w:trPr>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gridSpan w:val="2"/>
          </w:tcPr>
          <w:p>
            <w:pPr>
              <w:ind w:left="380"/>
              <w:spacing w:after="0"/>
              <w:rPr>
                <w:sz w:val="20"/>
                <w:szCs w:val="20"/>
                <w:color w:val="auto"/>
              </w:rPr>
            </w:pPr>
            <w:r>
              <w:rPr>
                <w:rFonts w:ascii="Arial" w:cs="Arial" w:eastAsia="Arial" w:hAnsi="Arial"/>
                <w:sz w:val="14"/>
                <w:szCs w:val="14"/>
                <w:b w:val="1"/>
                <w:bCs w:val="1"/>
                <w:color w:val="auto"/>
                <w:w w:val="94"/>
              </w:rPr>
              <w:t>Incorporated by Reference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2"/>
                <w:szCs w:val="12"/>
                <w:color w:val="auto"/>
              </w:rPr>
            </w:pPr>
          </w:p>
        </w:tc>
        <w:tc>
          <w:tcPr>
            <w:tcW w:w="538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28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File No.</w:t>
            </w:r>
          </w:p>
        </w:tc>
        <w:tc>
          <w:tcPr>
            <w:tcW w:w="800" w:type="dxa"/>
            <w:vAlign w:val="bottom"/>
          </w:tcPr>
          <w:p>
            <w:pPr>
              <w:ind w:left="180"/>
              <w:spacing w:after="0" w:line="147" w:lineRule="exact"/>
              <w:rPr>
                <w:sz w:val="20"/>
                <w:szCs w:val="20"/>
                <w:color w:val="auto"/>
              </w:rPr>
            </w:pPr>
            <w:r>
              <w:rPr>
                <w:rFonts w:ascii="Arial" w:cs="Arial" w:eastAsia="Arial" w:hAnsi="Arial"/>
                <w:sz w:val="14"/>
                <w:szCs w:val="14"/>
                <w:b w:val="1"/>
                <w:bCs w:val="1"/>
                <w:color w:val="auto"/>
              </w:rPr>
              <w:t>Exhibit</w:t>
            </w:r>
          </w:p>
        </w:tc>
        <w:tc>
          <w:tcPr>
            <w:tcW w:w="102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gridSpan w:val="2"/>
            <w:vMerge w:val="restart"/>
          </w:tcPr>
          <w:p>
            <w:pPr>
              <w:spacing w:after="0"/>
              <w:rPr>
                <w:sz w:val="9"/>
                <w:szCs w:val="9"/>
                <w:color w:val="auto"/>
              </w:rPr>
            </w:pPr>
          </w:p>
        </w:tc>
        <w:tc>
          <w:tcPr>
            <w:tcW w:w="20" w:type="dxa"/>
            <w:vAlign w:val="bottom"/>
          </w:tcPr>
          <w:p>
            <w:pPr>
              <w:spacing w:after="0"/>
              <w:rPr>
                <w:sz w:val="9"/>
                <w:szCs w:val="9"/>
                <w:color w:val="auto"/>
              </w:rPr>
            </w:pPr>
          </w:p>
        </w:tc>
        <w:tc>
          <w:tcPr>
            <w:tcW w:w="5380" w:type="dxa"/>
            <w:vAlign w:val="bottom"/>
            <w:gridSpan w:val="25"/>
            <w:vMerge w:val="continue"/>
          </w:tcPr>
          <w:p>
            <w:pPr>
              <w:spacing w:after="0"/>
              <w:rPr>
                <w:sz w:val="9"/>
                <w:szCs w:val="9"/>
                <w:color w:val="auto"/>
              </w:rPr>
            </w:pPr>
          </w:p>
        </w:tc>
        <w:tc>
          <w:tcPr>
            <w:tcW w:w="7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21"/>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Amended and Restated Offer Letter, dated September 29, 2017, by and</w:t>
              </w:r>
            </w:hyperlink>
          </w:p>
        </w:tc>
        <w:tc>
          <w:tcPr>
            <w:tcW w:w="260" w:type="dxa"/>
            <w:vAlign w:val="bottom"/>
            <w:gridSpan w:val="4"/>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10.8</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between the Registrant and Michael Gordon</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2"/>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Offer Letter, dated September 29, 2017, by and between Registrant and</w:t>
              </w:r>
            </w:hyperlink>
          </w:p>
        </w:tc>
        <w:tc>
          <w:tcPr>
            <w:tcW w:w="240" w:type="dxa"/>
            <w:vAlign w:val="bottom"/>
            <w:gridSpan w:val="3"/>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10.9</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Eliot Horowitz</w:t>
              </w:r>
            </w:hyperlink>
          </w:p>
        </w:tc>
        <w:tc>
          <w:tcPr>
            <w:tcW w:w="430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FF"/>
              </w:rPr>
            </w:pPr>
            <w:hyperlink r:id="rId57">
              <w:r>
                <w:rPr>
                  <w:rFonts w:ascii="Arial" w:cs="Arial" w:eastAsia="Arial" w:hAnsi="Arial"/>
                  <w:sz w:val="18"/>
                  <w:szCs w:val="18"/>
                  <w:color w:val="0000FF"/>
                </w:rPr>
                <w:t>Employment Agreement, between Cedric Pech and MongoDB</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10-K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6/7/19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Switzerland GmbH, dated as of February 6, 2019</w:t>
              </w:r>
            </w:hyperlink>
          </w:p>
        </w:tc>
        <w:tc>
          <w:tcPr>
            <w:tcW w:w="88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Lease, between PGREF I 1633 Broadway Tower, L.P. and MongoDB,</w:t>
              </w:r>
            </w:hyperlink>
          </w:p>
        </w:tc>
        <w:tc>
          <w:tcPr>
            <w:tcW w:w="340" w:type="dxa"/>
            <w:vAlign w:val="bottom"/>
            <w:gridSpan w:val="6"/>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10-K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93"/>
              </w:rPr>
              <w:t>10.12</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3/30/18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Inc., dated December 14, 2017</w:t>
              </w:r>
            </w:hyperlink>
          </w:p>
        </w:tc>
        <w:tc>
          <w:tcPr>
            <w:tcW w:w="316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FF"/>
            </w:tcBorders>
            <w:gridSpan w:val="18"/>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Purchase Agreement, dated June 25, 2018, by and among MongoDB,</w:t>
              </w:r>
            </w:hyperlink>
          </w:p>
        </w:tc>
        <w:tc>
          <w:tcPr>
            <w:tcW w:w="380" w:type="dxa"/>
            <w:vAlign w:val="bottom"/>
            <w:gridSpan w:val="7"/>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99.1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6/28/18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5"/>
          </w:tcPr>
          <w:p>
            <w:pPr>
              <w:spacing w:after="0" w:line="196"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Inc. and Morgan Stanley &amp; Co. LLC, Goldman Sachs &amp; Co. LLC and</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Barclays Capital Inc.</w:t>
              </w:r>
            </w:hyperlink>
          </w:p>
        </w:tc>
        <w:tc>
          <w:tcPr>
            <w:tcW w:w="3520" w:type="dxa"/>
            <w:vAlign w:val="bottom"/>
            <w:tcBorders>
              <w:top w:val="single" w:sz="8" w:color="0000FF"/>
            </w:tcBorders>
            <w:gridSpan w:val="15"/>
          </w:tcPr>
          <w:p>
            <w:pPr>
              <w:spacing w:after="0"/>
              <w:rPr>
                <w:sz w:val="17"/>
                <w:szCs w:val="17"/>
                <w:color w:val="auto"/>
              </w:rPr>
            </w:pPr>
          </w:p>
        </w:tc>
        <w:tc>
          <w:tcPr>
            <w:tcW w:w="3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1"/>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Form of Confirmation for 2018 Capped Call Transactions</w:t>
              </w:r>
            </w:hyperlink>
          </w:p>
        </w:tc>
        <w:tc>
          <w:tcPr>
            <w:tcW w:w="1200" w:type="dxa"/>
            <w:vAlign w:val="bottom"/>
            <w:gridSpan w:val="14"/>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99.2</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6/28/18</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2"/>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Purchase Agreement, dated January 9, 2020, by and among MongoDB,</w:t>
              </w:r>
            </w:hyperlink>
          </w:p>
        </w:tc>
        <w:tc>
          <w:tcPr>
            <w:tcW w:w="240" w:type="dxa"/>
            <w:vAlign w:val="bottom"/>
            <w:gridSpan w:val="3"/>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99.1</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1/14/20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Inc. and Morgan Stanley &amp; Co. LLC, Goldman Sachs &amp; Co. LLC,</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Barclays Capital, Inc. and Citigroup Global Markets, Inc.</w:t>
              </w:r>
            </w:hyperlink>
          </w:p>
        </w:tc>
        <w:tc>
          <w:tcPr>
            <w:tcW w:w="640" w:type="dxa"/>
            <w:vAlign w:val="bottom"/>
            <w:tcBorders>
              <w:top w:val="single" w:sz="8" w:color="0000FF"/>
            </w:tcBorders>
            <w:gridSpan w:val="7"/>
          </w:tcPr>
          <w:p>
            <w:pPr>
              <w:spacing w:after="0"/>
              <w:rPr>
                <w:sz w:val="17"/>
                <w:szCs w:val="17"/>
                <w:color w:val="auto"/>
              </w:rPr>
            </w:pPr>
          </w:p>
        </w:tc>
        <w:tc>
          <w:tcPr>
            <w:tcW w:w="6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10"/>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Form of Confirmation for 2020 Capped Call Transactions</w:t>
              </w:r>
            </w:hyperlink>
          </w:p>
        </w:tc>
        <w:tc>
          <w:tcPr>
            <w:tcW w:w="1220" w:type="dxa"/>
            <w:vAlign w:val="bottom"/>
            <w:gridSpan w:val="1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85"/>
              </w:rPr>
              <w:t>99.2</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1/14/20</w:t>
            </w: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Subsidiaries of the Registrant</w:t>
              </w:r>
            </w:hyperlink>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FF"/>
                <w:w w:val="92"/>
              </w:rPr>
            </w:pPr>
            <w:hyperlink w:anchor="page146">
              <w:r>
                <w:rPr>
                  <w:rFonts w:ascii="Arial" w:cs="Arial" w:eastAsia="Arial" w:hAnsi="Arial"/>
                  <w:sz w:val="18"/>
                  <w:szCs w:val="18"/>
                  <w:color w:val="0000FF"/>
                  <w:w w:val="92"/>
                </w:rPr>
                <w:t>Consent of PricewaterhouseCoopers LLP, independent registered public</w:t>
              </w:r>
            </w:hyperlink>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accounting firm</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FF"/>
                <w:w w:val="95"/>
              </w:rPr>
            </w:pPr>
            <w:hyperlink w:anchor="page147">
              <w:r>
                <w:rPr>
                  <w:rFonts w:ascii="Arial" w:cs="Arial" w:eastAsia="Arial" w:hAnsi="Arial"/>
                  <w:sz w:val="18"/>
                  <w:szCs w:val="18"/>
                  <w:color w:val="0000FF"/>
                  <w:w w:val="95"/>
                </w:rPr>
                <w:t>Certification of Principal Executive Officer Pursuant to Rules 13a-14(a)</w:t>
              </w:r>
            </w:hyperlink>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9"/>
              </w:rPr>
            </w:pPr>
            <w:hyperlink w:anchor="page147">
              <w:r>
                <w:rPr>
                  <w:rFonts w:ascii="Arial" w:cs="Arial" w:eastAsia="Arial" w:hAnsi="Arial"/>
                  <w:sz w:val="18"/>
                  <w:szCs w:val="18"/>
                  <w:color w:val="0000FF"/>
                  <w:w w:val="89"/>
                </w:rPr>
                <w:t>and 15d-14(a) under the Securities Exchange Act of 1934, as Adopted</w:t>
              </w:r>
            </w:hyperlink>
          </w:p>
        </w:tc>
        <w:tc>
          <w:tcPr>
            <w:tcW w:w="120" w:type="dxa"/>
            <w:vAlign w:val="bottom"/>
            <w:tcBorders>
              <w:top w:val="single" w:sz="8" w:color="0000FF"/>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w:anchor="page147">
              <w:r>
                <w:rPr>
                  <w:rFonts w:ascii="Arial" w:cs="Arial" w:eastAsia="Arial" w:hAnsi="Arial"/>
                  <w:sz w:val="18"/>
                  <w:szCs w:val="18"/>
                  <w:color w:val="0000FF"/>
                  <w:w w:val="90"/>
                </w:rPr>
                <w:t>Pursuant to Section 302 of the Sarbanes-Oxley Act of 2002</w:t>
              </w:r>
            </w:hyperlink>
          </w:p>
        </w:tc>
        <w:tc>
          <w:tcPr>
            <w:tcW w:w="110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2"/>
          </w:tcPr>
          <w:p>
            <w:pPr>
              <w:spacing w:after="0"/>
              <w:rPr>
                <w:rFonts w:ascii="Arial" w:cs="Arial" w:eastAsia="Arial" w:hAnsi="Arial"/>
                <w:sz w:val="18"/>
                <w:szCs w:val="18"/>
                <w:color w:val="0000FF"/>
                <w:w w:val="92"/>
              </w:rPr>
            </w:pPr>
            <w:hyperlink w:anchor="page148">
              <w:r>
                <w:rPr>
                  <w:rFonts w:ascii="Arial" w:cs="Arial" w:eastAsia="Arial" w:hAnsi="Arial"/>
                  <w:sz w:val="18"/>
                  <w:szCs w:val="18"/>
                  <w:color w:val="0000FF"/>
                  <w:w w:val="92"/>
                </w:rPr>
                <w:t>Certification of Principal Financial Officer Pursuant to Rules 13a-14(a)</w:t>
              </w:r>
            </w:hyperlink>
          </w:p>
        </w:tc>
        <w:tc>
          <w:tcPr>
            <w:tcW w:w="24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w:anchor="page148">
              <w:r>
                <w:rPr>
                  <w:rFonts w:ascii="Arial" w:cs="Arial" w:eastAsia="Arial" w:hAnsi="Arial"/>
                  <w:sz w:val="18"/>
                  <w:szCs w:val="18"/>
                  <w:color w:val="0000FF"/>
                  <w:w w:val="89"/>
                </w:rPr>
                <w:t>and 15d-14(a) under the Securities Exchange Act of 1934, as Adopted</w:t>
              </w:r>
            </w:hyperlink>
          </w:p>
        </w:tc>
        <w:tc>
          <w:tcPr>
            <w:tcW w:w="32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w:anchor="page148">
              <w:r>
                <w:rPr>
                  <w:rFonts w:ascii="Arial" w:cs="Arial" w:eastAsia="Arial" w:hAnsi="Arial"/>
                  <w:sz w:val="18"/>
                  <w:szCs w:val="18"/>
                  <w:color w:val="0000FF"/>
                  <w:w w:val="90"/>
                </w:rPr>
                <w:t>Pursuant to Section 302 of the Sarbanes-Oxley Act of 2002</w:t>
              </w:r>
            </w:hyperlink>
          </w:p>
        </w:tc>
        <w:tc>
          <w:tcPr>
            <w:tcW w:w="110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149">
              <w:r>
                <w:rPr>
                  <w:rFonts w:ascii="Arial" w:cs="Arial" w:eastAsia="Arial" w:hAnsi="Arial"/>
                  <w:sz w:val="18"/>
                  <w:szCs w:val="18"/>
                  <w:color w:val="0000FF"/>
                  <w:w w:val="92"/>
                </w:rPr>
                <w:t>Certification of Principal Executive Officer Pursuant to 18 U.S.C.</w:t>
              </w:r>
            </w:hyperlink>
          </w:p>
        </w:tc>
        <w:tc>
          <w:tcPr>
            <w:tcW w:w="64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5"/>
          </w:tcPr>
          <w:p>
            <w:pPr>
              <w:spacing w:after="0" w:line="196" w:lineRule="exact"/>
              <w:rPr>
                <w:rFonts w:ascii="Arial" w:cs="Arial" w:eastAsia="Arial" w:hAnsi="Arial"/>
                <w:sz w:val="18"/>
                <w:szCs w:val="18"/>
                <w:color w:val="0000FF"/>
                <w:w w:val="99"/>
              </w:rPr>
            </w:pPr>
            <w:hyperlink w:anchor="page149">
              <w:r>
                <w:rPr>
                  <w:rFonts w:ascii="Arial" w:cs="Arial" w:eastAsia="Arial" w:hAnsi="Arial"/>
                  <w:sz w:val="18"/>
                  <w:szCs w:val="18"/>
                  <w:color w:val="0000FF"/>
                  <w:w w:val="99"/>
                </w:rPr>
                <w:t>Section 1350, as Adopted Pursuant to Section 906 of the Sarbanes-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49">
              <w:r>
                <w:rPr>
                  <w:rFonts w:ascii="Arial" w:cs="Arial" w:eastAsia="Arial" w:hAnsi="Arial"/>
                  <w:sz w:val="18"/>
                  <w:szCs w:val="18"/>
                  <w:color w:val="0000FF"/>
                </w:rPr>
                <w:t>Oxley Act of 2002</w:t>
              </w:r>
            </w:hyperlink>
          </w:p>
        </w:tc>
        <w:tc>
          <w:tcPr>
            <w:tcW w:w="5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50">
              <w:r>
                <w:rPr>
                  <w:rFonts w:ascii="Arial" w:cs="Arial" w:eastAsia="Arial" w:hAnsi="Arial"/>
                  <w:sz w:val="18"/>
                  <w:szCs w:val="18"/>
                  <w:color w:val="0000FF"/>
                  <w:w w:val="92"/>
                </w:rPr>
                <w:t>Certification of Principal Financial Officer Pursuant to 18 U.S.C.</w:t>
              </w:r>
            </w:hyperlink>
          </w:p>
        </w:tc>
        <w:tc>
          <w:tcPr>
            <w:tcW w:w="68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5"/>
          </w:tcPr>
          <w:p>
            <w:pPr>
              <w:spacing w:after="0" w:line="196" w:lineRule="exact"/>
              <w:rPr>
                <w:rFonts w:ascii="Arial" w:cs="Arial" w:eastAsia="Arial" w:hAnsi="Arial"/>
                <w:sz w:val="18"/>
                <w:szCs w:val="18"/>
                <w:color w:val="0000FF"/>
                <w:w w:val="99"/>
              </w:rPr>
            </w:pPr>
            <w:hyperlink w:anchor="page150">
              <w:r>
                <w:rPr>
                  <w:rFonts w:ascii="Arial" w:cs="Arial" w:eastAsia="Arial" w:hAnsi="Arial"/>
                  <w:sz w:val="18"/>
                  <w:szCs w:val="18"/>
                  <w:color w:val="0000FF"/>
                  <w:w w:val="99"/>
                </w:rPr>
                <w:t>Section 1350, as Adopted Pursuant to Section 906 of the Sarbanes-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Oxley Act of 2002</w:t>
              </w:r>
            </w:hyperlink>
          </w:p>
        </w:tc>
        <w:tc>
          <w:tcPr>
            <w:tcW w:w="5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040" w:type="dxa"/>
            <w:vAlign w:val="bottom"/>
            <w:gridSpan w:val="2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Inline XBRL Instance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303530</wp:posOffset>
            </wp:positionV>
            <wp:extent cx="5657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72390</wp:posOffset>
            </wp:positionV>
            <wp:extent cx="565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612" w:lineRule="exact"/>
        <w:rPr>
          <w:sz w:val="20"/>
          <w:szCs w:val="20"/>
          <w:color w:val="auto"/>
        </w:rPr>
      </w:pPr>
    </w:p>
    <w:p>
      <w:pPr>
        <w:sectPr>
          <w:pgSz w:w="11900" w:h="16838" w:orient="portrait"/>
          <w:cols w:equalWidth="0" w:num="2">
            <w:col w:w="10240" w:space="260"/>
            <w:col w:w="580"/>
          </w:cols>
          <w:pgMar w:left="320" w:top="113" w:right="49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080"/>
          </w:cols>
          <w:pgMar w:left="320" w:top="113" w:right="49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8"/>
        </w:trPr>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40" w:type="dxa"/>
            <w:vAlign w:val="bottom"/>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Exhibit</w:t>
            </w:r>
          </w:p>
        </w:tc>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140" w:type="dxa"/>
            <w:vAlign w:val="bottom"/>
          </w:tcPr>
          <w:p>
            <w:pPr>
              <w:ind w:left="280"/>
              <w:spacing w:after="0" w:line="147" w:lineRule="exact"/>
              <w:rPr>
                <w:sz w:val="20"/>
                <w:szCs w:val="20"/>
                <w:color w:val="auto"/>
              </w:rPr>
            </w:pPr>
            <w:r>
              <w:rPr>
                <w:rFonts w:ascii="Arial" w:cs="Arial" w:eastAsia="Arial" w:hAnsi="Arial"/>
                <w:sz w:val="14"/>
                <w:szCs w:val="14"/>
                <w:b w:val="1"/>
                <w:bCs w:val="1"/>
                <w:color w:val="auto"/>
              </w:rPr>
              <w:t>File No.</w:t>
            </w:r>
          </w:p>
        </w:tc>
        <w:tc>
          <w:tcPr>
            <w:tcW w:w="2000" w:type="dxa"/>
            <w:vAlign w:val="bottom"/>
          </w:tcPr>
          <w:p>
            <w:pPr>
              <w:ind w:left="360"/>
              <w:spacing w:after="0" w:line="147" w:lineRule="exact"/>
              <w:rPr>
                <w:sz w:val="20"/>
                <w:szCs w:val="20"/>
                <w:color w:val="auto"/>
              </w:rPr>
            </w:pPr>
            <w:r>
              <w:rPr>
                <w:rFonts w:ascii="Arial" w:cs="Arial" w:eastAsia="Arial" w:hAnsi="Arial"/>
                <w:sz w:val="14"/>
                <w:szCs w:val="14"/>
                <w:b w:val="1"/>
                <w:bCs w:val="1"/>
                <w:color w:val="auto"/>
              </w:rPr>
              <w:t>Exhibit   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gridSpan w:val="2"/>
            <w:vMerge w:val="restart"/>
          </w:tcPr>
          <w:p>
            <w:pPr>
              <w:spacing w:after="0"/>
              <w:rPr>
                <w:sz w:val="9"/>
                <w:szCs w:val="9"/>
                <w:color w:val="auto"/>
              </w:rPr>
            </w:pPr>
          </w:p>
        </w:tc>
        <w:tc>
          <w:tcPr>
            <w:tcW w:w="54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101.PRE</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60" w:right="4620" w:hanging="735"/>
        <w:spacing w:after="0" w:line="182" w:lineRule="auto"/>
        <w:tabs>
          <w:tab w:leader="none" w:pos="1060" w:val="left"/>
        </w:tabs>
        <w:numPr>
          <w:ilvl w:val="0"/>
          <w:numId w:val="38"/>
        </w:numPr>
        <w:rPr>
          <w:rFonts w:ascii="Arial" w:cs="Arial" w:eastAsia="Arial" w:hAnsi="Arial"/>
          <w:sz w:val="34"/>
          <w:szCs w:val="34"/>
          <w:color w:val="auto"/>
          <w:vertAlign w:val="subscript"/>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303530</wp:posOffset>
            </wp:positionV>
            <wp:extent cx="565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72390</wp:posOffset>
            </wp:positionV>
            <wp:extent cx="565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662" w:lineRule="exact"/>
        <w:rPr>
          <w:sz w:val="20"/>
          <w:szCs w:val="20"/>
          <w:color w:val="auto"/>
        </w:rPr>
      </w:pPr>
    </w:p>
    <w:p>
      <w:pPr>
        <w:sectPr>
          <w:pgSz w:w="11900" w:h="16838" w:orient="portrait"/>
          <w:cols w:equalWidth="0" w:num="2">
            <w:col w:w="10240" w:space="260"/>
            <w:col w:w="620"/>
          </w:cols>
          <w:pgMar w:left="320" w:top="113" w:right="459" w:bottom="1440" w:gutter="0" w:footer="0" w:header="0"/>
        </w:sectPr>
      </w:pPr>
    </w:p>
    <w:p>
      <w:pPr>
        <w:spacing w:after="0" w:line="165" w:lineRule="exact"/>
        <w:rPr>
          <w:sz w:val="20"/>
          <w:szCs w:val="20"/>
          <w:color w:val="auto"/>
        </w:rPr>
      </w:pPr>
    </w:p>
    <w:p>
      <w:pPr>
        <w:ind w:left="1160" w:hanging="69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ind w:left="1160" w:hanging="697"/>
        <w:spacing w:after="0" w:line="263"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113" w:right="459" w:bottom="1440" w:gutter="0" w:footer="0" w:header="0"/>
          <w:type w:val="continuous"/>
        </w:sectPr>
      </w:pPr>
    </w:p>
    <w:bookmarkStart w:id="110" w:name="page111"/>
    <w:bookmarkEnd w:id="110"/>
    <w:p>
      <w:pPr>
        <w:jc w:val="center"/>
        <w:ind w:left="480"/>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180" w:type="dxa"/>
            <w:vAlign w:val="bottom"/>
            <w:gridSpan w:val="3"/>
          </w:tcPr>
          <w:p>
            <w:pPr>
              <w:ind w:left="1260"/>
              <w:spacing w:after="0"/>
              <w:rPr>
                <w:sz w:val="20"/>
                <w:szCs w:val="20"/>
                <w:color w:val="auto"/>
              </w:rPr>
            </w:pPr>
            <w:r>
              <w:rPr>
                <w:rFonts w:ascii="Arial" w:cs="Arial" w:eastAsia="Arial" w:hAnsi="Arial"/>
                <w:sz w:val="18"/>
                <w:szCs w:val="18"/>
                <w:b w:val="1"/>
                <w:bCs w:val="1"/>
                <w:color w:val="auto"/>
              </w:rPr>
              <w:t>MONGODB, INC.</w:t>
            </w:r>
          </w:p>
        </w:tc>
      </w:tr>
      <w:tr>
        <w:trPr>
          <w:trHeight w:val="729"/>
        </w:trPr>
        <w:tc>
          <w:tcPr>
            <w:tcW w:w="2860" w:type="dxa"/>
            <w:vAlign w:val="bottom"/>
          </w:tcPr>
          <w:p>
            <w:pPr>
              <w:spacing w:after="0"/>
              <w:rPr>
                <w:sz w:val="20"/>
                <w:szCs w:val="20"/>
                <w:color w:val="auto"/>
              </w:rPr>
            </w:pPr>
            <w:r>
              <w:rPr>
                <w:rFonts w:ascii="Arial" w:cs="Arial" w:eastAsia="Arial" w:hAnsi="Arial"/>
                <w:sz w:val="18"/>
                <w:szCs w:val="18"/>
                <w:color w:val="auto"/>
              </w:rPr>
              <w:t>Date: March 27, 2020</w:t>
            </w:r>
          </w:p>
        </w:tc>
        <w:tc>
          <w:tcPr>
            <w:tcW w:w="2280" w:type="dxa"/>
            <w:vAlign w:val="bottom"/>
            <w:gridSpan w:val="2"/>
          </w:tcPr>
          <w:p>
            <w:pPr>
              <w:ind w:left="1260"/>
              <w:spacing w:after="0"/>
              <w:rPr>
                <w:sz w:val="20"/>
                <w:szCs w:val="20"/>
                <w:color w:val="auto"/>
              </w:rPr>
            </w:pPr>
            <w:r>
              <w:rPr>
                <w:rFonts w:ascii="Arial" w:cs="Arial" w:eastAsia="Arial" w:hAnsi="Arial"/>
                <w:sz w:val="18"/>
                <w:szCs w:val="18"/>
                <w:color w:val="auto"/>
              </w:rPr>
              <w:t>By:</w:t>
            </w:r>
          </w:p>
        </w:tc>
        <w:tc>
          <w:tcPr>
            <w:tcW w:w="3900" w:type="dxa"/>
            <w:vAlign w:val="bottom"/>
          </w:tcPr>
          <w:p>
            <w:pPr>
              <w:ind w:left="60"/>
              <w:spacing w:after="0"/>
              <w:rPr>
                <w:sz w:val="20"/>
                <w:szCs w:val="20"/>
                <w:color w:val="auto"/>
              </w:rPr>
            </w:pPr>
            <w:r>
              <w:rPr>
                <w:rFonts w:ascii="Arial" w:cs="Arial" w:eastAsia="Arial" w:hAnsi="Arial"/>
                <w:sz w:val="18"/>
                <w:szCs w:val="18"/>
                <w:color w:val="auto"/>
              </w:rPr>
              <w:t>/s/ Dev Ittycheria</w:t>
            </w:r>
          </w:p>
        </w:tc>
      </w:tr>
      <w:tr>
        <w:trPr>
          <w:trHeight w:val="27"/>
        </w:trPr>
        <w:tc>
          <w:tcPr>
            <w:tcW w:w="2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b w:val="1"/>
                <w:bCs w:val="1"/>
                <w:color w:val="auto"/>
                <w:w w:val="98"/>
              </w:rPr>
              <w:t>Name:</w:t>
            </w:r>
          </w:p>
        </w:tc>
        <w:tc>
          <w:tcPr>
            <w:tcW w:w="3900" w:type="dxa"/>
            <w:vAlign w:val="bottom"/>
          </w:tcPr>
          <w:p>
            <w:pPr>
              <w:ind w:left="60"/>
              <w:spacing w:after="0"/>
              <w:rPr>
                <w:sz w:val="20"/>
                <w:szCs w:val="20"/>
                <w:color w:val="auto"/>
              </w:rPr>
            </w:pPr>
            <w:r>
              <w:rPr>
                <w:rFonts w:ascii="Arial" w:cs="Arial" w:eastAsia="Arial" w:hAnsi="Arial"/>
                <w:sz w:val="18"/>
                <w:szCs w:val="18"/>
                <w:color w:val="auto"/>
              </w:rPr>
              <w:t>Dev Ittycheria</w:t>
            </w:r>
          </w:p>
        </w:tc>
      </w:tr>
      <w:tr>
        <w:trPr>
          <w:trHeight w:val="270"/>
        </w:trPr>
        <w:tc>
          <w:tcPr>
            <w:tcW w:w="28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0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3900" w:type="dxa"/>
            <w:vAlign w:val="bottom"/>
          </w:tcPr>
          <w:p>
            <w:pPr>
              <w:ind w:left="6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17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58"/>
        </w:trPr>
        <w:tc>
          <w:tcPr>
            <w:tcW w:w="4500" w:type="dxa"/>
            <w:vAlign w:val="bottom"/>
          </w:tcPr>
          <w:p>
            <w:pPr>
              <w:ind w:left="40"/>
              <w:spacing w:after="0"/>
              <w:rPr>
                <w:sz w:val="20"/>
                <w:szCs w:val="20"/>
                <w:color w:val="auto"/>
              </w:rPr>
            </w:pPr>
            <w:r>
              <w:rPr>
                <w:rFonts w:ascii="Arial" w:cs="Arial" w:eastAsia="Arial" w:hAnsi="Arial"/>
                <w:sz w:val="18"/>
                <w:szCs w:val="18"/>
                <w:color w:val="auto"/>
              </w:rPr>
              <w:t>/s/ Dev Ittycheria</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Dev Ittycheria</w:t>
            </w:r>
          </w:p>
        </w:tc>
        <w:tc>
          <w:tcPr>
            <w:tcW w:w="120" w:type="dxa"/>
            <w:vAlign w:val="bottom"/>
          </w:tcPr>
          <w:p>
            <w:pPr>
              <w:spacing w:after="0"/>
              <w:rPr>
                <w:sz w:val="20"/>
                <w:szCs w:val="20"/>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Michael Gordon</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Chief Operating Officer and 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Michael Gordon</w:t>
            </w:r>
          </w:p>
        </w:tc>
        <w:tc>
          <w:tcPr>
            <w:tcW w:w="120" w:type="dxa"/>
            <w:vAlign w:val="bottom"/>
          </w:tcPr>
          <w:p>
            <w:pPr>
              <w:spacing w:after="0"/>
              <w:rPr>
                <w:sz w:val="20"/>
                <w:szCs w:val="20"/>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Thomas Bull</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Corporate Controller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Thomas Bull</w:t>
            </w:r>
          </w:p>
        </w:tc>
        <w:tc>
          <w:tcPr>
            <w:tcW w:w="120" w:type="dxa"/>
            <w:vAlign w:val="bottom"/>
          </w:tcPr>
          <w:p>
            <w:pPr>
              <w:spacing w:after="0"/>
              <w:rPr>
                <w:sz w:val="20"/>
                <w:szCs w:val="20"/>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Tom Killalea</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Tom Killalea</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Archana Agrawal</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6"/>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Archana Agrawal</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Roelof Botha</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Roelof Botha</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Hope Cochran</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Hope Cochran</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Francisco D’Souza</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Francisco D’Souza</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Charles M. Hazard, Jr.</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Charles M. Hazard, Jr.</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Eliot Horowitz</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6"/>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Eliot Horowitz</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John McMahon</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6"/>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John McMahon</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86"/>
        </w:trPr>
        <w:tc>
          <w:tcPr>
            <w:tcW w:w="4500" w:type="dxa"/>
            <w:vAlign w:val="bottom"/>
          </w:tcPr>
          <w:p>
            <w:pPr>
              <w:ind w:left="40"/>
              <w:spacing w:after="0"/>
              <w:rPr>
                <w:sz w:val="20"/>
                <w:szCs w:val="20"/>
                <w:color w:val="auto"/>
              </w:rPr>
            </w:pPr>
            <w:r>
              <w:rPr>
                <w:rFonts w:ascii="Arial" w:cs="Arial" w:eastAsia="Arial" w:hAnsi="Arial"/>
                <w:sz w:val="18"/>
                <w:szCs w:val="18"/>
                <w:color w:val="auto"/>
              </w:rPr>
              <w:t>/s/ Mark Porter</w:t>
            </w:r>
          </w:p>
        </w:tc>
        <w:tc>
          <w:tcPr>
            <w:tcW w:w="12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27, 2020</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6"/>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Mark Porter</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ectPr>
          <w:pgSz w:w="11900" w:h="16838" w:orient="portrait"/>
          <w:cols w:equalWidth="0" w:num="1">
            <w:col w:w="11240"/>
          </w:cols>
          <w:pgMar w:left="320" w:top="34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4.7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23" w:lineRule="exact"/>
        <w:rPr>
          <w:sz w:val="20"/>
          <w:szCs w:val="20"/>
          <w:color w:val="auto"/>
        </w:rPr>
      </w:pPr>
    </w:p>
    <w:p>
      <w:pPr>
        <w:ind w:right="380" w:firstLine="567"/>
        <w:spacing w:after="0" w:line="271" w:lineRule="auto"/>
        <w:rPr>
          <w:sz w:val="20"/>
          <w:szCs w:val="20"/>
          <w:color w:val="auto"/>
        </w:rPr>
      </w:pPr>
      <w:r>
        <w:rPr>
          <w:rFonts w:ascii="Arial" w:cs="Arial" w:eastAsia="Arial" w:hAnsi="Arial"/>
          <w:sz w:val="21"/>
          <w:szCs w:val="21"/>
          <w:color w:val="auto"/>
        </w:rPr>
        <w:t>As of December 31, 2019, MongoDB, Inc. had one class of securities registered under Section 12 of the Securities Exchange Act of 1934, as amended, or the Exchange Act: our Class A common stock, $0.001 par value per share. References herein to the terms “we,” “our” and “us” refer to MongoDB, Inc. and its subsidiaries.</w:t>
      </w:r>
    </w:p>
    <w:p>
      <w:pPr>
        <w:spacing w:after="0" w:line="289" w:lineRule="exact"/>
        <w:rPr>
          <w:sz w:val="20"/>
          <w:szCs w:val="20"/>
          <w:color w:val="auto"/>
        </w:rPr>
      </w:pPr>
    </w:p>
    <w:p>
      <w:pPr>
        <w:ind w:right="40" w:firstLine="567"/>
        <w:spacing w:after="0" w:line="260" w:lineRule="auto"/>
        <w:rPr>
          <w:sz w:val="20"/>
          <w:szCs w:val="20"/>
          <w:color w:val="auto"/>
        </w:rPr>
      </w:pPr>
      <w:r>
        <w:rPr>
          <w:rFonts w:ascii="Arial" w:cs="Arial" w:eastAsia="Arial" w:hAnsi="Arial"/>
          <w:sz w:val="21"/>
          <w:szCs w:val="21"/>
          <w:color w:val="auto"/>
        </w:rPr>
        <w:t>The following description of our capital stock is a summary and does not purport to be complete. It is subject to, and qualified in its entirety by reference to, the applicable provisions of our amended and restated certificate of incorporation, our amended and restated bylaws and our fifth amended and restated investors’ rights agreement, or the investors’ rights agreement, entered into in October 2013, which are filed as exhibits to our Annual Report on Form 10-K, of which this Exhibit 4.7 is a part, and are incorporated by reference herein. We encourage you to read our amended and restated certificate of incorporation, our amended and restated bylaws, our investors’ rights agreement and the applicable provisions of the Delaware General Corporation Law, or the DGCL, for more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Our amended and restated certificate of incorporation provides for two classes of common stock: Class A common stock and Class B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Our authorized capital stock consists of 1,100,000,000 shares, all with a par value of $0.001 per share, of which:</w:t>
      </w:r>
    </w:p>
    <w:p>
      <w:pPr>
        <w:spacing w:after="0" w:line="16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b w:val="1"/>
          <w:bCs w:val="1"/>
          <w:color w:val="auto"/>
        </w:rPr>
      </w:pPr>
      <w:r>
        <w:rPr>
          <w:rFonts w:ascii="Arial" w:cs="Arial" w:eastAsia="Arial" w:hAnsi="Arial"/>
          <w:sz w:val="22"/>
          <w:szCs w:val="22"/>
          <w:color w:val="auto"/>
        </w:rPr>
        <w:t>1,000,000,000 shares are designated as Class A common stock; and</w:t>
      </w:r>
    </w:p>
    <w:p>
      <w:pPr>
        <w:spacing w:after="0" w:line="165" w:lineRule="exact"/>
        <w:rPr>
          <w:rFonts w:ascii="Arial" w:cs="Arial" w:eastAsia="Arial" w:hAnsi="Arial"/>
          <w:sz w:val="16"/>
          <w:szCs w:val="16"/>
          <w:b w:val="1"/>
          <w:bCs w:val="1"/>
          <w:color w:val="auto"/>
        </w:rPr>
      </w:pPr>
    </w:p>
    <w:p>
      <w:pPr>
        <w:ind w:left="660" w:hanging="328"/>
        <w:spacing w:after="0"/>
        <w:tabs>
          <w:tab w:leader="none" w:pos="660" w:val="left"/>
        </w:tabs>
        <w:numPr>
          <w:ilvl w:val="0"/>
          <w:numId w:val="41"/>
        </w:numPr>
        <w:rPr>
          <w:rFonts w:ascii="Arial" w:cs="Arial" w:eastAsia="Arial" w:hAnsi="Arial"/>
          <w:sz w:val="16"/>
          <w:szCs w:val="16"/>
          <w:b w:val="1"/>
          <w:bCs w:val="1"/>
          <w:color w:val="auto"/>
        </w:rPr>
      </w:pPr>
      <w:r>
        <w:rPr>
          <w:rFonts w:ascii="Arial" w:cs="Arial" w:eastAsia="Arial" w:hAnsi="Arial"/>
          <w:sz w:val="22"/>
          <w:szCs w:val="22"/>
          <w:color w:val="auto"/>
        </w:rPr>
        <w:t>100,000,000 shares are designated as Class B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Our shares of Class A common stock and Class B common stock are not redeemable and have no preemptive rights.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Our Class A common stock is listed on the Nasdaq Global Market under the symbol “MDB.”</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 and Class B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247"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stockholders, holders of Class A common stock are entitled to one vote per share of Class A common stock and holders of Class B common stock are entitled to ten votes per share of Class B common stock. Holders of shares of Class A common stock and Class B common stock will vote together as a single class on all matters (including the election of directors) submitted to a</w:t>
      </w:r>
    </w:p>
    <w:p>
      <w:pPr>
        <w:sectPr>
          <w:pgSz w:w="11900" w:h="16838" w:orient="portrait"/>
          <w:cols w:equalWidth="0" w:num="1">
            <w:col w:w="11240"/>
          </w:cols>
          <w:pgMar w:left="320" w:top="139" w:right="339" w:bottom="1440" w:gutter="0" w:footer="0" w:header="0"/>
        </w:sectPr>
      </w:pPr>
    </w:p>
    <w:bookmarkStart w:id="112" w:name="page113"/>
    <w:bookmarkEnd w:id="112"/>
    <w:p>
      <w:pPr>
        <w:ind w:right="700"/>
        <w:spacing w:after="0" w:line="263" w:lineRule="auto"/>
        <w:rPr>
          <w:sz w:val="20"/>
          <w:szCs w:val="20"/>
          <w:color w:val="auto"/>
        </w:rPr>
      </w:pPr>
      <w:r>
        <w:rPr>
          <w:rFonts w:ascii="Arial" w:cs="Arial" w:eastAsia="Arial" w:hAnsi="Arial"/>
          <w:sz w:val="22"/>
          <w:szCs w:val="22"/>
          <w:color w:val="auto"/>
        </w:rPr>
        <w:t>vote of stockholders, except that there will be a separate vote of Class A common stock and Class B common stock in the following circumstances:</w:t>
      </w:r>
    </w:p>
    <w:p>
      <w:pPr>
        <w:spacing w:after="0" w:line="121" w:lineRule="exact"/>
        <w:rPr>
          <w:sz w:val="20"/>
          <w:szCs w:val="20"/>
          <w:color w:val="auto"/>
        </w:rPr>
      </w:pPr>
    </w:p>
    <w:p>
      <w:pPr>
        <w:ind w:left="660" w:right="80" w:hanging="328"/>
        <w:spacing w:after="0" w:line="263"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22"/>
          <w:szCs w:val="22"/>
          <w:color w:val="auto"/>
        </w:rPr>
        <w:t>if we propose to treat the shares of a class of our common stock differently with respect to any dividend or distribution of cash, property or shares of our stock paid or distributed by us;</w:t>
      </w:r>
    </w:p>
    <w:p>
      <w:pPr>
        <w:spacing w:after="0" w:line="120" w:lineRule="exact"/>
        <w:rPr>
          <w:rFonts w:ascii="Arial" w:cs="Arial" w:eastAsia="Arial" w:hAnsi="Arial"/>
          <w:sz w:val="16"/>
          <w:szCs w:val="16"/>
          <w:b w:val="1"/>
          <w:bCs w:val="1"/>
          <w:color w:val="auto"/>
        </w:rPr>
      </w:pPr>
    </w:p>
    <w:p>
      <w:pPr>
        <w:ind w:left="660" w:hanging="328"/>
        <w:spacing w:after="0" w:line="263"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22"/>
          <w:szCs w:val="22"/>
          <w:color w:val="auto"/>
        </w:rPr>
        <w:t>if we propose to treat the shares of a class of our common stock differently with respect to any subdivision or combination of the shares of a class of our common stock; or</w:t>
      </w:r>
    </w:p>
    <w:p>
      <w:pPr>
        <w:spacing w:after="0" w:line="120" w:lineRule="exact"/>
        <w:rPr>
          <w:rFonts w:ascii="Arial" w:cs="Arial" w:eastAsia="Arial" w:hAnsi="Arial"/>
          <w:sz w:val="16"/>
          <w:szCs w:val="16"/>
          <w:b w:val="1"/>
          <w:bCs w:val="1"/>
          <w:color w:val="auto"/>
        </w:rPr>
      </w:pPr>
    </w:p>
    <w:p>
      <w:pPr>
        <w:ind w:left="660" w:right="120" w:hanging="328"/>
        <w:spacing w:after="0" w:line="253"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22"/>
          <w:szCs w:val="22"/>
          <w:color w:val="auto"/>
        </w:rPr>
        <w:t>if we propose to treat the shares of a class of our common stock differently in connection with a change in control with respect to any consideration into which the shares are converted or any consideration paid or otherwise distributed to our stockholders.</w:t>
      </w: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addition, there will be a separate vote of our Class B common stock in order for us to, directly or indirectly, take action in the following circumstances:</w:t>
      </w:r>
    </w:p>
    <w:p>
      <w:pPr>
        <w:spacing w:after="0" w:line="121" w:lineRule="exact"/>
        <w:rPr>
          <w:sz w:val="20"/>
          <w:szCs w:val="20"/>
          <w:color w:val="auto"/>
        </w:rPr>
      </w:pPr>
    </w:p>
    <w:p>
      <w:pPr>
        <w:ind w:left="660" w:right="180" w:hanging="328"/>
        <w:spacing w:after="0" w:line="253" w:lineRule="auto"/>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22"/>
          <w:szCs w:val="22"/>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 or</w:t>
      </w:r>
    </w:p>
    <w:p>
      <w:pPr>
        <w:spacing w:after="0" w:line="131" w:lineRule="exact"/>
        <w:rPr>
          <w:rFonts w:ascii="Arial" w:cs="Arial" w:eastAsia="Arial" w:hAnsi="Arial"/>
          <w:sz w:val="16"/>
          <w:szCs w:val="16"/>
          <w:b w:val="1"/>
          <w:bCs w:val="1"/>
          <w:color w:val="auto"/>
        </w:rPr>
      </w:pPr>
    </w:p>
    <w:p>
      <w:pPr>
        <w:ind w:left="660" w:right="200" w:hanging="328"/>
        <w:spacing w:after="0" w:line="343" w:lineRule="auto"/>
        <w:tabs>
          <w:tab w:leader="none" w:pos="660" w:val="left"/>
        </w:tabs>
        <w:numPr>
          <w:ilvl w:val="0"/>
          <w:numId w:val="43"/>
        </w:numPr>
        <w:rPr>
          <w:rFonts w:ascii="Arial" w:cs="Arial" w:eastAsia="Arial" w:hAnsi="Arial"/>
          <w:sz w:val="15"/>
          <w:szCs w:val="15"/>
          <w:b w:val="1"/>
          <w:bCs w:val="1"/>
          <w:color w:val="auto"/>
        </w:rPr>
      </w:pPr>
      <w:r>
        <w:rPr>
          <w:rFonts w:ascii="Arial" w:cs="Arial" w:eastAsia="Arial" w:hAnsi="Arial"/>
          <w:sz w:val="19"/>
          <w:szCs w:val="19"/>
          <w:color w:val="auto"/>
        </w:rPr>
        <w:t>if we reclassify any outstanding shares of Class A common stock into shares having rights as to dividends or liquidation that are senior to the Class B common stock or the right to more than one vote for each share thereof.</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Our amended and restated certificate of incorporation does not provide for cumulative voting for the election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Economic Rights</w:t>
      </w:r>
    </w:p>
    <w:p>
      <w:pPr>
        <w:spacing w:after="0" w:line="247"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Except as otherwise expressly provided in our amended and restated certificate of incorporation or required by applicable law, shares of Class A common stock and Class B common stock have the same rights and privileges and rank equally, share ratably and be identical in all respects as to all matters, including, without limitation, those described below unless different treatment of the shares of each such class is approved by the affirmative vote of the holders of a majority of the outstanding shares of the applicable class of common stock treated adversely, voting separately as a class.</w:t>
      </w:r>
    </w:p>
    <w:p>
      <w:pPr>
        <w:spacing w:after="0" w:line="174"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i w:val="1"/>
          <w:iCs w:val="1"/>
          <w:color w:val="auto"/>
        </w:rPr>
        <w:t xml:space="preserve">Dividends. </w:t>
      </w:r>
      <w:r>
        <w:rPr>
          <w:rFonts w:ascii="Arial" w:cs="Arial" w:eastAsia="Arial" w:hAnsi="Arial"/>
          <w:sz w:val="22"/>
          <w:szCs w:val="22"/>
          <w:color w:val="auto"/>
        </w:rPr>
        <w:t>Any dividend or distribution paid or payable to the holders of shares of Class A common stock and Class B common</w:t>
      </w:r>
      <w:r>
        <w:rPr>
          <w:rFonts w:ascii="Arial" w:cs="Arial" w:eastAsia="Arial" w:hAnsi="Arial"/>
          <w:sz w:val="22"/>
          <w:szCs w:val="22"/>
          <w:i w:val="1"/>
          <w:iCs w:val="1"/>
          <w:color w:val="auto"/>
        </w:rPr>
        <w:t xml:space="preserve"> </w:t>
      </w:r>
      <w:r>
        <w:rPr>
          <w:rFonts w:ascii="Arial" w:cs="Arial" w:eastAsia="Arial" w:hAnsi="Arial"/>
          <w:sz w:val="22"/>
          <w:szCs w:val="22"/>
          <w:color w:val="auto"/>
        </w:rPr>
        <w:t>stock shall be paid pro rata, on an equal priority, pari passu</w:t>
      </w:r>
    </w:p>
    <w:p>
      <w:pPr>
        <w:sectPr>
          <w:pgSz w:w="11900" w:h="16838" w:orient="portrait"/>
          <w:cols w:equalWidth="0" w:num="1">
            <w:col w:w="11220"/>
          </w:cols>
          <w:pgMar w:left="320" w:top="429" w:right="359" w:bottom="1440" w:gutter="0" w:footer="0" w:header="0"/>
        </w:sectPr>
      </w:pPr>
    </w:p>
    <w:bookmarkStart w:id="113" w:name="page114"/>
    <w:bookmarkEnd w:id="113"/>
    <w:p>
      <w:pPr>
        <w:spacing w:after="0" w:line="302" w:lineRule="auto"/>
        <w:rPr>
          <w:sz w:val="20"/>
          <w:szCs w:val="20"/>
          <w:color w:val="auto"/>
        </w:rPr>
      </w:pPr>
      <w:r>
        <w:rPr>
          <w:rFonts w:ascii="Arial" w:cs="Arial" w:eastAsia="Arial" w:hAnsi="Arial"/>
          <w:sz w:val="19"/>
          <w:szCs w:val="19"/>
          <w:color w:val="auto"/>
        </w:rPr>
        <w:t>basis;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 xml:space="preserve">Liquidation. </w:t>
      </w:r>
      <w:r>
        <w:rPr>
          <w:rFonts w:ascii="Arial" w:cs="Arial" w:eastAsia="Arial" w:hAnsi="Arial"/>
          <w:sz w:val="22"/>
          <w:szCs w:val="22"/>
          <w:color w:val="auto"/>
        </w:rPr>
        <w:t>In the event of our liquidation, dissolution or winding-up, upon the completion of the distributions required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any series of redeemable convertible preferred stock that may then be outstanding, our remaining assets legally available for distribution to stockholders shall be distributed on an equal priority, pro rata basis to the holders of Class A common stock and Class B common stock.</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22"/>
          <w:szCs w:val="22"/>
          <w:i w:val="1"/>
          <w:iCs w:val="1"/>
          <w:color w:val="auto"/>
        </w:rPr>
        <w:t xml:space="preserve">Subdivisions and Combinations. </w:t>
      </w:r>
      <w:r>
        <w:rPr>
          <w:rFonts w:ascii="Arial" w:cs="Arial" w:eastAsia="Arial" w:hAnsi="Arial"/>
          <w:sz w:val="22"/>
          <w:szCs w:val="22"/>
          <w:color w:val="auto"/>
        </w:rPr>
        <w:t>If we subdivide or combine in any manner outstanding shares of Class A common stock or Class</w:t>
      </w:r>
      <w:r>
        <w:rPr>
          <w:rFonts w:ascii="Arial" w:cs="Arial" w:eastAsia="Arial" w:hAnsi="Arial"/>
          <w:sz w:val="22"/>
          <w:szCs w:val="22"/>
          <w:i w:val="1"/>
          <w:iCs w:val="1"/>
          <w:color w:val="auto"/>
        </w:rPr>
        <w:t xml:space="preserve"> </w:t>
      </w:r>
      <w:r>
        <w:rPr>
          <w:rFonts w:ascii="Arial" w:cs="Arial" w:eastAsia="Arial" w:hAnsi="Arial"/>
          <w:sz w:val="22"/>
          <w:szCs w:val="22"/>
          <w:color w:val="auto"/>
        </w:rPr>
        <w:t>B common stock, then the outstanding shares of all common stock will be subdivided or combined in the same proportion and manner.</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i w:val="1"/>
          <w:iCs w:val="1"/>
          <w:color w:val="auto"/>
        </w:rPr>
        <w:t xml:space="preserve">Change of Control Transaction. </w:t>
      </w:r>
      <w:r>
        <w:rPr>
          <w:rFonts w:ascii="Arial" w:cs="Arial" w:eastAsia="Arial" w:hAnsi="Arial"/>
          <w:sz w:val="22"/>
          <w:szCs w:val="22"/>
          <w:color w:val="auto"/>
        </w:rPr>
        <w:t>In connection with any change of control, the holders of Class A common stock and Class B</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will be treated equally and identically with respect to shares of Class A common stock or Class B common stock owned by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Conversion</w:t>
      </w:r>
    </w:p>
    <w:p>
      <w:pPr>
        <w:spacing w:after="0" w:line="247" w:lineRule="exact"/>
        <w:rPr>
          <w:sz w:val="20"/>
          <w:szCs w:val="20"/>
          <w:color w:val="auto"/>
        </w:rPr>
      </w:pPr>
    </w:p>
    <w:p>
      <w:pPr>
        <w:ind w:right="60"/>
        <w:spacing w:after="0" w:line="291" w:lineRule="auto"/>
        <w:rPr>
          <w:sz w:val="20"/>
          <w:szCs w:val="20"/>
          <w:color w:val="auto"/>
        </w:rPr>
      </w:pPr>
      <w:r>
        <w:rPr>
          <w:rFonts w:ascii="Arial" w:cs="Arial" w:eastAsia="Arial" w:hAnsi="Arial"/>
          <w:sz w:val="19"/>
          <w:szCs w:val="19"/>
          <w:color w:val="auto"/>
        </w:rPr>
        <w:t>Each share of Class B common stock is convertible at any time at the option of the holder into one share of Class A common stock. In addition, each share of Class B common stock will convert automatically into one share of Class A common stock upon</w:t>
      </w:r>
    </w:p>
    <w:p>
      <w:pPr>
        <w:spacing w:after="0" w:line="1" w:lineRule="exact"/>
        <w:rPr>
          <w:sz w:val="20"/>
          <w:szCs w:val="20"/>
          <w:color w:val="auto"/>
        </w:rPr>
      </w:pPr>
    </w:p>
    <w:p>
      <w:pPr>
        <w:ind w:right="40" w:firstLine="8"/>
        <w:spacing w:after="0" w:line="288" w:lineRule="auto"/>
        <w:tabs>
          <w:tab w:leader="none" w:pos="306"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transfer, whether or not for value and whether voluntary or involuntary or by operation of law, except for certain transfers described in our amended and restated certificate of incorporation, including, without limitation, certain transfers for tax and estate planning purposes or (2) the death or disability, as defined in our amended and restated certificate of incorporation, of the Class B common stockholder (or nine months after the date of death or disability if the stockholder is one of our founders). In addition, upon the date on which the outstanding shares of Class B common stock represent less than 10% of the aggregate number of shares of our then outstanding capital stock, all outstanding shares of Class B common stock shall convert automatically into Class A common stock, and no additional shares of Class B common stock will be issued.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53" w:lineRule="exact"/>
        <w:rPr>
          <w:sz w:val="20"/>
          <w:szCs w:val="20"/>
          <w:color w:val="auto"/>
        </w:rPr>
      </w:pPr>
    </w:p>
    <w:p>
      <w:pPr>
        <w:ind w:right="180"/>
        <w:spacing w:after="0" w:line="290" w:lineRule="auto"/>
        <w:rPr>
          <w:sz w:val="20"/>
          <w:szCs w:val="20"/>
          <w:color w:val="auto"/>
        </w:rPr>
      </w:pPr>
      <w:r>
        <w:rPr>
          <w:rFonts w:ascii="Arial" w:cs="Arial" w:eastAsia="Arial" w:hAnsi="Arial"/>
          <w:sz w:val="19"/>
          <w:szCs w:val="19"/>
          <w:color w:val="auto"/>
        </w:rPr>
        <w:t>Certain holders of our Class B common stock (and the Class A common stock into which such holders’ Class B common stock has been converted) are entitled to certain rights with respect to registration of such shares under the Securities Act of 1933, or the Securities Act, pursuant to the terms of the investors' rights agreement. These shares are collectively referred to herein as registrable securities. The investors' rights agreement provides the holders of registrable securities with demand, piggyback and Form S-3 registration rights. We will pay all expenses relating to any demand, piggyback or Form S-3 registration, other than underwriting discounts and commissions, subject to specified conditions and limitations. The registration rights will terminate five years following the closing of our initial public offering and, with respect to any particular stockholder, when such stockholder holds less than 1% of our outstanding common</w:t>
      </w:r>
    </w:p>
    <w:p>
      <w:pPr>
        <w:sectPr>
          <w:pgSz w:w="11900" w:h="16838" w:orient="portrait"/>
          <w:cols w:equalWidth="0" w:num="1">
            <w:col w:w="11220"/>
          </w:cols>
          <w:pgMar w:left="320" w:top="429" w:right="3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stock and is able to sell all of its shares during a 90-day period pursuant to Rule 144 under the Securities Act.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Anti-Takeover Statute</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131" w:lineRule="exact"/>
        <w:rPr>
          <w:sz w:val="20"/>
          <w:szCs w:val="20"/>
          <w:color w:val="auto"/>
        </w:rPr>
      </w:pPr>
    </w:p>
    <w:p>
      <w:pPr>
        <w:ind w:left="880" w:right="100" w:hanging="319"/>
        <w:spacing w:after="0" w:line="263" w:lineRule="auto"/>
        <w:tabs>
          <w:tab w:leader="none" w:pos="880" w:val="left"/>
        </w:tabs>
        <w:numPr>
          <w:ilvl w:val="0"/>
          <w:numId w:val="45"/>
        </w:numPr>
        <w:rPr>
          <w:rFonts w:ascii="Arial" w:cs="Arial" w:eastAsia="Arial" w:hAnsi="Arial"/>
          <w:sz w:val="16"/>
          <w:szCs w:val="16"/>
          <w:b w:val="1"/>
          <w:bCs w:val="1"/>
          <w:color w:val="auto"/>
        </w:rPr>
      </w:pPr>
      <w:r>
        <w:rPr>
          <w:rFonts w:ascii="Arial" w:cs="Arial" w:eastAsia="Arial" w:hAnsi="Arial"/>
          <w:sz w:val="22"/>
          <w:szCs w:val="22"/>
          <w:color w:val="auto"/>
        </w:rPr>
        <w:t>before such date, the board of directors of the corporation approved either the business combination or the transaction that resulted in the stockholder becoming an interested stockholder;</w:t>
      </w:r>
    </w:p>
    <w:p>
      <w:pPr>
        <w:spacing w:after="0" w:line="120" w:lineRule="exact"/>
        <w:rPr>
          <w:rFonts w:ascii="Arial" w:cs="Arial" w:eastAsia="Arial" w:hAnsi="Arial"/>
          <w:sz w:val="16"/>
          <w:szCs w:val="16"/>
          <w:b w:val="1"/>
          <w:bCs w:val="1"/>
          <w:color w:val="auto"/>
        </w:rPr>
      </w:pPr>
    </w:p>
    <w:p>
      <w:pPr>
        <w:ind w:left="880" w:right="40" w:hanging="319"/>
        <w:spacing w:after="0" w:line="261" w:lineRule="auto"/>
        <w:tabs>
          <w:tab w:leader="none" w:pos="880" w:val="left"/>
        </w:tabs>
        <w:numPr>
          <w:ilvl w:val="0"/>
          <w:numId w:val="45"/>
        </w:numPr>
        <w:rPr>
          <w:rFonts w:ascii="Arial" w:cs="Arial" w:eastAsia="Arial" w:hAnsi="Arial"/>
          <w:sz w:val="15"/>
          <w:szCs w:val="15"/>
          <w:b w:val="1"/>
          <w:bCs w:val="1"/>
          <w:color w:val="auto"/>
        </w:rPr>
      </w:pPr>
      <w:r>
        <w:rPr>
          <w:rFonts w:ascii="Arial" w:cs="Arial" w:eastAsia="Arial" w:hAnsi="Arial"/>
          <w:sz w:val="21"/>
          <w:szCs w:val="21"/>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25" w:lineRule="exact"/>
        <w:rPr>
          <w:rFonts w:ascii="Arial" w:cs="Arial" w:eastAsia="Arial" w:hAnsi="Arial"/>
          <w:sz w:val="15"/>
          <w:szCs w:val="15"/>
          <w:b w:val="1"/>
          <w:bCs w:val="1"/>
          <w:color w:val="auto"/>
        </w:rPr>
      </w:pPr>
    </w:p>
    <w:p>
      <w:pPr>
        <w:ind w:left="880" w:right="320" w:hanging="319"/>
        <w:spacing w:after="0" w:line="228" w:lineRule="auto"/>
        <w:tabs>
          <w:tab w:leader="none" w:pos="880" w:val="left"/>
        </w:tabs>
        <w:numPr>
          <w:ilvl w:val="0"/>
          <w:numId w:val="45"/>
        </w:numPr>
        <w:rPr>
          <w:rFonts w:ascii="Arial" w:cs="Arial" w:eastAsia="Arial" w:hAnsi="Arial"/>
          <w:sz w:val="16"/>
          <w:szCs w:val="16"/>
          <w:b w:val="1"/>
          <w:bCs w:val="1"/>
          <w:color w:val="auto"/>
        </w:rPr>
      </w:pPr>
      <w:r>
        <w:rPr>
          <w:rFonts w:ascii="Arial" w:cs="Arial" w:eastAsia="Arial" w:hAnsi="Arial"/>
          <w:sz w:val="22"/>
          <w:szCs w:val="22"/>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22"/>
          <w:szCs w:val="22"/>
          <w:color w:val="auto"/>
        </w:rPr>
        <w:t>/3% of the outstanding voting stock that is not owned by the interested stockholder.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In general, Section 203 defines a "business combination" to include the following:</w:t>
      </w:r>
    </w:p>
    <w:p>
      <w:pPr>
        <w:spacing w:after="0" w:line="16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22"/>
          <w:szCs w:val="22"/>
          <w:color w:val="auto"/>
        </w:rPr>
        <w:t>any merger or consolidation involving the corporation and the interested stockholder;</w:t>
      </w:r>
    </w:p>
    <w:p>
      <w:pPr>
        <w:spacing w:after="0" w:line="165" w:lineRule="exact"/>
        <w:rPr>
          <w:rFonts w:ascii="Arial" w:cs="Arial" w:eastAsia="Arial" w:hAnsi="Arial"/>
          <w:sz w:val="16"/>
          <w:szCs w:val="16"/>
          <w:b w:val="1"/>
          <w:bCs w:val="1"/>
          <w:color w:val="auto"/>
        </w:rPr>
      </w:pPr>
    </w:p>
    <w:p>
      <w:pPr>
        <w:ind w:left="660" w:right="400" w:hanging="328"/>
        <w:spacing w:after="0" w:line="263"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22"/>
          <w:szCs w:val="22"/>
          <w:color w:val="auto"/>
        </w:rPr>
        <w:t>any sale, transfer, pledge or other disposition of 10% or more of the assets of the corporation involving the interested stockholder;</w:t>
      </w:r>
    </w:p>
    <w:p>
      <w:pPr>
        <w:spacing w:after="0" w:line="120" w:lineRule="exact"/>
        <w:rPr>
          <w:rFonts w:ascii="Arial" w:cs="Arial" w:eastAsia="Arial" w:hAnsi="Arial"/>
          <w:sz w:val="16"/>
          <w:szCs w:val="16"/>
          <w:b w:val="1"/>
          <w:bCs w:val="1"/>
          <w:color w:val="auto"/>
        </w:rPr>
      </w:pPr>
    </w:p>
    <w:p>
      <w:pPr>
        <w:ind w:left="660" w:right="60" w:hanging="328"/>
        <w:spacing w:after="0" w:line="263"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22"/>
          <w:szCs w:val="22"/>
          <w:color w:val="auto"/>
        </w:rPr>
        <w:t>subject to certain exceptions, any transaction that results in the issuance or transfer by the corporation of any stock of the corporation to the interested stockholder;</w:t>
      </w:r>
    </w:p>
    <w:p>
      <w:pPr>
        <w:spacing w:after="0" w:line="120" w:lineRule="exact"/>
        <w:rPr>
          <w:rFonts w:ascii="Arial" w:cs="Arial" w:eastAsia="Arial" w:hAnsi="Arial"/>
          <w:sz w:val="16"/>
          <w:szCs w:val="16"/>
          <w:b w:val="1"/>
          <w:bCs w:val="1"/>
          <w:color w:val="auto"/>
        </w:rPr>
      </w:pPr>
    </w:p>
    <w:p>
      <w:pPr>
        <w:ind w:left="660" w:hanging="328"/>
        <w:spacing w:after="0" w:line="263"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22"/>
          <w:szCs w:val="22"/>
          <w:color w:val="auto"/>
        </w:rPr>
        <w:t>any transaction involving the corporation that has the effect of increasing the proportionate share of the stock or any class or series of the corporation beneficially owned by the interested stockholder; or</w:t>
      </w:r>
    </w:p>
    <w:p>
      <w:pPr>
        <w:spacing w:after="0" w:line="120" w:lineRule="exact"/>
        <w:rPr>
          <w:rFonts w:ascii="Arial" w:cs="Arial" w:eastAsia="Arial" w:hAnsi="Arial"/>
          <w:sz w:val="16"/>
          <w:szCs w:val="16"/>
          <w:b w:val="1"/>
          <w:bCs w:val="1"/>
          <w:color w:val="auto"/>
        </w:rPr>
      </w:pPr>
    </w:p>
    <w:p>
      <w:pPr>
        <w:ind w:left="660" w:right="500" w:hanging="328"/>
        <w:spacing w:after="0" w:line="263"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22"/>
          <w:szCs w:val="22"/>
          <w:color w:val="auto"/>
        </w:rPr>
        <w:t>the receipt by the interested stockholder of the benefit of any loans, advances, guarantees, pledges or other financial benefits by or through the corporation.</w:t>
      </w:r>
    </w:p>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In general, Section 203 defines an "interested stockholder" as an entity or person who, together with the person's affiliates and associates, beneficially owns, or within three years prior to the</w:t>
      </w:r>
    </w:p>
    <w:p>
      <w:pPr>
        <w:sectPr>
          <w:pgSz w:w="11900" w:h="16838" w:orient="portrait"/>
          <w:cols w:equalWidth="0" w:num="1">
            <w:col w:w="11160"/>
          </w:cols>
          <w:pgMar w:left="320" w:top="429" w:right="4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time of determination of interested stockholder status did own, 15% or more of the outstanding voting stock of the corporation.</w:t>
      </w:r>
    </w:p>
    <w:p>
      <w:pPr>
        <w:spacing w:after="0" w:line="281"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b w:val="1"/>
          <w:bCs w:val="1"/>
          <w:i w:val="1"/>
          <w:iCs w:val="1"/>
          <w:color w:val="auto"/>
        </w:rPr>
        <w:t>Anti-Takeover Effects of Certain Provisions of Our Amended and Restated Certificate of Incorporation and Amended and Restated Bylaws</w:t>
      </w:r>
    </w:p>
    <w:p>
      <w:pPr>
        <w:spacing w:after="0" w:line="202" w:lineRule="exact"/>
        <w:rPr>
          <w:sz w:val="20"/>
          <w:szCs w:val="20"/>
          <w:color w:val="auto"/>
        </w:rPr>
      </w:pPr>
    </w:p>
    <w:p>
      <w:pPr>
        <w:jc w:val="both"/>
        <w:ind w:right="300"/>
        <w:spacing w:after="0" w:line="250" w:lineRule="auto"/>
        <w:rPr>
          <w:sz w:val="20"/>
          <w:szCs w:val="20"/>
          <w:color w:val="auto"/>
        </w:rPr>
      </w:pPr>
      <w:r>
        <w:rPr>
          <w:rFonts w:ascii="Arial" w:cs="Arial" w:eastAsia="Arial" w:hAnsi="Arial"/>
          <w:sz w:val="22"/>
          <w:szCs w:val="22"/>
          <w:color w:val="auto"/>
        </w:rPr>
        <w:t>Our amended and restated certificate of incorporation provides for a board of directors comprised of three classes of directors, with each class serving a three-year term beginning and ending in different years than those of the other two classes. Only one class of directors will be elected at each annual meeting of stockholders, with the other classes continuing for the remainder of their respective three-year terms.</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Because our stockholders do not have cumulative voting rights, stockholders holding a majority of the voting power of the Class A common stock and Class B common stock outstanding will be able to elect all of our directors. Our amended and restated certificate of incorporation provides for a two-class common stock structure, which provides our founders, certain stockholders who held such stock prior to our initial public offering, executives and certain employees with significant influence over all matters requiring stockholder approval, including the election of directors and significant corporate transactions, such as a merger or other sale of our company or its assets.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Our amended and restated certificate of incorporation and amended and restated bylaws also provide that:</w:t>
      </w:r>
    </w:p>
    <w:p>
      <w:pPr>
        <w:spacing w:after="0" w:line="166" w:lineRule="exact"/>
        <w:rPr>
          <w:sz w:val="20"/>
          <w:szCs w:val="20"/>
          <w:color w:val="auto"/>
        </w:rPr>
      </w:pPr>
    </w:p>
    <w:p>
      <w:pPr>
        <w:ind w:left="880" w:hanging="319"/>
        <w:spacing w:after="0"/>
        <w:tabs>
          <w:tab w:leader="none" w:pos="880" w:val="left"/>
        </w:tabs>
        <w:numPr>
          <w:ilvl w:val="0"/>
          <w:numId w:val="47"/>
        </w:numPr>
        <w:rPr>
          <w:rFonts w:ascii="Arial" w:cs="Arial" w:eastAsia="Arial" w:hAnsi="Arial"/>
          <w:sz w:val="16"/>
          <w:szCs w:val="16"/>
          <w:b w:val="1"/>
          <w:bCs w:val="1"/>
          <w:color w:val="auto"/>
        </w:rPr>
      </w:pPr>
      <w:r>
        <w:rPr>
          <w:rFonts w:ascii="Arial" w:cs="Arial" w:eastAsia="Arial" w:hAnsi="Arial"/>
          <w:sz w:val="22"/>
          <w:szCs w:val="22"/>
          <w:color w:val="auto"/>
        </w:rPr>
        <w:t>the authorized number of directors may be changed only by resolution of the board of directors;</w:t>
      </w:r>
    </w:p>
    <w:p>
      <w:pPr>
        <w:spacing w:after="0" w:line="21" w:lineRule="exact"/>
        <w:rPr>
          <w:rFonts w:ascii="Arial" w:cs="Arial" w:eastAsia="Arial" w:hAnsi="Arial"/>
          <w:sz w:val="16"/>
          <w:szCs w:val="16"/>
          <w:b w:val="1"/>
          <w:bCs w:val="1"/>
          <w:color w:val="auto"/>
        </w:rPr>
      </w:pPr>
    </w:p>
    <w:p>
      <w:pPr>
        <w:ind w:left="880" w:right="40"/>
        <w:spacing w:after="0" w:line="245" w:lineRule="auto"/>
        <w:rPr>
          <w:rFonts w:ascii="Arial" w:cs="Arial" w:eastAsia="Arial" w:hAnsi="Arial"/>
          <w:sz w:val="16"/>
          <w:szCs w:val="16"/>
          <w:b w:val="1"/>
          <w:bCs w:val="1"/>
          <w:color w:val="auto"/>
        </w:rPr>
      </w:pPr>
      <w:r>
        <w:rPr>
          <w:rFonts w:ascii="Arial" w:cs="Arial" w:eastAsia="Arial" w:hAnsi="Arial"/>
          <w:sz w:val="22"/>
          <w:szCs w:val="22"/>
          <w:color w:val="auto"/>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spacing w:after="0" w:line="138" w:lineRule="exact"/>
        <w:rPr>
          <w:rFonts w:ascii="Arial" w:cs="Arial" w:eastAsia="Arial" w:hAnsi="Arial"/>
          <w:sz w:val="16"/>
          <w:szCs w:val="16"/>
          <w:b w:val="1"/>
          <w:bCs w:val="1"/>
          <w:color w:val="auto"/>
        </w:rPr>
      </w:pPr>
    </w:p>
    <w:p>
      <w:pPr>
        <w:ind w:left="880" w:hanging="319"/>
        <w:spacing w:after="0"/>
        <w:tabs>
          <w:tab w:leader="none" w:pos="880" w:val="left"/>
        </w:tabs>
        <w:numPr>
          <w:ilvl w:val="0"/>
          <w:numId w:val="47"/>
        </w:numPr>
        <w:rPr>
          <w:rFonts w:ascii="Arial" w:cs="Arial" w:eastAsia="Arial" w:hAnsi="Arial"/>
          <w:sz w:val="16"/>
          <w:szCs w:val="16"/>
          <w:b w:val="1"/>
          <w:bCs w:val="1"/>
          <w:color w:val="auto"/>
        </w:rPr>
      </w:pPr>
      <w:r>
        <w:rPr>
          <w:rFonts w:ascii="Arial" w:cs="Arial" w:eastAsia="Arial" w:hAnsi="Arial"/>
          <w:sz w:val="22"/>
          <w:szCs w:val="22"/>
          <w:color w:val="auto"/>
        </w:rPr>
        <w:t>stockholder action may be taken at a duly called meeting of stockholders; and</w:t>
      </w:r>
    </w:p>
    <w:p>
      <w:pPr>
        <w:spacing w:after="0" w:line="165" w:lineRule="exact"/>
        <w:rPr>
          <w:rFonts w:ascii="Arial" w:cs="Arial" w:eastAsia="Arial" w:hAnsi="Arial"/>
          <w:sz w:val="16"/>
          <w:szCs w:val="16"/>
          <w:b w:val="1"/>
          <w:bCs w:val="1"/>
          <w:color w:val="auto"/>
        </w:rPr>
      </w:pPr>
    </w:p>
    <w:p>
      <w:pPr>
        <w:ind w:left="880" w:right="60" w:hanging="319"/>
        <w:spacing w:after="0" w:line="250" w:lineRule="auto"/>
        <w:tabs>
          <w:tab w:leader="none" w:pos="880" w:val="left"/>
        </w:tabs>
        <w:numPr>
          <w:ilvl w:val="0"/>
          <w:numId w:val="47"/>
        </w:numPr>
        <w:rPr>
          <w:rFonts w:ascii="Arial" w:cs="Arial" w:eastAsia="Arial" w:hAnsi="Arial"/>
          <w:sz w:val="16"/>
          <w:szCs w:val="16"/>
          <w:b w:val="1"/>
          <w:bCs w:val="1"/>
          <w:color w:val="auto"/>
        </w:rPr>
      </w:pPr>
      <w:r>
        <w:rPr>
          <w:rFonts w:ascii="Arial" w:cs="Arial" w:eastAsia="Arial" w:hAnsi="Arial"/>
          <w:sz w:val="22"/>
          <w:szCs w:val="22"/>
          <w:color w:val="auto"/>
        </w:rPr>
        <w:t>a special meeting of stockholders may be called by a majority of our whole board of directors, the chair of our board of directors, our chief executive officer or, prior to the date on which all shares of common stock convert into a single class, the holders of at least 10% of the total voting power of the Class A common stock and Class B common stock, voting together as a single class.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212" w:lineRule="exact"/>
        <w:rPr>
          <w:sz w:val="20"/>
          <w:szCs w:val="20"/>
          <w:color w:val="auto"/>
        </w:rPr>
      </w:pPr>
    </w:p>
    <w:p>
      <w:pPr>
        <w:jc w:val="both"/>
        <w:ind w:right="40"/>
        <w:spacing w:after="0" w:line="312" w:lineRule="auto"/>
        <w:rPr>
          <w:sz w:val="20"/>
          <w:szCs w:val="20"/>
          <w:color w:val="auto"/>
        </w:rPr>
      </w:pPr>
      <w:r>
        <w:rPr>
          <w:rFonts w:ascii="Arial" w:cs="Arial" w:eastAsia="Arial" w:hAnsi="Arial"/>
          <w:sz w:val="19"/>
          <w:szCs w:val="19"/>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w:t>
      </w:r>
    </w:p>
    <w:p>
      <w:pPr>
        <w:sectPr>
          <w:pgSz w:w="11900" w:h="16838" w:orient="portrait"/>
          <w:cols w:equalWidth="0" w:num="1">
            <w:col w:w="11240"/>
          </w:cols>
          <w:pgMar w:left="320" w:top="429" w:right="339" w:bottom="1440" w:gutter="0" w:footer="0" w:header="0"/>
        </w:sectPr>
      </w:pPr>
    </w:p>
    <w:bookmarkStart w:id="116" w:name="page117"/>
    <w:bookmarkEnd w:id="116"/>
    <w:p>
      <w:pPr>
        <w:ind w:right="40"/>
        <w:spacing w:after="0" w:line="294" w:lineRule="auto"/>
        <w:rPr>
          <w:sz w:val="20"/>
          <w:szCs w:val="20"/>
          <w:color w:val="auto"/>
        </w:rPr>
      </w:pPr>
      <w:r>
        <w:rPr>
          <w:rFonts w:ascii="Arial" w:cs="Arial" w:eastAsia="Arial" w:hAnsi="Arial"/>
          <w:sz w:val="19"/>
          <w:szCs w:val="19"/>
          <w:color w:val="auto"/>
        </w:rPr>
        <w:t>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Choice of Forum</w:t>
      </w:r>
    </w:p>
    <w:p>
      <w:pPr>
        <w:spacing w:after="0" w:line="253"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76"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ectPr>
          <w:pgSz w:w="11900" w:h="16838" w:orient="portrait"/>
          <w:cols w:equalWidth="0" w:num="1">
            <w:col w:w="11160"/>
          </w:cols>
          <w:pgMar w:left="320" w:top="429" w:right="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MONGODB,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RESTRICTED STOCK UNIT GRANT NOTICE (INTERNATIONAL)</w:t>
      </w:r>
    </w:p>
    <w:p>
      <w:pPr>
        <w:jc w:val="center"/>
        <w:spacing w:after="0"/>
        <w:rPr>
          <w:sz w:val="20"/>
          <w:szCs w:val="20"/>
          <w:color w:val="auto"/>
        </w:rPr>
      </w:pPr>
      <w:r>
        <w:rPr>
          <w:rFonts w:ascii="Arial" w:cs="Arial" w:eastAsia="Arial" w:hAnsi="Arial"/>
          <w:sz w:val="20"/>
          <w:szCs w:val="20"/>
          <w:b w:val="1"/>
          <w:bCs w:val="1"/>
          <w:color w:val="auto"/>
        </w:rPr>
        <w:t>(2016 EQUITY INCENTIVE PLAN)</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MongoDB,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2016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awards to Participant a Restricted Stock Unit Award for the number of shares of the Company’s Common Stock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set forth below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of the terms and conditions as set forth in this notice of grant (this “</w:t>
      </w:r>
      <w:r>
        <w:rPr>
          <w:rFonts w:ascii="Arial" w:cs="Arial" w:eastAsia="Arial" w:hAnsi="Arial"/>
          <w:sz w:val="19"/>
          <w:szCs w:val="19"/>
          <w:b w:val="1"/>
          <w:bCs w:val="1"/>
          <w:i w:val="1"/>
          <w:iCs w:val="1"/>
          <w:color w:val="auto"/>
        </w:rPr>
        <w:t>Restricted Stock Unit Grant Notice</w:t>
      </w:r>
      <w:r>
        <w:rPr>
          <w:rFonts w:ascii="Arial" w:cs="Arial" w:eastAsia="Arial" w:hAnsi="Arial"/>
          <w:sz w:val="19"/>
          <w:szCs w:val="19"/>
          <w:color w:val="auto"/>
        </w:rPr>
        <w:t>”) and in the Plan and the Restricted Stock Unit Agreement (the “</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both of which are attached hereto and incorporated herein in their entirety. Capitalized terms not otherwise defined herein will have the meanings set forth in the Plan or the Award Agreement. In the event of any conflict between the terms in the Award and the Plan, the terms of the Plan will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-14605</wp:posOffset>
            </wp:positionV>
            <wp:extent cx="125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-24765</wp:posOffset>
            </wp:positionV>
            <wp:extent cx="125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Vesting Base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-24765</wp:posOffset>
            </wp:positionV>
            <wp:extent cx="125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-24765</wp:posOffset>
            </wp:positionV>
            <wp:extent cx="125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6"/>
          <w:szCs w:val="16"/>
          <w:color w:val="auto"/>
        </w:rPr>
        <w:t>[___________________]</w:t>
      </w:r>
    </w:p>
    <w:p>
      <w:pPr>
        <w:spacing w:after="0" w:line="200" w:lineRule="exact"/>
        <w:rPr>
          <w:sz w:val="20"/>
          <w:szCs w:val="20"/>
          <w:color w:val="auto"/>
        </w:rPr>
      </w:pPr>
    </w:p>
    <w:p>
      <w:pPr>
        <w:spacing w:after="0" w:line="259" w:lineRule="exact"/>
        <w:rPr>
          <w:sz w:val="20"/>
          <w:szCs w:val="20"/>
          <w:color w:val="auto"/>
        </w:rPr>
      </w:pPr>
    </w:p>
    <w:p>
      <w:pPr>
        <w:jc w:val="both"/>
        <w:ind w:left="1960" w:hanging="1943"/>
        <w:spacing w:after="0" w:line="260" w:lineRule="auto"/>
        <w:tabs>
          <w:tab w:leader="none" w:pos="194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20"/>
          <w:szCs w:val="20"/>
          <w:color w:val="auto"/>
        </w:rPr>
        <w:t>The shares of Common Stock to be issued in respect of the Award will be issued in accordance with the issuance schedule set forth in Section 6 of the Restricted Stock Unit Agreement.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Participant acknowledges receipt of, and understands and agrees to, this Restricted Stock Unit Grant</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the Award Agreement, including any country-specific appendices, and the Plan. Participant acknowledges and agrees that this Restricted Stock Unit Grant Notice and the Award Agreement may not be modified, amended or revised except as provided in the Plan. Participant further acknowledges that as of the Date of Grant, this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 policy that is adopted by the Company or is otherwise required by applicable law, and (iii) any written employment or severance arrangement that would provide for vesting acceleration of this Award upon the terms and conditions set forth therein.</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w:t>
      </w:r>
    </w:p>
    <w:p>
      <w:pPr>
        <w:sectPr>
          <w:pgSz w:w="11900" w:h="16838" w:orient="portrait"/>
          <w:cols w:equalWidth="0" w:num="1">
            <w:col w:w="11240"/>
          </w:cols>
          <w:pgMar w:left="320" w:top="115" w:right="339" w:bottom="1440" w:gutter="0" w:footer="0" w:header="0"/>
        </w:sectPr>
      </w:pPr>
    </w:p>
    <w:bookmarkStart w:id="118" w:name="page119"/>
    <w:bookmarkEnd w:id="118"/>
    <w:p>
      <w:pPr>
        <w:spacing w:after="0"/>
        <w:tabs>
          <w:tab w:leader="none" w:pos="1760" w:val="left"/>
        </w:tabs>
        <w:rPr>
          <w:sz w:val="20"/>
          <w:szCs w:val="20"/>
          <w:color w:val="auto"/>
        </w:rPr>
      </w:pPr>
      <w:r>
        <w:rPr>
          <w:rFonts w:ascii="Arial" w:cs="Arial" w:eastAsia="Arial" w:hAnsi="Arial"/>
          <w:sz w:val="20"/>
          <w:szCs w:val="20"/>
          <w:b w:val="1"/>
          <w:bCs w:val="1"/>
          <w:color w:val="auto"/>
        </w:rPr>
        <w:t>MONGODB, INC.</w:t>
      </w:r>
      <w:r>
        <w:rPr>
          <w:sz w:val="20"/>
          <w:szCs w:val="20"/>
          <w:color w:val="auto"/>
        </w:rPr>
        <w:tab/>
      </w:r>
      <w:r>
        <w:rPr>
          <w:rFonts w:ascii="Arial" w:cs="Arial" w:eastAsia="Arial" w:hAnsi="Arial"/>
          <w:sz w:val="19"/>
          <w:szCs w:val="19"/>
          <w:b w:val="1"/>
          <w:bCs w:val="1"/>
          <w:color w:val="auto"/>
        </w:rPr>
        <w:t>PARTICIPANT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-14605</wp:posOffset>
            </wp:positionV>
            <wp:extent cx="125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1460"/>
        <w:spacing w:after="0"/>
        <w:tabs>
          <w:tab w:leader="none" w:pos="24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6"/>
          <w:szCs w:val="16"/>
          <w:color w:val="auto"/>
        </w:rPr>
        <w:t>Signature</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1257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-14605</wp:posOffset>
            </wp:positionV>
            <wp:extent cx="1257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-14605</wp:posOffset>
            </wp:positionV>
            <wp:extent cx="125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:Award Agreement, 2016 Equity Incentive Plan</w:t>
      </w:r>
    </w:p>
    <w:p>
      <w:pPr>
        <w:sectPr>
          <w:pgSz w:w="11900" w:h="16838" w:orient="portrait"/>
          <w:cols w:equalWidth="0" w:num="1">
            <w:col w:w="10139"/>
          </w:cols>
          <w:pgMar w:left="320" w:top="792"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Restricted Stock Unit Agreement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in consideration of your services, MongoDB,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you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a Restricted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Unit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pursuant to Section 6 of the Company’s 2016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w:t>
      </w:r>
    </w:p>
    <w:p>
      <w:pPr>
        <w:spacing w:after="0" w:line="190" w:lineRule="exact"/>
        <w:rPr>
          <w:sz w:val="20"/>
          <w:szCs w:val="20"/>
          <w:color w:val="auto"/>
        </w:rPr>
      </w:pPr>
    </w:p>
    <w:p>
      <w:pPr>
        <w:jc w:val="both"/>
        <w:ind w:firstLine="656"/>
        <w:spacing w:after="0" w:line="241" w:lineRule="auto"/>
        <w:tabs>
          <w:tab w:leader="none" w:pos="144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THE AWARD. </w:t>
      </w:r>
      <w:r>
        <w:rPr>
          <w:rFonts w:ascii="Arial" w:cs="Arial" w:eastAsia="Arial" w:hAnsi="Arial"/>
          <w:sz w:val="19"/>
          <w:szCs w:val="19"/>
          <w:color w:val="auto"/>
        </w:rPr>
        <w:t>This Award represents the right to be issued on a future date one (1) share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w:t>
      </w:r>
    </w:p>
    <w:p>
      <w:pPr>
        <w:spacing w:after="0" w:line="178" w:lineRule="exact"/>
        <w:rPr>
          <w:rFonts w:ascii="Arial" w:cs="Arial" w:eastAsia="Arial" w:hAnsi="Arial"/>
          <w:sz w:val="19"/>
          <w:szCs w:val="19"/>
          <w:b w:val="1"/>
          <w:bCs w:val="1"/>
          <w:color w:val="auto"/>
        </w:rPr>
      </w:pPr>
    </w:p>
    <w:p>
      <w:pPr>
        <w:jc w:val="both"/>
        <w:ind w:firstLine="656"/>
        <w:spacing w:after="0" w:line="246" w:lineRule="auto"/>
        <w:tabs>
          <w:tab w:leader="none" w:pos="1017"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the limitations contained herein, your Award will vest, if at all, in accordance with the vesting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84" w:lineRule="exact"/>
        <w:rPr>
          <w:rFonts w:ascii="Arial" w:cs="Arial" w:eastAsia="Arial" w:hAnsi="Arial"/>
          <w:sz w:val="20"/>
          <w:szCs w:val="20"/>
          <w:b w:val="1"/>
          <w:bCs w:val="1"/>
          <w:color w:val="auto"/>
        </w:rPr>
      </w:pPr>
    </w:p>
    <w:p>
      <w:pPr>
        <w:jc w:val="both"/>
        <w:ind w:firstLine="656"/>
        <w:spacing w:after="0" w:line="277" w:lineRule="auto"/>
        <w:tabs>
          <w:tab w:leader="none" w:pos="104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Restricted Stock Units/shares subject to your Award may be adjusted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59" w:lineRule="exact"/>
        <w:rPr>
          <w:rFonts w:ascii="Arial" w:cs="Arial" w:eastAsia="Arial" w:hAnsi="Arial"/>
          <w:sz w:val="18"/>
          <w:szCs w:val="18"/>
          <w:b w:val="1"/>
          <w:bCs w:val="1"/>
          <w:color w:val="auto"/>
        </w:rPr>
      </w:pPr>
    </w:p>
    <w:p>
      <w:pPr>
        <w:jc w:val="both"/>
        <w:ind w:firstLine="656"/>
        <w:spacing w:after="0" w:line="262" w:lineRule="auto"/>
        <w:tabs>
          <w:tab w:leader="none" w:pos="1017"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US SECURITIES LAW COMPLIANCE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pacing w:after="0" w:line="38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3" w:right="339" w:bottom="1440" w:gutter="0" w:footer="0" w:header="0"/>
        </w:sectPr>
      </w:pPr>
    </w:p>
    <w:bookmarkStart w:id="120" w:name="page121"/>
    <w:bookmarkEnd w:id="120"/>
    <w:p>
      <w:pPr>
        <w:jc w:val="both"/>
        <w:ind w:left="-656" w:firstLine="656"/>
        <w:spacing w:after="0" w:line="258" w:lineRule="auto"/>
        <w:tabs>
          <w:tab w:leader="none" w:pos="428"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TRANSFER RESTRICTIONS</w:t>
      </w:r>
      <w:r>
        <w:rPr>
          <w:rFonts w:ascii="Arial" w:cs="Arial" w:eastAsia="Arial" w:hAnsi="Arial"/>
          <w:sz w:val="19"/>
          <w:szCs w:val="19"/>
          <w:color w:val="auto"/>
        </w:rPr>
        <w:t>. Prior to the time that shares of Common Stock have been delivered to you, you may not</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spacing w:after="0" w:line="173" w:lineRule="exact"/>
        <w:rPr>
          <w:rFonts w:ascii="Arial" w:cs="Arial" w:eastAsia="Arial" w:hAnsi="Arial"/>
          <w:sz w:val="19"/>
          <w:szCs w:val="19"/>
          <w:b w:val="1"/>
          <w:bCs w:val="1"/>
          <w:color w:val="auto"/>
        </w:rPr>
      </w:pPr>
    </w:p>
    <w:p>
      <w:pPr>
        <w:jc w:val="both"/>
        <w:ind w:left="-656" w:firstLine="1304"/>
        <w:spacing w:after="0" w:line="253" w:lineRule="auto"/>
        <w:tabs>
          <w:tab w:leader="none" w:pos="1080" w:val="left"/>
        </w:tabs>
        <w:numPr>
          <w:ilvl w:val="1"/>
          <w:numId w:val="49"/>
        </w:numPr>
        <w:rPr>
          <w:rFonts w:ascii="Arial" w:cs="Arial" w:eastAsia="Arial" w:hAnsi="Arial"/>
          <w:sz w:val="20"/>
          <w:szCs w:val="20"/>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 vesting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Award will cease and your executor or administrator of your estate will be entitled to receive, on behalf of your estate, any Common Stock or other consideration that vested but was not issued before your death.</w:t>
      </w:r>
    </w:p>
    <w:p>
      <w:pPr>
        <w:spacing w:after="0" w:line="177" w:lineRule="exact"/>
        <w:rPr>
          <w:rFonts w:ascii="Arial" w:cs="Arial" w:eastAsia="Arial" w:hAnsi="Arial"/>
          <w:sz w:val="20"/>
          <w:szCs w:val="20"/>
          <w:color w:val="auto"/>
        </w:rPr>
      </w:pPr>
    </w:p>
    <w:p>
      <w:pPr>
        <w:jc w:val="both"/>
        <w:ind w:left="-656" w:firstLine="1304"/>
        <w:spacing w:after="0" w:line="275" w:lineRule="auto"/>
        <w:tabs>
          <w:tab w:leader="none" w:pos="1104"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62" w:lineRule="exact"/>
        <w:rPr>
          <w:rFonts w:ascii="Arial" w:cs="Arial" w:eastAsia="Arial" w:hAnsi="Arial"/>
          <w:sz w:val="18"/>
          <w:szCs w:val="18"/>
          <w:color w:val="auto"/>
        </w:rPr>
      </w:pPr>
    </w:p>
    <w:p>
      <w:pPr>
        <w:ind w:left="324" w:hanging="324"/>
        <w:spacing w:after="0"/>
        <w:tabs>
          <w:tab w:leader="none" w:pos="324"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DATE OF ISSUANCE.</w:t>
      </w:r>
    </w:p>
    <w:p>
      <w:pPr>
        <w:spacing w:after="0" w:line="221" w:lineRule="exact"/>
        <w:rPr>
          <w:rFonts w:ascii="Arial" w:cs="Arial" w:eastAsia="Arial" w:hAnsi="Arial"/>
          <w:sz w:val="20"/>
          <w:szCs w:val="20"/>
          <w:b w:val="1"/>
          <w:bCs w:val="1"/>
          <w:color w:val="auto"/>
        </w:rPr>
      </w:pPr>
    </w:p>
    <w:p>
      <w:pPr>
        <w:jc w:val="both"/>
        <w:ind w:left="-656" w:firstLine="1304"/>
        <w:spacing w:after="0" w:line="243" w:lineRule="auto"/>
        <w:tabs>
          <w:tab w:leader="none" w:pos="1040"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Arial" w:cs="Arial" w:eastAsia="Arial" w:hAnsi="Arial"/>
          <w:sz w:val="20"/>
          <w:szCs w:val="20"/>
          <w:b w:val="1"/>
          <w:bCs w:val="1"/>
          <w:i w:val="1"/>
          <w:iCs w:val="1"/>
          <w:color w:val="auto"/>
        </w:rPr>
        <w:t>Original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Issuance Date</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656" w:firstLine="1304"/>
        <w:spacing w:after="0" w:line="260" w:lineRule="auto"/>
        <w:tabs>
          <w:tab w:leader="none" w:pos="1064" w:val="left"/>
        </w:tabs>
        <w:numPr>
          <w:ilvl w:val="1"/>
          <w:numId w:val="49"/>
        </w:numPr>
        <w:rPr>
          <w:rFonts w:ascii="Arial" w:cs="Arial" w:eastAsia="Arial" w:hAnsi="Arial"/>
          <w:sz w:val="20"/>
          <w:szCs w:val="20"/>
          <w:color w:val="auto"/>
        </w:rPr>
      </w:pPr>
      <w:r>
        <w:rPr>
          <w:rFonts w:ascii="Arial" w:cs="Arial" w:eastAsia="Arial" w:hAnsi="Arial"/>
          <w:sz w:val="20"/>
          <w:szCs w:val="20"/>
          <w:color w:val="auto"/>
        </w:rPr>
        <w:t>If the Original Issuance Date falls on a date that is not a business day, delivery will instead occur on the next following business day. In addition, if:</w:t>
      </w:r>
    </w:p>
    <w:p>
      <w:pPr>
        <w:spacing w:after="0" w:line="203" w:lineRule="exact"/>
        <w:rPr>
          <w:rFonts w:ascii="Arial" w:cs="Arial" w:eastAsia="Arial" w:hAnsi="Arial"/>
          <w:sz w:val="20"/>
          <w:szCs w:val="20"/>
          <w:color w:val="auto"/>
        </w:rPr>
      </w:pPr>
    </w:p>
    <w:p>
      <w:pPr>
        <w:jc w:val="both"/>
        <w:ind w:left="-656" w:firstLine="1952"/>
        <w:spacing w:after="0" w:line="266" w:lineRule="auto"/>
        <w:tabs>
          <w:tab w:leader="none" w:pos="1672" w:val="left"/>
        </w:tabs>
        <w:numPr>
          <w:ilvl w:val="2"/>
          <w:numId w:val="49"/>
        </w:numPr>
        <w:rPr>
          <w:rFonts w:ascii="Arial" w:cs="Arial" w:eastAsia="Arial" w:hAnsi="Arial"/>
          <w:sz w:val="22"/>
          <w:szCs w:val="22"/>
          <w:b w:val="1"/>
          <w:bCs w:val="1"/>
          <w:color w:val="auto"/>
        </w:rPr>
      </w:pPr>
      <w:r>
        <w:rPr>
          <w:rFonts w:ascii="Arial" w:cs="Arial" w:eastAsia="Arial" w:hAnsi="Arial"/>
          <w:sz w:val="20"/>
          <w:szCs w:val="20"/>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20"/>
          <w:szCs w:val="20"/>
          <w:b w:val="1"/>
          <w:bCs w:val="1"/>
          <w:i w:val="1"/>
          <w:iCs w:val="1"/>
          <w:color w:val="auto"/>
        </w:rPr>
        <w:t>10b5-1 Plan</w:t>
      </w:r>
      <w:r>
        <w:rPr>
          <w:rFonts w:ascii="Arial" w:cs="Arial" w:eastAsia="Arial" w:hAnsi="Arial"/>
          <w:sz w:val="20"/>
          <w:szCs w:val="20"/>
          <w:color w:val="auto"/>
        </w:rPr>
        <w:t xml:space="preserve">”)), </w:t>
      </w:r>
      <w:r>
        <w:rPr>
          <w:rFonts w:ascii="Arial" w:cs="Arial" w:eastAsia="Arial" w:hAnsi="Arial"/>
          <w:sz w:val="20"/>
          <w:szCs w:val="20"/>
          <w:i w:val="1"/>
          <w:iCs w:val="1"/>
          <w:color w:val="auto"/>
        </w:rPr>
        <w:t>and</w:t>
      </w:r>
    </w:p>
    <w:p>
      <w:pPr>
        <w:spacing w:after="0" w:line="212" w:lineRule="exact"/>
        <w:rPr>
          <w:rFonts w:ascii="Arial" w:cs="Arial" w:eastAsia="Arial" w:hAnsi="Arial"/>
          <w:sz w:val="22"/>
          <w:szCs w:val="22"/>
          <w:b w:val="1"/>
          <w:bCs w:val="1"/>
          <w:color w:val="auto"/>
        </w:rPr>
      </w:pPr>
    </w:p>
    <w:p>
      <w:pPr>
        <w:jc w:val="both"/>
        <w:ind w:left="-656" w:firstLine="1952"/>
        <w:spacing w:after="0" w:line="265" w:lineRule="auto"/>
        <w:tabs>
          <w:tab w:leader="none" w:pos="1732" w:val="left"/>
        </w:tabs>
        <w:numPr>
          <w:ilvl w:val="2"/>
          <w:numId w:val="49"/>
        </w:numPr>
        <w:rPr>
          <w:rFonts w:ascii="Arial" w:cs="Arial" w:eastAsia="Arial" w:hAnsi="Arial"/>
          <w:sz w:val="22"/>
          <w:szCs w:val="22"/>
          <w:b w:val="1"/>
          <w:bCs w:val="1"/>
          <w:color w:val="auto"/>
        </w:rPr>
      </w:pPr>
      <w:r>
        <w:rPr>
          <w:rFonts w:ascii="Arial" w:cs="Arial" w:eastAsia="Arial" w:hAnsi="Arial"/>
          <w:sz w:val="20"/>
          <w:szCs w:val="20"/>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Award, and (B) not to</w:t>
      </w:r>
    </w:p>
    <w:p>
      <w:pPr>
        <w:spacing w:after="0" w:line="390"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333" w:right="339" w:bottom="1440" w:gutter="0" w:footer="0" w:header="0"/>
        </w:sectPr>
      </w:pPr>
    </w:p>
    <w:bookmarkStart w:id="121" w:name="page122"/>
    <w:bookmarkEnd w:id="121"/>
    <w:p>
      <w:pPr>
        <w:jc w:val="both"/>
        <w:spacing w:after="0" w:line="250" w:lineRule="auto"/>
        <w:rPr>
          <w:sz w:val="20"/>
          <w:szCs w:val="20"/>
          <w:color w:val="auto"/>
        </w:rPr>
      </w:pPr>
      <w:r>
        <w:rPr>
          <w:rFonts w:ascii="Arial" w:cs="Arial" w:eastAsia="Arial" w:hAnsi="Arial"/>
          <w:sz w:val="20"/>
          <w:szCs w:val="20"/>
          <w:color w:val="auto"/>
        </w:rPr>
        <w:t>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5" w:lineRule="exact"/>
        <w:rPr>
          <w:sz w:val="20"/>
          <w:szCs w:val="20"/>
          <w:color w:val="auto"/>
        </w:rPr>
      </w:pPr>
    </w:p>
    <w:p>
      <w:pPr>
        <w:ind w:firstLine="1304"/>
        <w:spacing w:after="0" w:line="260" w:lineRule="auto"/>
        <w:tabs>
          <w:tab w:leader="none" w:pos="175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form of delivery of the shares of Common Stock in respect of your Award (</w:t>
      </w:r>
      <w:r>
        <w:rPr>
          <w:rFonts w:ascii="Arial" w:cs="Arial" w:eastAsia="Arial" w:hAnsi="Arial"/>
          <w:sz w:val="20"/>
          <w:szCs w:val="20"/>
          <w:i w:val="1"/>
          <w:iCs w:val="1"/>
          <w:color w:val="auto"/>
        </w:rPr>
        <w:t>e.g.</w:t>
      </w:r>
      <w:r>
        <w:rPr>
          <w:rFonts w:ascii="Arial" w:cs="Arial" w:eastAsia="Arial" w:hAnsi="Arial"/>
          <w:sz w:val="20"/>
          <w:szCs w:val="20"/>
          <w:color w:val="auto"/>
        </w:rPr>
        <w:t>, a stock certificate or electronic entry evidencing such shares) will be determined by the Company.</w:t>
      </w:r>
    </w:p>
    <w:p>
      <w:pPr>
        <w:spacing w:after="0" w:line="170" w:lineRule="exact"/>
        <w:rPr>
          <w:rFonts w:ascii="Arial" w:cs="Arial" w:eastAsia="Arial" w:hAnsi="Arial"/>
          <w:sz w:val="20"/>
          <w:szCs w:val="20"/>
          <w:color w:val="auto"/>
        </w:rPr>
      </w:pPr>
    </w:p>
    <w:p>
      <w:pPr>
        <w:jc w:val="both"/>
        <w:ind w:firstLine="656"/>
        <w:spacing w:after="0" w:line="294" w:lineRule="auto"/>
        <w:tabs>
          <w:tab w:leader="none" w:pos="104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will receive no benefit or adjustment to your Award with respect to any cash dividend, stock dividend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43" w:lineRule="exact"/>
        <w:rPr>
          <w:rFonts w:ascii="Arial" w:cs="Arial" w:eastAsia="Arial" w:hAnsi="Arial"/>
          <w:sz w:val="18"/>
          <w:szCs w:val="18"/>
          <w:b w:val="1"/>
          <w:bCs w:val="1"/>
          <w:color w:val="auto"/>
        </w:rPr>
      </w:pPr>
    </w:p>
    <w:p>
      <w:pPr>
        <w:ind w:firstLine="656"/>
        <w:spacing w:after="0" w:line="267" w:lineRule="auto"/>
        <w:tabs>
          <w:tab w:leader="none" w:pos="976"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RESTRICTIVE LEGENDS. </w:t>
      </w:r>
      <w:r>
        <w:rPr>
          <w:rFonts w:ascii="Arial" w:cs="Arial" w:eastAsia="Arial" w:hAnsi="Arial"/>
          <w:sz w:val="20"/>
          <w:szCs w:val="20"/>
          <w:color w:val="auto"/>
        </w:rPr>
        <w:t>The shares of Common Stock issued under your Award will be endorsed with appropriate legends</w:t>
      </w:r>
      <w:r>
        <w:rPr>
          <w:rFonts w:ascii="Arial" w:cs="Arial" w:eastAsia="Arial" w:hAnsi="Arial"/>
          <w:sz w:val="20"/>
          <w:szCs w:val="20"/>
          <w:b w:val="1"/>
          <w:bCs w:val="1"/>
          <w:color w:val="auto"/>
        </w:rPr>
        <w:t xml:space="preserve"> </w:t>
      </w:r>
      <w:r>
        <w:rPr>
          <w:rFonts w:ascii="Arial" w:cs="Arial" w:eastAsia="Arial" w:hAnsi="Arial"/>
          <w:sz w:val="20"/>
          <w:szCs w:val="20"/>
          <w:color w:val="auto"/>
        </w:rPr>
        <w:t>as determined by the Company.</w:t>
      </w:r>
    </w:p>
    <w:p>
      <w:pPr>
        <w:spacing w:after="0" w:line="163" w:lineRule="exact"/>
        <w:rPr>
          <w:rFonts w:ascii="Arial" w:cs="Arial" w:eastAsia="Arial" w:hAnsi="Arial"/>
          <w:sz w:val="20"/>
          <w:szCs w:val="20"/>
          <w:b w:val="1"/>
          <w:bCs w:val="1"/>
          <w:color w:val="auto"/>
        </w:rPr>
      </w:pPr>
    </w:p>
    <w:p>
      <w:pPr>
        <w:jc w:val="both"/>
        <w:ind w:firstLine="656"/>
        <w:spacing w:after="0" w:line="248" w:lineRule="auto"/>
        <w:tabs>
          <w:tab w:leader="none" w:pos="976"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EXECUTION OF DOCUMENTS.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spacing w:after="0" w:line="183" w:lineRule="exact"/>
        <w:rPr>
          <w:rFonts w:ascii="Arial" w:cs="Arial" w:eastAsia="Arial" w:hAnsi="Arial"/>
          <w:sz w:val="20"/>
          <w:szCs w:val="20"/>
          <w:b w:val="1"/>
          <w:bCs w:val="1"/>
          <w:color w:val="auto"/>
        </w:rPr>
      </w:pPr>
    </w:p>
    <w:p>
      <w:pPr>
        <w:ind w:left="1080" w:hanging="424"/>
        <w:spacing w:after="0"/>
        <w:tabs>
          <w:tab w:leader="none" w:pos="108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AWARD NOT A SERVICE CONTRACT</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72" w:lineRule="auto"/>
        <w:tabs>
          <w:tab w:leader="none" w:pos="1709" w:val="left"/>
        </w:tabs>
        <w:numPr>
          <w:ilvl w:val="1"/>
          <w:numId w:val="51"/>
        </w:numPr>
        <w:rPr>
          <w:rFonts w:ascii="Arial" w:cs="Arial" w:eastAsia="Arial" w:hAnsi="Arial"/>
          <w:sz w:val="18"/>
          <w:szCs w:val="18"/>
          <w:color w:val="auto"/>
        </w:rPr>
      </w:pPr>
      <w:r>
        <w:rPr>
          <w:rFonts w:ascii="Arial" w:cs="Arial" w:eastAsia="Arial" w:hAnsi="Arial"/>
          <w:sz w:val="18"/>
          <w:szCs w:val="18"/>
          <w:color w:val="auto"/>
        </w:rPr>
        <w:t>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w:t>
      </w:r>
    </w:p>
    <w:p>
      <w:pPr>
        <w:spacing w:after="0" w:line="170" w:lineRule="exact"/>
        <w:rPr>
          <w:rFonts w:ascii="Arial" w:cs="Arial" w:eastAsia="Arial" w:hAnsi="Arial"/>
          <w:sz w:val="18"/>
          <w:szCs w:val="18"/>
          <w:color w:val="auto"/>
        </w:rPr>
      </w:pPr>
    </w:p>
    <w:p>
      <w:pPr>
        <w:jc w:val="both"/>
        <w:ind w:firstLine="1304"/>
        <w:spacing w:after="0" w:line="250" w:lineRule="auto"/>
        <w:tabs>
          <w:tab w:leader="none" w:pos="1733" w:val="left"/>
        </w:tabs>
        <w:numPr>
          <w:ilvl w:val="1"/>
          <w:numId w:val="51"/>
        </w:numPr>
        <w:rPr>
          <w:rFonts w:ascii="Arial" w:cs="Arial" w:eastAsia="Arial" w:hAnsi="Arial"/>
          <w:sz w:val="20"/>
          <w:szCs w:val="20"/>
          <w:color w:val="auto"/>
        </w:rPr>
      </w:pPr>
      <w:r>
        <w:rPr>
          <w:rFonts w:ascii="Arial" w:cs="Arial" w:eastAsia="Arial" w:hAnsi="Arial"/>
          <w:sz w:val="20"/>
          <w:szCs w:val="20"/>
          <w:color w:val="auto"/>
        </w:rPr>
        <w:t>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or</w:t>
      </w:r>
    </w:p>
    <w:p>
      <w:pPr>
        <w:spacing w:after="0" w:line="3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9" w:right="339" w:bottom="1440" w:gutter="0" w:footer="0" w:header="0"/>
        </w:sectPr>
      </w:pPr>
    </w:p>
    <w:bookmarkStart w:id="122" w:name="page123"/>
    <w:bookmarkEnd w:id="122"/>
    <w:p>
      <w:pPr>
        <w:jc w:val="both"/>
        <w:spacing w:after="0" w:line="256" w:lineRule="auto"/>
        <w:rPr>
          <w:sz w:val="20"/>
          <w:szCs w:val="20"/>
          <w:color w:val="auto"/>
        </w:rPr>
      </w:pPr>
      <w:r>
        <w:rPr>
          <w:rFonts w:ascii="Arial" w:cs="Arial" w:eastAsia="Arial" w:hAnsi="Arial"/>
          <w:sz w:val="19"/>
          <w:szCs w:val="19"/>
          <w:color w:val="auto"/>
        </w:rPr>
        <w:t>more of its businesses or Affiliates at any time or 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w:t>
      </w:r>
    </w:p>
    <w:p>
      <w:pPr>
        <w:spacing w:after="0" w:line="178"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 OBLIGATIONS.</w:t>
      </w:r>
    </w:p>
    <w:p>
      <w:pPr>
        <w:spacing w:after="0" w:line="221" w:lineRule="exact"/>
        <w:rPr>
          <w:rFonts w:ascii="Arial" w:cs="Arial" w:eastAsia="Arial" w:hAnsi="Arial"/>
          <w:sz w:val="20"/>
          <w:szCs w:val="20"/>
          <w:b w:val="1"/>
          <w:bCs w:val="1"/>
          <w:color w:val="auto"/>
        </w:rPr>
      </w:pPr>
    </w:p>
    <w:p>
      <w:pPr>
        <w:jc w:val="both"/>
        <w:ind w:firstLine="1304"/>
        <w:spacing w:after="0" w:line="268" w:lineRule="auto"/>
        <w:tabs>
          <w:tab w:leader="none" w:pos="16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xml:space="preserve">”)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firstLine="1304"/>
        <w:spacing w:after="0" w:line="260" w:lineRule="auto"/>
        <w:tabs>
          <w:tab w:leader="none" w:pos="18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Unless the tax withholding obligations of the Company and any Affiliate are satisfied, the Company will have no obligation to deliver to you any Common Stock or other consideration pursuant to this Award.</w:t>
      </w:r>
    </w:p>
    <w:p>
      <w:pPr>
        <w:spacing w:after="0" w:line="176" w:lineRule="exact"/>
        <w:rPr>
          <w:rFonts w:ascii="Arial" w:cs="Arial" w:eastAsia="Arial" w:hAnsi="Arial"/>
          <w:sz w:val="20"/>
          <w:szCs w:val="20"/>
          <w:color w:val="auto"/>
        </w:rPr>
      </w:pPr>
    </w:p>
    <w:p>
      <w:pPr>
        <w:ind w:right="20" w:firstLine="1304"/>
        <w:spacing w:after="0" w:line="260" w:lineRule="auto"/>
        <w:tabs>
          <w:tab w:leader="none" w:pos="1831" w:val="left"/>
        </w:tabs>
        <w:numPr>
          <w:ilvl w:val="1"/>
          <w:numId w:val="52"/>
        </w:numPr>
        <w:rPr>
          <w:rFonts w:ascii="Arial" w:cs="Arial" w:eastAsia="Arial" w:hAnsi="Arial"/>
          <w:sz w:val="20"/>
          <w:szCs w:val="20"/>
          <w:color w:val="auto"/>
        </w:rPr>
      </w:pPr>
      <w:r>
        <w:rPr>
          <w:rFonts w:ascii="Arial" w:cs="Arial" w:eastAsia="Arial" w:hAnsi="Arial"/>
          <w:sz w:val="20"/>
          <w:szCs w:val="20"/>
          <w:color w:val="auto"/>
        </w:rPr>
        <w:t>In the event the Company’s obligation to withhold arises prior to the delivery to you of Common Stock or it is determined after the delivery of Common Stock to you that the amount of the</w:t>
      </w:r>
    </w:p>
    <w:p>
      <w:pPr>
        <w:spacing w:after="0" w:line="38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9" w:right="339" w:bottom="1440" w:gutter="0" w:footer="0" w:header="0"/>
        </w:sectPr>
      </w:pPr>
    </w:p>
    <w:bookmarkStart w:id="123" w:name="page124"/>
    <w:bookmarkEnd w:id="123"/>
    <w:p>
      <w:pPr>
        <w:spacing w:after="0" w:line="260" w:lineRule="auto"/>
        <w:rPr>
          <w:sz w:val="20"/>
          <w:szCs w:val="20"/>
          <w:color w:val="auto"/>
        </w:rPr>
      </w:pPr>
      <w:r>
        <w:rPr>
          <w:rFonts w:ascii="Arial" w:cs="Arial" w:eastAsia="Arial" w:hAnsi="Arial"/>
          <w:sz w:val="20"/>
          <w:szCs w:val="20"/>
          <w:color w:val="auto"/>
        </w:rPr>
        <w:t>Company’s withholding obligation was greater than the amount withheld by the Company, you agree to indemnify and hold the Company harmless from any failure by the Company to withhold the proper amount.</w:t>
      </w:r>
    </w:p>
    <w:p>
      <w:pPr>
        <w:spacing w:after="0" w:line="171" w:lineRule="exact"/>
        <w:rPr>
          <w:sz w:val="20"/>
          <w:szCs w:val="20"/>
          <w:color w:val="auto"/>
        </w:rPr>
      </w:pPr>
    </w:p>
    <w:p>
      <w:pPr>
        <w:jc w:val="both"/>
        <w:ind w:firstLine="656"/>
        <w:spacing w:after="0" w:line="280" w:lineRule="auto"/>
        <w:tabs>
          <w:tab w:leader="none" w:pos="1089"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Company has no duty or obligation to minimize the tax consequences to you of this Award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liable 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56" w:lineRule="exact"/>
        <w:rPr>
          <w:rFonts w:ascii="Arial" w:cs="Arial" w:eastAsia="Arial" w:hAnsi="Arial"/>
          <w:sz w:val="18"/>
          <w:szCs w:val="18"/>
          <w:b w:val="1"/>
          <w:bCs w:val="1"/>
          <w:color w:val="auto"/>
        </w:rPr>
      </w:pPr>
    </w:p>
    <w:p>
      <w:pPr>
        <w:ind w:left="1080" w:hanging="424"/>
        <w:spacing w:after="0"/>
        <w:tabs>
          <w:tab w:leader="none" w:pos="10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b w:val="1"/>
          <w:bCs w:val="1"/>
          <w:i w:val="1"/>
          <w:iCs w:val="1"/>
          <w:u w:val="single" w:color="auto"/>
          <w:color w:val="auto"/>
        </w:rPr>
        <w:t>The following provisions shall apply to you if you reside in the EU or EEA.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Data Collected and Purposes of Collection</w:t>
      </w:r>
    </w:p>
    <w:p>
      <w:pPr>
        <w:spacing w:after="0" w:line="21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 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 any other information necessary to process mandatory tax withholding and reporting, details of all Awards granted, canceled, vested, unvested or outstanding in your favor, and where applicable service termination date and reason for termination (e.g., for cause or other than for cause) (all such personal information is referred to as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 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Transfers and Retention of Data</w:t>
      </w:r>
    </w:p>
    <w:p>
      <w:pPr>
        <w:spacing w:after="0" w:line="21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You understand that your employer will transfer Data to the Company for purposes of plan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under the EU-U.S. Privacy Shield, Swiss-U.S. Privacy Shield Frameworks, and/or through the European Commission-approved standard contractual clauses, a copy of which may be obtained at https://eur-lex.europa.eu/legal-content/EN/TXT/?uri=CELEX%3A32004D0915. You understand that Data will be held only as long as is necessary to implement, administer and manage your rights and obligations under this Award Agreement, and for the duration of the relevant statutes of limitations, which may be longer than the term of this Award Agreement.</w:t>
      </w:r>
    </w:p>
    <w:p>
      <w:pPr>
        <w:spacing w:after="0" w:line="3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9" w:right="339" w:bottom="1440" w:gutter="0" w:footer="0" w:header="0"/>
        </w:sectPr>
      </w:pPr>
    </w:p>
    <w:bookmarkStart w:id="124" w:name="page125"/>
    <w:bookmarkEnd w:id="124"/>
    <w:p>
      <w:pPr>
        <w:ind w:left="1300"/>
        <w:spacing w:after="0"/>
        <w:rPr>
          <w:sz w:val="20"/>
          <w:szCs w:val="20"/>
          <w:color w:val="auto"/>
        </w:rPr>
      </w:pPr>
      <w:r>
        <w:rPr>
          <w:rFonts w:ascii="Arial" w:cs="Arial" w:eastAsia="Arial" w:hAnsi="Arial"/>
          <w:sz w:val="20"/>
          <w:szCs w:val="20"/>
          <w:i w:val="1"/>
          <w:iCs w:val="1"/>
          <w:color w:val="auto"/>
        </w:rPr>
        <w:t>The Participant’s Rights in Respect of Data</w:t>
      </w:r>
    </w:p>
    <w:p>
      <w:pPr>
        <w:spacing w:after="0" w:line="21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 representative. You may also contact the relevant data protection supervisory authority, as you have the right to lodge a complaint. The data protection officer may be contacted at privacy@mongodb.com.</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b w:val="1"/>
          <w:bCs w:val="1"/>
          <w:i w:val="1"/>
          <w:iCs w:val="1"/>
          <w:u w:val="single" w:color="auto"/>
          <w:color w:val="auto"/>
        </w:rPr>
        <w:t>The following provisions shall apply to you if you reside outside the US and EU/EEA.</w:t>
      </w:r>
    </w:p>
    <w:p>
      <w:pPr>
        <w:spacing w:after="0" w:line="21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You hereby explicitly and unambiguously (i) acknowledge and (ii) to the extent required under applicable law, consent to, the collection, use and transfer, in electronic or other form, of your personal data as described in and necessary to perform this Award Agreement and any other Award grant materials, by and among, as applicable, the Company and its Affiliates for the exclusive purpose of implementing, administering and managing your participation in the Plan. You 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 outstanding in your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 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data privacy 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 receipt, possession, use, retention and 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 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 consent is required under applicable law, and you either do not consent or later seek to revoke your consent, your employment status or service and career with the Company or Affiliate will</w:t>
      </w:r>
    </w:p>
    <w:p>
      <w:pPr>
        <w:spacing w:after="0" w:line="3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9" w:right="339" w:bottom="1440" w:gutter="0" w:footer="0" w:header="0"/>
        </w:sectPr>
      </w:pPr>
    </w:p>
    <w:bookmarkStart w:id="125" w:name="page126"/>
    <w:bookmarkEnd w:id="125"/>
    <w:p>
      <w:pPr>
        <w:jc w:val="both"/>
        <w:spacing w:after="0" w:line="278" w:lineRule="auto"/>
        <w:rPr>
          <w:sz w:val="20"/>
          <w:szCs w:val="20"/>
          <w:color w:val="auto"/>
        </w:rPr>
      </w:pPr>
      <w:r>
        <w:rPr>
          <w:rFonts w:ascii="Arial" w:cs="Arial" w:eastAsia="Arial" w:hAnsi="Arial"/>
          <w:sz w:val="18"/>
          <w:szCs w:val="18"/>
          <w:color w:val="auto"/>
        </w:rPr>
        <w:t>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 (insofar as consent is required under applicable law) may affect your ability to participate in the Plan, but will have no further detrimental implications for you. For more information on the consequences of your refusal to consent or withdrawal of consent in the event that consent is required under applicable law, you understand that you may contact the local human resources representative.</w:t>
      </w:r>
    </w:p>
    <w:p>
      <w:pPr>
        <w:spacing w:after="0" w:line="159" w:lineRule="exact"/>
        <w:rPr>
          <w:sz w:val="20"/>
          <w:szCs w:val="20"/>
          <w:color w:val="auto"/>
        </w:rPr>
      </w:pPr>
    </w:p>
    <w:p>
      <w:pPr>
        <w:jc w:val="both"/>
        <w:ind w:right="20" w:firstLine="656"/>
        <w:spacing w:after="0" w:line="244" w:lineRule="auto"/>
        <w:tabs>
          <w:tab w:leader="none" w:pos="1183"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UNSECURED OBLIGATION. </w:t>
      </w:r>
      <w:r>
        <w:rPr>
          <w:rFonts w:ascii="Arial" w:cs="Arial" w:eastAsia="Arial" w:hAnsi="Arial"/>
          <w:sz w:val="20"/>
          <w:szCs w:val="20"/>
          <w:color w:val="auto"/>
        </w:rPr>
        <w:t>Your Award is unfunded, and as a holder of a vested Award, you will be considered an</w:t>
      </w:r>
      <w:r>
        <w:rPr>
          <w:rFonts w:ascii="Arial" w:cs="Arial" w:eastAsia="Arial" w:hAnsi="Arial"/>
          <w:sz w:val="20"/>
          <w:szCs w:val="20"/>
          <w:b w:val="1"/>
          <w:bCs w:val="1"/>
          <w:color w:val="auto"/>
        </w:rPr>
        <w:t xml:space="preserve"> </w:t>
      </w:r>
      <w:r>
        <w:rPr>
          <w:rFonts w:ascii="Arial" w:cs="Arial" w:eastAsia="Arial" w:hAnsi="Arial"/>
          <w:sz w:val="20"/>
          <w:szCs w:val="20"/>
          <w:color w:val="auto"/>
        </w:rPr>
        <w:t>unsecured creditor of the 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11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request required or permitted hereunder will be given in writing to each of the other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spacing w:after="0" w:line="196" w:lineRule="exact"/>
        <w:rPr>
          <w:rFonts w:ascii="Arial" w:cs="Arial" w:eastAsia="Arial" w:hAnsi="Arial"/>
          <w:sz w:val="18"/>
          <w:szCs w:val="18"/>
          <w:b w:val="1"/>
          <w:bCs w:val="1"/>
          <w:color w:val="auto"/>
        </w:rPr>
      </w:pPr>
    </w:p>
    <w:p>
      <w:pPr>
        <w:ind w:firstLine="656"/>
        <w:spacing w:after="0" w:line="267" w:lineRule="auto"/>
        <w:tabs>
          <w:tab w:leader="none" w:pos="1089"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HEADINGS</w:t>
      </w:r>
      <w:r>
        <w:rPr>
          <w:rFonts w:ascii="Arial" w:cs="Arial" w:eastAsia="Arial" w:hAnsi="Arial"/>
          <w:sz w:val="20"/>
          <w:szCs w:val="20"/>
          <w:color w:val="auto"/>
        </w:rPr>
        <w:t>. The headings of the Sections in this Award Agreement are inserted for convenience only and will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Award Agreement or to affect the meaning of this Award Agreement.</w:t>
      </w:r>
    </w:p>
    <w:p>
      <w:pPr>
        <w:spacing w:after="0" w:line="203" w:lineRule="exact"/>
        <w:rPr>
          <w:rFonts w:ascii="Arial" w:cs="Arial" w:eastAsia="Arial" w:hAnsi="Arial"/>
          <w:sz w:val="20"/>
          <w:szCs w:val="20"/>
          <w:b w:val="1"/>
          <w:bCs w:val="1"/>
          <w:color w:val="auto"/>
        </w:rPr>
      </w:pPr>
    </w:p>
    <w:p>
      <w:pPr>
        <w:ind w:left="1080" w:hanging="424"/>
        <w:spacing w:after="0"/>
        <w:tabs>
          <w:tab w:leader="none" w:pos="108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ACKNOWLEDGEMENTS. </w:t>
      </w:r>
      <w:r>
        <w:rPr>
          <w:rFonts w:ascii="Arial" w:cs="Arial" w:eastAsia="Arial" w:hAnsi="Arial"/>
          <w:sz w:val="20"/>
          <w:szCs w:val="20"/>
          <w:color w:val="auto"/>
        </w:rPr>
        <w:t>You hereby consent and acknowledge that:</w:t>
      </w:r>
    </w:p>
    <w:p>
      <w:pPr>
        <w:spacing w:after="0" w:line="221" w:lineRule="exact"/>
        <w:rPr>
          <w:rFonts w:ascii="Arial" w:cs="Arial" w:eastAsia="Arial" w:hAnsi="Arial"/>
          <w:sz w:val="20"/>
          <w:szCs w:val="20"/>
          <w:b w:val="1"/>
          <w:bCs w:val="1"/>
          <w:color w:val="auto"/>
        </w:rPr>
      </w:pPr>
    </w:p>
    <w:p>
      <w:pPr>
        <w:jc w:val="both"/>
        <w:ind w:firstLine="1304"/>
        <w:spacing w:after="0" w:line="259" w:lineRule="auto"/>
        <w:tabs>
          <w:tab w:leader="none" w:pos="1696" w:val="left"/>
        </w:tabs>
        <w:numPr>
          <w:ilvl w:val="1"/>
          <w:numId w:val="54"/>
        </w:numPr>
        <w:rPr>
          <w:rFonts w:ascii="Arial" w:cs="Arial" w:eastAsia="Arial" w:hAnsi="Arial"/>
          <w:sz w:val="19"/>
          <w:szCs w:val="19"/>
          <w:color w:val="auto"/>
        </w:rPr>
      </w:pPr>
      <w:r>
        <w:rPr>
          <w:rFonts w:ascii="Arial" w:cs="Arial" w:eastAsia="Arial" w:hAnsi="Arial"/>
          <w:sz w:val="19"/>
          <w:szCs w:val="19"/>
          <w:color w:val="auto"/>
        </w:rPr>
        <w:t>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w:t>
      </w:r>
    </w:p>
    <w:p>
      <w:pPr>
        <w:spacing w:after="0" w:line="178" w:lineRule="exact"/>
        <w:rPr>
          <w:rFonts w:ascii="Arial" w:cs="Arial" w:eastAsia="Arial" w:hAnsi="Arial"/>
          <w:sz w:val="19"/>
          <w:szCs w:val="19"/>
          <w:color w:val="auto"/>
        </w:rPr>
      </w:pPr>
    </w:p>
    <w:p>
      <w:pPr>
        <w:jc w:val="both"/>
        <w:ind w:firstLine="1304"/>
        <w:spacing w:after="0" w:line="246" w:lineRule="auto"/>
        <w:tabs>
          <w:tab w:leader="none" w:pos="1706"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723"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3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9" w:right="339" w:bottom="1440" w:gutter="0" w:footer="0" w:header="0"/>
        </w:sectPr>
      </w:pPr>
    </w:p>
    <w:bookmarkStart w:id="126" w:name="page127"/>
    <w:bookmarkEnd w:id="126"/>
    <w:p>
      <w:pPr>
        <w:ind w:left="-656" w:firstLine="1304"/>
        <w:spacing w:after="0" w:line="260" w:lineRule="auto"/>
        <w:tabs>
          <w:tab w:leader="none" w:pos="1266" w:val="left"/>
        </w:tabs>
        <w:numPr>
          <w:ilvl w:val="1"/>
          <w:numId w:val="55"/>
        </w:numPr>
        <w:rPr>
          <w:rFonts w:ascii="Arial" w:cs="Arial" w:eastAsia="Arial" w:hAnsi="Arial"/>
          <w:sz w:val="20"/>
          <w:szCs w:val="20"/>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color w:val="auto"/>
        </w:rPr>
      </w:pPr>
    </w:p>
    <w:p>
      <w:pPr>
        <w:ind w:left="-656" w:firstLine="1304"/>
        <w:spacing w:after="0" w:line="260" w:lineRule="auto"/>
        <w:tabs>
          <w:tab w:leader="none" w:pos="10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6" w:lineRule="exact"/>
        <w:rPr>
          <w:rFonts w:ascii="Arial" w:cs="Arial" w:eastAsia="Arial" w:hAnsi="Arial"/>
          <w:sz w:val="20"/>
          <w:szCs w:val="20"/>
          <w:color w:val="auto"/>
        </w:rPr>
      </w:pPr>
    </w:p>
    <w:p>
      <w:pPr>
        <w:ind w:left="-656" w:firstLine="1304"/>
        <w:spacing w:after="0" w:line="260" w:lineRule="auto"/>
        <w:tabs>
          <w:tab w:leader="none" w:pos="1112"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This Award Agreement will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color w:val="auto"/>
        </w:rPr>
      </w:pPr>
    </w:p>
    <w:p>
      <w:pPr>
        <w:jc w:val="both"/>
        <w:ind w:left="-656" w:firstLine="1304"/>
        <w:spacing w:after="0" w:line="250" w:lineRule="auto"/>
        <w:tabs>
          <w:tab w:leader="none" w:pos="1131"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79" w:lineRule="exact"/>
        <w:rPr>
          <w:rFonts w:ascii="Arial" w:cs="Arial" w:eastAsia="Arial" w:hAnsi="Arial"/>
          <w:sz w:val="20"/>
          <w:szCs w:val="20"/>
          <w:color w:val="auto"/>
        </w:rPr>
      </w:pPr>
    </w:p>
    <w:p>
      <w:pPr>
        <w:jc w:val="both"/>
        <w:ind w:left="-656" w:firstLine="656"/>
        <w:spacing w:after="0" w:line="243" w:lineRule="auto"/>
        <w:tabs>
          <w:tab w:leader="none" w:pos="50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PLAN DOCUMENT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9" w:lineRule="exact"/>
        <w:rPr>
          <w:rFonts w:ascii="Arial" w:cs="Arial" w:eastAsia="Arial" w:hAnsi="Arial"/>
          <w:sz w:val="20"/>
          <w:szCs w:val="20"/>
          <w:b w:val="1"/>
          <w:bCs w:val="1"/>
          <w:color w:val="auto"/>
        </w:rPr>
      </w:pPr>
    </w:p>
    <w:p>
      <w:pPr>
        <w:jc w:val="both"/>
        <w:ind w:left="-656" w:firstLine="656"/>
        <w:spacing w:after="0" w:line="285" w:lineRule="auto"/>
        <w:tabs>
          <w:tab w:leader="none" w:pos="44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the Award subject to this Award Agreement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50" w:lineRule="exact"/>
        <w:rPr>
          <w:rFonts w:ascii="Arial" w:cs="Arial" w:eastAsia="Arial" w:hAnsi="Arial"/>
          <w:sz w:val="18"/>
          <w:szCs w:val="18"/>
          <w:b w:val="1"/>
          <w:bCs w:val="1"/>
          <w:color w:val="auto"/>
        </w:rPr>
      </w:pPr>
    </w:p>
    <w:p>
      <w:pPr>
        <w:ind w:left="-656" w:right="20" w:firstLine="656"/>
        <w:spacing w:after="0" w:line="267" w:lineRule="auto"/>
        <w:tabs>
          <w:tab w:leader="none" w:pos="419"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CHOICE OF LAW. </w:t>
      </w:r>
      <w:r>
        <w:rPr>
          <w:rFonts w:ascii="Arial" w:cs="Arial" w:eastAsia="Arial" w:hAnsi="Arial"/>
          <w:sz w:val="20"/>
          <w:szCs w:val="20"/>
          <w:color w:val="auto"/>
        </w:rPr>
        <w:t>The interpretation, performance and enforcement of this Award Agreement will be governed by the law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Delaware without regard to that state’s conflicts of laws rules.</w:t>
      </w:r>
    </w:p>
    <w:p>
      <w:pPr>
        <w:spacing w:after="0" w:line="163" w:lineRule="exact"/>
        <w:rPr>
          <w:rFonts w:ascii="Arial" w:cs="Arial" w:eastAsia="Arial" w:hAnsi="Arial"/>
          <w:sz w:val="20"/>
          <w:szCs w:val="20"/>
          <w:b w:val="1"/>
          <w:bCs w:val="1"/>
          <w:color w:val="auto"/>
        </w:rPr>
      </w:pPr>
    </w:p>
    <w:p>
      <w:pPr>
        <w:jc w:val="both"/>
        <w:ind w:left="-656" w:firstLine="656"/>
        <w:spacing w:after="0" w:line="246" w:lineRule="auto"/>
        <w:tabs>
          <w:tab w:leader="none" w:pos="419"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If all or any part of this Award Agreement or the Plan is declared by any court or governmental authority to</w:t>
      </w:r>
      <w:r>
        <w:rPr>
          <w:rFonts w:ascii="Arial" w:cs="Arial" w:eastAsia="Arial" w:hAnsi="Arial"/>
          <w:sz w:val="20"/>
          <w:szCs w:val="20"/>
          <w:b w:val="1"/>
          <w:bCs w:val="1"/>
          <w:color w:val="auto"/>
        </w:rPr>
        <w:t xml:space="preserve"> </w:t>
      </w:r>
      <w:r>
        <w:rPr>
          <w:rFonts w:ascii="Arial" w:cs="Arial" w:eastAsia="Arial" w:hAnsi="Arial"/>
          <w:sz w:val="20"/>
          <w:szCs w:val="20"/>
          <w:color w:val="auto"/>
        </w:rPr>
        <w:t>be 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4" w:lineRule="exact"/>
        <w:rPr>
          <w:rFonts w:ascii="Arial" w:cs="Arial" w:eastAsia="Arial" w:hAnsi="Arial"/>
          <w:sz w:val="20"/>
          <w:szCs w:val="20"/>
          <w:b w:val="1"/>
          <w:bCs w:val="1"/>
          <w:color w:val="auto"/>
        </w:rPr>
      </w:pPr>
    </w:p>
    <w:p>
      <w:pPr>
        <w:jc w:val="both"/>
        <w:ind w:left="-656" w:firstLine="656"/>
        <w:spacing w:after="0" w:line="248" w:lineRule="auto"/>
        <w:tabs>
          <w:tab w:leader="none" w:pos="473"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of and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insider trading policy permitting directors and employees to sell shares only during certain “window” periods, in effect from time to time.</w:t>
      </w:r>
    </w:p>
    <w:p>
      <w:pPr>
        <w:spacing w:after="0" w:line="394"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339" w:right="339" w:bottom="1440" w:gutter="0" w:footer="0" w:header="0"/>
        </w:sectPr>
      </w:pPr>
    </w:p>
    <w:bookmarkStart w:id="127" w:name="page128"/>
    <w:bookmarkEnd w:id="127"/>
    <w:p>
      <w:pPr>
        <w:jc w:val="both"/>
        <w:ind w:left="-656" w:firstLine="656"/>
        <w:spacing w:after="0" w:line="257" w:lineRule="auto"/>
        <w:tabs>
          <w:tab w:leader="none" w:pos="50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This Award Agreement may not be modified, amended or terminated except by an instrument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you and by 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175" w:lineRule="exact"/>
        <w:rPr>
          <w:rFonts w:ascii="Arial" w:cs="Arial" w:eastAsia="Arial" w:hAnsi="Arial"/>
          <w:sz w:val="19"/>
          <w:szCs w:val="19"/>
          <w:b w:val="1"/>
          <w:bCs w:val="1"/>
          <w:color w:val="auto"/>
        </w:rPr>
      </w:pPr>
    </w:p>
    <w:p>
      <w:pPr>
        <w:jc w:val="both"/>
        <w:ind w:left="-656" w:firstLine="656"/>
        <w:spacing w:after="0" w:line="271" w:lineRule="auto"/>
        <w:tabs>
          <w:tab w:leader="none" w:pos="44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comply with the “short-term deferral”</w:t>
      </w:r>
      <w:r>
        <w:rPr>
          <w:rFonts w:ascii="Arial" w:cs="Arial" w:eastAsia="Arial" w:hAnsi="Arial"/>
          <w:sz w:val="18"/>
          <w:szCs w:val="18"/>
          <w:b w:val="1"/>
          <w:bCs w:val="1"/>
          <w:color w:val="auto"/>
        </w:rPr>
        <w:t xml:space="preserve"> </w:t>
      </w:r>
      <w:r>
        <w:rPr>
          <w:rFonts w:ascii="Arial" w:cs="Arial" w:eastAsia="Arial" w:hAnsi="Arial"/>
          <w:sz w:val="18"/>
          <w:szCs w:val="18"/>
          <w:color w:val="auto"/>
        </w:rPr>
        <w:t>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9" w:lineRule="exact"/>
        <w:rPr>
          <w:rFonts w:ascii="Arial" w:cs="Arial" w:eastAsia="Arial" w:hAnsi="Arial"/>
          <w:sz w:val="18"/>
          <w:szCs w:val="18"/>
          <w:b w:val="1"/>
          <w:bCs w:val="1"/>
          <w:color w:val="auto"/>
        </w:rPr>
      </w:pPr>
    </w:p>
    <w:p>
      <w:pPr>
        <w:jc w:val="both"/>
        <w:ind w:left="-656" w:firstLine="656"/>
        <w:spacing w:after="0" w:line="248" w:lineRule="auto"/>
        <w:tabs>
          <w:tab w:leader="none" w:pos="446"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making any 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b w:val="1"/>
          <w:bCs w:val="1"/>
          <w:color w:val="auto"/>
        </w:rPr>
      </w:pPr>
    </w:p>
    <w:p>
      <w:pPr>
        <w:jc w:val="both"/>
        <w:ind w:left="-656" w:firstLine="656"/>
        <w:spacing w:after="0" w:line="246" w:lineRule="auto"/>
        <w:tabs>
          <w:tab w:leader="none" w:pos="595"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ACCEPTANCE</w:t>
      </w:r>
      <w:r>
        <w:rPr>
          <w:rFonts w:ascii="Arial" w:cs="Arial" w:eastAsia="Arial" w:hAnsi="Arial"/>
          <w:sz w:val="20"/>
          <w:szCs w:val="20"/>
          <w:color w:val="auto"/>
        </w:rPr>
        <w:t>. The Company may, in its sole discretion, decide to deliver any</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w:t>
      </w:r>
    </w:p>
    <w:p>
      <w:pPr>
        <w:spacing w:after="0" w:line="184" w:lineRule="exact"/>
        <w:rPr>
          <w:rFonts w:ascii="Arial" w:cs="Arial" w:eastAsia="Arial" w:hAnsi="Arial"/>
          <w:sz w:val="20"/>
          <w:szCs w:val="20"/>
          <w:b w:val="1"/>
          <w:bCs w:val="1"/>
          <w:color w:val="auto"/>
        </w:rPr>
      </w:pPr>
    </w:p>
    <w:p>
      <w:pPr>
        <w:jc w:val="both"/>
        <w:ind w:left="-656" w:firstLine="656"/>
        <w:spacing w:after="0" w:line="253" w:lineRule="auto"/>
        <w:tabs>
          <w:tab w:leader="none" w:pos="541"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LANGUAGE</w:t>
      </w:r>
      <w:r>
        <w:rPr>
          <w:rFonts w:ascii="Arial" w:cs="Arial" w:eastAsia="Arial" w:hAnsi="Arial"/>
          <w:sz w:val="20"/>
          <w:szCs w:val="20"/>
          <w:color w:val="auto"/>
        </w:rPr>
        <w:t>. If you have received this Award Agreement, or any other document related to the Award and/or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20"/>
          <w:szCs w:val="20"/>
          <w:b w:val="1"/>
          <w:bCs w:val="1"/>
          <w:color w:val="auto"/>
        </w:rPr>
      </w:pPr>
    </w:p>
    <w:p>
      <w:pPr>
        <w:jc w:val="both"/>
        <w:ind w:left="-656" w:firstLine="656"/>
        <w:spacing w:after="0" w:line="248" w:lineRule="auto"/>
        <w:tabs>
          <w:tab w:leader="none" w:pos="4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COUNTRY APPENDIX</w:t>
      </w:r>
      <w:r>
        <w:rPr>
          <w:rFonts w:ascii="Arial" w:cs="Arial" w:eastAsia="Arial" w:hAnsi="Arial"/>
          <w:sz w:val="20"/>
          <w:szCs w:val="20"/>
          <w:color w:val="auto"/>
        </w:rPr>
        <w:t>. Notwithstanding any provisions in this Award Agreement, the Award grant shall be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terms and conditions set forth in the Appendix to this Award Agreement for your country. Moreover, if you relocate to one of the countries included in the Appendix, the special terms and conditions for such country will apply to you, to the extent the Company determines</w:t>
      </w:r>
    </w:p>
    <w:p>
      <w:pPr>
        <w:spacing w:after="0" w:line="394"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333" w:right="339" w:bottom="1440" w:gutter="0" w:footer="0" w:header="0"/>
        </w:sectPr>
      </w:pPr>
    </w:p>
    <w:bookmarkStart w:id="128" w:name="page129"/>
    <w:bookmarkEnd w:id="128"/>
    <w:p>
      <w:pPr>
        <w:spacing w:after="0" w:line="260" w:lineRule="auto"/>
        <w:rPr>
          <w:sz w:val="20"/>
          <w:szCs w:val="20"/>
          <w:color w:val="auto"/>
        </w:rPr>
      </w:pPr>
      <w:r>
        <w:rPr>
          <w:rFonts w:ascii="Arial" w:cs="Arial" w:eastAsia="Arial" w:hAnsi="Arial"/>
          <w:sz w:val="20"/>
          <w:szCs w:val="20"/>
          <w:color w:val="auto"/>
        </w:rPr>
        <w:t>that the application of such terms and conditions is necessary or advisable for legal or administrative reasons. The Appendix constitutes part of this Award Agreement.</w:t>
      </w:r>
    </w:p>
    <w:p>
      <w:pPr>
        <w:spacing w:after="0" w:line="171" w:lineRule="exact"/>
        <w:rPr>
          <w:sz w:val="20"/>
          <w:szCs w:val="20"/>
          <w:color w:val="auto"/>
        </w:rPr>
      </w:pPr>
    </w:p>
    <w:p>
      <w:pPr>
        <w:jc w:val="both"/>
        <w:ind w:firstLine="656"/>
        <w:spacing w:after="0" w:line="248" w:lineRule="auto"/>
        <w:tabs>
          <w:tab w:leader="none" w:pos="1183"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your</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Award and on any shares of stock acquired upon vesting of the Award,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Award Agreement will be deemed to be signed by the Company and the Participant upon the signing or electronic acceptance by the Participant of the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9" w:right="339" w:bottom="1440" w:gutter="0" w:footer="0" w:header="0"/>
        </w:sectPr>
      </w:pPr>
    </w:p>
    <w:bookmarkStart w:id="129" w:name="page130"/>
    <w:bookmarkEnd w:id="129"/>
    <w:p>
      <w:pPr>
        <w:ind w:left="9960"/>
        <w:spacing w:after="0"/>
        <w:rPr>
          <w:sz w:val="20"/>
          <w:szCs w:val="20"/>
          <w:color w:val="auto"/>
        </w:rPr>
      </w:pPr>
      <w:r>
        <w:rPr>
          <w:rFonts w:ascii="Arial" w:cs="Arial" w:eastAsia="Arial" w:hAnsi="Arial"/>
          <w:sz w:val="21"/>
          <w:szCs w:val="21"/>
          <w:color w:val="auto"/>
        </w:rPr>
        <w:t>APPENDIX A</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MONGODB, INC.</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2016 EQUITY INCENTIVE PLAN</w:t>
      </w:r>
    </w:p>
    <w:p>
      <w:pPr>
        <w:jc w:val="center"/>
        <w:ind w:left="640"/>
        <w:spacing w:after="0"/>
        <w:rPr>
          <w:sz w:val="20"/>
          <w:szCs w:val="20"/>
          <w:color w:val="auto"/>
        </w:rPr>
      </w:pPr>
      <w:r>
        <w:rPr>
          <w:rFonts w:ascii="Arial" w:cs="Arial" w:eastAsia="Arial" w:hAnsi="Arial"/>
          <w:sz w:val="20"/>
          <w:szCs w:val="20"/>
          <w:b w:val="1"/>
          <w:bCs w:val="1"/>
          <w:color w:val="auto"/>
        </w:rPr>
        <w:t>AWARD AGREEMENT</w:t>
      </w:r>
    </w:p>
    <w:p>
      <w:pPr>
        <w:jc w:val="center"/>
        <w:ind w:left="640"/>
        <w:spacing w:after="0"/>
        <w:rPr>
          <w:sz w:val="20"/>
          <w:szCs w:val="20"/>
          <w:color w:val="auto"/>
        </w:rPr>
      </w:pPr>
      <w:r>
        <w:rPr>
          <w:rFonts w:ascii="Arial" w:cs="Arial" w:eastAsia="Arial" w:hAnsi="Arial"/>
          <w:sz w:val="20"/>
          <w:szCs w:val="20"/>
          <w:b w:val="1"/>
          <w:bCs w:val="1"/>
          <w:color w:val="auto"/>
        </w:rPr>
        <w:t>(RESTRICTED STOCK UNITS)</w:t>
      </w:r>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Appendix includes additional terms and conditions that govern the Award granted to you under the Plan if you reside in one of the countries listed below. Capitalized terms used but not defined in this Appendix have the meanings set forth in the Plan and/or the Award Agreement.</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Award vests or you sell shares acquired under the Plan. In addition, the information contained herein is general in nature and may not apply to your particular situation and the Company is not in a position to assure a particular result. Accordingly, the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ARGENTINA</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w:t>
      </w:r>
      <w:r>
        <w:rPr>
          <w:rFonts w:ascii="Arial" w:cs="Arial" w:eastAsia="Arial" w:hAnsi="Arial"/>
          <w:sz w:val="19"/>
          <w:szCs w:val="19"/>
          <w:i w:val="1"/>
          <w:iCs w:val="1"/>
          <w:color w:val="auto"/>
        </w:rPr>
        <w:t>e.g.</w:t>
      </w:r>
      <w:r>
        <w:rPr>
          <w:rFonts w:ascii="Arial" w:cs="Arial" w:eastAsia="Arial" w:hAnsi="Arial"/>
          <w:sz w:val="19"/>
          <w:szCs w:val="19"/>
          <w:color w:val="auto"/>
        </w:rPr>
        <w:t>, evidence of the sale, proof of the source of the funds used to purchase the shares, etc.). You are solely responsible for complying with the exchange control rules 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 subject to change without notice.</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48" w:right="3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Argentinian residents must report any shares acquired under the Plan and held by the resident on December 31 of each year on their annual tax return for that year.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AUSTRALIA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162"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The offering and resale of shares acquired under the Plan to a person or entity resident in Australia may be subject to disclosure requirements under Australian law. You should obtain legal advice regarding any applicable disclosure requirements prior to making any such offer.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Offer of Stock Awards</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Board, in its absolute discretion, may make a written offer to an eligible person who is an Australian Resident (each such offeree being referred to in this Appendix A as a “Participant”) it chooses to accept an Award.</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offer shall specify the maximum number of shares subject to an Award which you may accept, the Date of Grant, the Expiration Date, the vesting conditions (if any), any applicable holding period and any disposal restrictions attaching to the Award or the resultant Common Stock (all of which may be set by the Board in its absolute discretion).</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offer is intended to receive tax deferred treatment under Subdivision 83A-C of the Income Tax Assessment Act 1997(Cth). The conditions to receive such treatment are contained in this Appendix A.</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offer shall be accompanied by an acceptance form and a copy of the Plan and this Appendix A or, alternatively, details on how you may obtain a copy of the Plan and this Appendix 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Grant of Awards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you validly accept the Board’s offer of an Award, the Board must grant you an Award for the number of shares for which the Award was accepted. However, the Board must </w:t>
      </w:r>
      <w:r>
        <w:rPr>
          <w:rFonts w:ascii="Arial" w:cs="Arial" w:eastAsia="Arial" w:hAnsi="Arial"/>
          <w:sz w:val="20"/>
          <w:szCs w:val="20"/>
          <w:i w:val="1"/>
          <w:iCs w:val="1"/>
          <w:color w:val="auto"/>
        </w:rPr>
        <w:t>not</w:t>
      </w:r>
      <w:r>
        <w:rPr>
          <w:rFonts w:ascii="Arial" w:cs="Arial" w:eastAsia="Arial" w:hAnsi="Arial"/>
          <w:sz w:val="20"/>
          <w:szCs w:val="20"/>
          <w:color w:val="auto"/>
        </w:rPr>
        <w:t xml:space="preserve"> do so if you have ceased to be an eligible person at the date when the Award is to be granted or the Company is otherwise prohibited from doing so under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(Cth) (the “</w:t>
      </w:r>
      <w:r>
        <w:rPr>
          <w:rFonts w:ascii="Arial" w:cs="Arial" w:eastAsia="Arial" w:hAnsi="Arial"/>
          <w:sz w:val="20"/>
          <w:szCs w:val="20"/>
          <w:b w:val="1"/>
          <w:bCs w:val="1"/>
          <w:i w:val="1"/>
          <w:iCs w:val="1"/>
          <w:color w:val="auto"/>
        </w:rPr>
        <w:t>Corporations Act</w:t>
      </w:r>
      <w:r>
        <w:rPr>
          <w:rFonts w:ascii="Arial" w:cs="Arial" w:eastAsia="Arial" w:hAnsi="Arial"/>
          <w:sz w:val="20"/>
          <w:szCs w:val="20"/>
          <w:color w:val="auto"/>
        </w:rPr>
        <w:t>”) without a disclosure document, product disclosure statement or similar document.</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must provide an Award Agreement in respect of the Award granted to the Participant to be executed by the Participant as soon as practicable after the date of grant.</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Awards granted to Participants under this Appendix A that are Options must not have an Expiration Date exceeding fifteen (15) years from the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Deferred Treatment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Ordinary shares</w:t>
      </w:r>
      <w:r>
        <w:rPr>
          <w:rFonts w:ascii="Arial" w:cs="Arial" w:eastAsia="Arial" w:hAnsi="Arial"/>
          <w:sz w:val="20"/>
          <w:szCs w:val="20"/>
          <w:color w:val="auto"/>
        </w:rPr>
        <w:t>. Awards issued to a Participant under this Appendix A must relate to ordinary shares. For the purpose of this Appendix A,</w:t>
      </w:r>
      <w:r>
        <w:rPr>
          <w:rFonts w:ascii="Arial" w:cs="Arial" w:eastAsia="Arial" w:hAnsi="Arial"/>
          <w:sz w:val="20"/>
          <w:szCs w:val="20"/>
          <w:i w:val="1"/>
          <w:iCs w:val="1"/>
          <w:color w:val="auto"/>
        </w:rPr>
        <w:t xml:space="preserve"> </w:t>
      </w:r>
      <w:r>
        <w:rPr>
          <w:rFonts w:ascii="Arial" w:cs="Arial" w:eastAsia="Arial" w:hAnsi="Arial"/>
          <w:sz w:val="20"/>
          <w:szCs w:val="20"/>
          <w:color w:val="auto"/>
        </w:rPr>
        <w:t>ordinary shares shall be defined in accordance with its ordinary meaning under Australian law.</w:t>
      </w:r>
    </w:p>
    <w:p>
      <w:pPr>
        <w:spacing w:after="0" w:line="3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68" w:right="339" w:bottom="1440" w:gutter="0" w:footer="0" w:header="0"/>
        </w:sectPr>
      </w:pPr>
    </w:p>
    <w:bookmarkStart w:id="131" w:name="page132"/>
    <w:bookmarkEnd w:id="131"/>
    <w:p>
      <w:pPr>
        <w:jc w:val="both"/>
        <w:spacing w:after="0" w:line="316" w:lineRule="auto"/>
        <w:rPr>
          <w:sz w:val="20"/>
          <w:szCs w:val="20"/>
          <w:color w:val="auto"/>
        </w:rPr>
      </w:pPr>
      <w:r>
        <w:rPr>
          <w:rFonts w:ascii="Arial" w:cs="Arial" w:eastAsia="Arial" w:hAnsi="Arial"/>
          <w:sz w:val="18"/>
          <w:szCs w:val="18"/>
          <w:i w:val="1"/>
          <w:iCs w:val="1"/>
          <w:color w:val="auto"/>
        </w:rPr>
        <w:t>Predominant business of the Company</w:t>
      </w:r>
      <w:r>
        <w:rPr>
          <w:rFonts w:ascii="Arial" w:cs="Arial" w:eastAsia="Arial" w:hAnsi="Arial"/>
          <w:sz w:val="18"/>
          <w:szCs w:val="18"/>
          <w:color w:val="auto"/>
        </w:rPr>
        <w:t>. Awards must not be issued to Participants where those Awards relate to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company that has a predominant business of the acquisition, sale or holding of shares, securities or other investments.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Real risk of forfeiture</w:t>
      </w:r>
      <w:r>
        <w:rPr>
          <w:rFonts w:ascii="Arial" w:cs="Arial" w:eastAsia="Arial" w:hAnsi="Arial"/>
          <w:sz w:val="19"/>
          <w:szCs w:val="19"/>
          <w:color w:val="auto"/>
        </w:rPr>
        <w:t>. Awards that are Restricted Stock Units issued to a Participant under this Appendix A must have a real risk of</w:t>
      </w:r>
      <w:r>
        <w:rPr>
          <w:rFonts w:ascii="Arial" w:cs="Arial" w:eastAsia="Arial" w:hAnsi="Arial"/>
          <w:sz w:val="19"/>
          <w:szCs w:val="19"/>
          <w:i w:val="1"/>
          <w:iCs w:val="1"/>
          <w:color w:val="auto"/>
        </w:rPr>
        <w:t xml:space="preserve"> </w:t>
      </w:r>
      <w:r>
        <w:rPr>
          <w:rFonts w:ascii="Arial" w:cs="Arial" w:eastAsia="Arial" w:hAnsi="Arial"/>
          <w:sz w:val="19"/>
          <w:szCs w:val="19"/>
          <w:color w:val="auto"/>
        </w:rPr>
        <w:t>forfeiture, the Vesting conditions by which this risk is achieved is to be determined by the Board in its absolute discretion.</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10% limit on shareholding and voting power</w:t>
      </w:r>
      <w:r>
        <w:rPr>
          <w:rFonts w:ascii="Arial" w:cs="Arial" w:eastAsia="Arial" w:hAnsi="Arial"/>
          <w:sz w:val="19"/>
          <w:szCs w:val="19"/>
          <w:color w:val="auto"/>
        </w:rPr>
        <w:t>. Immediately after you acquire the Awards, you must not: (i) hold a beneficial interest in more</w:t>
      </w:r>
      <w:r>
        <w:rPr>
          <w:rFonts w:ascii="Arial" w:cs="Arial" w:eastAsia="Arial" w:hAnsi="Arial"/>
          <w:sz w:val="19"/>
          <w:szCs w:val="19"/>
          <w:i w:val="1"/>
          <w:iCs w:val="1"/>
          <w:color w:val="auto"/>
        </w:rPr>
        <w:t xml:space="preserve"> </w:t>
      </w:r>
      <w:r>
        <w:rPr>
          <w:rFonts w:ascii="Arial" w:cs="Arial" w:eastAsia="Arial" w:hAnsi="Arial"/>
          <w:sz w:val="19"/>
          <w:szCs w:val="19"/>
          <w:color w:val="auto"/>
        </w:rPr>
        <w:t>than 10% of the 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 into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AUSTRIA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Austria.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Consumer Protection Information</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may be entitled to revoke the Award Agreement on the basis of the Austrian Consumer Protection Act (the “Act”) under the conditions listed below, if the Act is considered to be applicable to this Award Agreement and the Plan:</w:t>
      </w:r>
    </w:p>
    <w:p>
      <w:pPr>
        <w:spacing w:after="0" w:line="123" w:lineRule="exact"/>
        <w:rPr>
          <w:sz w:val="20"/>
          <w:szCs w:val="20"/>
          <w:color w:val="auto"/>
        </w:rPr>
      </w:pPr>
    </w:p>
    <w:p>
      <w:pPr>
        <w:ind w:left="820" w:hanging="488"/>
        <w:spacing w:after="0"/>
        <w:tabs>
          <w:tab w:leader="none" w:pos="8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revocation must be made within one week after the acceptance of the Award Agreement.</w:t>
      </w:r>
    </w:p>
    <w:p>
      <w:pPr>
        <w:spacing w:after="0" w:line="161" w:lineRule="exact"/>
        <w:rPr>
          <w:rFonts w:ascii="Arial" w:cs="Arial" w:eastAsia="Arial" w:hAnsi="Arial"/>
          <w:sz w:val="20"/>
          <w:szCs w:val="20"/>
          <w:color w:val="auto"/>
        </w:rPr>
      </w:pPr>
    </w:p>
    <w:p>
      <w:pPr>
        <w:jc w:val="both"/>
        <w:ind w:left="820" w:hanging="488"/>
        <w:spacing w:after="0" w:line="250" w:lineRule="auto"/>
        <w:tabs>
          <w:tab w:leader="none" w:pos="8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 certain thresholds are exceeded. You are encouraged to consult your personal legal or tax advisor to understand how these rules apply to your particular situation.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BELGIUM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this Award under the Plan is exempt from the requirement to publish a prospectus under the EU Prospectus Directive as implemented in Belgium.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Withholding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Your employer is generally required to withhold income taxes or social insurances, as applicable, for the grant of this Award under the Plan.</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9"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supplement Section 17 of this Award Agreement.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 to you.</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Compliance with Law</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21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If you are a resident or domiciled in Brazil, you will be required to submit an annual declaration of assets and rights held outside of Brazil, including any shares of Common Stock acquired under the Plan, to the Central Bank of Brazil if the aggregate value of such assets and rights equals or exceeds US $100,000. Foreign individuals holding Brazilian visas are considered Brazilian residents for purposes of this reporting requirement and must declare at least the assets held abroad that were acquired subsequent to the date of admittance as a resident of Brazil.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on Financial Transaction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Notice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Disclaimer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grant of the Award is exempt from the requirement to publish a prospectus under current rules as implemented in Bulgaria.</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3"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CANADA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supplements Section 17 of the Award Agreement: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Language Consent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Consentement relatif à la langue utilisée</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Canadian residents are required to report any foreign property (</w:t>
      </w:r>
      <w:r>
        <w:rPr>
          <w:rFonts w:ascii="Arial" w:cs="Arial" w:eastAsia="Arial" w:hAnsi="Arial"/>
          <w:sz w:val="19"/>
          <w:szCs w:val="19"/>
          <w:i w:val="1"/>
          <w:iCs w:val="1"/>
          <w:color w:val="auto"/>
        </w:rPr>
        <w:t>e.g.</w:t>
      </w:r>
      <w:r>
        <w:rPr>
          <w:rFonts w:ascii="Arial" w:cs="Arial" w:eastAsia="Arial" w:hAnsi="Arial"/>
          <w:sz w:val="19"/>
          <w:szCs w:val="19"/>
          <w:color w:val="auto"/>
        </w:rPr>
        <w:t>,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 your own personal tax advisor in this regard.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Settlement of Award</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in the Plan or this Award Agreement, Restricted Stock Units granted to Canadian Participants shall only be settled in shares of stock and shall not be settled in cash.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DENMARK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Disclosure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current rules as implemented in Denmark.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Labor/Employment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IMPORTANT – STATEMENT UNDER SECTION 3(1) OF THE ACT ON STOCK OPTIONS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Pursuant to Section 3(1) of the Act on Stock Options in employment relations (the "Stock Option Act"), you are entitled to receive information regarding the Plan in a separate written statement in Danish.</w:t>
      </w:r>
    </w:p>
    <w:p>
      <w:pPr>
        <w:spacing w:after="0" w:line="38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3" w:right="339" w:bottom="1440" w:gutter="0" w:footer="0" w:header="0"/>
        </w:sectPr>
      </w:pPr>
    </w:p>
    <w:bookmarkStart w:id="134" w:name="page135"/>
    <w:bookmarkEnd w:id="134"/>
    <w:p>
      <w:pPr>
        <w:jc w:val="both"/>
        <w:ind w:right="20"/>
        <w:spacing w:after="0" w:line="260" w:lineRule="auto"/>
        <w:rPr>
          <w:sz w:val="20"/>
          <w:szCs w:val="20"/>
          <w:color w:val="auto"/>
        </w:rPr>
      </w:pPr>
      <w:r>
        <w:rPr>
          <w:rFonts w:ascii="Arial" w:cs="Arial" w:eastAsia="Arial" w:hAnsi="Arial"/>
          <w:sz w:val="20"/>
          <w:szCs w:val="20"/>
          <w:color w:val="auto"/>
        </w:rPr>
        <w:t>The full statement containing the information about your rights under the Plan and the Stock Option Act is attached as a separate written statement to this Award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Taxation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participation in the Plan is covered by the Danish Tax Assessment Act section 7P. The tax treatment is intended to be accordingly beneficial to the extent provided under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Finland.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Awards Not Tax-Qualified</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Award is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intended to be a tax-qualified or tax-preferred award, including without limitation, under Sections L. 225-197-1 to L. 225-197-6 of the French Commercial Code. You are encouraged to consult with a personal tax advisor to understand the tax and social insurance implications of the Award.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Withholding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As from January 1, 2019, vesting of the Award will give rise to income tax withholding in France.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France.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Information</w:t>
      </w:r>
    </w:p>
    <w:p>
      <w:pPr>
        <w:spacing w:after="0" w:line="16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Germany.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Cross-border payments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In the event that you make or receive a payment in excess of this amount, you are required to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(www.bundesbank.de).</w:t>
      </w:r>
    </w:p>
    <w:p>
      <w:pPr>
        <w:spacing w:after="0" w:line="30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9"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HONG KONG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Notice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 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 of Shares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Occupational Retirement Schemes Ordinance Alert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specifically intends that neither the Award nor the Plan will be considered or deemed an occupational retirement scheme for purposes of the Occupational Retirement Schemes Ordinance (“ORSO”).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must repatriate to India all funds resulting from the sale of shares of stock within 90 days and all proceeds from the receipt of any dividends within 180 days. You will receive a foreign inward remittance certificate (“FIRC”) from the bank where you deposits the foreign currency. You should maintain the FIRC as evidence of the repatriation of funds in the event that the Reserve Bank of India or your employer requests proof of repatriation.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IRELAND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Taxation: General</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tax and social security consequences of participating in the Plan are based on complex tax and social security laws, which may be subject to varying 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w:t>
      </w:r>
    </w:p>
    <w:p>
      <w:pPr>
        <w:spacing w:after="0" w:line="3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3" w:right="3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u w:val="single" w:color="auto"/>
          <w:color w:val="auto"/>
        </w:rPr>
        <w:t>Tax Withholding</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w:t>
      </w:r>
      <w:r>
        <w:rPr>
          <w:rFonts w:ascii="Arial" w:cs="Arial" w:eastAsia="Arial" w:hAnsi="Arial"/>
          <w:sz w:val="20"/>
          <w:szCs w:val="20"/>
          <w:b w:val="1"/>
          <w:bCs w:val="1"/>
          <w:color w:val="auto"/>
        </w:rPr>
        <w:t>Taxes</w:t>
      </w:r>
      <w:r>
        <w:rPr>
          <w:rFonts w:ascii="Arial" w:cs="Arial" w:eastAsia="Arial" w:hAnsi="Arial"/>
          <w:sz w:val="20"/>
          <w:szCs w:val="20"/>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indemnity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w:t>
      </w:r>
      <w:r>
        <w:rPr>
          <w:rFonts w:ascii="Arial" w:cs="Arial" w:eastAsia="Arial" w:hAnsi="Arial"/>
          <w:sz w:val="18"/>
          <w:szCs w:val="18"/>
          <w:b w:val="1"/>
          <w:bCs w:val="1"/>
          <w:color w:val="auto"/>
        </w:rPr>
        <w:t>Tax Liabilities</w:t>
      </w:r>
      <w:r>
        <w:rPr>
          <w:rFonts w:ascii="Arial" w:cs="Arial" w:eastAsia="Arial" w:hAnsi="Arial"/>
          <w:sz w:val="18"/>
          <w:szCs w:val="18"/>
          <w:color w:val="auto"/>
        </w:rPr>
        <w:t>”).</w:t>
      </w:r>
    </w:p>
    <w:p>
      <w:pPr>
        <w:spacing w:after="0" w:line="1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Pursuant to the indemnity referred to in the preceding paragraph, where necessary, you shall make such arrangements, as the Company requires to meet the cost of the Tax Liabilities, including at the direction of the Company any of the following:</w:t>
      </w:r>
    </w:p>
    <w:p>
      <w:pPr>
        <w:spacing w:after="0" w:line="150" w:lineRule="exact"/>
        <w:rPr>
          <w:sz w:val="20"/>
          <w:szCs w:val="20"/>
          <w:color w:val="auto"/>
        </w:rPr>
      </w:pPr>
    </w:p>
    <w:p>
      <w:pPr>
        <w:jc w:val="both"/>
        <w:ind w:left="620" w:firstLine="657"/>
        <w:spacing w:after="0" w:line="265" w:lineRule="auto"/>
        <w:tabs>
          <w:tab w:leader="none" w:pos="1823" w:val="left"/>
        </w:tabs>
        <w:numPr>
          <w:ilvl w:val="0"/>
          <w:numId w:val="60"/>
        </w:numPr>
        <w:rPr>
          <w:rFonts w:ascii="Arial" w:cs="Arial" w:eastAsia="Arial" w:hAnsi="Arial"/>
          <w:sz w:val="22"/>
          <w:szCs w:val="22"/>
          <w:color w:val="auto"/>
        </w:rPr>
      </w:pPr>
      <w:r>
        <w:rPr>
          <w:rFonts w:ascii="Arial" w:cs="Arial" w:eastAsia="Arial" w:hAnsi="Arial"/>
          <w:sz w:val="20"/>
          <w:szCs w:val="20"/>
          <w:color w:val="auto"/>
        </w:rPr>
        <w:t>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w:t>
      </w:r>
    </w:p>
    <w:p>
      <w:pPr>
        <w:spacing w:after="0" w:line="157" w:lineRule="exact"/>
        <w:rPr>
          <w:rFonts w:ascii="Arial" w:cs="Arial" w:eastAsia="Arial" w:hAnsi="Arial"/>
          <w:sz w:val="22"/>
          <w:szCs w:val="22"/>
          <w:color w:val="auto"/>
        </w:rPr>
      </w:pPr>
    </w:p>
    <w:p>
      <w:pPr>
        <w:jc w:val="both"/>
        <w:ind w:left="620" w:firstLine="657"/>
        <w:spacing w:after="0" w:line="266" w:lineRule="auto"/>
        <w:tabs>
          <w:tab w:leader="none" w:pos="1740" w:val="left"/>
        </w:tabs>
        <w:numPr>
          <w:ilvl w:val="0"/>
          <w:numId w:val="60"/>
        </w:numPr>
        <w:rPr>
          <w:rFonts w:ascii="Arial" w:cs="Arial" w:eastAsia="Arial" w:hAnsi="Arial"/>
          <w:sz w:val="22"/>
          <w:szCs w:val="22"/>
          <w:color w:val="auto"/>
        </w:rPr>
      </w:pPr>
      <w:r>
        <w:rPr>
          <w:rFonts w:ascii="Arial" w:cs="Arial" w:eastAsia="Arial" w:hAnsi="Arial"/>
          <w:sz w:val="20"/>
          <w:szCs w:val="20"/>
          <w:color w:val="auto"/>
        </w:rPr>
        <w:t>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Law - Notification Obligation</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 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 exemption also applies to company secretaries.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the Award is exempt or excluded from the requirement to publish a prospectus under the EU Prospectus Directive as implemented in Ireland.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Employment</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acknowledge that your terms of employment shall not be affected in any way by your participation of the Plan, which shall not form part of such terms (either expressly or impliedly). You acknowledge that your participation in the Plan shall be subject at all times to the rules of the Plan as may be amended from time</w:t>
      </w:r>
    </w:p>
    <w:p>
      <w:pPr>
        <w:spacing w:after="0" w:line="33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9" w:right="339" w:bottom="1440" w:gutter="0" w:footer="0" w:header="0"/>
        </w:sectPr>
      </w:pPr>
    </w:p>
    <w:bookmarkStart w:id="137" w:name="page138"/>
    <w:bookmarkEnd w:id="137"/>
    <w:p>
      <w:pPr>
        <w:jc w:val="both"/>
        <w:spacing w:after="0" w:line="246" w:lineRule="auto"/>
        <w:rPr>
          <w:sz w:val="20"/>
          <w:szCs w:val="20"/>
          <w:color w:val="auto"/>
        </w:rPr>
      </w:pPr>
      <w:r>
        <w:rPr>
          <w:rFonts w:ascii="Arial" w:cs="Arial" w:eastAsia="Arial" w:hAnsi="Arial"/>
          <w:sz w:val="20"/>
          <w:szCs w:val="20"/>
          <w:color w:val="auto"/>
        </w:rPr>
        <w:t>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 terminated), you hereby acknowledge that you shall be entitled to (and hereby waive) any compensation for the loss of any rights or benefits under the Plan, or any replacement or successor plan.</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ISRAEL</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Restricted Stock Units granted to employees of the Israeli subsidiary of the Company will be subject to the provisions of the Plan and the Appendix for Israeli Participants. Restricted Stock Units are meant to be granted under the trustee capital gains route pursuant to section 102(b)(2) and 102(b)(3) of the Israeli Income Tax Ordinance [New Version] 1961 (“</w:t>
      </w:r>
      <w:r>
        <w:rPr>
          <w:rFonts w:ascii="Arial" w:cs="Arial" w:eastAsia="Arial" w:hAnsi="Arial"/>
          <w:sz w:val="18"/>
          <w:szCs w:val="18"/>
          <w:b w:val="1"/>
          <w:bCs w:val="1"/>
          <w:i w:val="1"/>
          <w:iCs w:val="1"/>
          <w:color w:val="auto"/>
        </w:rPr>
        <w:t>Section 102</w:t>
      </w:r>
      <w:r>
        <w:rPr>
          <w:rFonts w:ascii="Arial" w:cs="Arial" w:eastAsia="Arial" w:hAnsi="Arial"/>
          <w:sz w:val="18"/>
          <w:szCs w:val="18"/>
          <w:b w:val="1"/>
          <w:bCs w:val="1"/>
          <w:color w:val="auto"/>
        </w:rPr>
        <w:t>”</w:t>
      </w:r>
      <w:r>
        <w:rPr>
          <w:rFonts w:ascii="Arial" w:cs="Arial" w:eastAsia="Arial" w:hAnsi="Arial"/>
          <w:sz w:val="18"/>
          <w:szCs w:val="18"/>
          <w:color w:val="auto"/>
        </w:rPr>
        <w:t>).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 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 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 violation of the terms of Section 102 and agree to bear the relevant sanctions.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Trust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 (the “</w:t>
      </w:r>
      <w:r>
        <w:rPr>
          <w:rFonts w:ascii="Arial" w:cs="Arial" w:eastAsia="Arial" w:hAnsi="Arial"/>
          <w:sz w:val="19"/>
          <w:szCs w:val="19"/>
          <w:b w:val="1"/>
          <w:bCs w:val="1"/>
          <w:i w:val="1"/>
          <w:iCs w:val="1"/>
          <w:color w:val="auto"/>
        </w:rPr>
        <w:t>Additional Rights</w:t>
      </w:r>
      <w:r>
        <w:rPr>
          <w:rFonts w:ascii="Arial" w:cs="Arial" w:eastAsia="Arial" w:hAnsi="Arial"/>
          <w:sz w:val="19"/>
          <w:szCs w:val="19"/>
          <w:color w:val="auto"/>
        </w:rPr>
        <w:t>”) shall be issued to or controlled by the Trustee for your benefit under the provisions of Section 102 pursuant to the capital gains route for at least the period stated in Section 102 of the Ordinance and the Income Tax Rules (Tax Benefits in Share Issuance to Employees) 5763-2003 (the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In the event the Restricted Stock Units or underlying shares of Common Stock do not meet the requirements of Section 102, such Restricted Stock Units and the underlying shares of Common Stock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you and</w:t>
      </w:r>
    </w:p>
    <w:p>
      <w:pPr>
        <w:spacing w:after="0" w:line="3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9" w:right="339" w:bottom="1440" w:gutter="0" w:footer="0" w:header="0"/>
        </w:sectPr>
      </w:pPr>
    </w:p>
    <w:bookmarkStart w:id="138" w:name="page139"/>
    <w:bookmarkEnd w:id="138"/>
    <w:p>
      <w:pPr>
        <w:jc w:val="both"/>
        <w:spacing w:after="0" w:line="244" w:lineRule="auto"/>
        <w:rPr>
          <w:sz w:val="20"/>
          <w:szCs w:val="20"/>
          <w:color w:val="auto"/>
        </w:rPr>
      </w:pPr>
      <w:r>
        <w:rPr>
          <w:rFonts w:ascii="Arial" w:cs="Arial" w:eastAsia="Arial" w:hAnsi="Arial"/>
          <w:sz w:val="20"/>
          <w:szCs w:val="20"/>
          <w:color w:val="auto"/>
        </w:rPr>
        <w:t>the Trustee and/or the Company 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 Holding Period, the sanctions under Section 102 shall apply to and shall be borne by you.</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 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 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 Common Stock if you fail to comply with your obligations in connection with the taxes as described in this section. The tax treatment of any Restricted Stock Units not guaranteed and although a Restricted Stock Unit may be granted under a certain tax route, they may become subject to a different tax route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ITALY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options is exempt from the requirement to publish a prospectus under the EU Prospectus Directive as implemented in Italy.</w:t>
      </w:r>
    </w:p>
    <w:p>
      <w:pPr>
        <w:spacing w:after="0" w:line="179"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KOREA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Assets Reporting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 personal tax advisor to determine how to value your foreign accounts for purposes of this reporting requirement and whether you are required to file a report with respect to such accounts.</w:t>
      </w:r>
    </w:p>
    <w:p>
      <w:pPr>
        <w:spacing w:after="0" w:line="3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9"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MEXICO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These provisions supplement Section 17 of the Award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Modification. </w:t>
      </w:r>
      <w:r>
        <w:rPr>
          <w:rFonts w:ascii="Arial" w:cs="Arial" w:eastAsia="Arial" w:hAnsi="Arial"/>
          <w:sz w:val="20"/>
          <w:szCs w:val="20"/>
          <w:color w:val="auto"/>
        </w:rPr>
        <w:t>By accepting the Award, you understand and agree that any modification of the Plan or the Award Agreement or its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shall not constitute a change or impairment of the terms and conditions of your employment.</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Policy Statement. </w:t>
      </w:r>
      <w:r>
        <w:rPr>
          <w:rFonts w:ascii="Arial" w:cs="Arial" w:eastAsia="Arial" w:hAnsi="Arial"/>
          <w:sz w:val="20"/>
          <w:szCs w:val="20"/>
          <w:color w:val="auto"/>
        </w:rPr>
        <w:t>The grant of the Award made under the Plan is unilateral and discretionary and, therefore, the Company reserves the</w:t>
      </w:r>
      <w:r>
        <w:rPr>
          <w:rFonts w:ascii="Arial" w:cs="Arial" w:eastAsia="Arial" w:hAnsi="Arial"/>
          <w:sz w:val="20"/>
          <w:szCs w:val="20"/>
          <w:i w:val="1"/>
          <w:iCs w:val="1"/>
          <w:color w:val="auto"/>
        </w:rPr>
        <w:t xml:space="preserve"> </w:t>
      </w:r>
      <w:r>
        <w:rPr>
          <w:rFonts w:ascii="Arial" w:cs="Arial" w:eastAsia="Arial" w:hAnsi="Arial"/>
          <w:sz w:val="20"/>
          <w:szCs w:val="20"/>
          <w:color w:val="auto"/>
        </w:rPr>
        <w:t>absolute right to amend it and discontinue it at any time without any liability.</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with registered offices at 229 W. 43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Street,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NY, NY, 10036, United States of America, is solely responsible for the administration of the Plan and participation in the Plan and the acquisition of shares of stock does not, in any way, establish an employment relationship between you and the Company since you are participating in the Plan on a wholly commercial basis and your sole employer is the Company’s Mexican Affiliate, nor does it establish any rights between you and your employer.</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Plan Document Acknowledgment</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By accepting the grant of Award, you acknowledge that you have received copies of the Plan, have reviewed the Plan and the Award Agreement in their entirety and fully understand and accept all provisions of the Plan and the Award Agreement.</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by signing the Award Agreement, you further acknowledge that you have read and specifically and expressly approve the terms and conditions in Section 11 of the Award Agreement (“Nature of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Prohibition Against Insider Trading</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You should be aware of the Dutch insider trading rules, which may affect the sale of shares acquired under the Plan. In particular, you may be prohibited from effecting certain share transactions if you have insider information 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Dutch securities laws prohibit insider trading. As of 3 July 2016, the European Market Abuse Regulation (MAR), is applicable in the Netherlands. For further information, Participant is referred to the website of the Authority for the Financial Markets (AFM): https://www.afm.nl/en/professionals/onderwerpen/marktmisbruik.</w:t>
      </w:r>
    </w:p>
    <w:p>
      <w:pPr>
        <w:spacing w:after="0" w:line="33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33" w:right="339" w:bottom="1440" w:gutter="0" w:footer="0" w:header="0"/>
        </w:sectPr>
      </w:pPr>
    </w:p>
    <w:bookmarkStart w:id="140" w:name="page141"/>
    <w:bookmarkEnd w:id="140"/>
    <w:p>
      <w:pPr>
        <w:jc w:val="both"/>
        <w:spacing w:after="0" w:line="282"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 Agreement and participating in the Plan, you acknowledge having read and understood the notification above and acknowledge that it is your responsibility to comply with the Dutch insider trading rules, as discussed herein.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the Award is exempt or excluded from the requirement to publish a prospectus under the EU Prospectus Directive as implemented in the Netherlands.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PORTUGAL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the Award is exempt or excluded from the requirement to publish a prospectus under EU Prospectus Regulation as implemented in Portugal.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SINGAPORE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grant of the Award is being made pursuant to the “Qualifying Person” exemption under section 273(1)(f) of the Singapore Securities and Futures Act (Chapter 289, 2006 Ed.) (“SFA”). The Plan has not been lodged or registered as a prospectus with the Monetary Authority of Singapore. You should note that the Award is subject to section 257 of the SFA and you will not be able to make any subsequent sale in Singapore of the shares acquired through the vesting of the Award or any offer of such sale in Singapore unless such sale or offer is made pursuant to the exemptions under Part XIII Division (1) Subdivision (4) (other than section 280) of the SFA.</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Notification Obligation</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w:t>
      </w:r>
      <w:r>
        <w:rPr>
          <w:rFonts w:ascii="Arial" w:cs="Arial" w:eastAsia="Arial" w:hAnsi="Arial"/>
          <w:sz w:val="18"/>
          <w:szCs w:val="18"/>
          <w:i w:val="1"/>
          <w:iCs w:val="1"/>
          <w:color w:val="auto"/>
        </w:rPr>
        <w:t>e.g</w:t>
      </w:r>
      <w:r>
        <w:rPr>
          <w:rFonts w:ascii="Arial" w:cs="Arial" w:eastAsia="Arial" w:hAnsi="Arial"/>
          <w:sz w:val="18"/>
          <w:szCs w:val="18"/>
          <w:color w:val="auto"/>
        </w:rPr>
        <w:t>., restricted stock units or share of stock) in the Company or any Affiliate. In addition, you must notify the Singapore Affiliate when you sell shares of the Company or any Affiliate (including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SPAIN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supplements Section 17 of the Award Agreement:</w:t>
      </w:r>
    </w:p>
    <w:p>
      <w:pPr>
        <w:spacing w:after="0" w:line="36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9"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In accepting the Award, you consent to participate in the Plan and acknowledge that you have received a copy of the Plan.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You understand and agree that the Company has unilaterally, gratuitously and discretionally decided to grant the Award under the Plan to individuals who may be employees of the Company and any Affiliates throughout the world. The decision is a limited decision that is entered into upon the express assumption and 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 severance compensation) or any other right whatsoever. In addition, you understand that the Award would not be granted to you but for the assumptions and conditions referred to herein; thus, you acknowledge and freely accept that should any or all of the assumptions be mistaken or should any of the conditions not be met for any reason, then the grant of the Award and any right to the Award shall be null and void.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 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offerings and issuances of securities. Neither the Plan nor the Award Agreement have been registered with the </w:t>
      </w:r>
      <w:r>
        <w:rPr>
          <w:rFonts w:ascii="Arial" w:cs="Arial" w:eastAsia="Arial" w:hAnsi="Arial"/>
          <w:sz w:val="18"/>
          <w:szCs w:val="18"/>
          <w:i w:val="1"/>
          <w:iCs w:val="1"/>
          <w:color w:val="auto"/>
        </w:rPr>
        <w:t>Comisión National del Mercado de Valores</w:t>
      </w:r>
      <w:r>
        <w:rPr>
          <w:rFonts w:ascii="Arial" w:cs="Arial" w:eastAsia="Arial" w:hAnsi="Arial"/>
          <w:sz w:val="18"/>
          <w:szCs w:val="18"/>
          <w:color w:val="auto"/>
        </w:rPr>
        <w:t xml:space="preserve"> and do not constitute a public offering prospectus.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acquisition, ownership and disposition of shares of Stock and must be declared for statistical purposes to the </w:t>
      </w:r>
      <w:r>
        <w:rPr>
          <w:rFonts w:ascii="Arial" w:cs="Arial" w:eastAsia="Arial" w:hAnsi="Arial"/>
          <w:sz w:val="18"/>
          <w:szCs w:val="18"/>
          <w:i w:val="1"/>
          <w:iCs w:val="1"/>
          <w:color w:val="auto"/>
        </w:rPr>
        <w:t>Dirección General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Comercio e Inversiones </w:t>
      </w:r>
      <w:r>
        <w:rPr>
          <w:rFonts w:ascii="Arial" w:cs="Arial" w:eastAsia="Arial" w:hAnsi="Arial"/>
          <w:sz w:val="18"/>
          <w:szCs w:val="18"/>
          <w:color w:val="auto"/>
        </w:rPr>
        <w:t>(the “DGCI”), which is a department of the Ministry of Economy and Competitiveness. If you acquire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through the use of a Spanish financial 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 would entitle you to join the Company’s board of directors), the declaration must be filed within one (1) month of the acquisition or sale, as applicable.</w:t>
      </w:r>
    </w:p>
    <w:p>
      <w:pPr>
        <w:spacing w:after="0" w:line="31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9" w:right="3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 the extent you hold rights or assets outside of Spain with a value in excess of €50,000 per type of right or asset (</w:t>
      </w:r>
      <w:r>
        <w:rPr>
          <w:rFonts w:ascii="Arial" w:cs="Arial" w:eastAsia="Arial" w:hAnsi="Arial"/>
          <w:sz w:val="20"/>
          <w:szCs w:val="20"/>
          <w:i w:val="1"/>
          <w:iCs w:val="1"/>
          <w:color w:val="auto"/>
        </w:rPr>
        <w:t>e.g.</w:t>
      </w:r>
      <w:r>
        <w:rPr>
          <w:rFonts w:ascii="Arial" w:cs="Arial" w:eastAsia="Arial" w:hAnsi="Arial"/>
          <w:sz w:val="20"/>
          <w:szCs w:val="20"/>
          <w:color w:val="auto"/>
        </w:rPr>
        <w:t>, shares of stock, cash, etc.) as of December 31 each year, such resident will be required to report information on such rights and assets on your annual tax return for such year. After such rights and assets are initially reported, the reporting obligation will apply for subsequent years only if the value of any previously-reported rights or assets increases by more than €20,000.</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 you under the Plan) if the balances in such accounts together with the value of such instruments as of December 31, or the volume of transactions with non-Spanish residents during the relevant year, exceed €1,000,000.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SWEDEN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Securities Disclosure</w:t>
      </w:r>
    </w:p>
    <w:p>
      <w:pPr>
        <w:spacing w:after="0" w:line="162" w:lineRule="exact"/>
        <w:rPr>
          <w:sz w:val="20"/>
          <w:szCs w:val="20"/>
          <w:color w:val="auto"/>
        </w:rPr>
      </w:pPr>
    </w:p>
    <w:p>
      <w:pPr>
        <w:jc w:val="both"/>
        <w:ind w:left="20"/>
        <w:spacing w:after="0" w:line="260" w:lineRule="auto"/>
        <w:rPr>
          <w:sz w:val="20"/>
          <w:szCs w:val="20"/>
          <w:color w:val="auto"/>
        </w:rPr>
      </w:pPr>
      <w:r>
        <w:rPr>
          <w:rFonts w:ascii="Arial" w:cs="Arial" w:eastAsia="Arial" w:hAnsi="Arial"/>
          <w:sz w:val="20"/>
          <w:szCs w:val="20"/>
          <w:color w:val="auto"/>
        </w:rPr>
        <w:t>Your participation in the Plan and the grant of the Award are exempt from the requirement to publish a prospectus under the EU Prospectus Directive as implemented in Sweden.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SWITZERLAND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Notification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grant of the Award is considered a private offering and therefore is not subject to securities registration in Switzerland.</w:t>
      </w:r>
    </w:p>
    <w:p>
      <w:pPr>
        <w:spacing w:after="0" w:line="156"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Neither the Plan nor the Award are registered in Taiwan with the Securities and Futures Bureau or subject to the securities laws of Taiwan.</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9"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0"/>
          <w:szCs w:val="20"/>
          <w:b w:val="1"/>
          <w:bCs w:val="1"/>
          <w:color w:val="auto"/>
        </w:rPr>
        <w:t>UNITED ARAB EMIRATES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Participation in the Plan is being offered only to selected recipients and is in the nature of providing equity incentives to recipients in the United Arab Emirates. The Plan and the Award Agreement are intended for distribution only to such recipients and must not be delivered to, or relied on by, any other person. Prospective purchasers of the securities offered should conduct their own due diligence on the securities.</w:t>
      </w:r>
    </w:p>
    <w:p>
      <w:pPr>
        <w:spacing w:after="0" w:line="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you do not understand the contents of the Plan and the Award Agreement, you should consult an authorized financial adviser. The Emirates Securities and 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grant of the Award is exempt from the requirement to publish a prospectus under the EU Prospectus Directive as implemented in the UK.</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Award Agreement is not an approved prospectus for the purposes of section 85(1) of the Financial Services and Markets Act 2000 (“FSMA”) and no offer of transferable securities to the public (for the purposes of section 102B of FSMA) is being made in connection with the Plan. The Plan and the Award s are exclusively available in the UK to bona fide employees and former employees and any other UK Subsidiary.</w:t>
      </w:r>
    </w:p>
    <w:p>
      <w:pPr>
        <w:spacing w:after="0" w:line="3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7060" w:type="dxa"/>
            <w:vAlign w:val="bottom"/>
            <w:gridSpan w:val="3"/>
          </w:tcPr>
          <w:p>
            <w:pPr>
              <w:ind w:left="880"/>
              <w:spacing w:after="0"/>
              <w:rPr>
                <w:sz w:val="20"/>
                <w:szCs w:val="20"/>
                <w:color w:val="auto"/>
              </w:rPr>
            </w:pPr>
            <w:r>
              <w:rPr>
                <w:rFonts w:ascii="Arial" w:cs="Arial" w:eastAsia="Arial" w:hAnsi="Arial"/>
                <w:sz w:val="18"/>
                <w:szCs w:val="18"/>
                <w:b w:val="1"/>
                <w:bCs w:val="1"/>
                <w:color w:val="auto"/>
              </w:rPr>
              <w:t>List of Subsidiaries of MongoDB, Inc.</w:t>
            </w:r>
          </w:p>
        </w:tc>
      </w:tr>
      <w:tr>
        <w:trPr>
          <w:trHeight w:val="594"/>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4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7"/>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MongoDB Limited</w:t>
            </w:r>
          </w:p>
        </w:tc>
        <w:tc>
          <w:tcPr>
            <w:tcW w:w="2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Ireland</w:t>
            </w:r>
          </w:p>
        </w:tc>
      </w:tr>
      <w:tr>
        <w:trPr>
          <w:trHeight w:val="27"/>
        </w:trPr>
        <w:tc>
          <w:tcPr>
            <w:tcW w:w="24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r>
    </w:tbl>
    <w:p>
      <w:pPr>
        <w:sectPr>
          <w:pgSz w:w="11900" w:h="16838" w:orient="portrait"/>
          <w:cols w:equalWidth="0" w:num="1">
            <w:col w:w="10360"/>
          </w:cols>
          <w:pgMar w:left="120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S-8 (No. 333-230661, No. 333-221028 and No. 333-224058) of MongoDB, Inc. of our report dated March 27, 2020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2020;</w:t>
      </w:r>
    </w:p>
    <w:p>
      <w:pPr>
        <w:spacing w:after="0" w:line="33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1"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0"/>
        <w:spacing w:after="0"/>
        <w:tabs>
          <w:tab w:leader="none" w:pos="5920" w:val="left"/>
          <w:tab w:leader="none" w:pos="6980" w:val="left"/>
        </w:tabs>
        <w:rPr>
          <w:sz w:val="20"/>
          <w:szCs w:val="20"/>
          <w:color w:val="auto"/>
        </w:rPr>
      </w:pPr>
      <w:r>
        <w:rPr>
          <w:rFonts w:ascii="Arial" w:cs="Arial" w:eastAsia="Arial" w:hAnsi="Arial"/>
          <w:sz w:val="18"/>
          <w:szCs w:val="18"/>
          <w:color w:val="auto"/>
        </w:rPr>
        <w:t>Date: March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24599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3"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380"/>
        <w:spacing w:after="0"/>
        <w:tabs>
          <w:tab w:leader="none" w:pos="69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2020;</w:t>
      </w:r>
    </w:p>
    <w:p>
      <w:pPr>
        <w:spacing w:after="0" w:line="33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1"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0"/>
        <w:spacing w:after="0"/>
        <w:tabs>
          <w:tab w:leader="none" w:pos="5080" w:val="left"/>
          <w:tab w:leader="none" w:pos="6140" w:val="left"/>
        </w:tabs>
        <w:rPr>
          <w:sz w:val="20"/>
          <w:szCs w:val="20"/>
          <w:color w:val="auto"/>
        </w:rPr>
      </w:pPr>
      <w:r>
        <w:rPr>
          <w:rFonts w:ascii="Arial" w:cs="Arial" w:eastAsia="Arial" w:hAnsi="Arial"/>
          <w:sz w:val="18"/>
          <w:szCs w:val="18"/>
          <w:color w:val="auto"/>
        </w:rPr>
        <w:t>Date: March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000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Annual Report on Form 10-K of MongoDB, Inc. for the fiscal year ended January 31, 2020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60"/>
        <w:spacing w:after="0"/>
        <w:tabs>
          <w:tab w:leader="none" w:pos="5900" w:val="left"/>
          <w:tab w:leader="none" w:pos="6960" w:val="left"/>
        </w:tabs>
        <w:rPr>
          <w:sz w:val="20"/>
          <w:szCs w:val="20"/>
          <w:color w:val="auto"/>
        </w:rPr>
      </w:pPr>
      <w:r>
        <w:rPr>
          <w:rFonts w:ascii="Arial" w:cs="Arial" w:eastAsia="Arial" w:hAnsi="Arial"/>
          <w:sz w:val="18"/>
          <w:szCs w:val="18"/>
          <w:color w:val="auto"/>
        </w:rPr>
        <w:t>Date: March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360"/>
        <w:spacing w:after="0"/>
        <w:tabs>
          <w:tab w:leader="none" w:pos="69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Annual Report on Form 10-K of MongoDB, Inc. for the fiscal year ended January 31, 2020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40"/>
        <w:spacing w:after="0"/>
        <w:tabs>
          <w:tab w:leader="none" w:pos="5080" w:val="left"/>
          <w:tab w:leader="none" w:pos="6140" w:val="left"/>
        </w:tabs>
        <w:rPr>
          <w:sz w:val="20"/>
          <w:szCs w:val="20"/>
          <w:color w:val="auto"/>
        </w:rPr>
      </w:pPr>
      <w:r>
        <w:rPr>
          <w:rFonts w:ascii="Arial" w:cs="Arial" w:eastAsia="Arial" w:hAnsi="Arial"/>
          <w:sz w:val="18"/>
          <w:szCs w:val="18"/>
          <w:color w:val="auto"/>
        </w:rPr>
        <w:t>Date: March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000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Roman"/>
      <w:start w:val="1"/>
    </w:lvl>
  </w:abstractNum>
  <w:abstractNum w:abstractNumId="34">
    <w:nsid w:val="32FFF902"/>
    <w:multiLevelType w:val="hybridMultilevel"/>
    <w:lvl w:ilvl="0">
      <w:lvlJc w:val="left"/>
      <w:lvlText w:val="%1."/>
      <w:numFmt w:val="lowerRoman"/>
      <w:start w:val="4"/>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04"/>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275AC794"/>
    <w:multiLevelType w:val="hybridMultilevel"/>
    <w:lvl w:ilvl="0">
      <w:lvlJc w:val="left"/>
      <w:lvlText w:val="%1"/>
      <w:numFmt w:val="decimal"/>
      <w:start w:val="1"/>
    </w:lvl>
    <w:lvl w:ilvl="1">
      <w:lvlJc w:val="left"/>
      <w:lvlText w:val="(%2)"/>
      <w:numFmt w:val="lowerLetter"/>
      <w:start w:val="3"/>
    </w:lvl>
  </w:abstractNum>
  <w:abstractNum w:abstractNumId="50">
    <w:nsid w:val="39386575"/>
    <w:multiLevelType w:val="hybridMultilevel"/>
    <w:lvl w:ilvl="0">
      <w:lvlJc w:val="left"/>
      <w:lvlText w:val="%1."/>
      <w:numFmt w:val="decimal"/>
      <w:start w:val="7"/>
    </w:lvl>
    <w:lvl w:ilvl="1">
      <w:lvlJc w:val="left"/>
      <w:lvlText w:val="(%2)"/>
      <w:numFmt w:val="lowerLetter"/>
      <w:start w:val="1"/>
    </w:lvl>
  </w:abstractNum>
  <w:abstractNum w:abstractNumId="51">
    <w:nsid w:val="1CF10FD8"/>
    <w:multiLevelType w:val="hybridMultilevel"/>
    <w:lvl w:ilvl="0">
      <w:lvlJc w:val="left"/>
      <w:lvlText w:val="%1."/>
      <w:numFmt w:val="decimal"/>
      <w:start w:val="11"/>
    </w:lvl>
    <w:lvl w:ilvl="1">
      <w:lvlJc w:val="left"/>
      <w:lvlText w:val="(%2)"/>
      <w:numFmt w:val="lowerLetter"/>
      <w:start w:val="1"/>
    </w:lvl>
  </w:abstractNum>
  <w:abstractNum w:abstractNumId="52">
    <w:nsid w:val="180115BE"/>
    <w:multiLevelType w:val="hybridMultilevel"/>
    <w:lvl w:ilvl="0">
      <w:lvlJc w:val="left"/>
      <w:lvlText w:val="%1."/>
      <w:numFmt w:val="decimal"/>
      <w:start w:val="12"/>
    </w:lvl>
  </w:abstractNum>
  <w:abstractNum w:abstractNumId="53">
    <w:nsid w:val="235BA861"/>
    <w:multiLevelType w:val="hybridMultilevel"/>
    <w:lvl w:ilvl="0">
      <w:lvlJc w:val="left"/>
      <w:lvlText w:val="%1."/>
      <w:numFmt w:val="decimal"/>
      <w:start w:val="14"/>
    </w:lvl>
    <w:lvl w:ilvl="1">
      <w:lvlJc w:val="left"/>
      <w:lvlText w:val="(%2)"/>
      <w:numFmt w:val="lowerLetter"/>
      <w:start w:val="1"/>
    </w:lvl>
  </w:abstractNum>
  <w:abstractNum w:abstractNumId="54">
    <w:nsid w:val="47398C89"/>
    <w:multiLevelType w:val="hybridMultilevel"/>
    <w:lvl w:ilvl="0">
      <w:lvlJc w:val="left"/>
      <w:lvlText w:val="%1"/>
      <w:numFmt w:val="decimal"/>
      <w:start w:val="1"/>
    </w:lvl>
    <w:lvl w:ilvl="1">
      <w:lvlJc w:val="left"/>
      <w:lvlText w:val="(%2)"/>
      <w:numFmt w:val="lowerLetter"/>
      <w:start w:val="4"/>
    </w:lvl>
  </w:abstractNum>
  <w:abstractNum w:abstractNumId="55">
    <w:nsid w:val="354FE9F9"/>
    <w:multiLevelType w:val="hybridMultilevel"/>
    <w:lvl w:ilvl="0">
      <w:lvlJc w:val="left"/>
      <w:lvlText w:val="%1."/>
      <w:numFmt w:val="decimal"/>
      <w:start w:val="18"/>
    </w:lvl>
    <w:lvl w:ilvl="1">
      <w:lvlJc w:val="left"/>
      <w:lvlText w:val="%2"/>
      <w:numFmt w:val="lowerLetter"/>
      <w:start w:val="1"/>
    </w:lvl>
  </w:abstractNum>
  <w:abstractNum w:abstractNumId="56">
    <w:nsid w:val="15B5AF5C"/>
    <w:multiLevelType w:val="hybridMultilevel"/>
    <w:lvl w:ilvl="0">
      <w:lvlJc w:val="left"/>
      <w:lvlText w:val="%1."/>
      <w:numFmt w:val="decimal"/>
      <w:start w:val="23"/>
    </w:lvl>
  </w:abstractNum>
  <w:abstractNum w:abstractNumId="57">
    <w:nsid w:val="741226BB"/>
    <w:multiLevelType w:val="hybridMultilevel"/>
    <w:lvl w:ilvl="0">
      <w:lvlJc w:val="left"/>
      <w:lvlText w:val="%1."/>
      <w:numFmt w:val="decimal"/>
      <w:start w:val="29"/>
    </w:lvl>
  </w:abstractNum>
  <w:abstractNum w:abstractNumId="58">
    <w:nsid w:val="D34B6A8"/>
    <w:multiLevelType w:val="hybridMultilevel"/>
    <w:lvl w:ilvl="0">
      <w:lvlJc w:val="left"/>
      <w:lvlText w:val="(%1)"/>
      <w:numFmt w:val="lowerRoman"/>
      <w:start w:val="1"/>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38" Type="http://schemas.openxmlformats.org/officeDocument/2006/relationships/hyperlink" Target="http://www.sec.gov/Archives/edgar/data/1441816/000144181618000140/mdb-103118x10qxex21.htm" TargetMode="External"/><Relationship Id="rId39" Type="http://schemas.openxmlformats.org/officeDocument/2006/relationships/hyperlink" Target="http://www.sec.gov/Archives/edgar/data/1441816/000110465917063753/a17-24439_1ex3d1.htm" TargetMode="External"/><Relationship Id="rId40" Type="http://schemas.openxmlformats.org/officeDocument/2006/relationships/hyperlink" Target="http://www.sec.gov/Archives/edgar/data/1441816/000104746917006014/a2233365zex-3_4.htm" TargetMode="External"/><Relationship Id="rId41" Type="http://schemas.openxmlformats.org/officeDocument/2006/relationships/hyperlink" Target="http://www.sec.gov/Archives/edgar/data/1441816/000104746917006246/a2233386zex-4_1.htm" TargetMode="External"/><Relationship Id="rId42" Type="http://schemas.openxmlformats.org/officeDocument/2006/relationships/hyperlink" Target="http://www.sec.gov/Archives/edgar/data/1441816/000104746917006014/a2233365zex-4_2.htm" TargetMode="External"/><Relationship Id="rId43" Type="http://schemas.openxmlformats.org/officeDocument/2006/relationships/hyperlink" Target="http://www.sec.gov/Archives/edgar/data/1441816/000110465918042924/a18-16173_1ex4d1.htm" TargetMode="External"/><Relationship Id="rId44" Type="http://schemas.openxmlformats.org/officeDocument/2006/relationships/hyperlink" Target="http://www.sec.gov/Archives/edgar/data/1441816/000110465918042924/a18-16173_1ex4d1.htm#Exhibit4_1_095957" TargetMode="External"/><Relationship Id="rId45" Type="http://schemas.openxmlformats.org/officeDocument/2006/relationships/hyperlink" Target="https://www.sec.gov/Archives/edgar/data/1441816/000110465920003938/tm201523d2_ex4-1.htm" TargetMode="External"/><Relationship Id="rId46" Type="http://schemas.openxmlformats.org/officeDocument/2006/relationships/hyperlink" Target="http://www.sec.gov/Archives/edgar/data/1441816/000104746917006014/a2233365zex-10_1.htm" TargetMode="External"/><Relationship Id="rId47" Type="http://schemas.openxmlformats.org/officeDocument/2006/relationships/hyperlink" Target="http://www.sec.gov/Archives/edgar/data/1441816/000104746917006246/a2233386zex-10_2.htm" TargetMode="External"/><Relationship Id="rId48" Type="http://schemas.openxmlformats.org/officeDocument/2006/relationships/hyperlink" Target="http://www.sec.gov/Archives/edgar/data/1441816/000144181618000028/mdb-13118x10kxex103.htm" TargetMode="External"/><Relationship Id="rId49" Type="http://schemas.openxmlformats.org/officeDocument/2006/relationships/hyperlink" Target="http://www.sec.gov/Archives/edgar/data/1441816/000104746917006246/a2233386zex-10_3.htm" TargetMode="External"/><Relationship Id="rId50" Type="http://schemas.openxmlformats.org/officeDocument/2006/relationships/hyperlink" Target="http://www.sec.gov/Archives/edgar/data/1441816/000104746917006246/a2233386zex-10_4.htm" TargetMode="External"/><Relationship Id="rId51" Type="http://schemas.openxmlformats.org/officeDocument/2006/relationships/hyperlink" Target="http://www.sec.gov/Archives/edgar/data/1441816/000104746917006014/a2233365zex-10_5.htm" TargetMode="External"/><Relationship Id="rId52" Type="http://schemas.openxmlformats.org/officeDocument/2006/relationships/hyperlink" Target="http://www.sec.gov/Archives/edgar/data/1441816/000104746917006246/a2233386zex-10_6.htm" TargetMode="External"/><Relationship Id="rId55" Type="http://schemas.openxmlformats.org/officeDocument/2006/relationships/hyperlink" Target="https://www.sec.gov/Archives/edgar/data/1441816/000104746917006246/a2233386zex-10_8.htm" TargetMode="External"/><Relationship Id="rId56" Type="http://schemas.openxmlformats.org/officeDocument/2006/relationships/hyperlink" Target="http://www.sec.gov/Archives/edgar/data/1441816/000104746917006246/a2233386zex-10_9.htm" TargetMode="External"/><Relationship Id="rId57" Type="http://schemas.openxmlformats.org/officeDocument/2006/relationships/hyperlink" Target="https://www.sec.gov/Archives/edgar/data/1441816/000144181619000109/mdb-043019x10qxex101.htm" TargetMode="External"/><Relationship Id="rId58" Type="http://schemas.openxmlformats.org/officeDocument/2006/relationships/hyperlink" Target="http://www.sec.gov/Archives/edgar/data/1441816/000144181618000028/mdb-1318x10kxex1012.htm" TargetMode="External"/><Relationship Id="rId59" Type="http://schemas.openxmlformats.org/officeDocument/2006/relationships/hyperlink" Target="http://www.sec.gov/Archives/edgar/data/1441816/000110465918042924/a18-16173_1ex99d1.htm#Exhibit99_1_050204" TargetMode="External"/><Relationship Id="rId60" Type="http://schemas.openxmlformats.org/officeDocument/2006/relationships/hyperlink" Target="http://www.sec.gov/Archives/edgar/data/1441816/000110465918042924/a18-16173_1ex99d2.htm#Exhibit99_2_052450" TargetMode="External"/><Relationship Id="rId61" Type="http://schemas.openxmlformats.org/officeDocument/2006/relationships/hyperlink" Target="https://www.sec.gov/Archives/edgar/data/1441816/000110465918042924/a18-16173_1ex99d1.htm" TargetMode="External"/><Relationship Id="rId62" Type="http://schemas.openxmlformats.org/officeDocument/2006/relationships/hyperlink" Target="https://www.sec.gov/Archives/edgar/data/1441816/000110465918042924/a18-161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2020-03-27T16:09:44Z</dcterms:created>
  <dcterms:modified xsi:type="dcterms:W3CDTF">2020-03-27T16:09:44Z</dcterms:modified>
</cp:coreProperties>
</file>