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602615</wp:posOffset>
            </wp:positionH>
            <wp:positionV relativeFrom="page">
              <wp:posOffset>706120</wp:posOffset>
            </wp:positionV>
            <wp:extent cx="66522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page">
              <wp:posOffset>602615</wp:posOffset>
            </wp:positionH>
            <wp:positionV relativeFrom="page">
              <wp:posOffset>732155</wp:posOffset>
            </wp:positionV>
            <wp:extent cx="6652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2260" cy="825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36"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___________________</w:t>
      </w: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ind w:left="4940"/>
        <w:spacing w:after="0"/>
        <w:rPr>
          <w:sz w:val="20"/>
          <w:szCs w:val="20"/>
          <w:color w:val="auto"/>
        </w:rPr>
      </w:pPr>
      <w:r>
        <w:rPr>
          <w:rFonts w:ascii="Arial" w:cs="Arial" w:eastAsia="Arial" w:hAnsi="Arial"/>
          <w:sz w:val="14"/>
          <w:szCs w:val="14"/>
          <w:color w:val="auto"/>
        </w:rPr>
        <w:t>___________________</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56" w:lineRule="exact"/>
        <w:rPr>
          <w:rFonts w:ascii="MS PGothic" w:cs="MS PGothic" w:eastAsia="MS PGothic" w:hAnsi="MS PGothic"/>
          <w:sz w:val="22"/>
          <w:szCs w:val="22"/>
          <w:color w:val="auto"/>
        </w:rPr>
      </w:pPr>
    </w:p>
    <w:p>
      <w:pPr>
        <w:ind w:left="38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April 30, 2022</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86"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57"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4018915</wp:posOffset>
            </wp:positionH>
            <wp:positionV relativeFrom="paragraph">
              <wp:posOffset>-7620</wp:posOffset>
            </wp:positionV>
            <wp:extent cx="609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9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001-38240</w:t>
      </w:r>
    </w:p>
    <w:p>
      <w:pPr>
        <w:spacing w:after="0" w:line="63"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___________________</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MONGODB, INC.</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___________________</w:t>
      </w:r>
    </w:p>
    <w:p>
      <w:pPr>
        <w:spacing w:after="0" w:line="138" w:lineRule="exact"/>
        <w:rPr>
          <w:sz w:val="24"/>
          <w:szCs w:val="24"/>
          <w:color w:val="auto"/>
        </w:rPr>
      </w:pPr>
    </w:p>
    <w:tbl>
      <w:tblPr>
        <w:tblLayout w:type="fixed"/>
        <w:tblInd w:w="2080" w:type="dxa"/>
        <w:tblCellMar>
          <w:top w:w="0" w:type="dxa"/>
          <w:left w:w="0" w:type="dxa"/>
          <w:bottom w:w="0" w:type="dxa"/>
          <w:right w:w="0" w:type="dxa"/>
        </w:tblCellMar>
      </w:tblPr>
      <w:tr>
        <w:trPr>
          <w:trHeight w:val="225"/>
        </w:trPr>
        <w:tc>
          <w:tcPr>
            <w:tcW w:w="3880" w:type="dxa"/>
            <w:vAlign w:val="bottom"/>
          </w:tcPr>
          <w:p>
            <w:pPr>
              <w:jc w:val="center"/>
              <w:ind w:right="1319"/>
              <w:spacing w:after="0"/>
              <w:rPr>
                <w:sz w:val="20"/>
                <w:szCs w:val="20"/>
                <w:color w:val="auto"/>
              </w:rPr>
            </w:pPr>
            <w:r>
              <w:rPr>
                <w:rFonts w:ascii="Arial" w:cs="Arial" w:eastAsia="Arial" w:hAnsi="Arial"/>
                <w:sz w:val="18"/>
                <w:szCs w:val="18"/>
                <w:b w:val="1"/>
                <w:bCs w:val="1"/>
                <w:color w:val="auto"/>
                <w:w w:val="91"/>
              </w:rPr>
              <w:t>Delaware</w:t>
            </w:r>
          </w:p>
        </w:tc>
        <w:tc>
          <w:tcPr>
            <w:tcW w:w="2560" w:type="dxa"/>
            <w:vAlign w:val="bottom"/>
          </w:tcPr>
          <w:p>
            <w:pPr>
              <w:jc w:val="right"/>
              <w:ind w:right="41"/>
              <w:spacing w:after="0"/>
              <w:rPr>
                <w:sz w:val="20"/>
                <w:szCs w:val="20"/>
                <w:color w:val="auto"/>
              </w:rPr>
            </w:pPr>
            <w:r>
              <w:rPr>
                <w:rFonts w:ascii="Arial" w:cs="Arial" w:eastAsia="Arial" w:hAnsi="Arial"/>
                <w:sz w:val="18"/>
                <w:szCs w:val="18"/>
                <w:b w:val="1"/>
                <w:bCs w:val="1"/>
                <w:color w:val="auto"/>
              </w:rPr>
              <w:t>26-1463205</w:t>
            </w:r>
          </w:p>
        </w:tc>
      </w:tr>
      <w:tr>
        <w:trPr>
          <w:trHeight w:val="144"/>
        </w:trPr>
        <w:tc>
          <w:tcPr>
            <w:tcW w:w="3880" w:type="dxa"/>
            <w:vAlign w:val="bottom"/>
          </w:tcPr>
          <w:p>
            <w:pPr>
              <w:jc w:val="center"/>
              <w:ind w:right="1359"/>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560" w:type="dxa"/>
            <w:vAlign w:val="bottom"/>
          </w:tcPr>
          <w:p>
            <w:pPr>
              <w:jc w:val="center"/>
              <w:ind w:left="1321"/>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80" w:type="dxa"/>
            <w:vAlign w:val="bottom"/>
          </w:tcPr>
          <w:p>
            <w:pPr>
              <w:jc w:val="center"/>
              <w:ind w:right="1319"/>
              <w:spacing w:after="0"/>
              <w:rPr>
                <w:sz w:val="20"/>
                <w:szCs w:val="20"/>
                <w:color w:val="auto"/>
              </w:rPr>
            </w:pPr>
            <w:r>
              <w:rPr>
                <w:rFonts w:ascii="Arial" w:cs="Arial" w:eastAsia="Arial" w:hAnsi="Arial"/>
                <w:sz w:val="14"/>
                <w:szCs w:val="14"/>
                <w:b w:val="1"/>
                <w:bCs w:val="1"/>
                <w:color w:val="auto"/>
                <w:w w:val="94"/>
              </w:rPr>
              <w:t>incorporation or organization)</w:t>
            </w:r>
          </w:p>
        </w:tc>
        <w:tc>
          <w:tcPr>
            <w:tcW w:w="2560" w:type="dxa"/>
            <w:vAlign w:val="bottom"/>
          </w:tcPr>
          <w:p>
            <w:pPr>
              <w:jc w:val="center"/>
              <w:ind w:left="1361"/>
              <w:spacing w:after="0"/>
              <w:rPr>
                <w:sz w:val="20"/>
                <w:szCs w:val="20"/>
                <w:color w:val="auto"/>
              </w:rPr>
            </w:pPr>
            <w:r>
              <w:rPr>
                <w:rFonts w:ascii="Arial" w:cs="Arial" w:eastAsia="Arial" w:hAnsi="Arial"/>
                <w:sz w:val="14"/>
                <w:szCs w:val="14"/>
                <w:b w:val="1"/>
                <w:bCs w:val="1"/>
                <w:color w:val="auto"/>
                <w:w w:val="94"/>
              </w:rPr>
              <w:t>Identification No.)</w:t>
            </w:r>
          </w:p>
        </w:tc>
      </w:tr>
      <w:tr>
        <w:trPr>
          <w:trHeight w:val="300"/>
        </w:trPr>
        <w:tc>
          <w:tcPr>
            <w:tcW w:w="3880" w:type="dxa"/>
            <w:vAlign w:val="bottom"/>
          </w:tcPr>
          <w:p>
            <w:pPr>
              <w:spacing w:after="0"/>
              <w:rPr>
                <w:sz w:val="20"/>
                <w:szCs w:val="20"/>
                <w:color w:val="auto"/>
              </w:rPr>
            </w:pPr>
            <w:r>
              <w:rPr>
                <w:rFonts w:ascii="Arial" w:cs="Arial" w:eastAsia="Arial" w:hAnsi="Arial"/>
                <w:sz w:val="18"/>
                <w:szCs w:val="18"/>
                <w:b w:val="1"/>
                <w:bCs w:val="1"/>
                <w:color w:val="auto"/>
              </w:rPr>
              <w:t>1633 Broadway, 38th Floor</w:t>
            </w:r>
          </w:p>
        </w:tc>
        <w:tc>
          <w:tcPr>
            <w:tcW w:w="2560" w:type="dxa"/>
            <w:vAlign w:val="bottom"/>
          </w:tcPr>
          <w:p>
            <w:pPr>
              <w:spacing w:after="0"/>
              <w:rPr>
                <w:sz w:val="24"/>
                <w:szCs w:val="24"/>
                <w:color w:val="auto"/>
              </w:rPr>
            </w:pPr>
          </w:p>
        </w:tc>
      </w:tr>
      <w:tr>
        <w:trPr>
          <w:trHeight w:val="288"/>
        </w:trPr>
        <w:tc>
          <w:tcPr>
            <w:tcW w:w="3880" w:type="dxa"/>
            <w:vAlign w:val="bottom"/>
          </w:tcPr>
          <w:p>
            <w:pPr>
              <w:ind w:left="420"/>
              <w:spacing w:after="0"/>
              <w:rPr>
                <w:sz w:val="20"/>
                <w:szCs w:val="20"/>
                <w:color w:val="auto"/>
              </w:rPr>
            </w:pPr>
            <w:r>
              <w:rPr>
                <w:rFonts w:ascii="Arial" w:cs="Arial" w:eastAsia="Arial" w:hAnsi="Arial"/>
                <w:sz w:val="18"/>
                <w:szCs w:val="18"/>
                <w:b w:val="1"/>
                <w:bCs w:val="1"/>
                <w:color w:val="auto"/>
              </w:rPr>
              <w:t>New York, NY</w:t>
            </w:r>
          </w:p>
        </w:tc>
        <w:tc>
          <w:tcPr>
            <w:tcW w:w="2560" w:type="dxa"/>
            <w:vAlign w:val="bottom"/>
          </w:tcPr>
          <w:p>
            <w:pPr>
              <w:jc w:val="right"/>
              <w:ind w:right="241"/>
              <w:spacing w:after="0"/>
              <w:rPr>
                <w:sz w:val="20"/>
                <w:szCs w:val="20"/>
                <w:color w:val="auto"/>
              </w:rPr>
            </w:pPr>
            <w:r>
              <w:rPr>
                <w:rFonts w:ascii="Arial" w:cs="Arial" w:eastAsia="Arial" w:hAnsi="Arial"/>
                <w:sz w:val="18"/>
                <w:szCs w:val="18"/>
                <w:b w:val="1"/>
                <w:bCs w:val="1"/>
                <w:color w:val="auto"/>
              </w:rPr>
              <w:t>10019</w:t>
            </w:r>
          </w:p>
        </w:tc>
      </w:tr>
      <w:tr>
        <w:trPr>
          <w:trHeight w:val="186"/>
        </w:trPr>
        <w:tc>
          <w:tcPr>
            <w:tcW w:w="3880" w:type="dxa"/>
            <w:vAlign w:val="bottom"/>
          </w:tcPr>
          <w:p>
            <w:pPr>
              <w:jc w:val="center"/>
              <w:ind w:right="13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60" w:type="dxa"/>
            <w:vAlign w:val="bottom"/>
          </w:tcPr>
          <w:p>
            <w:pPr>
              <w:jc w:val="center"/>
              <w:ind w:left="1381"/>
              <w:spacing w:after="0"/>
              <w:rPr>
                <w:sz w:val="20"/>
                <w:szCs w:val="20"/>
                <w:color w:val="auto"/>
              </w:rPr>
            </w:pPr>
            <w:r>
              <w:rPr>
                <w:rFonts w:ascii="Arial" w:cs="Arial" w:eastAsia="Arial" w:hAnsi="Arial"/>
                <w:sz w:val="14"/>
                <w:szCs w:val="14"/>
                <w:b w:val="1"/>
                <w:bCs w:val="1"/>
                <w:color w:val="auto"/>
                <w:w w:val="95"/>
              </w:rPr>
              <w:t>(Zip Code)</w:t>
            </w:r>
          </w:p>
        </w:tc>
      </w:tr>
    </w:tbl>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646-727-4092</w:t>
      </w:r>
    </w:p>
    <w:p>
      <w:pPr>
        <w:spacing w:after="0" w:line="6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0"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3160" w:type="dxa"/>
            <w:vAlign w:val="bottom"/>
            <w:gridSpan w:val="2"/>
            <w:vMerge w:val="restart"/>
          </w:tcPr>
          <w:p>
            <w:pPr>
              <w:jc w:val="center"/>
              <w:ind w:left="270"/>
              <w:spacing w:after="0"/>
              <w:rPr>
                <w:sz w:val="20"/>
                <w:szCs w:val="20"/>
                <w:color w:val="auto"/>
              </w:rPr>
            </w:pPr>
            <w:r>
              <w:rPr>
                <w:rFonts w:ascii="Arial" w:cs="Arial" w:eastAsia="Arial" w:hAnsi="Arial"/>
                <w:sz w:val="18"/>
                <w:szCs w:val="18"/>
                <w:b w:val="1"/>
                <w:bCs w:val="1"/>
                <w:color w:val="auto"/>
                <w:w w:val="87"/>
              </w:rPr>
              <w:t>Title of each class</w:t>
            </w:r>
          </w:p>
        </w:tc>
        <w:tc>
          <w:tcPr>
            <w:tcW w:w="3160" w:type="dxa"/>
            <w:vAlign w:val="bottom"/>
            <w:gridSpan w:val="2"/>
            <w:vMerge w:val="restart"/>
          </w:tcPr>
          <w:p>
            <w:pPr>
              <w:jc w:val="center"/>
              <w:ind w:left="250"/>
              <w:spacing w:after="0"/>
              <w:rPr>
                <w:sz w:val="20"/>
                <w:szCs w:val="20"/>
                <w:color w:val="auto"/>
              </w:rPr>
            </w:pPr>
            <w:r>
              <w:rPr>
                <w:rFonts w:ascii="Arial" w:cs="Arial" w:eastAsia="Arial" w:hAnsi="Arial"/>
                <w:sz w:val="18"/>
                <w:szCs w:val="18"/>
                <w:b w:val="1"/>
                <w:bCs w:val="1"/>
                <w:color w:val="auto"/>
                <w:w w:val="89"/>
              </w:rPr>
              <w:t>Trading Symbol(s)</w:t>
            </w:r>
          </w:p>
        </w:tc>
        <w:tc>
          <w:tcPr>
            <w:tcW w:w="3400" w:type="dxa"/>
            <w:vAlign w:val="bottom"/>
          </w:tcPr>
          <w:p>
            <w:pPr>
              <w:jc w:val="center"/>
              <w:ind w:left="410"/>
              <w:spacing w:after="0"/>
              <w:rPr>
                <w:sz w:val="20"/>
                <w:szCs w:val="20"/>
                <w:color w:val="auto"/>
              </w:rPr>
            </w:pPr>
            <w:r>
              <w:rPr>
                <w:rFonts w:ascii="Arial" w:cs="Arial" w:eastAsia="Arial" w:hAnsi="Arial"/>
                <w:sz w:val="18"/>
                <w:szCs w:val="18"/>
                <w:b w:val="1"/>
                <w:bCs w:val="1"/>
                <w:color w:val="auto"/>
                <w:w w:val="88"/>
              </w:rPr>
              <w:t>Name of each exchange on which</w:t>
            </w:r>
          </w:p>
        </w:tc>
        <w:tc>
          <w:tcPr>
            <w:tcW w:w="0" w:type="dxa"/>
            <w:vAlign w:val="bottom"/>
          </w:tcPr>
          <w:p>
            <w:pPr>
              <w:spacing w:after="0"/>
              <w:rPr>
                <w:sz w:val="1"/>
                <w:szCs w:val="1"/>
                <w:color w:val="auto"/>
              </w:rPr>
            </w:pPr>
          </w:p>
        </w:tc>
      </w:tr>
      <w:tr>
        <w:trPr>
          <w:trHeight w:val="229"/>
        </w:trPr>
        <w:tc>
          <w:tcPr>
            <w:tcW w:w="3160" w:type="dxa"/>
            <w:vAlign w:val="bottom"/>
            <w:gridSpan w:val="2"/>
            <w:vMerge w:val="continue"/>
          </w:tcPr>
          <w:p>
            <w:pPr>
              <w:spacing w:after="0"/>
              <w:rPr>
                <w:sz w:val="19"/>
                <w:szCs w:val="19"/>
                <w:color w:val="auto"/>
              </w:rPr>
            </w:pPr>
          </w:p>
        </w:tc>
        <w:tc>
          <w:tcPr>
            <w:tcW w:w="3160" w:type="dxa"/>
            <w:vAlign w:val="bottom"/>
            <w:gridSpan w:val="2"/>
            <w:vMerge w:val="continue"/>
          </w:tcPr>
          <w:p>
            <w:pPr>
              <w:spacing w:after="0"/>
              <w:rPr>
                <w:sz w:val="19"/>
                <w:szCs w:val="19"/>
                <w:color w:val="auto"/>
              </w:rPr>
            </w:pPr>
          </w:p>
        </w:tc>
        <w:tc>
          <w:tcPr>
            <w:tcW w:w="3400" w:type="dxa"/>
            <w:vAlign w:val="bottom"/>
          </w:tcPr>
          <w:p>
            <w:pPr>
              <w:ind w:left="1320"/>
              <w:spacing w:after="0"/>
              <w:rPr>
                <w:sz w:val="20"/>
                <w:szCs w:val="20"/>
                <w:color w:val="auto"/>
              </w:rPr>
            </w:pPr>
            <w:r>
              <w:rPr>
                <w:rFonts w:ascii="Arial" w:cs="Arial" w:eastAsia="Arial" w:hAnsi="Arial"/>
                <w:sz w:val="18"/>
                <w:szCs w:val="18"/>
                <w:b w:val="1"/>
                <w:bCs w:val="1"/>
                <w:color w:val="auto"/>
              </w:rPr>
              <w:t>registered</w:t>
            </w:r>
          </w:p>
        </w:tc>
        <w:tc>
          <w:tcPr>
            <w:tcW w:w="0" w:type="dxa"/>
            <w:vAlign w:val="bottom"/>
          </w:tcPr>
          <w:p>
            <w:pPr>
              <w:spacing w:after="0"/>
              <w:rPr>
                <w:sz w:val="1"/>
                <w:szCs w:val="1"/>
                <w:color w:val="auto"/>
              </w:rPr>
            </w:pPr>
          </w:p>
        </w:tc>
      </w:tr>
      <w:tr>
        <w:trPr>
          <w:trHeight w:val="169"/>
        </w:trPr>
        <w:tc>
          <w:tcPr>
            <w:tcW w:w="3020" w:type="dxa"/>
            <w:vAlign w:val="bottom"/>
            <w:tcBorders>
              <w:top w:val="single" w:sz="8" w:color="auto"/>
            </w:tcBorders>
          </w:tcPr>
          <w:p>
            <w:pPr>
              <w:jc w:val="center"/>
              <w:ind w:left="390"/>
              <w:spacing w:after="0" w:line="169" w:lineRule="exact"/>
              <w:rPr>
                <w:sz w:val="20"/>
                <w:szCs w:val="20"/>
                <w:color w:val="auto"/>
              </w:rPr>
            </w:pPr>
            <w:r>
              <w:rPr>
                <w:rFonts w:ascii="Arial" w:cs="Arial" w:eastAsia="Arial" w:hAnsi="Arial"/>
                <w:sz w:val="18"/>
                <w:szCs w:val="18"/>
                <w:color w:val="auto"/>
                <w:w w:val="90"/>
              </w:rPr>
              <w:t>Common Stock, par value $0.001</w:t>
            </w:r>
          </w:p>
        </w:tc>
        <w:tc>
          <w:tcPr>
            <w:tcW w:w="140" w:type="dxa"/>
            <w:vAlign w:val="bottom"/>
          </w:tcPr>
          <w:p>
            <w:pPr>
              <w:spacing w:after="0"/>
              <w:rPr>
                <w:sz w:val="14"/>
                <w:szCs w:val="14"/>
                <w:color w:val="auto"/>
              </w:rPr>
            </w:pPr>
          </w:p>
        </w:tc>
        <w:tc>
          <w:tcPr>
            <w:tcW w:w="3020" w:type="dxa"/>
            <w:vAlign w:val="bottom"/>
            <w:tcBorders>
              <w:top w:val="single" w:sz="8" w:color="auto"/>
            </w:tcBorders>
          </w:tcPr>
          <w:p>
            <w:pPr>
              <w:jc w:val="center"/>
              <w:ind w:left="390"/>
              <w:spacing w:after="0" w:line="169" w:lineRule="exact"/>
              <w:rPr>
                <w:sz w:val="20"/>
                <w:szCs w:val="20"/>
                <w:color w:val="auto"/>
              </w:rPr>
            </w:pPr>
            <w:r>
              <w:rPr>
                <w:rFonts w:ascii="Arial" w:cs="Arial" w:eastAsia="Arial" w:hAnsi="Arial"/>
                <w:sz w:val="18"/>
                <w:szCs w:val="18"/>
                <w:color w:val="auto"/>
              </w:rPr>
              <w:t>MDB</w:t>
            </w:r>
          </w:p>
        </w:tc>
        <w:tc>
          <w:tcPr>
            <w:tcW w:w="140" w:type="dxa"/>
            <w:vAlign w:val="bottom"/>
          </w:tcPr>
          <w:p>
            <w:pPr>
              <w:spacing w:after="0"/>
              <w:rPr>
                <w:sz w:val="14"/>
                <w:szCs w:val="14"/>
                <w:color w:val="auto"/>
              </w:rPr>
            </w:pPr>
          </w:p>
        </w:tc>
        <w:tc>
          <w:tcPr>
            <w:tcW w:w="3400" w:type="dxa"/>
            <w:vAlign w:val="bottom"/>
            <w:tcBorders>
              <w:top w:val="single" w:sz="8" w:color="auto"/>
            </w:tcBorders>
          </w:tcPr>
          <w:p>
            <w:pPr>
              <w:jc w:val="center"/>
              <w:ind w:left="410"/>
              <w:spacing w:after="0" w:line="169"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84"/>
        </w:trPr>
        <w:tc>
          <w:tcPr>
            <w:tcW w:w="3160" w:type="dxa"/>
            <w:vAlign w:val="bottom"/>
            <w:gridSpan w:val="2"/>
          </w:tcPr>
          <w:p>
            <w:pPr>
              <w:ind w:left="1180"/>
              <w:spacing w:after="0"/>
              <w:rPr>
                <w:sz w:val="20"/>
                <w:szCs w:val="20"/>
                <w:color w:val="auto"/>
              </w:rPr>
            </w:pPr>
            <w:r>
              <w:rPr>
                <w:rFonts w:ascii="Arial" w:cs="Arial" w:eastAsia="Arial" w:hAnsi="Arial"/>
                <w:sz w:val="18"/>
                <w:szCs w:val="18"/>
                <w:color w:val="auto"/>
              </w:rPr>
              <w:t>per share</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tcPr>
          <w:p>
            <w:pPr>
              <w:jc w:val="center"/>
              <w:ind w:left="390"/>
              <w:spacing w:after="0"/>
              <w:rPr>
                <w:sz w:val="20"/>
                <w:szCs w:val="20"/>
                <w:color w:val="auto"/>
              </w:rPr>
            </w:pPr>
            <w:r>
              <w:rPr>
                <w:rFonts w:ascii="Arial" w:cs="Arial" w:eastAsia="Arial" w:hAnsi="Arial"/>
                <w:sz w:val="18"/>
                <w:szCs w:val="18"/>
                <w:color w:val="auto"/>
                <w:w w:val="92"/>
              </w:rPr>
              <w:t>(Nasdaq Global Market)</w:t>
            </w:r>
          </w:p>
        </w:tc>
        <w:tc>
          <w:tcPr>
            <w:tcW w:w="0" w:type="dxa"/>
            <w:vAlign w:val="bottom"/>
          </w:tcPr>
          <w:p>
            <w:pPr>
              <w:spacing w:after="0"/>
              <w:rPr>
                <w:sz w:val="1"/>
                <w:szCs w:val="1"/>
                <w:color w:val="auto"/>
              </w:rPr>
            </w:pPr>
          </w:p>
        </w:tc>
      </w:tr>
    </w:tbl>
    <w:p>
      <w:pPr>
        <w:spacing w:after="0" w:line="131" w:lineRule="exact"/>
        <w:rPr>
          <w:sz w:val="24"/>
          <w:szCs w:val="24"/>
          <w:color w:val="auto"/>
        </w:rPr>
      </w:pPr>
    </w:p>
    <w:p>
      <w:pPr>
        <w:ind w:firstLine="445"/>
        <w:spacing w:after="0" w:line="29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242" w:lineRule="exact"/>
        <w:rPr>
          <w:sz w:val="20"/>
          <w:szCs w:val="20"/>
          <w:color w:val="auto"/>
        </w:rPr>
      </w:pPr>
      <w:r>
        <w:rPr>
          <w:rFonts w:ascii="Arial" w:cs="Arial" w:eastAsia="Arial" w:hAnsi="Arial"/>
          <w:sz w:val="17"/>
          <w:szCs w:val="17"/>
          <w:color w:val="auto"/>
        </w:rPr>
        <w:t xml:space="preserve">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21"/>
          <w:szCs w:val="21"/>
          <w:color w:val="auto"/>
        </w:rPr>
        <w:t>☐</w:t>
      </w:r>
    </w:p>
    <w:p>
      <w:pPr>
        <w:spacing w:after="0" w:line="55" w:lineRule="exact"/>
        <w:rPr>
          <w:sz w:val="24"/>
          <w:szCs w:val="24"/>
          <w:color w:val="auto"/>
        </w:rPr>
      </w:pPr>
    </w:p>
    <w:p>
      <w:pPr>
        <w:ind w:right="20" w:firstLine="445"/>
        <w:spacing w:after="0" w:line="242"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21"/>
          <w:szCs w:val="21"/>
          <w:color w:val="auto"/>
        </w:rPr>
        <w:t>☐</w:t>
      </w:r>
    </w:p>
    <w:p>
      <w:pPr>
        <w:spacing w:after="0" w:line="4" w:lineRule="exact"/>
        <w:rPr>
          <w:sz w:val="24"/>
          <w:szCs w:val="24"/>
          <w:color w:val="auto"/>
        </w:rPr>
      </w:pPr>
    </w:p>
    <w:p>
      <w:pPr>
        <w:ind w:right="220" w:firstLine="445"/>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920" w:type="dxa"/>
        <w:tblCellMar>
          <w:top w:w="0" w:type="dxa"/>
          <w:left w:w="0" w:type="dxa"/>
          <w:bottom w:w="0" w:type="dxa"/>
          <w:right w:w="0" w:type="dxa"/>
        </w:tblCellMar>
      </w:tblPr>
      <w:tr>
        <w:trPr>
          <w:trHeight w:val="226"/>
        </w:trPr>
        <w:tc>
          <w:tcPr>
            <w:tcW w:w="20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9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2240"/>
              <w:spacing w:after="0"/>
              <w:rPr>
                <w:sz w:val="20"/>
                <w:szCs w:val="20"/>
                <w:color w:val="auto"/>
              </w:rPr>
            </w:pPr>
            <w:r>
              <w:rPr>
                <w:rFonts w:ascii="Arial" w:cs="Arial" w:eastAsia="Arial" w:hAnsi="Arial"/>
                <w:sz w:val="17"/>
                <w:szCs w:val="17"/>
                <w:color w:val="auto"/>
              </w:rPr>
              <w:t>Accelerated filer</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2060" w:type="dxa"/>
            <w:vAlign w:val="bottom"/>
          </w:tcPr>
          <w:p>
            <w:pPr>
              <w:spacing w:after="0"/>
              <w:rPr>
                <w:sz w:val="20"/>
                <w:szCs w:val="20"/>
                <w:color w:val="auto"/>
              </w:rPr>
            </w:pPr>
            <w:r>
              <w:rPr>
                <w:rFonts w:ascii="Arial" w:cs="Arial" w:eastAsia="Arial" w:hAnsi="Arial"/>
                <w:sz w:val="17"/>
                <w:szCs w:val="17"/>
                <w:color w:val="auto"/>
              </w:rPr>
              <w:t>Non-accelerated filer</w:t>
            </w:r>
          </w:p>
        </w:tc>
        <w:tc>
          <w:tcPr>
            <w:tcW w:w="292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4480" w:type="dxa"/>
            <w:vAlign w:val="bottom"/>
          </w:tcPr>
          <w:p>
            <w:pPr>
              <w:ind w:left="2240"/>
              <w:spacing w:after="0"/>
              <w:rPr>
                <w:sz w:val="20"/>
                <w:szCs w:val="20"/>
                <w:color w:val="auto"/>
              </w:rPr>
            </w:pPr>
            <w:r>
              <w:rPr>
                <w:rFonts w:ascii="Arial" w:cs="Arial" w:eastAsia="Arial" w:hAnsi="Arial"/>
                <w:sz w:val="17"/>
                <w:szCs w:val="17"/>
                <w:color w:val="auto"/>
              </w:rPr>
              <w:t>Smaller reporting company</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206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480" w:type="dxa"/>
            <w:vAlign w:val="bottom"/>
          </w:tcPr>
          <w:p>
            <w:pPr>
              <w:ind w:left="2240"/>
              <w:spacing w:after="0"/>
              <w:rPr>
                <w:sz w:val="20"/>
                <w:szCs w:val="20"/>
                <w:color w:val="auto"/>
              </w:rPr>
            </w:pPr>
            <w:r>
              <w:rPr>
                <w:rFonts w:ascii="Arial" w:cs="Arial" w:eastAsia="Arial" w:hAnsi="Arial"/>
                <w:sz w:val="17"/>
                <w:szCs w:val="17"/>
                <w:color w:val="auto"/>
              </w:rPr>
              <w:t>Emerging growth company</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01" w:lineRule="exact"/>
        <w:rPr>
          <w:sz w:val="24"/>
          <w:szCs w:val="24"/>
          <w:color w:val="auto"/>
        </w:rPr>
      </w:pPr>
    </w:p>
    <w:p>
      <w:pPr>
        <w:ind w:right="20" w:firstLine="445"/>
        <w:spacing w:after="0" w:line="25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ind w:left="460" w:right="1740"/>
        <w:spacing w:after="0" w:line="265"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31, 2022, there were 68,114,986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693420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97155</wp:posOffset>
            </wp:positionV>
            <wp:extent cx="6652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123190</wp:posOffset>
            </wp:positionV>
            <wp:extent cx="6652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ectPr>
          <w:pgSz w:w="11900" w:h="16838" w:orient="portrait"/>
          <w:cols w:equalWidth="0" w:num="1">
            <w:col w:w="11160"/>
          </w:cols>
          <w:pgMar w:left="320" w:top="1241" w:right="419" w:bottom="1440" w:gutter="0" w:footer="0" w:header="0"/>
        </w:sectPr>
      </w:pPr>
    </w:p>
    <w:bookmarkStart w:id="1" w:name="page2"/>
    <w:bookmarkEnd w:id="1"/>
    <w:p>
      <w:pPr>
        <w:jc w:val="center"/>
        <w:ind w:right="-459"/>
        <w:spacing w:after="0"/>
        <w:rPr>
          <w:sz w:val="20"/>
          <w:szCs w:val="20"/>
          <w:color w:val="auto"/>
        </w:rPr>
      </w:pPr>
      <w:r>
        <w:rPr>
          <w:rFonts w:ascii="Arial" w:cs="Arial" w:eastAsia="Arial" w:hAnsi="Arial"/>
          <w:sz w:val="19"/>
          <w:szCs w:val="19"/>
          <w:b w:val="1"/>
          <w:bCs w:val="1"/>
          <w:color w:val="auto"/>
        </w:rPr>
        <w:t>Table of Contents</w:t>
      </w:r>
    </w:p>
    <w:p>
      <w:pPr>
        <w:sectPr>
          <w:pgSz w:w="11900" w:h="16838" w:orient="portrait"/>
          <w:cols w:equalWidth="0" w:num="1">
            <w:col w:w="10840"/>
          </w:cols>
          <w:pgMar w:left="540" w:top="126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Item 2.</w:t>
        </w:r>
      </w:hyperlink>
    </w:p>
    <w:p>
      <w:pPr>
        <w:spacing w:after="0" w:line="117" w:lineRule="exact"/>
        <w:rPr>
          <w:sz w:val="20"/>
          <w:szCs w:val="20"/>
          <w:color w:val="auto"/>
        </w:rPr>
      </w:pPr>
    </w:p>
    <w:p>
      <w:pPr>
        <w:ind w:left="4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3.</w:t>
        </w:r>
      </w:hyperlink>
    </w:p>
    <w:p>
      <w:pPr>
        <w:spacing w:after="0" w:line="117" w:lineRule="exact"/>
        <w:rPr>
          <w:sz w:val="20"/>
          <w:szCs w:val="20"/>
          <w:color w:val="auto"/>
        </w:rPr>
      </w:pPr>
    </w:p>
    <w:p>
      <w:pPr>
        <w:ind w:left="4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4.</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0"/>
        <w:spacing w:after="0" w:line="462" w:lineRule="auto"/>
        <w:rPr>
          <w:rFonts w:ascii="Arial" w:cs="Arial" w:eastAsia="Arial" w:hAnsi="Arial"/>
          <w:sz w:val="15"/>
          <w:szCs w:val="15"/>
          <w:u w:val="single" w:color="auto"/>
          <w:color w:val="0000FF"/>
        </w:rPr>
      </w:pPr>
      <w:hyperlink w:anchor="page34">
        <w:r>
          <w:rPr>
            <w:rFonts w:ascii="Arial" w:cs="Arial" w:eastAsia="Arial" w:hAnsi="Arial"/>
            <w:sz w:val="15"/>
            <w:szCs w:val="15"/>
            <w:u w:val="single" w:color="auto"/>
            <w:color w:val="0000FF"/>
          </w:rPr>
          <w:t>Item 1.</w:t>
        </w:r>
      </w:hyperlink>
      <w:r>
        <w:rPr>
          <w:rFonts w:ascii="Arial" w:cs="Arial" w:eastAsia="Arial" w:hAnsi="Arial"/>
          <w:sz w:val="15"/>
          <w:szCs w:val="15"/>
          <w:u w:val="single" w:color="auto"/>
          <w:color w:val="0000FF"/>
        </w:rPr>
        <w:t xml:space="preserve"> </w:t>
      </w:r>
      <w:hyperlink w:anchor="page34">
        <w:r>
          <w:rPr>
            <w:rFonts w:ascii="Arial" w:cs="Arial" w:eastAsia="Arial" w:hAnsi="Arial"/>
            <w:sz w:val="15"/>
            <w:szCs w:val="15"/>
            <w:u w:val="single" w:color="auto"/>
            <w:color w:val="0000FF"/>
          </w:rPr>
          <w:t>Item 1A.</w:t>
        </w:r>
      </w:hyperlink>
      <w:r>
        <w:rPr>
          <w:rFonts w:ascii="Arial" w:cs="Arial" w:eastAsia="Arial" w:hAnsi="Arial"/>
          <w:sz w:val="15"/>
          <w:szCs w:val="15"/>
          <w:u w:val="single" w:color="auto"/>
          <w:color w:val="0000FF"/>
        </w:rPr>
        <w:t xml:space="preserve"> </w:t>
      </w:r>
      <w:hyperlink w:anchor="page65">
        <w:r>
          <w:rPr>
            <w:rFonts w:ascii="Arial" w:cs="Arial" w:eastAsia="Arial" w:hAnsi="Arial"/>
            <w:sz w:val="15"/>
            <w:szCs w:val="15"/>
            <w:u w:val="single" w:color="auto"/>
            <w:color w:val="0000FF"/>
          </w:rPr>
          <w:t>Item 2.</w:t>
        </w:r>
      </w:hyperlink>
      <w:r>
        <w:rPr>
          <w:rFonts w:ascii="Arial" w:cs="Arial" w:eastAsia="Arial" w:hAnsi="Arial"/>
          <w:sz w:val="15"/>
          <w:szCs w:val="15"/>
          <w:u w:val="single" w:color="auto"/>
          <w:color w:val="0000FF"/>
        </w:rPr>
        <w:t xml:space="preserve"> </w:t>
      </w:r>
      <w:hyperlink w:anchor="page65">
        <w:r>
          <w:rPr>
            <w:rFonts w:ascii="Arial" w:cs="Arial" w:eastAsia="Arial" w:hAnsi="Arial"/>
            <w:sz w:val="15"/>
            <w:szCs w:val="15"/>
            <w:u w:val="single" w:color="auto"/>
            <w:color w:val="0000FF"/>
          </w:rPr>
          <w:t>Item 3.</w:t>
        </w:r>
      </w:hyperlink>
      <w:r>
        <w:rPr>
          <w:rFonts w:ascii="Arial" w:cs="Arial" w:eastAsia="Arial" w:hAnsi="Arial"/>
          <w:sz w:val="15"/>
          <w:szCs w:val="15"/>
          <w:u w:val="single" w:color="auto"/>
          <w:color w:val="0000FF"/>
        </w:rPr>
        <w:t xml:space="preserve"> </w:t>
      </w:r>
      <w:hyperlink w:anchor="page65">
        <w:r>
          <w:rPr>
            <w:rFonts w:ascii="Arial" w:cs="Arial" w:eastAsia="Arial" w:hAnsi="Arial"/>
            <w:sz w:val="15"/>
            <w:szCs w:val="15"/>
            <w:u w:val="single" w:color="auto"/>
            <w:color w:val="0000FF"/>
          </w:rPr>
          <w:t>Item 4.</w:t>
        </w:r>
      </w:hyperlink>
      <w:r>
        <w:rPr>
          <w:rFonts w:ascii="Arial" w:cs="Arial" w:eastAsia="Arial" w:hAnsi="Arial"/>
          <w:sz w:val="15"/>
          <w:szCs w:val="15"/>
          <w:u w:val="single" w:color="auto"/>
          <w:color w:val="0000FF"/>
        </w:rPr>
        <w:t xml:space="preserve"> </w:t>
      </w:r>
      <w:hyperlink w:anchor="page65">
        <w:r>
          <w:rPr>
            <w:rFonts w:ascii="Arial" w:cs="Arial" w:eastAsia="Arial" w:hAnsi="Arial"/>
            <w:sz w:val="15"/>
            <w:szCs w:val="15"/>
            <w:u w:val="single" w:color="auto"/>
            <w:color w:val="0000FF"/>
          </w:rPr>
          <w:t>Item 5.</w:t>
        </w:r>
      </w:hyperlink>
      <w:r>
        <w:rPr>
          <w:rFonts w:ascii="Arial" w:cs="Arial" w:eastAsia="Arial" w:hAnsi="Arial"/>
          <w:sz w:val="15"/>
          <w:szCs w:val="15"/>
          <w:u w:val="single" w:color="auto"/>
          <w:color w:val="0000FF"/>
        </w:rPr>
        <w:t xml:space="preserve"> </w:t>
      </w:r>
      <w:hyperlink w:anchor="page65">
        <w:r>
          <w:rPr>
            <w:rFonts w:ascii="Arial" w:cs="Arial" w:eastAsia="Arial" w:hAnsi="Arial"/>
            <w:sz w:val="15"/>
            <w:szCs w:val="15"/>
            <w:u w:val="single" w:color="auto"/>
            <w:color w:val="0000FF"/>
          </w:rPr>
          <w:t>Item 6.</w:t>
        </w:r>
      </w:hyperlink>
      <w:r>
        <w:rPr>
          <w:rFonts w:ascii="Arial" w:cs="Arial" w:eastAsia="Arial" w:hAnsi="Arial"/>
          <w:sz w:val="15"/>
          <w:szCs w:val="15"/>
          <w:u w:val="single" w:color="auto"/>
          <w:color w:val="0000FF"/>
        </w:rPr>
        <w:t xml:space="preserve"> </w:t>
      </w:r>
      <w:hyperlink w:anchor="page66">
        <w:r>
          <w:rPr>
            <w:rFonts w:ascii="Arial" w:cs="Arial" w:eastAsia="Arial" w:hAnsi="Arial"/>
            <w:sz w:val="15"/>
            <w:szCs w:val="15"/>
            <w:u w:val="single" w:color="auto"/>
            <w:color w:val="0000FF"/>
          </w:rPr>
          <w:t>Signatures</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spacing w:after="0" w:line="200" w:lineRule="exact"/>
        <w:rPr>
          <w:rFonts w:ascii="Arial" w:cs="Arial" w:eastAsia="Arial" w:hAnsi="Arial"/>
          <w:sz w:val="15"/>
          <w:szCs w:val="15"/>
          <w:u w:val="single" w:color="auto"/>
          <w:color w:val="0000FF"/>
        </w:rPr>
      </w:pPr>
    </w:p>
    <w:p>
      <w:pPr>
        <w:spacing w:after="0" w:line="390" w:lineRule="exact"/>
        <w:rPr>
          <w:rFonts w:ascii="Arial" w:cs="Arial" w:eastAsia="Arial" w:hAnsi="Arial"/>
          <w:sz w:val="15"/>
          <w:szCs w:val="15"/>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76"/>
        </w:trPr>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60" w:type="dxa"/>
            <w:vAlign w:val="bottom"/>
            <w:tcBorders>
              <w:bottom w:val="single" w:sz="8" w:color="0000FF"/>
            </w:tcBorders>
            <w:gridSpan w:val="5"/>
          </w:tcPr>
          <w:p>
            <w:pPr>
              <w:jc w:val="center"/>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3360" w:type="dxa"/>
            <w:vAlign w:val="bottom"/>
            <w:gridSpan w:val="7"/>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932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5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916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Condensed Consolidated Balance Sheets as of April 30, 2022 and January 31, 2022</w:t>
              </w:r>
            </w:hyperlink>
          </w:p>
        </w:tc>
        <w:tc>
          <w:tcPr>
            <w:tcW w:w="5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824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Unaudited Condensed Consolidated Statements of Operations for the three months ended April 30, 2022 and 2021</w:t>
              </w:r>
            </w:hyperlink>
          </w:p>
        </w:tc>
        <w:tc>
          <w:tcPr>
            <w:tcW w:w="920" w:type="dxa"/>
            <w:vAlign w:val="bottom"/>
            <w:gridSpan w:val="3"/>
          </w:tcPr>
          <w:p>
            <w:pPr>
              <w:spacing w:after="0"/>
              <w:rPr>
                <w:sz w:val="20"/>
                <w:szCs w:val="20"/>
                <w:color w:val="auto"/>
              </w:rPr>
            </w:pPr>
          </w:p>
        </w:tc>
        <w:tc>
          <w:tcPr>
            <w:tcW w:w="420" w:type="dxa"/>
            <w:vAlign w:val="bottom"/>
            <w:gridSpan w:val="2"/>
          </w:tcPr>
          <w:p>
            <w:pPr>
              <w:spacing w:after="0"/>
              <w:rPr>
                <w:sz w:val="20"/>
                <w:szCs w:val="20"/>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9160" w:type="dxa"/>
            <w:vAlign w:val="bottom"/>
            <w:gridSpan w:val="19"/>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Unaudited Condensed Consolidated Statements of Comprehensive Loss for the three months ended April 30, 2022 and 2021</w:t>
              </w:r>
            </w:hyperlink>
          </w:p>
        </w:tc>
        <w:tc>
          <w:tcPr>
            <w:tcW w:w="5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9"/>
        </w:trPr>
        <w:tc>
          <w:tcPr>
            <w:tcW w:w="160" w:type="dxa"/>
            <w:vAlign w:val="bottom"/>
          </w:tcPr>
          <w:p>
            <w:pPr>
              <w:spacing w:after="0"/>
              <w:rPr>
                <w:sz w:val="18"/>
                <w:szCs w:val="18"/>
                <w:color w:val="auto"/>
              </w:rPr>
            </w:pPr>
          </w:p>
        </w:tc>
        <w:tc>
          <w:tcPr>
            <w:tcW w:w="586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Unaudited Condensed Consolidated Statements of Stockholders’ Equity (Deficit)</w:t>
              </w:r>
            </w:hyperlink>
          </w:p>
        </w:tc>
        <w:tc>
          <w:tcPr>
            <w:tcW w:w="3100" w:type="dxa"/>
            <w:vAlign w:val="bottom"/>
            <w:tcBorders>
              <w:top w:val="single" w:sz="8" w:color="0000FF"/>
            </w:tcBorders>
            <w:gridSpan w:val="5"/>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30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Unaudited Condensed Consolidated Statements of Cash Flows for the three months ended April 30, 2022 and 2021</w:t>
              </w:r>
            </w:hyperlink>
          </w:p>
        </w:tc>
        <w:tc>
          <w:tcPr>
            <w:tcW w:w="86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16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 (unaudited)</w:t>
              </w:r>
            </w:hyperlink>
          </w:p>
        </w:tc>
        <w:tc>
          <w:tcPr>
            <w:tcW w:w="54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460" w:type="dxa"/>
            <w:vAlign w:val="bottom"/>
            <w:gridSpan w:val="15"/>
          </w:tcPr>
          <w:p>
            <w:pPr>
              <w:spacing w:after="0"/>
              <w:rPr>
                <w:rFonts w:ascii="Arial" w:cs="Arial" w:eastAsia="Arial" w:hAnsi="Arial"/>
                <w:sz w:val="18"/>
                <w:szCs w:val="18"/>
                <w:color w:val="0000FF"/>
                <w:w w:val="90"/>
              </w:rPr>
            </w:pPr>
            <w:hyperlink w:anchor="page19">
              <w:r>
                <w:rPr>
                  <w:rFonts w:ascii="Arial" w:cs="Arial" w:eastAsia="Arial" w:hAnsi="Arial"/>
                  <w:sz w:val="18"/>
                  <w:szCs w:val="18"/>
                  <w:color w:val="0000FF"/>
                  <w:w w:val="90"/>
                </w:rPr>
                <w:t>Management’s Discussion and Analysis of Financial Condition and Results of Operations</w:t>
              </w:r>
            </w:hyperlink>
          </w:p>
        </w:tc>
        <w:tc>
          <w:tcPr>
            <w:tcW w:w="2860" w:type="dxa"/>
            <w:vAlign w:val="bottom"/>
            <w:gridSpan w:val="5"/>
          </w:tcPr>
          <w:p>
            <w:pPr>
              <w:spacing w:after="0"/>
              <w:rPr>
                <w:sz w:val="24"/>
                <w:szCs w:val="24"/>
                <w:color w:val="auto"/>
              </w:rPr>
            </w:pPr>
          </w:p>
        </w:tc>
        <w:tc>
          <w:tcPr>
            <w:tcW w:w="520" w:type="dxa"/>
            <w:vAlign w:val="bottom"/>
            <w:gridSpan w:val="3"/>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18</w:t>
              </w:r>
            </w:hyperlink>
          </w:p>
        </w:tc>
        <w:tc>
          <w:tcPr>
            <w:tcW w:w="20" w:type="dxa"/>
            <w:vAlign w:val="bottom"/>
          </w:tcPr>
          <w:p>
            <w:pPr>
              <w:spacing w:after="0"/>
              <w:rPr>
                <w:sz w:val="24"/>
                <w:szCs w:val="24"/>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340" w:type="dxa"/>
            <w:vAlign w:val="bottom"/>
            <w:gridSpan w:val="10"/>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Quantitative and Qualitative Disclosures About Market Risk</w:t>
              </w:r>
            </w:hyperlink>
          </w:p>
        </w:tc>
        <w:tc>
          <w:tcPr>
            <w:tcW w:w="2120" w:type="dxa"/>
            <w:vAlign w:val="bottom"/>
            <w:gridSpan w:val="5"/>
          </w:tcPr>
          <w:p>
            <w:pPr>
              <w:spacing w:after="0"/>
              <w:rPr>
                <w:sz w:val="24"/>
                <w:szCs w:val="24"/>
                <w:color w:val="auto"/>
              </w:rPr>
            </w:pPr>
          </w:p>
        </w:tc>
        <w:tc>
          <w:tcPr>
            <w:tcW w:w="2860" w:type="dxa"/>
            <w:vAlign w:val="bottom"/>
            <w:gridSpan w:val="5"/>
          </w:tcPr>
          <w:p>
            <w:pPr>
              <w:spacing w:after="0"/>
              <w:rPr>
                <w:sz w:val="24"/>
                <w:szCs w:val="24"/>
                <w:color w:val="auto"/>
              </w:rPr>
            </w:pPr>
          </w:p>
        </w:tc>
        <w:tc>
          <w:tcPr>
            <w:tcW w:w="52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c>
          <w:tcPr>
            <w:tcW w:w="20" w:type="dxa"/>
            <w:vAlign w:val="bottom"/>
          </w:tcPr>
          <w:p>
            <w:pPr>
              <w:spacing w:after="0"/>
              <w:rPr>
                <w:sz w:val="24"/>
                <w:szCs w:val="24"/>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340" w:type="dxa"/>
            <w:vAlign w:val="bottom"/>
            <w:gridSpan w:val="10"/>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Controls and Procedures</w:t>
              </w:r>
            </w:hyperlink>
          </w:p>
        </w:tc>
        <w:tc>
          <w:tcPr>
            <w:tcW w:w="4980" w:type="dxa"/>
            <w:vAlign w:val="bottom"/>
            <w:gridSpan w:val="10"/>
          </w:tcPr>
          <w:p>
            <w:pPr>
              <w:spacing w:after="0"/>
              <w:rPr>
                <w:sz w:val="24"/>
                <w:szCs w:val="24"/>
                <w:color w:val="auto"/>
              </w:rPr>
            </w:pPr>
          </w:p>
        </w:tc>
        <w:tc>
          <w:tcPr>
            <w:tcW w:w="5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c>
          <w:tcPr>
            <w:tcW w:w="20" w:type="dxa"/>
            <w:vAlign w:val="bottom"/>
          </w:tcPr>
          <w:p>
            <w:pPr>
              <w:spacing w:after="0"/>
              <w:rPr>
                <w:sz w:val="24"/>
                <w:szCs w:val="24"/>
                <w:color w:val="auto"/>
              </w:rPr>
            </w:pPr>
          </w:p>
        </w:tc>
      </w:tr>
      <w:tr>
        <w:trPr>
          <w:trHeight w:val="466"/>
        </w:trPr>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80" w:type="dxa"/>
            <w:vAlign w:val="bottom"/>
            <w:gridSpan w:val="11"/>
          </w:tcPr>
          <w:p>
            <w:pPr>
              <w:jc w:val="center"/>
              <w:ind w:right="3520"/>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 OTHER INFORMATION</w:t>
              </w:r>
            </w:hyperlink>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320" w:type="dxa"/>
            <w:vAlign w:val="bottom"/>
            <w:gridSpan w:val="4"/>
          </w:tcPr>
          <w:p>
            <w:pPr>
              <w:spacing w:after="0"/>
              <w:rPr>
                <w:rFonts w:ascii="Arial" w:cs="Arial" w:eastAsia="Arial" w:hAnsi="Arial"/>
                <w:sz w:val="18"/>
                <w:szCs w:val="18"/>
                <w:color w:val="0000FF"/>
                <w:w w:val="85"/>
              </w:rPr>
            </w:pPr>
            <w:hyperlink w:anchor="page34">
              <w:r>
                <w:rPr>
                  <w:rFonts w:ascii="Arial" w:cs="Arial" w:eastAsia="Arial" w:hAnsi="Arial"/>
                  <w:sz w:val="18"/>
                  <w:szCs w:val="18"/>
                  <w:color w:val="0000FF"/>
                  <w:w w:val="85"/>
                </w:rPr>
                <w:t>Legal Proceedings</w:t>
              </w:r>
            </w:hyperlink>
          </w:p>
        </w:tc>
        <w:tc>
          <w:tcPr>
            <w:tcW w:w="1720" w:type="dxa"/>
            <w:vAlign w:val="bottom"/>
            <w:gridSpan w:val="5"/>
          </w:tcPr>
          <w:p>
            <w:pPr>
              <w:spacing w:after="0"/>
              <w:rPr>
                <w:sz w:val="24"/>
                <w:szCs w:val="24"/>
                <w:color w:val="auto"/>
              </w:rPr>
            </w:pPr>
          </w:p>
        </w:tc>
        <w:tc>
          <w:tcPr>
            <w:tcW w:w="2760" w:type="dxa"/>
            <w:vAlign w:val="bottom"/>
            <w:tcBorders>
              <w:top w:val="single" w:sz="8" w:color="0000FF"/>
            </w:tcBorders>
            <w:gridSpan w:val="3"/>
          </w:tcPr>
          <w:p>
            <w:pPr>
              <w:spacing w:after="0"/>
              <w:rPr>
                <w:sz w:val="24"/>
                <w:szCs w:val="24"/>
                <w:color w:val="auto"/>
              </w:rPr>
            </w:pPr>
          </w:p>
        </w:tc>
        <w:tc>
          <w:tcPr>
            <w:tcW w:w="3520" w:type="dxa"/>
            <w:vAlign w:val="bottom"/>
            <w:gridSpan w:val="8"/>
          </w:tcPr>
          <w:p>
            <w:pPr>
              <w:spacing w:after="0"/>
              <w:rPr>
                <w:sz w:val="24"/>
                <w:szCs w:val="24"/>
                <w:color w:val="auto"/>
              </w:rPr>
            </w:pPr>
          </w:p>
        </w:tc>
        <w:tc>
          <w:tcPr>
            <w:tcW w:w="52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c>
          <w:tcPr>
            <w:tcW w:w="20" w:type="dxa"/>
            <w:vAlign w:val="bottom"/>
          </w:tcPr>
          <w:p>
            <w:pPr>
              <w:spacing w:after="0"/>
              <w:rPr>
                <w:sz w:val="24"/>
                <w:szCs w:val="24"/>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20" w:type="dxa"/>
            <w:vAlign w:val="bottom"/>
            <w:gridSpan w:val="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Risk Factors</w:t>
              </w:r>
            </w:hyperlink>
          </w:p>
        </w:tc>
        <w:tc>
          <w:tcPr>
            <w:tcW w:w="8000" w:type="dxa"/>
            <w:vAlign w:val="bottom"/>
            <w:gridSpan w:val="16"/>
          </w:tcPr>
          <w:p>
            <w:pPr>
              <w:spacing w:after="0"/>
              <w:rPr>
                <w:sz w:val="24"/>
                <w:szCs w:val="24"/>
                <w:color w:val="auto"/>
              </w:rPr>
            </w:pPr>
          </w:p>
        </w:tc>
        <w:tc>
          <w:tcPr>
            <w:tcW w:w="52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c>
          <w:tcPr>
            <w:tcW w:w="20" w:type="dxa"/>
            <w:vAlign w:val="bottom"/>
          </w:tcPr>
          <w:p>
            <w:pPr>
              <w:spacing w:after="0"/>
              <w:rPr>
                <w:sz w:val="24"/>
                <w:szCs w:val="24"/>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320" w:type="dxa"/>
            <w:vAlign w:val="bottom"/>
            <w:gridSpan w:val="20"/>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Unregistered Sales of Equity Securities and Use of Proceeds</w:t>
              </w:r>
            </w:hyperlink>
          </w:p>
        </w:tc>
        <w:tc>
          <w:tcPr>
            <w:tcW w:w="520" w:type="dxa"/>
            <w:vAlign w:val="bottom"/>
            <w:gridSpan w:val="3"/>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63</w:t>
              </w:r>
            </w:hyperlink>
          </w:p>
        </w:tc>
        <w:tc>
          <w:tcPr>
            <w:tcW w:w="20" w:type="dxa"/>
            <w:vAlign w:val="bottom"/>
          </w:tcPr>
          <w:p>
            <w:pPr>
              <w:spacing w:after="0"/>
              <w:rPr>
                <w:sz w:val="24"/>
                <w:szCs w:val="24"/>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340" w:type="dxa"/>
            <w:vAlign w:val="bottom"/>
            <w:gridSpan w:val="10"/>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Defaults Upon Senior Securities</w:t>
              </w:r>
            </w:hyperlink>
          </w:p>
        </w:tc>
        <w:tc>
          <w:tcPr>
            <w:tcW w:w="4980" w:type="dxa"/>
            <w:vAlign w:val="bottom"/>
            <w:gridSpan w:val="10"/>
          </w:tcPr>
          <w:p>
            <w:pPr>
              <w:spacing w:after="0"/>
              <w:rPr>
                <w:sz w:val="24"/>
                <w:szCs w:val="24"/>
                <w:color w:val="auto"/>
              </w:rPr>
            </w:pPr>
          </w:p>
        </w:tc>
        <w:tc>
          <w:tcPr>
            <w:tcW w:w="520" w:type="dxa"/>
            <w:vAlign w:val="bottom"/>
            <w:gridSpan w:val="3"/>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63</w:t>
              </w:r>
            </w:hyperlink>
          </w:p>
        </w:tc>
        <w:tc>
          <w:tcPr>
            <w:tcW w:w="20" w:type="dxa"/>
            <w:vAlign w:val="bottom"/>
          </w:tcPr>
          <w:p>
            <w:pPr>
              <w:spacing w:after="0"/>
              <w:rPr>
                <w:sz w:val="24"/>
                <w:szCs w:val="24"/>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2320" w:type="dxa"/>
            <w:vAlign w:val="bottom"/>
            <w:gridSpan w:val="7"/>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Mine Safety Disclosures</w:t>
              </w:r>
            </w:hyperlink>
          </w:p>
        </w:tc>
        <w:tc>
          <w:tcPr>
            <w:tcW w:w="7000" w:type="dxa"/>
            <w:vAlign w:val="bottom"/>
            <w:gridSpan w:val="13"/>
          </w:tcPr>
          <w:p>
            <w:pPr>
              <w:spacing w:after="0"/>
              <w:rPr>
                <w:sz w:val="24"/>
                <w:szCs w:val="24"/>
                <w:color w:val="auto"/>
              </w:rPr>
            </w:pPr>
          </w:p>
        </w:tc>
        <w:tc>
          <w:tcPr>
            <w:tcW w:w="520" w:type="dxa"/>
            <w:vAlign w:val="bottom"/>
            <w:gridSpan w:val="3"/>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63</w:t>
              </w:r>
            </w:hyperlink>
          </w:p>
        </w:tc>
        <w:tc>
          <w:tcPr>
            <w:tcW w:w="20" w:type="dxa"/>
            <w:vAlign w:val="bottom"/>
          </w:tcPr>
          <w:p>
            <w:pPr>
              <w:spacing w:after="0"/>
              <w:rPr>
                <w:sz w:val="24"/>
                <w:szCs w:val="24"/>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20" w:type="dxa"/>
            <w:vAlign w:val="bottom"/>
            <w:gridSpan w:val="4"/>
          </w:tcPr>
          <w:p>
            <w:pPr>
              <w:spacing w:after="0"/>
              <w:rPr>
                <w:rFonts w:ascii="Arial" w:cs="Arial" w:eastAsia="Arial" w:hAnsi="Arial"/>
                <w:sz w:val="18"/>
                <w:szCs w:val="18"/>
                <w:color w:val="0000FF"/>
                <w:w w:val="91"/>
              </w:rPr>
            </w:pPr>
            <w:hyperlink w:anchor="page65">
              <w:r>
                <w:rPr>
                  <w:rFonts w:ascii="Arial" w:cs="Arial" w:eastAsia="Arial" w:hAnsi="Arial"/>
                  <w:sz w:val="18"/>
                  <w:szCs w:val="18"/>
                  <w:color w:val="0000FF"/>
                  <w:w w:val="91"/>
                </w:rPr>
                <w:t>Other Information</w:t>
              </w:r>
            </w:hyperlink>
          </w:p>
        </w:tc>
        <w:tc>
          <w:tcPr>
            <w:tcW w:w="440" w:type="dxa"/>
            <w:vAlign w:val="bottom"/>
            <w:gridSpan w:val="2"/>
          </w:tcPr>
          <w:p>
            <w:pPr>
              <w:spacing w:after="0"/>
              <w:rPr>
                <w:sz w:val="24"/>
                <w:szCs w:val="24"/>
                <w:color w:val="auto"/>
              </w:rPr>
            </w:pPr>
          </w:p>
        </w:tc>
        <w:tc>
          <w:tcPr>
            <w:tcW w:w="7560" w:type="dxa"/>
            <w:vAlign w:val="bottom"/>
            <w:gridSpan w:val="14"/>
          </w:tcPr>
          <w:p>
            <w:pPr>
              <w:spacing w:after="0"/>
              <w:rPr>
                <w:sz w:val="24"/>
                <w:szCs w:val="24"/>
                <w:color w:val="auto"/>
              </w:rPr>
            </w:pPr>
          </w:p>
        </w:tc>
        <w:tc>
          <w:tcPr>
            <w:tcW w:w="520" w:type="dxa"/>
            <w:vAlign w:val="bottom"/>
            <w:gridSpan w:val="3"/>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63</w:t>
              </w:r>
            </w:hyperlink>
          </w:p>
        </w:tc>
        <w:tc>
          <w:tcPr>
            <w:tcW w:w="20" w:type="dxa"/>
            <w:vAlign w:val="bottom"/>
          </w:tcPr>
          <w:p>
            <w:pPr>
              <w:spacing w:after="0"/>
              <w:rPr>
                <w:sz w:val="24"/>
                <w:szCs w:val="24"/>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0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20" w:type="dxa"/>
            <w:vAlign w:val="bottom"/>
            <w:gridSpan w:val="4"/>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Exhibits</w:t>
              </w:r>
            </w:hyperlink>
          </w:p>
        </w:tc>
        <w:tc>
          <w:tcPr>
            <w:tcW w:w="8000" w:type="dxa"/>
            <w:vAlign w:val="bottom"/>
            <w:gridSpan w:val="16"/>
          </w:tcPr>
          <w:p>
            <w:pPr>
              <w:spacing w:after="0"/>
              <w:rPr>
                <w:sz w:val="24"/>
                <w:szCs w:val="24"/>
                <w:color w:val="auto"/>
              </w:rPr>
            </w:pPr>
          </w:p>
        </w:tc>
        <w:tc>
          <w:tcPr>
            <w:tcW w:w="520" w:type="dxa"/>
            <w:vAlign w:val="bottom"/>
            <w:gridSpan w:val="3"/>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64</w:t>
              </w:r>
            </w:hyperlink>
          </w:p>
        </w:tc>
        <w:tc>
          <w:tcPr>
            <w:tcW w:w="20" w:type="dxa"/>
            <w:vAlign w:val="bottom"/>
          </w:tcPr>
          <w:p>
            <w:pPr>
              <w:spacing w:after="0"/>
              <w:rPr>
                <w:sz w:val="24"/>
                <w:szCs w:val="24"/>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65</w:t>
              </w:r>
            </w:hyperlink>
          </w:p>
        </w:tc>
        <w:tc>
          <w:tcPr>
            <w:tcW w:w="2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1264285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-3599815</wp:posOffset>
            </wp:positionV>
            <wp:extent cx="689229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-3222625</wp:posOffset>
            </wp:positionV>
            <wp:extent cx="689229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-2931160</wp:posOffset>
            </wp:positionV>
            <wp:extent cx="689229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-2639695</wp:posOffset>
            </wp:positionV>
            <wp:extent cx="689229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-2287905</wp:posOffset>
            </wp:positionV>
            <wp:extent cx="689229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-1877060</wp:posOffset>
            </wp:positionV>
            <wp:extent cx="689229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2290" cy="16319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-1568450</wp:posOffset>
            </wp:positionV>
            <wp:extent cx="68922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-1156970</wp:posOffset>
            </wp:positionV>
            <wp:extent cx="689229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-745490</wp:posOffset>
            </wp:positionV>
            <wp:extent cx="689229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-334010</wp:posOffset>
            </wp:positionV>
            <wp:extent cx="689229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2290" cy="205740"/>
                    </a:xfrm>
                    <a:prstGeom prst="rect">
                      <a:avLst/>
                    </a:prstGeom>
                    <a:noFill/>
                  </pic:spPr>
                </pic:pic>
              </a:graphicData>
            </a:graphic>
          </wp:anchor>
        </w:drawing>
      </w:r>
    </w:p>
    <w:p>
      <w:pPr>
        <w:sectPr>
          <w:pgSz w:w="11900" w:h="16838" w:orient="portrait"/>
          <w:cols w:equalWidth="0" w:num="2">
            <w:col w:w="760" w:space="220"/>
            <w:col w:w="9860"/>
          </w:cols>
          <w:pgMar w:left="540" w:top="1260" w:right="519" w:bottom="1440" w:gutter="0" w:footer="0" w:header="0"/>
          <w:type w:val="continuous"/>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7160" w:type="dxa"/>
            <w:vAlign w:val="bottom"/>
          </w:tcPr>
          <w:p>
            <w:pPr>
              <w:ind w:left="2920"/>
              <w:spacing w:after="0"/>
              <w:rPr>
                <w:sz w:val="20"/>
                <w:szCs w:val="20"/>
                <w:color w:val="auto"/>
              </w:rPr>
            </w:pPr>
            <w:r>
              <w:rPr>
                <w:rFonts w:ascii="Arial" w:cs="Arial" w:eastAsia="Arial" w:hAnsi="Arial"/>
                <w:sz w:val="22"/>
                <w:szCs w:val="22"/>
                <w:b w:val="1"/>
                <w:bCs w:val="1"/>
                <w:color w:val="auto"/>
              </w:rPr>
              <w:t>PART I—FINANCIAL INFORMATION</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60" w:type="dxa"/>
            <w:vAlign w:val="bottom"/>
          </w:tcPr>
          <w:p>
            <w:pPr>
              <w:ind w:left="40"/>
              <w:spacing w:after="0"/>
              <w:rPr>
                <w:sz w:val="20"/>
                <w:szCs w:val="20"/>
                <w:color w:val="auto"/>
              </w:rPr>
            </w:pPr>
            <w:r>
              <w:rPr>
                <w:rFonts w:ascii="Arial" w:cs="Arial" w:eastAsia="Arial" w:hAnsi="Arial"/>
                <w:sz w:val="22"/>
                <w:szCs w:val="22"/>
                <w:b w:val="1"/>
                <w:bCs w:val="1"/>
                <w:color w:val="auto"/>
              </w:rPr>
              <w:t>ITEM 1.</w:t>
            </w:r>
          </w:p>
        </w:tc>
        <w:tc>
          <w:tcPr>
            <w:tcW w:w="7160" w:type="dxa"/>
            <w:vAlign w:val="bottom"/>
          </w:tcPr>
          <w:p>
            <w:pPr>
              <w:spacing w:after="0"/>
              <w:rPr>
                <w:sz w:val="20"/>
                <w:szCs w:val="20"/>
                <w:color w:val="auto"/>
              </w:rPr>
            </w:pPr>
            <w:r>
              <w:rPr>
                <w:rFonts w:ascii="Arial" w:cs="Arial" w:eastAsia="Arial" w:hAnsi="Arial"/>
                <w:sz w:val="22"/>
                <w:szCs w:val="22"/>
                <w:b w:val="1"/>
                <w:bCs w:val="1"/>
                <w:color w:val="auto"/>
              </w:rPr>
              <w:t>FINANCIAL STATEMENTS.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060" w:type="dxa"/>
            <w:vAlign w:val="bottom"/>
          </w:tcPr>
          <w:p>
            <w:pPr>
              <w:spacing w:after="0"/>
              <w:rPr>
                <w:sz w:val="21"/>
                <w:szCs w:val="21"/>
                <w:color w:val="auto"/>
              </w:rPr>
            </w:pPr>
          </w:p>
        </w:tc>
        <w:tc>
          <w:tcPr>
            <w:tcW w:w="7160" w:type="dxa"/>
            <w:vAlign w:val="bottom"/>
          </w:tcPr>
          <w:p>
            <w:pPr>
              <w:jc w:val="center"/>
              <w:ind w:left="1864"/>
              <w:spacing w:after="0"/>
              <w:rPr>
                <w:sz w:val="20"/>
                <w:szCs w:val="20"/>
                <w:color w:val="auto"/>
              </w:rPr>
            </w:pPr>
            <w:r>
              <w:rPr>
                <w:rFonts w:ascii="Arial" w:cs="Arial" w:eastAsia="Arial" w:hAnsi="Arial"/>
                <w:sz w:val="18"/>
                <w:szCs w:val="18"/>
                <w:b w:val="1"/>
                <w:bCs w:val="1"/>
                <w:color w:val="auto"/>
              </w:rPr>
              <w:t>MONGODB, INC.</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060" w:type="dxa"/>
            <w:vAlign w:val="bottom"/>
          </w:tcPr>
          <w:p>
            <w:pPr>
              <w:spacing w:after="0"/>
              <w:rPr>
                <w:sz w:val="19"/>
                <w:szCs w:val="19"/>
                <w:color w:val="auto"/>
              </w:rPr>
            </w:pPr>
          </w:p>
        </w:tc>
        <w:tc>
          <w:tcPr>
            <w:tcW w:w="7160" w:type="dxa"/>
            <w:vAlign w:val="bottom"/>
          </w:tcPr>
          <w:p>
            <w:pPr>
              <w:jc w:val="center"/>
              <w:ind w:left="1864"/>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160" w:type="dxa"/>
            <w:vAlign w:val="bottom"/>
          </w:tcPr>
          <w:p>
            <w:pPr>
              <w:jc w:val="center"/>
              <w:ind w:left="1864"/>
              <w:spacing w:after="0"/>
              <w:rPr>
                <w:sz w:val="20"/>
                <w:szCs w:val="20"/>
                <w:color w:val="auto"/>
              </w:rPr>
            </w:pPr>
            <w:r>
              <w:rPr>
                <w:rFonts w:ascii="Arial" w:cs="Arial" w:eastAsia="Arial" w:hAnsi="Arial"/>
                <w:sz w:val="18"/>
                <w:szCs w:val="18"/>
                <w:i w:val="1"/>
                <w:iCs w:val="1"/>
                <w:color w:val="auto"/>
                <w:w w:val="90"/>
              </w:rPr>
              <w:t>(in thousands of U.S. dollars, except share and per share data)</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7160" w:type="dxa"/>
            <w:vAlign w:val="bottom"/>
          </w:tcPr>
          <w:p>
            <w:pPr>
              <w:jc w:val="center"/>
              <w:ind w:left="1864"/>
              <w:spacing w:after="0"/>
              <w:rPr>
                <w:sz w:val="20"/>
                <w:szCs w:val="20"/>
                <w:color w:val="auto"/>
              </w:rPr>
            </w:pPr>
            <w:r>
              <w:rPr>
                <w:rFonts w:ascii="Arial" w:cs="Arial" w:eastAsia="Arial" w:hAnsi="Arial"/>
                <w:sz w:val="18"/>
                <w:szCs w:val="18"/>
                <w:i w:val="1"/>
                <w:iCs w:val="1"/>
                <w:color w:val="auto"/>
                <w:w w:val="92"/>
              </w:rPr>
              <w:t>(unaudited)</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0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3"/>
                <w:szCs w:val="13"/>
                <w:b w:val="1"/>
                <w:bCs w:val="1"/>
                <w:color w:val="auto"/>
              </w:rPr>
              <w:t>April 30, 2022</w:t>
            </w:r>
          </w:p>
        </w:tc>
        <w:tc>
          <w:tcPr>
            <w:tcW w:w="180" w:type="dxa"/>
            <w:vAlign w:val="bottom"/>
          </w:tcPr>
          <w:p>
            <w:pPr>
              <w:spacing w:after="0"/>
              <w:rPr>
                <w:sz w:val="24"/>
                <w:szCs w:val="24"/>
                <w:color w:val="auto"/>
              </w:rPr>
            </w:pPr>
          </w:p>
        </w:tc>
        <w:tc>
          <w:tcPr>
            <w:tcW w:w="1280" w:type="dxa"/>
            <w:vAlign w:val="bottom"/>
          </w:tcPr>
          <w:p>
            <w:pPr>
              <w:jc w:val="right"/>
              <w:ind w:right="188"/>
              <w:spacing w:after="0"/>
              <w:rPr>
                <w:sz w:val="20"/>
                <w:szCs w:val="20"/>
                <w:color w:val="auto"/>
              </w:rPr>
            </w:pPr>
            <w:r>
              <w:rPr>
                <w:rFonts w:ascii="Arial" w:cs="Arial" w:eastAsia="Arial" w:hAnsi="Arial"/>
                <w:sz w:val="13"/>
                <w:szCs w:val="13"/>
                <w:b w:val="1"/>
                <w:bCs w:val="1"/>
                <w:color w:val="auto"/>
                <w:w w:val="96"/>
              </w:rPr>
              <w:t>January 31, 2022</w:t>
            </w: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Assets</w:t>
            </w:r>
          </w:p>
        </w:tc>
        <w:tc>
          <w:tcPr>
            <w:tcW w:w="7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60" w:type="dxa"/>
            <w:vAlign w:val="bottom"/>
          </w:tcPr>
          <w:p>
            <w:pPr>
              <w:ind w:left="180"/>
              <w:spacing w:after="0"/>
              <w:rPr>
                <w:sz w:val="20"/>
                <w:szCs w:val="20"/>
                <w:color w:val="auto"/>
              </w:rPr>
            </w:pPr>
            <w:r>
              <w:rPr>
                <w:rFonts w:ascii="Arial" w:cs="Arial" w:eastAsia="Arial" w:hAnsi="Arial"/>
                <w:sz w:val="14"/>
                <w:szCs w:val="14"/>
                <w:color w:val="auto"/>
                <w:w w:val="90"/>
              </w:rPr>
              <w:t>Current assets:</w:t>
            </w:r>
          </w:p>
        </w:tc>
        <w:tc>
          <w:tcPr>
            <w:tcW w:w="7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473,904</w:t>
            </w:r>
          </w:p>
        </w:tc>
        <w:tc>
          <w:tcPr>
            <w:tcW w:w="0" w:type="dxa"/>
            <w:vAlign w:val="bottom"/>
          </w:tcPr>
          <w:p>
            <w:pPr>
              <w:spacing w:after="0"/>
              <w:rPr>
                <w:sz w:val="1"/>
                <w:szCs w:val="1"/>
                <w:color w:val="auto"/>
              </w:rPr>
            </w:pPr>
          </w:p>
        </w:tc>
      </w:tr>
      <w:tr>
        <w:trPr>
          <w:trHeight w:val="210"/>
        </w:trPr>
        <w:tc>
          <w:tcPr>
            <w:tcW w:w="8220" w:type="dxa"/>
            <w:vAlign w:val="bottom"/>
            <w:gridSpan w:val="2"/>
          </w:tcPr>
          <w:p>
            <w:pPr>
              <w:ind w:left="400"/>
              <w:spacing w:after="0"/>
              <w:rPr>
                <w:sz w:val="20"/>
                <w:szCs w:val="20"/>
                <w:color w:val="auto"/>
              </w:rPr>
            </w:pPr>
            <w:r>
              <w:rPr>
                <w:rFonts w:ascii="Arial" w:cs="Arial" w:eastAsia="Arial" w:hAnsi="Arial"/>
                <w:sz w:val="14"/>
                <w:szCs w:val="14"/>
                <w:color w:val="auto"/>
              </w:rPr>
              <w:t>Short-term investments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1,372,420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1,352,019</w:t>
            </w:r>
          </w:p>
        </w:tc>
        <w:tc>
          <w:tcPr>
            <w:tcW w:w="0" w:type="dxa"/>
            <w:vAlign w:val="bottom"/>
          </w:tcPr>
          <w:p>
            <w:pPr>
              <w:spacing w:after="0"/>
              <w:rPr>
                <w:sz w:val="1"/>
                <w:szCs w:val="1"/>
                <w:color w:val="auto"/>
              </w:rPr>
            </w:pPr>
          </w:p>
        </w:tc>
      </w:tr>
      <w:tr>
        <w:trPr>
          <w:trHeight w:val="176"/>
        </w:trPr>
        <w:tc>
          <w:tcPr>
            <w:tcW w:w="82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Accounts receivable, net of allowance for doubtful accounts of $4,217 and $4,966 as of April 30, 2022 and January 31, 2022,</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2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respectively</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195,383</w:t>
            </w:r>
          </w:p>
        </w:tc>
        <w:tc>
          <w:tcPr>
            <w:tcW w:w="0" w:type="dxa"/>
            <w:vAlign w:val="bottom"/>
          </w:tcPr>
          <w:p>
            <w:pPr>
              <w:spacing w:after="0"/>
              <w:rPr>
                <w:sz w:val="1"/>
                <w:szCs w:val="1"/>
                <w:color w:val="auto"/>
              </w:rPr>
            </w:pPr>
          </w:p>
        </w:tc>
      </w:tr>
      <w:tr>
        <w:trPr>
          <w:trHeight w:val="210"/>
        </w:trPr>
        <w:tc>
          <w:tcPr>
            <w:tcW w:w="8220" w:type="dxa"/>
            <w:vAlign w:val="bottom"/>
            <w:gridSpan w:val="2"/>
          </w:tcPr>
          <w:p>
            <w:pPr>
              <w:ind w:left="400"/>
              <w:spacing w:after="0"/>
              <w:rPr>
                <w:sz w:val="20"/>
                <w:szCs w:val="20"/>
                <w:color w:val="auto"/>
              </w:rPr>
            </w:pPr>
            <w:r>
              <w:rPr>
                <w:rFonts w:ascii="Arial" w:cs="Arial" w:eastAsia="Arial" w:hAnsi="Arial"/>
                <w:sz w:val="14"/>
                <w:szCs w:val="14"/>
                <w:color w:val="auto"/>
              </w:rPr>
              <w:t>Deferred commissions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66,754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63,523</w:t>
            </w:r>
          </w:p>
        </w:tc>
        <w:tc>
          <w:tcPr>
            <w:tcW w:w="0" w:type="dxa"/>
            <w:vAlign w:val="bottom"/>
          </w:tcPr>
          <w:p>
            <w:pPr>
              <w:spacing w:after="0"/>
              <w:rPr>
                <w:sz w:val="1"/>
                <w:szCs w:val="1"/>
                <w:color w:val="auto"/>
              </w:rPr>
            </w:pPr>
          </w:p>
        </w:tc>
      </w:tr>
      <w:tr>
        <w:trPr>
          <w:trHeight w:val="236"/>
        </w:trPr>
        <w:tc>
          <w:tcPr>
            <w:tcW w:w="82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35,973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32,573</w:t>
            </w:r>
          </w:p>
        </w:tc>
        <w:tc>
          <w:tcPr>
            <w:tcW w:w="0" w:type="dxa"/>
            <w:vAlign w:val="bottom"/>
          </w:tcPr>
          <w:p>
            <w:pPr>
              <w:spacing w:after="0"/>
              <w:rPr>
                <w:sz w:val="1"/>
                <w:szCs w:val="1"/>
                <w:color w:val="auto"/>
              </w:rPr>
            </w:pPr>
          </w:p>
        </w:tc>
      </w:tr>
      <w:tr>
        <w:trPr>
          <w:trHeight w:val="190"/>
        </w:trPr>
        <w:tc>
          <w:tcPr>
            <w:tcW w:w="8220" w:type="dxa"/>
            <w:vAlign w:val="bottom"/>
            <w:gridSpan w:val="2"/>
          </w:tcPr>
          <w:p>
            <w:pPr>
              <w:ind w:left="56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2,096,307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2,117,402</w:t>
            </w:r>
          </w:p>
        </w:tc>
        <w:tc>
          <w:tcPr>
            <w:tcW w:w="0" w:type="dxa"/>
            <w:vAlign w:val="bottom"/>
          </w:tcPr>
          <w:p>
            <w:pPr>
              <w:spacing w:after="0"/>
              <w:rPr>
                <w:sz w:val="1"/>
                <w:szCs w:val="1"/>
                <w:color w:val="auto"/>
              </w:rPr>
            </w:pPr>
          </w:p>
        </w:tc>
      </w:tr>
      <w:tr>
        <w:trPr>
          <w:trHeight w:val="222"/>
        </w:trPr>
        <w:tc>
          <w:tcPr>
            <w:tcW w:w="8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62,625</w:t>
            </w:r>
          </w:p>
        </w:tc>
        <w:tc>
          <w:tcPr>
            <w:tcW w:w="0" w:type="dxa"/>
            <w:vAlign w:val="bottom"/>
          </w:tcPr>
          <w:p>
            <w:pPr>
              <w:spacing w:after="0"/>
              <w:rPr>
                <w:sz w:val="1"/>
                <w:szCs w:val="1"/>
                <w:color w:val="auto"/>
              </w:rPr>
            </w:pPr>
          </w:p>
        </w:tc>
      </w:tr>
      <w:tr>
        <w:trPr>
          <w:trHeight w:val="210"/>
        </w:trPr>
        <w:tc>
          <w:tcPr>
            <w:tcW w:w="8220" w:type="dxa"/>
            <w:vAlign w:val="bottom"/>
            <w:gridSpan w:val="2"/>
          </w:tcPr>
          <w:p>
            <w:pPr>
              <w:ind w:left="18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45,248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41,745</w:t>
            </w:r>
          </w:p>
        </w:tc>
        <w:tc>
          <w:tcPr>
            <w:tcW w:w="0" w:type="dxa"/>
            <w:vAlign w:val="bottom"/>
          </w:tcPr>
          <w:p>
            <w:pPr>
              <w:spacing w:after="0"/>
              <w:rPr>
                <w:sz w:val="1"/>
                <w:szCs w:val="1"/>
                <w:color w:val="auto"/>
              </w:rPr>
            </w:pPr>
          </w:p>
        </w:tc>
      </w:tr>
      <w:tr>
        <w:trPr>
          <w:trHeight w:val="222"/>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Goodwill</w:t>
            </w:r>
          </w:p>
        </w:tc>
        <w:tc>
          <w:tcPr>
            <w:tcW w:w="7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57,775</w:t>
            </w:r>
          </w:p>
        </w:tc>
        <w:tc>
          <w:tcPr>
            <w:tcW w:w="0" w:type="dxa"/>
            <w:vAlign w:val="bottom"/>
          </w:tcPr>
          <w:p>
            <w:pPr>
              <w:spacing w:after="0"/>
              <w:rPr>
                <w:sz w:val="1"/>
                <w:szCs w:val="1"/>
                <w:color w:val="auto"/>
              </w:rPr>
            </w:pPr>
          </w:p>
        </w:tc>
      </w:tr>
      <w:tr>
        <w:trPr>
          <w:trHeight w:val="210"/>
        </w:trPr>
        <w:tc>
          <w:tcPr>
            <w:tcW w:w="8220" w:type="dxa"/>
            <w:vAlign w:val="bottom"/>
            <w:gridSpan w:val="2"/>
          </w:tcPr>
          <w:p>
            <w:pPr>
              <w:ind w:left="180"/>
              <w:spacing w:after="0"/>
              <w:rPr>
                <w:sz w:val="20"/>
                <w:szCs w:val="20"/>
                <w:color w:val="auto"/>
              </w:rPr>
            </w:pPr>
            <w:r>
              <w:rPr>
                <w:rFonts w:ascii="Arial" w:cs="Arial" w:eastAsia="Arial" w:hAnsi="Arial"/>
                <w:sz w:val="14"/>
                <w:szCs w:val="14"/>
                <w:color w:val="auto"/>
              </w:rPr>
              <w:t>Acquired intangible assets, net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18,313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20,608</w:t>
            </w:r>
          </w:p>
        </w:tc>
        <w:tc>
          <w:tcPr>
            <w:tcW w:w="0" w:type="dxa"/>
            <w:vAlign w:val="bottom"/>
          </w:tcPr>
          <w:p>
            <w:pPr>
              <w:spacing w:after="0"/>
              <w:rPr>
                <w:sz w:val="1"/>
                <w:szCs w:val="1"/>
                <w:color w:val="auto"/>
              </w:rPr>
            </w:pPr>
          </w:p>
        </w:tc>
      </w:tr>
      <w:tr>
        <w:trPr>
          <w:trHeight w:val="222"/>
        </w:trPr>
        <w:tc>
          <w:tcPr>
            <w:tcW w:w="8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tax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w:t>
            </w:r>
          </w:p>
        </w:tc>
        <w:tc>
          <w:tcPr>
            <w:tcW w:w="0" w:type="dxa"/>
            <w:vAlign w:val="bottom"/>
          </w:tcPr>
          <w:p>
            <w:pPr>
              <w:spacing w:after="0"/>
              <w:rPr>
                <w:sz w:val="1"/>
                <w:szCs w:val="1"/>
                <w:color w:val="auto"/>
              </w:rPr>
            </w:pPr>
          </w:p>
        </w:tc>
      </w:tr>
      <w:tr>
        <w:trPr>
          <w:trHeight w:val="223"/>
        </w:trPr>
        <w:tc>
          <w:tcPr>
            <w:tcW w:w="1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assets</w:t>
            </w:r>
          </w:p>
        </w:tc>
        <w:tc>
          <w:tcPr>
            <w:tcW w:w="7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152,174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147,494</w:t>
            </w:r>
          </w:p>
        </w:tc>
        <w:tc>
          <w:tcPr>
            <w:tcW w:w="0" w:type="dxa"/>
            <w:vAlign w:val="bottom"/>
          </w:tcPr>
          <w:p>
            <w:pPr>
              <w:spacing w:after="0"/>
              <w:rPr>
                <w:sz w:val="1"/>
                <w:szCs w:val="1"/>
                <w:color w:val="auto"/>
              </w:rPr>
            </w:pPr>
          </w:p>
        </w:tc>
      </w:tr>
      <w:tr>
        <w:trPr>
          <w:trHeight w:val="235"/>
        </w:trPr>
        <w:tc>
          <w:tcPr>
            <w:tcW w:w="1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7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2,434,541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2,449,588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20" w:type="dxa"/>
            <w:vAlign w:val="bottom"/>
            <w:gridSpan w:val="2"/>
          </w:tcPr>
          <w:p>
            <w:pPr>
              <w:ind w:left="40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6,204</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5,234</w:t>
            </w:r>
          </w:p>
        </w:tc>
        <w:tc>
          <w:tcPr>
            <w:tcW w:w="0" w:type="dxa"/>
            <w:vAlign w:val="bottom"/>
          </w:tcPr>
          <w:p>
            <w:pPr>
              <w:spacing w:after="0"/>
              <w:rPr>
                <w:sz w:val="1"/>
                <w:szCs w:val="1"/>
                <w:color w:val="auto"/>
              </w:rPr>
            </w:pPr>
          </w:p>
        </w:tc>
      </w:tr>
      <w:tr>
        <w:trPr>
          <w:trHeight w:val="222"/>
        </w:trPr>
        <w:tc>
          <w:tcPr>
            <w:tcW w:w="82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Accrued compensation and benefits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112,568</w:t>
            </w:r>
          </w:p>
        </w:tc>
        <w:tc>
          <w:tcPr>
            <w:tcW w:w="0" w:type="dxa"/>
            <w:vAlign w:val="bottom"/>
          </w:tcPr>
          <w:p>
            <w:pPr>
              <w:spacing w:after="0"/>
              <w:rPr>
                <w:sz w:val="1"/>
                <w:szCs w:val="1"/>
                <w:color w:val="auto"/>
              </w:rPr>
            </w:pPr>
          </w:p>
        </w:tc>
      </w:tr>
      <w:tr>
        <w:trPr>
          <w:trHeight w:val="210"/>
        </w:trPr>
        <w:tc>
          <w:tcPr>
            <w:tcW w:w="8220" w:type="dxa"/>
            <w:vAlign w:val="bottom"/>
            <w:gridSpan w:val="2"/>
          </w:tcPr>
          <w:p>
            <w:pPr>
              <w:ind w:left="400"/>
              <w:spacing w:after="0"/>
              <w:rPr>
                <w:sz w:val="20"/>
                <w:szCs w:val="20"/>
                <w:color w:val="auto"/>
              </w:rPr>
            </w:pPr>
            <w:r>
              <w:rPr>
                <w:rFonts w:ascii="Arial" w:cs="Arial" w:eastAsia="Arial" w:hAnsi="Arial"/>
                <w:sz w:val="14"/>
                <w:szCs w:val="14"/>
                <w:color w:val="auto"/>
              </w:rPr>
              <w:t>Operating lease liabilities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8,084</w:t>
            </w:r>
          </w:p>
        </w:tc>
        <w:tc>
          <w:tcPr>
            <w:tcW w:w="0" w:type="dxa"/>
            <w:vAlign w:val="bottom"/>
          </w:tcPr>
          <w:p>
            <w:pPr>
              <w:spacing w:after="0"/>
              <w:rPr>
                <w:sz w:val="1"/>
                <w:szCs w:val="1"/>
                <w:color w:val="auto"/>
              </w:rPr>
            </w:pPr>
          </w:p>
        </w:tc>
      </w:tr>
      <w:tr>
        <w:trPr>
          <w:trHeight w:val="222"/>
        </w:trPr>
        <w:tc>
          <w:tcPr>
            <w:tcW w:w="82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Other accrued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48,848</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gridSpan w:val="2"/>
          </w:tcPr>
          <w:p>
            <w:pPr>
              <w:ind w:left="400"/>
              <w:spacing w:after="0"/>
              <w:rPr>
                <w:sz w:val="20"/>
                <w:szCs w:val="20"/>
                <w:color w:val="auto"/>
              </w:rPr>
            </w:pPr>
            <w:r>
              <w:rPr>
                <w:rFonts w:ascii="Arial" w:cs="Arial" w:eastAsia="Arial" w:hAnsi="Arial"/>
                <w:sz w:val="14"/>
                <w:szCs w:val="14"/>
                <w:color w:val="auto"/>
              </w:rPr>
              <w:t>Deferred revenue</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351,914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352,001</w:t>
            </w:r>
          </w:p>
        </w:tc>
        <w:tc>
          <w:tcPr>
            <w:tcW w:w="0" w:type="dxa"/>
            <w:vAlign w:val="bottom"/>
          </w:tcPr>
          <w:p>
            <w:pPr>
              <w:spacing w:after="0"/>
              <w:rPr>
                <w:sz w:val="1"/>
                <w:szCs w:val="1"/>
                <w:color w:val="auto"/>
              </w:rPr>
            </w:pPr>
          </w:p>
        </w:tc>
      </w:tr>
      <w:tr>
        <w:trPr>
          <w:trHeight w:val="202"/>
        </w:trPr>
        <w:tc>
          <w:tcPr>
            <w:tcW w:w="82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503,722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526,735</w:t>
            </w:r>
          </w:p>
        </w:tc>
        <w:tc>
          <w:tcPr>
            <w:tcW w:w="0" w:type="dxa"/>
            <w:vAlign w:val="bottom"/>
          </w:tcPr>
          <w:p>
            <w:pPr>
              <w:spacing w:after="0"/>
              <w:rPr>
                <w:sz w:val="1"/>
                <w:szCs w:val="1"/>
                <w:color w:val="auto"/>
              </w:rPr>
            </w:pPr>
          </w:p>
        </w:tc>
      </w:tr>
      <w:tr>
        <w:trPr>
          <w:trHeight w:val="210"/>
        </w:trPr>
        <w:tc>
          <w:tcPr>
            <w:tcW w:w="8220" w:type="dxa"/>
            <w:vAlign w:val="bottom"/>
            <w:gridSpan w:val="2"/>
          </w:tcPr>
          <w:p>
            <w:pPr>
              <w:ind w:left="180"/>
              <w:spacing w:after="0"/>
              <w:rPr>
                <w:sz w:val="20"/>
                <w:szCs w:val="20"/>
                <w:color w:val="auto"/>
              </w:rPr>
            </w:pPr>
            <w:r>
              <w:rPr>
                <w:rFonts w:ascii="Arial" w:cs="Arial" w:eastAsia="Arial" w:hAnsi="Arial"/>
                <w:sz w:val="14"/>
                <w:szCs w:val="14"/>
                <w:color w:val="auto"/>
              </w:rPr>
              <w:t>Deferred tax liability, non-current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35"/>
        </w:trPr>
        <w:tc>
          <w:tcPr>
            <w:tcW w:w="8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Operating lease liabilities, non-current</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38,707</w:t>
            </w:r>
          </w:p>
        </w:tc>
        <w:tc>
          <w:tcPr>
            <w:tcW w:w="0" w:type="dxa"/>
            <w:vAlign w:val="bottom"/>
          </w:tcPr>
          <w:p>
            <w:pPr>
              <w:spacing w:after="0"/>
              <w:rPr>
                <w:sz w:val="1"/>
                <w:szCs w:val="1"/>
                <w:color w:val="auto"/>
              </w:rPr>
            </w:pPr>
          </w:p>
        </w:tc>
      </w:tr>
      <w:tr>
        <w:trPr>
          <w:trHeight w:val="224"/>
        </w:trPr>
        <w:tc>
          <w:tcPr>
            <w:tcW w:w="8220" w:type="dxa"/>
            <w:vAlign w:val="bottom"/>
            <w:gridSpan w:val="2"/>
          </w:tcPr>
          <w:p>
            <w:pPr>
              <w:ind w:left="180"/>
              <w:spacing w:after="0"/>
              <w:rPr>
                <w:sz w:val="20"/>
                <w:szCs w:val="20"/>
                <w:color w:val="auto"/>
              </w:rPr>
            </w:pPr>
            <w:r>
              <w:rPr>
                <w:rFonts w:ascii="Arial" w:cs="Arial" w:eastAsia="Arial" w:hAnsi="Arial"/>
                <w:sz w:val="14"/>
                <w:szCs w:val="14"/>
                <w:color w:val="auto"/>
              </w:rPr>
              <w:t>Deferred revenue, non-current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23,555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23,179</w:t>
            </w:r>
          </w:p>
        </w:tc>
        <w:tc>
          <w:tcPr>
            <w:tcW w:w="0" w:type="dxa"/>
            <w:vAlign w:val="bottom"/>
          </w:tcPr>
          <w:p>
            <w:pPr>
              <w:spacing w:after="0"/>
              <w:rPr>
                <w:sz w:val="1"/>
                <w:szCs w:val="1"/>
                <w:color w:val="auto"/>
              </w:rPr>
            </w:pPr>
          </w:p>
        </w:tc>
      </w:tr>
      <w:tr>
        <w:trPr>
          <w:trHeight w:val="235"/>
        </w:trPr>
        <w:tc>
          <w:tcPr>
            <w:tcW w:w="8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Convertible senior notes, net</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1,137,361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1,136,521</w:t>
            </w:r>
          </w:p>
        </w:tc>
        <w:tc>
          <w:tcPr>
            <w:tcW w:w="0" w:type="dxa"/>
            <w:vAlign w:val="bottom"/>
          </w:tcPr>
          <w:p>
            <w:pPr>
              <w:spacing w:after="0"/>
              <w:rPr>
                <w:sz w:val="1"/>
                <w:szCs w:val="1"/>
                <w:color w:val="auto"/>
              </w:rPr>
            </w:pPr>
          </w:p>
        </w:tc>
      </w:tr>
      <w:tr>
        <w:trPr>
          <w:trHeight w:val="224"/>
        </w:trPr>
        <w:tc>
          <w:tcPr>
            <w:tcW w:w="82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liabilities, non-current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57,665</w:t>
            </w:r>
          </w:p>
        </w:tc>
        <w:tc>
          <w:tcPr>
            <w:tcW w:w="0" w:type="dxa"/>
            <w:vAlign w:val="bottom"/>
          </w:tcPr>
          <w:p>
            <w:pPr>
              <w:spacing w:after="0"/>
              <w:rPr>
                <w:sz w:val="1"/>
                <w:szCs w:val="1"/>
                <w:color w:val="auto"/>
              </w:rPr>
            </w:pPr>
          </w:p>
        </w:tc>
      </w:tr>
      <w:tr>
        <w:trPr>
          <w:trHeight w:val="215"/>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Total liabilities</w:t>
            </w:r>
          </w:p>
        </w:tc>
        <w:tc>
          <w:tcPr>
            <w:tcW w:w="7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1,761,662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1,782,888</w:t>
            </w:r>
          </w:p>
        </w:tc>
        <w:tc>
          <w:tcPr>
            <w:tcW w:w="0" w:type="dxa"/>
            <w:vAlign w:val="bottom"/>
          </w:tcPr>
          <w:p>
            <w:pPr>
              <w:spacing w:after="0"/>
              <w:rPr>
                <w:sz w:val="1"/>
                <w:szCs w:val="1"/>
                <w:color w:val="auto"/>
              </w:rPr>
            </w:pPr>
          </w:p>
        </w:tc>
      </w:tr>
      <w:tr>
        <w:trPr>
          <w:trHeight w:val="166"/>
        </w:trPr>
        <w:tc>
          <w:tcPr>
            <w:tcW w:w="8220" w:type="dxa"/>
            <w:vAlign w:val="bottom"/>
            <w:gridSpan w:val="2"/>
          </w:tcPr>
          <w:p>
            <w:pPr>
              <w:ind w:left="180"/>
              <w:spacing w:after="0"/>
              <w:rPr>
                <w:sz w:val="20"/>
                <w:szCs w:val="20"/>
                <w:color w:val="auto"/>
              </w:rPr>
            </w:pPr>
            <w:r>
              <w:rPr>
                <w:rFonts w:ascii="Arial" w:cs="Arial" w:eastAsia="Arial" w:hAnsi="Arial"/>
                <w:sz w:val="14"/>
                <w:szCs w:val="14"/>
                <w:color w:val="auto"/>
              </w:rPr>
              <w:t>Commitments and contingencies (Note7)</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220" w:type="dxa"/>
            <w:vAlign w:val="bottom"/>
            <w:gridSpan w:val="2"/>
          </w:tcPr>
          <w:p>
            <w:pPr>
              <w:ind w:left="260"/>
              <w:spacing w:after="0"/>
              <w:rPr>
                <w:sz w:val="20"/>
                <w:szCs w:val="20"/>
                <w:color w:val="auto"/>
              </w:rPr>
            </w:pPr>
            <w:r>
              <w:rPr>
                <w:rFonts w:ascii="Arial" w:cs="Arial" w:eastAsia="Arial" w:hAnsi="Arial"/>
                <w:sz w:val="14"/>
                <w:szCs w:val="14"/>
                <w:color w:val="auto"/>
                <w:w w:val="94"/>
              </w:rPr>
              <w:t>Common stock, par value of $0.001 per share; 1,000,000,000 shares authorized as of April 30, 2022 and January 31, 2022; 68,160,434</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gridSpan w:val="2"/>
          </w:tcPr>
          <w:p>
            <w:pPr>
              <w:ind w:left="400"/>
              <w:spacing w:after="0"/>
              <w:rPr>
                <w:sz w:val="20"/>
                <w:szCs w:val="20"/>
                <w:color w:val="auto"/>
              </w:rPr>
            </w:pPr>
            <w:r>
              <w:rPr>
                <w:rFonts w:ascii="Arial" w:cs="Arial" w:eastAsia="Arial" w:hAnsi="Arial"/>
                <w:sz w:val="14"/>
                <w:szCs w:val="14"/>
                <w:color w:val="auto"/>
                <w:w w:val="92"/>
              </w:rPr>
              <w:t>shares issued and 68,061,063 shares outstanding as of April 30, 2022; 67,543,731 shares issued and 67,444,360 shares outstanding as</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220" w:type="dxa"/>
            <w:vAlign w:val="bottom"/>
            <w:gridSpan w:val="2"/>
          </w:tcPr>
          <w:p>
            <w:pPr>
              <w:ind w:left="400"/>
              <w:spacing w:after="0"/>
              <w:rPr>
                <w:sz w:val="20"/>
                <w:szCs w:val="20"/>
                <w:color w:val="auto"/>
              </w:rPr>
            </w:pPr>
            <w:r>
              <w:rPr>
                <w:rFonts w:ascii="Arial" w:cs="Arial" w:eastAsia="Arial" w:hAnsi="Arial"/>
                <w:sz w:val="14"/>
                <w:szCs w:val="14"/>
                <w:color w:val="auto"/>
              </w:rPr>
              <w:t>of January 31, 2022</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22"/>
        </w:trPr>
        <w:tc>
          <w:tcPr>
            <w:tcW w:w="82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1,945,737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1,860,514</w:t>
            </w:r>
          </w:p>
        </w:tc>
        <w:tc>
          <w:tcPr>
            <w:tcW w:w="0" w:type="dxa"/>
            <w:vAlign w:val="bottom"/>
          </w:tcPr>
          <w:p>
            <w:pPr>
              <w:spacing w:after="0"/>
              <w:rPr>
                <w:sz w:val="1"/>
                <w:szCs w:val="1"/>
                <w:color w:val="auto"/>
              </w:rPr>
            </w:pPr>
          </w:p>
        </w:tc>
      </w:tr>
      <w:tr>
        <w:trPr>
          <w:trHeight w:val="210"/>
        </w:trPr>
        <w:tc>
          <w:tcPr>
            <w:tcW w:w="8220" w:type="dxa"/>
            <w:vAlign w:val="bottom"/>
            <w:gridSpan w:val="2"/>
          </w:tcPr>
          <w:p>
            <w:pPr>
              <w:ind w:left="260"/>
              <w:spacing w:after="0"/>
              <w:rPr>
                <w:sz w:val="20"/>
                <w:szCs w:val="20"/>
                <w:color w:val="auto"/>
              </w:rPr>
            </w:pPr>
            <w:r>
              <w:rPr>
                <w:rFonts w:ascii="Arial" w:cs="Arial" w:eastAsia="Arial" w:hAnsi="Arial"/>
                <w:sz w:val="14"/>
                <w:szCs w:val="14"/>
                <w:color w:val="auto"/>
              </w:rPr>
              <w:t>Treasury stock, 99,371 shares (repurchased at an average of $13.27 per share) as of April 30, 2022 and January 31, 2022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222"/>
        </w:trPr>
        <w:tc>
          <w:tcPr>
            <w:tcW w:w="82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(2,928)</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(1,266,928)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(1,189,634)</w:t>
            </w:r>
          </w:p>
        </w:tc>
        <w:tc>
          <w:tcPr>
            <w:tcW w:w="0" w:type="dxa"/>
            <w:vAlign w:val="bottom"/>
          </w:tcPr>
          <w:p>
            <w:pPr>
              <w:spacing w:after="0"/>
              <w:rPr>
                <w:sz w:val="1"/>
                <w:szCs w:val="1"/>
                <w:color w:val="auto"/>
              </w:rPr>
            </w:pPr>
          </w:p>
        </w:tc>
      </w:tr>
      <w:tr>
        <w:trPr>
          <w:trHeight w:val="177"/>
        </w:trPr>
        <w:tc>
          <w:tcPr>
            <w:tcW w:w="82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stockholders’ equity</w:t>
            </w:r>
          </w:p>
        </w:tc>
        <w:tc>
          <w:tcPr>
            <w:tcW w:w="2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672,879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666,700</w:t>
            </w:r>
          </w:p>
        </w:tc>
        <w:tc>
          <w:tcPr>
            <w:tcW w:w="0" w:type="dxa"/>
            <w:vAlign w:val="bottom"/>
          </w:tcPr>
          <w:p>
            <w:pPr>
              <w:spacing w:after="0"/>
              <w:rPr>
                <w:sz w:val="1"/>
                <w:szCs w:val="1"/>
                <w:color w:val="auto"/>
              </w:rPr>
            </w:pPr>
          </w:p>
        </w:tc>
      </w:tr>
      <w:tr>
        <w:trPr>
          <w:trHeight w:val="66"/>
        </w:trPr>
        <w:tc>
          <w:tcPr>
            <w:tcW w:w="106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220" w:type="dxa"/>
            <w:vAlign w:val="bottom"/>
            <w:gridSpan w:val="2"/>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2,434,541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2,449,588</w:t>
            </w:r>
          </w:p>
        </w:tc>
        <w:tc>
          <w:tcPr>
            <w:tcW w:w="0" w:type="dxa"/>
            <w:vAlign w:val="bottom"/>
          </w:tcPr>
          <w:p>
            <w:pPr>
              <w:spacing w:after="0"/>
              <w:rPr>
                <w:sz w:val="1"/>
                <w:szCs w:val="1"/>
                <w:color w:val="auto"/>
              </w:rPr>
            </w:pPr>
          </w:p>
        </w:tc>
      </w:tr>
      <w:tr>
        <w:trPr>
          <w:trHeight w:val="26"/>
        </w:trPr>
        <w:tc>
          <w:tcPr>
            <w:tcW w:w="10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22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274,581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174,570</w:t>
            </w:r>
          </w:p>
        </w:tc>
        <w:tc>
          <w:tcPr>
            <w:tcW w:w="0" w:type="dxa"/>
            <w:vAlign w:val="bottom"/>
          </w:tcPr>
          <w:p>
            <w:pPr>
              <w:spacing w:after="0"/>
              <w:rPr>
                <w:sz w:val="1"/>
                <w:szCs w:val="1"/>
                <w:color w:val="auto"/>
              </w:rPr>
            </w:pPr>
          </w:p>
        </w:tc>
      </w:tr>
      <w:tr>
        <w:trPr>
          <w:trHeight w:val="283"/>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285,447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181,648</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22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64,569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45,402</w:t>
            </w:r>
          </w:p>
        </w:tc>
        <w:tc>
          <w:tcPr>
            <w:tcW w:w="0" w:type="dxa"/>
            <w:vAlign w:val="bottom"/>
          </w:tcPr>
          <w:p>
            <w:pPr>
              <w:spacing w:after="0"/>
              <w:rPr>
                <w:sz w:val="1"/>
                <w:szCs w:val="1"/>
                <w:color w:val="auto"/>
              </w:rPr>
            </w:pPr>
          </w:p>
        </w:tc>
      </w:tr>
      <w:tr>
        <w:trPr>
          <w:trHeight w:val="283"/>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13,646</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54,528</w:t>
            </w:r>
          </w:p>
        </w:tc>
        <w:tc>
          <w:tcPr>
            <w:tcW w:w="0" w:type="dxa"/>
            <w:vAlign w:val="bottom"/>
          </w:tcPr>
          <w:p>
            <w:pPr>
              <w:spacing w:after="0"/>
              <w:rPr>
                <w:sz w:val="1"/>
                <w:szCs w:val="1"/>
                <w:color w:val="auto"/>
              </w:rPr>
            </w:pPr>
          </w:p>
        </w:tc>
      </w:tr>
      <w:tr>
        <w:trPr>
          <w:trHeight w:val="250"/>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207,232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127,120</w:t>
            </w:r>
          </w:p>
        </w:tc>
        <w:tc>
          <w:tcPr>
            <w:tcW w:w="0" w:type="dxa"/>
            <w:vAlign w:val="bottom"/>
          </w:tcPr>
          <w:p>
            <w:pPr>
              <w:spacing w:after="0"/>
              <w:rPr>
                <w:sz w:val="1"/>
                <w:szCs w:val="1"/>
                <w:color w:val="auto"/>
              </w:rPr>
            </w:pPr>
          </w:p>
        </w:tc>
      </w:tr>
      <w:tr>
        <w:trPr>
          <w:trHeight w:val="230"/>
        </w:trPr>
        <w:tc>
          <w:tcPr>
            <w:tcW w:w="822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150,268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97,890</w:t>
            </w:r>
          </w:p>
        </w:tc>
        <w:tc>
          <w:tcPr>
            <w:tcW w:w="0" w:type="dxa"/>
            <w:vAlign w:val="bottom"/>
          </w:tcPr>
          <w:p>
            <w:pPr>
              <w:spacing w:after="0"/>
              <w:rPr>
                <w:sz w:val="1"/>
                <w:szCs w:val="1"/>
                <w:color w:val="auto"/>
              </w:rPr>
            </w:pPr>
          </w:p>
        </w:tc>
      </w:tr>
      <w:tr>
        <w:trPr>
          <w:trHeight w:val="270"/>
        </w:trPr>
        <w:tc>
          <w:tcPr>
            <w:tcW w:w="82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96,372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64,751</w:t>
            </w:r>
          </w:p>
        </w:tc>
        <w:tc>
          <w:tcPr>
            <w:tcW w:w="0" w:type="dxa"/>
            <w:vAlign w:val="bottom"/>
          </w:tcPr>
          <w:p>
            <w:pPr>
              <w:spacing w:after="0"/>
              <w:rPr>
                <w:sz w:val="1"/>
                <w:szCs w:val="1"/>
                <w:color w:val="auto"/>
              </w:rPr>
            </w:pPr>
          </w:p>
        </w:tc>
      </w:tr>
      <w:tr>
        <w:trPr>
          <w:trHeight w:val="283"/>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36,532</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25,925</w:t>
            </w: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283,172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188,566</w:t>
            </w:r>
          </w:p>
        </w:tc>
        <w:tc>
          <w:tcPr>
            <w:tcW w:w="0" w:type="dxa"/>
            <w:vAlign w:val="bottom"/>
          </w:tcPr>
          <w:p>
            <w:pPr>
              <w:spacing w:after="0"/>
              <w:rPr>
                <w:sz w:val="1"/>
                <w:szCs w:val="1"/>
                <w:color w:val="auto"/>
              </w:rPr>
            </w:pPr>
          </w:p>
        </w:tc>
      </w:tr>
      <w:tr>
        <w:trPr>
          <w:trHeight w:val="250"/>
        </w:trPr>
        <w:tc>
          <w:tcPr>
            <w:tcW w:w="8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(61,446)</w:t>
            </w:r>
          </w:p>
        </w:tc>
        <w:tc>
          <w:tcPr>
            <w:tcW w:w="0" w:type="dxa"/>
            <w:vAlign w:val="bottom"/>
          </w:tcPr>
          <w:p>
            <w:pPr>
              <w:spacing w:after="0"/>
              <w:rPr>
                <w:sz w:val="1"/>
                <w:szCs w:val="1"/>
                <w:color w:val="auto"/>
              </w:rPr>
            </w:pPr>
          </w:p>
        </w:tc>
      </w:tr>
      <w:tr>
        <w:trPr>
          <w:trHeight w:val="230"/>
        </w:trPr>
        <w:tc>
          <w:tcPr>
            <w:tcW w:w="8220" w:type="dxa"/>
            <w:vAlign w:val="bottom"/>
          </w:tcPr>
          <w:p>
            <w:pPr>
              <w:ind w:left="6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83"/>
        </w:trPr>
        <w:tc>
          <w:tcPr>
            <w:tcW w:w="82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83"/>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50"/>
        </w:trPr>
        <w:tc>
          <w:tcPr>
            <w:tcW w:w="8220" w:type="dxa"/>
            <w:vAlign w:val="bottom"/>
          </w:tcPr>
          <w:p>
            <w:pPr>
              <w:ind w:left="60"/>
              <w:spacing w:after="0"/>
              <w:rPr>
                <w:sz w:val="20"/>
                <w:szCs w:val="20"/>
                <w:color w:val="auto"/>
              </w:rPr>
            </w:pPr>
            <w:r>
              <w:rPr>
                <w:rFonts w:ascii="Arial" w:cs="Arial" w:eastAsia="Arial" w:hAnsi="Arial"/>
                <w:sz w:val="18"/>
                <w:szCs w:val="18"/>
                <w:color w:val="auto"/>
              </w:rPr>
              <w:t>Loss before provision for (benefit from)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(65,368)</w:t>
            </w:r>
          </w:p>
        </w:tc>
        <w:tc>
          <w:tcPr>
            <w:tcW w:w="0" w:type="dxa"/>
            <w:vAlign w:val="bottom"/>
          </w:tcPr>
          <w:p>
            <w:pPr>
              <w:spacing w:after="0"/>
              <w:rPr>
                <w:sz w:val="1"/>
                <w:szCs w:val="1"/>
                <w:color w:val="auto"/>
              </w:rPr>
            </w:pPr>
          </w:p>
        </w:tc>
      </w:tr>
      <w:tr>
        <w:trPr>
          <w:trHeight w:val="284"/>
        </w:trPr>
        <w:tc>
          <w:tcPr>
            <w:tcW w:w="8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63"/>
        </w:trPr>
        <w:tc>
          <w:tcPr>
            <w:tcW w:w="8220" w:type="dxa"/>
            <w:vAlign w:val="bottom"/>
          </w:tcPr>
          <w:p>
            <w:pPr>
              <w:ind w:left="6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(77,294)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(63,992)</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20" w:type="dxa"/>
            <w:vAlign w:val="bottom"/>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67,706,502</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61,361,670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51"/>
        </w:trPr>
        <w:tc>
          <w:tcPr>
            <w:tcW w:w="8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(63,992)</w:t>
            </w:r>
          </w:p>
        </w:tc>
      </w:tr>
      <w:tr>
        <w:trPr>
          <w:trHeight w:val="229"/>
        </w:trPr>
        <w:tc>
          <w:tcPr>
            <w:tcW w:w="8220" w:type="dxa"/>
            <w:vAlign w:val="bottom"/>
          </w:tcPr>
          <w:p>
            <w:pPr>
              <w:ind w:left="60"/>
              <w:spacing w:after="0"/>
              <w:rPr>
                <w:sz w:val="20"/>
                <w:szCs w:val="20"/>
                <w:color w:val="auto"/>
              </w:rPr>
            </w:pPr>
            <w:r>
              <w:rPr>
                <w:rFonts w:ascii="Arial" w:cs="Arial" w:eastAsia="Arial" w:hAnsi="Arial"/>
                <w:sz w:val="18"/>
                <w:szCs w:val="18"/>
                <w:color w:val="auto"/>
              </w:rPr>
              <w:t>Other comprehensive loss, net of tax:</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Unrealized (loss) gain on available-for-sale securities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83"/>
        </w:trPr>
        <w:tc>
          <w:tcPr>
            <w:tcW w:w="82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63"/>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63"/>
        </w:trPr>
        <w:tc>
          <w:tcPr>
            <w:tcW w:w="8220" w:type="dxa"/>
            <w:vAlign w:val="bottom"/>
          </w:tcPr>
          <w:p>
            <w:pPr>
              <w:ind w:left="60"/>
              <w:spacing w:after="0"/>
              <w:rPr>
                <w:sz w:val="20"/>
                <w:szCs w:val="20"/>
                <w:color w:val="auto"/>
              </w:rPr>
            </w:pPr>
            <w:r>
              <w:rPr>
                <w:rFonts w:ascii="Arial" w:cs="Arial" w:eastAsia="Arial" w:hAnsi="Arial"/>
                <w:sz w:val="18"/>
                <w:szCs w:val="18"/>
                <w:color w:val="auto"/>
              </w:rPr>
              <w:t>Total comprehensive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(79,045)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(64,048)</w:t>
            </w:r>
          </w:p>
        </w:tc>
      </w:tr>
      <w:tr>
        <w:trPr>
          <w:trHeight w:val="21"/>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5"/>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8"/>
              </w:rPr>
              <w:t>Additional Paid-</w:t>
            </w:r>
          </w:p>
        </w:tc>
        <w:tc>
          <w:tcPr>
            <w:tcW w:w="120" w:type="dxa"/>
            <w:vAlign w:val="bottom"/>
          </w:tcPr>
          <w:p>
            <w:pPr>
              <w:spacing w:after="0"/>
              <w:rPr>
                <w:sz w:val="14"/>
                <w:szCs w:val="14"/>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Treasury</w:t>
            </w: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0"/>
              </w:rPr>
              <w:t>Accumulated Other</w:t>
            </w:r>
          </w:p>
        </w:tc>
        <w:tc>
          <w:tcPr>
            <w:tcW w:w="12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Total Stockholders’</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3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gridSpan w:val="3"/>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4"/>
                <w:szCs w:val="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In Capital</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13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Comprehensive Loss</w:t>
            </w: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Deficit</w:t>
            </w:r>
          </w:p>
        </w:tc>
        <w:tc>
          <w:tcPr>
            <w:tcW w:w="240" w:type="dxa"/>
            <w:vAlign w:val="bottom"/>
          </w:tcPr>
          <w:p>
            <w:pPr>
              <w:spacing w:after="0"/>
              <w:rPr>
                <w:sz w:val="14"/>
                <w:szCs w:val="14"/>
                <w:color w:val="auto"/>
              </w:rPr>
            </w:pPr>
          </w:p>
        </w:tc>
        <w:tc>
          <w:tcPr>
            <w:tcW w:w="880" w:type="dxa"/>
            <w:vAlign w:val="bottom"/>
          </w:tcPr>
          <w:p>
            <w:pPr>
              <w:jc w:val="center"/>
              <w:ind w:right="169"/>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5"/>
        </w:trPr>
        <w:tc>
          <w:tcPr>
            <w:tcW w:w="3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January 31, 2022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67,444,360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17"/>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1,860,514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(1,319)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3"/>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(1,189,634)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666,700</w:t>
            </w:r>
          </w:p>
        </w:tc>
        <w:tc>
          <w:tcPr>
            <w:tcW w:w="0" w:type="dxa"/>
            <w:vAlign w:val="bottom"/>
          </w:tcPr>
          <w:p>
            <w:pPr>
              <w:spacing w:after="0"/>
              <w:rPr>
                <w:sz w:val="1"/>
                <w:szCs w:val="1"/>
                <w:color w:val="auto"/>
              </w:rPr>
            </w:pPr>
          </w:p>
        </w:tc>
      </w:tr>
      <w:tr>
        <w:trPr>
          <w:trHeight w:val="210"/>
        </w:trPr>
        <w:tc>
          <w:tcPr>
            <w:tcW w:w="3320" w:type="dxa"/>
            <w:vAlign w:val="bottom"/>
          </w:tcPr>
          <w:p>
            <w:pPr>
              <w:ind w:left="180"/>
              <w:spacing w:after="0"/>
              <w:rPr>
                <w:sz w:val="20"/>
                <w:szCs w:val="20"/>
                <w:color w:val="auto"/>
              </w:rPr>
            </w:pPr>
            <w:r>
              <w:rPr>
                <w:rFonts w:ascii="Arial" w:cs="Arial" w:eastAsia="Arial" w:hAnsi="Arial"/>
                <w:sz w:val="14"/>
                <w:szCs w:val="14"/>
                <w:color w:val="auto"/>
              </w:rPr>
              <w:t>Cumulative effect of accounting change</w:t>
            </w:r>
          </w:p>
        </w:tc>
        <w:tc>
          <w:tcPr>
            <w:tcW w:w="2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235,517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210"/>
        </w:trPr>
        <w:tc>
          <w:tcPr>
            <w:tcW w:w="3320" w:type="dxa"/>
            <w:vAlign w:val="bottom"/>
          </w:tcPr>
          <w:p>
            <w:pPr>
              <w:ind w:left="180"/>
              <w:spacing w:after="0"/>
              <w:rPr>
                <w:sz w:val="20"/>
                <w:szCs w:val="20"/>
                <w:color w:val="auto"/>
              </w:rPr>
            </w:pPr>
            <w:r>
              <w:rPr>
                <w:rFonts w:ascii="Arial" w:cs="Arial" w:eastAsia="Arial" w:hAnsi="Arial"/>
                <w:sz w:val="14"/>
                <w:szCs w:val="14"/>
                <w:color w:val="auto"/>
              </w:rPr>
              <w:t>Vesting of early exercised stock options</w:t>
            </w:r>
          </w:p>
        </w:tc>
        <w:tc>
          <w:tcPr>
            <w:tcW w:w="2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Vesting of restricted stock units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381,178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0"/>
        </w:trPr>
        <w:tc>
          <w:tcPr>
            <w:tcW w:w="332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83,566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83,566</w:t>
            </w: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Conversion of convertible senior notes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0"/>
        </w:trPr>
        <w:tc>
          <w:tcPr>
            <w:tcW w:w="3320" w:type="dxa"/>
            <w:vAlign w:val="bottom"/>
          </w:tcPr>
          <w:p>
            <w:pPr>
              <w:ind w:left="180"/>
              <w:spacing w:after="0"/>
              <w:rPr>
                <w:sz w:val="20"/>
                <w:szCs w:val="20"/>
                <w:color w:val="auto"/>
              </w:rPr>
            </w:pPr>
            <w:r>
              <w:rPr>
                <w:rFonts w:ascii="Arial" w:cs="Arial" w:eastAsia="Arial" w:hAnsi="Arial"/>
                <w:sz w:val="14"/>
                <w:szCs w:val="14"/>
                <w:color w:val="auto"/>
              </w:rPr>
              <w:t>Unrealized loss on available-for-sale securities</w:t>
            </w:r>
          </w:p>
        </w:tc>
        <w:tc>
          <w:tcPr>
            <w:tcW w:w="2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w:t>
            </w:r>
          </w:p>
        </w:tc>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210"/>
        </w:trPr>
        <w:tc>
          <w:tcPr>
            <w:tcW w:w="3320" w:type="dxa"/>
            <w:vAlign w:val="bottom"/>
          </w:tcPr>
          <w:p>
            <w:pPr>
              <w:ind w:left="180"/>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(77,294)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(77,294)</w:t>
            </w:r>
          </w:p>
        </w:tc>
        <w:tc>
          <w:tcPr>
            <w:tcW w:w="0" w:type="dxa"/>
            <w:vAlign w:val="bottom"/>
          </w:tcPr>
          <w:p>
            <w:pPr>
              <w:spacing w:after="0"/>
              <w:rPr>
                <w:sz w:val="1"/>
                <w:szCs w:val="1"/>
                <w:color w:val="auto"/>
              </w:rPr>
            </w:pPr>
          </w:p>
        </w:tc>
      </w:tr>
      <w:tr>
        <w:trPr>
          <w:trHeight w:val="202"/>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April 30, 2022</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68,061,063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ind w:right="617"/>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1,945,737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9"/>
              </w:rPr>
              <w:t>(1,319)</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(1,266,928)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672,879</w:t>
            </w:r>
          </w:p>
        </w:tc>
        <w:tc>
          <w:tcPr>
            <w:tcW w:w="0" w:type="dxa"/>
            <w:vAlign w:val="bottom"/>
          </w:tcPr>
          <w:p>
            <w:pPr>
              <w:spacing w:after="0"/>
              <w:rPr>
                <w:sz w:val="1"/>
                <w:szCs w:val="1"/>
                <w:color w:val="auto"/>
              </w:rPr>
            </w:pPr>
          </w:p>
        </w:tc>
      </w:tr>
      <w:tr>
        <w:trPr>
          <w:trHeight w:val="605"/>
        </w:trPr>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5"/>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0"/>
              </w:rPr>
              <w:t>Additional Paid-</w:t>
            </w:r>
          </w:p>
        </w:tc>
        <w:tc>
          <w:tcPr>
            <w:tcW w:w="120" w:type="dxa"/>
            <w:vAlign w:val="bottom"/>
          </w:tcPr>
          <w:p>
            <w:pPr>
              <w:spacing w:after="0"/>
              <w:rPr>
                <w:sz w:val="24"/>
                <w:szCs w:val="24"/>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Treasury</w:t>
            </w: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0"/>
              </w:rPr>
              <w:t>Accumulated Other</w:t>
            </w:r>
          </w:p>
        </w:tc>
        <w:tc>
          <w:tcPr>
            <w:tcW w:w="120" w:type="dxa"/>
            <w:vAlign w:val="bottom"/>
          </w:tcPr>
          <w:p>
            <w:pPr>
              <w:spacing w:after="0"/>
              <w:rPr>
                <w:sz w:val="24"/>
                <w:szCs w:val="2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Total Stockholders’</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32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In Capital</w:t>
            </w:r>
          </w:p>
        </w:tc>
        <w:tc>
          <w:tcPr>
            <w:tcW w:w="12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13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Comprehensive Loss</w:t>
            </w: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Deficit</w:t>
            </w:r>
          </w:p>
        </w:tc>
        <w:tc>
          <w:tcPr>
            <w:tcW w:w="240" w:type="dxa"/>
            <w:vAlign w:val="bottom"/>
          </w:tcPr>
          <w:p>
            <w:pPr>
              <w:spacing w:after="0"/>
              <w:rPr>
                <w:sz w:val="13"/>
                <w:szCs w:val="13"/>
                <w:color w:val="auto"/>
              </w:rPr>
            </w:pPr>
          </w:p>
        </w:tc>
        <w:tc>
          <w:tcPr>
            <w:tcW w:w="880" w:type="dxa"/>
            <w:vAlign w:val="bottom"/>
          </w:tcPr>
          <w:p>
            <w:pPr>
              <w:jc w:val="center"/>
              <w:ind w:right="169"/>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5"/>
        </w:trPr>
        <w:tc>
          <w:tcPr>
            <w:tcW w:w="3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January 31, 2021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60,898,451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597"/>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932,332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(1,319)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3"/>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(935,403)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(5,033)</w:t>
            </w:r>
          </w:p>
        </w:tc>
        <w:tc>
          <w:tcPr>
            <w:tcW w:w="0" w:type="dxa"/>
            <w:vAlign w:val="bottom"/>
          </w:tcPr>
          <w:p>
            <w:pPr>
              <w:spacing w:after="0"/>
              <w:rPr>
                <w:sz w:val="1"/>
                <w:szCs w:val="1"/>
                <w:color w:val="auto"/>
              </w:rPr>
            </w:pPr>
          </w:p>
        </w:tc>
      </w:tr>
      <w:tr>
        <w:trPr>
          <w:trHeight w:val="210"/>
        </w:trPr>
        <w:tc>
          <w:tcPr>
            <w:tcW w:w="3320" w:type="dxa"/>
            <w:vAlign w:val="bottom"/>
          </w:tcPr>
          <w:p>
            <w:pPr>
              <w:ind w:left="180"/>
              <w:spacing w:after="0"/>
              <w:rPr>
                <w:sz w:val="20"/>
                <w:szCs w:val="20"/>
                <w:color w:val="auto"/>
              </w:rPr>
            </w:pPr>
            <w:r>
              <w:rPr>
                <w:rFonts w:ascii="Arial" w:cs="Arial" w:eastAsia="Arial" w:hAnsi="Arial"/>
                <w:sz w:val="14"/>
                <w:szCs w:val="14"/>
                <w:color w:val="auto"/>
              </w:rPr>
              <w:t>Cumulative effect of accounting change</w:t>
            </w:r>
          </w:p>
        </w:tc>
        <w:tc>
          <w:tcPr>
            <w:tcW w:w="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(309,381)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52,635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(256,746)</w:t>
            </w: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483,787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3,540</w:t>
            </w:r>
          </w:p>
        </w:tc>
        <w:tc>
          <w:tcPr>
            <w:tcW w:w="0" w:type="dxa"/>
            <w:vAlign w:val="bottom"/>
          </w:tcPr>
          <w:p>
            <w:pPr>
              <w:spacing w:after="0"/>
              <w:rPr>
                <w:sz w:val="1"/>
                <w:szCs w:val="1"/>
                <w:color w:val="auto"/>
              </w:rPr>
            </w:pPr>
          </w:p>
        </w:tc>
      </w:tr>
      <w:tr>
        <w:trPr>
          <w:trHeight w:val="210"/>
        </w:trPr>
        <w:tc>
          <w:tcPr>
            <w:tcW w:w="3320" w:type="dxa"/>
            <w:vAlign w:val="bottom"/>
          </w:tcPr>
          <w:p>
            <w:pPr>
              <w:ind w:left="180"/>
              <w:spacing w:after="0"/>
              <w:rPr>
                <w:sz w:val="20"/>
                <w:szCs w:val="20"/>
                <w:color w:val="auto"/>
              </w:rPr>
            </w:pPr>
            <w:r>
              <w:rPr>
                <w:rFonts w:ascii="Arial" w:cs="Arial" w:eastAsia="Arial" w:hAnsi="Arial"/>
                <w:sz w:val="14"/>
                <w:szCs w:val="14"/>
                <w:color w:val="auto"/>
              </w:rPr>
              <w:t>Vesting of early exercised stock options</w:t>
            </w:r>
          </w:p>
        </w:tc>
        <w:tc>
          <w:tcPr>
            <w:tcW w:w="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Vesting of restricted stock units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341,939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32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50,914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50,914</w:t>
            </w: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Conversion of convertible senior notes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372,096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w:t>
            </w:r>
          </w:p>
        </w:tc>
        <w:tc>
          <w:tcPr>
            <w:tcW w:w="0" w:type="dxa"/>
            <w:vAlign w:val="bottom"/>
          </w:tcPr>
          <w:p>
            <w:pPr>
              <w:spacing w:after="0"/>
              <w:rPr>
                <w:sz w:val="1"/>
                <w:szCs w:val="1"/>
                <w:color w:val="auto"/>
              </w:rPr>
            </w:pPr>
          </w:p>
        </w:tc>
      </w:tr>
      <w:tr>
        <w:trPr>
          <w:trHeight w:val="210"/>
        </w:trPr>
        <w:tc>
          <w:tcPr>
            <w:tcW w:w="3320" w:type="dxa"/>
            <w:vAlign w:val="bottom"/>
          </w:tcPr>
          <w:p>
            <w:pPr>
              <w:ind w:left="180"/>
              <w:spacing w:after="0"/>
              <w:rPr>
                <w:sz w:val="20"/>
                <w:szCs w:val="20"/>
                <w:color w:val="auto"/>
              </w:rPr>
            </w:pPr>
            <w:r>
              <w:rPr>
                <w:rFonts w:ascii="Arial" w:cs="Arial" w:eastAsia="Arial" w:hAnsi="Arial"/>
                <w:sz w:val="14"/>
                <w:szCs w:val="14"/>
                <w:color w:val="auto"/>
              </w:rPr>
              <w:t>Unrealized gain on available-for-sale securities</w:t>
            </w:r>
          </w:p>
        </w:tc>
        <w:tc>
          <w:tcPr>
            <w:tcW w:w="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w:t>
            </w:r>
          </w:p>
        </w:tc>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10"/>
        </w:trPr>
        <w:tc>
          <w:tcPr>
            <w:tcW w:w="33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(63,992)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(63,992)</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April 30, 2021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62,096,273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597"/>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680,413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(1,319)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3"/>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(946,760)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837"/>
              <w:spacing w:after="0"/>
              <w:rPr>
                <w:sz w:val="20"/>
                <w:szCs w:val="20"/>
                <w:color w:val="auto"/>
              </w:rPr>
            </w:pPr>
            <w:r>
              <w:rPr>
                <w:rFonts w:ascii="Arial" w:cs="Arial" w:eastAsia="Arial" w:hAnsi="Arial"/>
                <w:sz w:val="13"/>
                <w:szCs w:val="13"/>
                <w:b w:val="1"/>
                <w:bCs w:val="1"/>
                <w:color w:val="auto"/>
              </w:rPr>
              <w:t>Three Months Ended April 30,</w:t>
            </w:r>
          </w:p>
        </w:tc>
        <w:tc>
          <w:tcPr>
            <w:tcW w:w="0" w:type="dxa"/>
            <w:vAlign w:val="bottom"/>
          </w:tcPr>
          <w:p>
            <w:pPr>
              <w:spacing w:after="0"/>
              <w:rPr>
                <w:sz w:val="1"/>
                <w:szCs w:val="1"/>
                <w:color w:val="auto"/>
              </w:rPr>
            </w:pPr>
          </w:p>
        </w:tc>
      </w:tr>
      <w:tr>
        <w:trPr>
          <w:trHeight w:val="170"/>
        </w:trPr>
        <w:tc>
          <w:tcPr>
            <w:tcW w:w="77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1"/>
        </w:trPr>
        <w:tc>
          <w:tcPr>
            <w:tcW w:w="778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Cash flows from operating activities</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780" w:type="dxa"/>
            <w:vAlign w:val="bottom"/>
          </w:tcPr>
          <w:p>
            <w:pPr>
              <w:ind w:left="60"/>
              <w:spacing w:after="0"/>
              <w:rPr>
                <w:sz w:val="20"/>
                <w:szCs w:val="20"/>
                <w:color w:val="auto"/>
              </w:rPr>
            </w:pPr>
            <w:r>
              <w:rPr>
                <w:rFonts w:ascii="Arial" w:cs="Arial" w:eastAsia="Arial" w:hAnsi="Arial"/>
                <w:sz w:val="13"/>
                <w:szCs w:val="13"/>
                <w:color w:val="auto"/>
              </w:rPr>
              <w:t>Net loss</w:t>
            </w: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(77,294)</w:t>
            </w:r>
          </w:p>
        </w:tc>
        <w:tc>
          <w:tcPr>
            <w:tcW w:w="100" w:type="dxa"/>
            <w:vAlign w:val="bottom"/>
          </w:tcPr>
          <w:p>
            <w:pPr>
              <w:spacing w:after="0"/>
              <w:rPr>
                <w:sz w:val="16"/>
                <w:szCs w:val="16"/>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(63,992)</w:t>
            </w:r>
          </w:p>
        </w:tc>
        <w:tc>
          <w:tcPr>
            <w:tcW w:w="0" w:type="dxa"/>
            <w:vAlign w:val="bottom"/>
          </w:tcPr>
          <w:p>
            <w:pPr>
              <w:spacing w:after="0"/>
              <w:rPr>
                <w:sz w:val="1"/>
                <w:szCs w:val="1"/>
                <w:color w:val="auto"/>
              </w:rPr>
            </w:pPr>
          </w:p>
        </w:tc>
      </w:tr>
      <w:tr>
        <w:trPr>
          <w:trHeight w:val="183"/>
        </w:trPr>
        <w:tc>
          <w:tcPr>
            <w:tcW w:w="7780" w:type="dxa"/>
            <w:vAlign w:val="bottom"/>
            <w:shd w:val="clear" w:color="auto" w:fill="CCEEFF"/>
          </w:tcPr>
          <w:p>
            <w:pPr>
              <w:ind w:left="6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3,787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3,251</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Stock-based compensation</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50,914</w:t>
            </w: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Arial" w:cs="Arial" w:eastAsia="Arial" w:hAnsi="Arial"/>
                <w:sz w:val="13"/>
                <w:szCs w:val="13"/>
                <w:color w:val="auto"/>
              </w:rPr>
              <w:t>Amortization of debt issuance costs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1,427</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Amortization of finance right-of-use assets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w:t>
            </w: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Arial" w:cs="Arial" w:eastAsia="Arial" w:hAnsi="Arial"/>
                <w:sz w:val="13"/>
                <w:szCs w:val="13"/>
                <w:color w:val="auto"/>
              </w:rPr>
              <w:t>Amortization of operating right-of-use assets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1,522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Deferred income taxes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(1,585)</w:t>
            </w: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Arial" w:cs="Arial" w:eastAsia="Arial" w:hAnsi="Arial"/>
                <w:sz w:val="13"/>
                <w:szCs w:val="13"/>
                <w:color w:val="auto"/>
              </w:rPr>
              <w:t>Accretion of discount on short-term investments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1,527</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Gain on non-marketable securities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7780" w:type="dxa"/>
            <w:vAlign w:val="bottom"/>
          </w:tcPr>
          <w:p>
            <w:pPr>
              <w:ind w:left="280"/>
              <w:spacing w:after="0"/>
              <w:rPr>
                <w:sz w:val="20"/>
                <w:szCs w:val="20"/>
                <w:color w:val="auto"/>
              </w:rPr>
            </w:pPr>
            <w:r>
              <w:rPr>
                <w:rFonts w:ascii="Arial" w:cs="Arial" w:eastAsia="Arial" w:hAnsi="Arial"/>
                <w:sz w:val="13"/>
                <w:szCs w:val="13"/>
                <w:color w:val="auto"/>
              </w:rPr>
              <w:t>Unrealized foreign exchange loss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581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183"/>
        </w:trPr>
        <w:tc>
          <w:tcPr>
            <w:tcW w:w="77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Change in operating assets and liabilities: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Arial" w:cs="Arial" w:eastAsia="Arial" w:hAnsi="Arial"/>
                <w:sz w:val="13"/>
                <w:szCs w:val="13"/>
                <w:color w:val="auto"/>
              </w:rPr>
              <w:t>Accounts receivable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28,740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35,145</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Prepaid expenses and other current assets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(9,027)</w:t>
            </w: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Arial" w:cs="Arial" w:eastAsia="Arial" w:hAnsi="Arial"/>
                <w:sz w:val="13"/>
                <w:szCs w:val="13"/>
                <w:color w:val="auto"/>
              </w:rPr>
              <w:t>Deferred commissions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(4,722)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(5,882)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long-term assets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Arial" w:cs="Arial" w:eastAsia="Arial" w:hAnsi="Arial"/>
                <w:sz w:val="13"/>
                <w:szCs w:val="13"/>
                <w:color w:val="auto"/>
              </w:rPr>
              <w:t>Accounts payable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Accrued liabilities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(17,152)</w:t>
            </w:r>
          </w:p>
        </w:tc>
        <w:tc>
          <w:tcPr>
            <w:tcW w:w="0" w:type="dxa"/>
            <w:vAlign w:val="bottom"/>
          </w:tcPr>
          <w:p>
            <w:pPr>
              <w:spacing w:after="0"/>
              <w:rPr>
                <w:sz w:val="1"/>
                <w:szCs w:val="1"/>
                <w:color w:val="auto"/>
              </w:rPr>
            </w:pPr>
          </w:p>
        </w:tc>
      </w:tr>
      <w:tr>
        <w:trPr>
          <w:trHeight w:val="208"/>
        </w:trPr>
        <w:tc>
          <w:tcPr>
            <w:tcW w:w="7780" w:type="dxa"/>
            <w:vAlign w:val="bottom"/>
          </w:tcPr>
          <w:p>
            <w:pPr>
              <w:ind w:left="260"/>
              <w:spacing w:after="0"/>
              <w:rPr>
                <w:sz w:val="20"/>
                <w:szCs w:val="20"/>
                <w:color w:val="auto"/>
              </w:rPr>
            </w:pPr>
            <w:r>
              <w:rPr>
                <w:rFonts w:ascii="Arial" w:cs="Arial" w:eastAsia="Arial" w:hAnsi="Arial"/>
                <w:sz w:val="13"/>
                <w:szCs w:val="13"/>
                <w:color w:val="auto"/>
              </w:rPr>
              <w:t>Operating lease liabilities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(2,192)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(1,027)</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Deferred revenue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9,749</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Other liabilities, non-current</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3,791</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cash provided by operating activities</w:t>
            </w:r>
          </w:p>
        </w:tc>
        <w:tc>
          <w:tcPr>
            <w:tcW w:w="4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11,574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10,217</w:t>
            </w:r>
          </w:p>
        </w:tc>
        <w:tc>
          <w:tcPr>
            <w:tcW w:w="0" w:type="dxa"/>
            <w:vAlign w:val="bottom"/>
          </w:tcPr>
          <w:p>
            <w:pPr>
              <w:spacing w:after="0"/>
              <w:rPr>
                <w:sz w:val="1"/>
                <w:szCs w:val="1"/>
                <w:color w:val="auto"/>
              </w:rPr>
            </w:pPr>
          </w:p>
        </w:tc>
      </w:tr>
      <w:tr>
        <w:trPr>
          <w:trHeight w:val="150"/>
        </w:trPr>
        <w:tc>
          <w:tcPr>
            <w:tcW w:w="7780" w:type="dxa"/>
            <w:vAlign w:val="bottom"/>
          </w:tcPr>
          <w:p>
            <w:pPr>
              <w:ind w:left="60"/>
              <w:spacing w:after="0" w:line="144" w:lineRule="exact"/>
              <w:rPr>
                <w:sz w:val="20"/>
                <w:szCs w:val="20"/>
                <w:color w:val="auto"/>
              </w:rPr>
            </w:pPr>
            <w:r>
              <w:rPr>
                <w:rFonts w:ascii="Arial" w:cs="Arial" w:eastAsia="Arial" w:hAnsi="Arial"/>
                <w:sz w:val="13"/>
                <w:szCs w:val="13"/>
                <w:b w:val="1"/>
                <w:bCs w:val="1"/>
                <w:color w:val="auto"/>
              </w:rPr>
              <w:t>Cash flows from investing activities</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Purchases of property and equipment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0" w:type="dxa"/>
            <w:vAlign w:val="bottom"/>
          </w:tcPr>
          <w:p>
            <w:pPr>
              <w:spacing w:after="0"/>
              <w:rPr>
                <w:sz w:val="1"/>
                <w:szCs w:val="1"/>
                <w:color w:val="auto"/>
              </w:rPr>
            </w:pPr>
          </w:p>
        </w:tc>
      </w:tr>
      <w:tr>
        <w:trPr>
          <w:trHeight w:val="194"/>
        </w:trPr>
        <w:tc>
          <w:tcPr>
            <w:tcW w:w="7780" w:type="dxa"/>
            <w:vAlign w:val="bottom"/>
          </w:tcPr>
          <w:p>
            <w:pPr>
              <w:ind w:left="260"/>
              <w:spacing w:after="0"/>
              <w:rPr>
                <w:sz w:val="20"/>
                <w:szCs w:val="20"/>
                <w:color w:val="auto"/>
              </w:rPr>
            </w:pPr>
            <w:r>
              <w:rPr>
                <w:rFonts w:ascii="Arial" w:cs="Arial" w:eastAsia="Arial" w:hAnsi="Arial"/>
                <w:sz w:val="13"/>
                <w:szCs w:val="13"/>
                <w:color w:val="auto"/>
              </w:rPr>
              <w:t>Acquisition, net of cash acquired</w:t>
            </w:r>
          </w:p>
        </w:tc>
        <w:tc>
          <w:tcPr>
            <w:tcW w:w="4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(4,469)</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 in non-marketable securities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w:t>
            </w:r>
          </w:p>
        </w:tc>
        <w:tc>
          <w:tcPr>
            <w:tcW w:w="0" w:type="dxa"/>
            <w:vAlign w:val="bottom"/>
          </w:tcPr>
          <w:p>
            <w:pPr>
              <w:spacing w:after="0"/>
              <w:rPr>
                <w:sz w:val="1"/>
                <w:szCs w:val="1"/>
                <w:color w:val="auto"/>
              </w:rPr>
            </w:pPr>
          </w:p>
        </w:tc>
      </w:tr>
      <w:tr>
        <w:trPr>
          <w:trHeight w:val="194"/>
        </w:trPr>
        <w:tc>
          <w:tcPr>
            <w:tcW w:w="7780" w:type="dxa"/>
            <w:vAlign w:val="bottom"/>
          </w:tcPr>
          <w:p>
            <w:pPr>
              <w:ind w:left="260"/>
              <w:spacing w:after="0"/>
              <w:rPr>
                <w:sz w:val="20"/>
                <w:szCs w:val="20"/>
                <w:color w:val="auto"/>
              </w:rPr>
            </w:pPr>
            <w:r>
              <w:rPr>
                <w:rFonts w:ascii="Arial" w:cs="Arial" w:eastAsia="Arial" w:hAnsi="Arial"/>
                <w:sz w:val="13"/>
                <w:szCs w:val="13"/>
                <w:color w:val="auto"/>
              </w:rPr>
              <w:t>Proceeds from maturities of marketable securities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75,000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Purchases of marketable securities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(100,146)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(101,479)</w:t>
            </w:r>
          </w:p>
        </w:tc>
        <w:tc>
          <w:tcPr>
            <w:tcW w:w="0" w:type="dxa"/>
            <w:vAlign w:val="bottom"/>
          </w:tcPr>
          <w:p>
            <w:pPr>
              <w:spacing w:after="0"/>
              <w:rPr>
                <w:sz w:val="1"/>
                <w:szCs w:val="1"/>
                <w:color w:val="auto"/>
              </w:rPr>
            </w:pPr>
          </w:p>
        </w:tc>
      </w:tr>
      <w:tr>
        <w:trPr>
          <w:trHeight w:val="176"/>
        </w:trPr>
        <w:tc>
          <w:tcPr>
            <w:tcW w:w="778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Net cash used in investing activities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(28,803)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(7,511)</w:t>
            </w:r>
          </w:p>
        </w:tc>
        <w:tc>
          <w:tcPr>
            <w:tcW w:w="0" w:type="dxa"/>
            <w:vAlign w:val="bottom"/>
          </w:tcPr>
          <w:p>
            <w:pPr>
              <w:spacing w:after="0"/>
              <w:rPr>
                <w:sz w:val="1"/>
                <w:szCs w:val="1"/>
                <w:color w:val="auto"/>
              </w:rPr>
            </w:pPr>
          </w:p>
        </w:tc>
      </w:tr>
      <w:tr>
        <w:trPr>
          <w:trHeight w:val="162"/>
        </w:trPr>
        <w:tc>
          <w:tcPr>
            <w:tcW w:w="778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Cash flows from financing activities</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Arial" w:cs="Arial" w:eastAsia="Arial" w:hAnsi="Arial"/>
                <w:sz w:val="13"/>
                <w:szCs w:val="13"/>
                <w:color w:val="auto"/>
              </w:rPr>
              <w:t>Proceeds from exercise of stock options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1,656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3,539</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Principal repayments of finance leases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w:t>
            </w:r>
          </w:p>
        </w:tc>
        <w:tc>
          <w:tcPr>
            <w:tcW w:w="0" w:type="dxa"/>
            <w:vAlign w:val="bottom"/>
          </w:tcPr>
          <w:p>
            <w:pPr>
              <w:spacing w:after="0"/>
              <w:rPr>
                <w:sz w:val="1"/>
                <w:szCs w:val="1"/>
                <w:color w:val="auto"/>
              </w:rPr>
            </w:pPr>
          </w:p>
        </w:tc>
      </w:tr>
      <w:tr>
        <w:trPr>
          <w:trHeight w:val="210"/>
        </w:trPr>
        <w:tc>
          <w:tcPr>
            <w:tcW w:w="7780" w:type="dxa"/>
            <w:vAlign w:val="bottom"/>
          </w:tcPr>
          <w:p>
            <w:pPr>
              <w:ind w:left="260"/>
              <w:spacing w:after="0"/>
              <w:rPr>
                <w:sz w:val="20"/>
                <w:szCs w:val="20"/>
                <w:color w:val="auto"/>
              </w:rPr>
            </w:pPr>
            <w:r>
              <w:rPr>
                <w:rFonts w:ascii="Arial" w:cs="Arial" w:eastAsia="Arial" w:hAnsi="Arial"/>
                <w:sz w:val="13"/>
                <w:szCs w:val="13"/>
                <w:color w:val="auto"/>
              </w:rPr>
              <w:t>Repayments of convertible senior notes attributable to principal</w:t>
            </w:r>
          </w:p>
        </w:tc>
        <w:tc>
          <w:tcPr>
            <w:tcW w:w="4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(27,594)</w:t>
            </w:r>
          </w:p>
        </w:tc>
        <w:tc>
          <w:tcPr>
            <w:tcW w:w="0" w:type="dxa"/>
            <w:vAlign w:val="bottom"/>
          </w:tcPr>
          <w:p>
            <w:pPr>
              <w:spacing w:after="0"/>
              <w:rPr>
                <w:sz w:val="1"/>
                <w:szCs w:val="1"/>
                <w:color w:val="auto"/>
              </w:rPr>
            </w:pPr>
          </w:p>
        </w:tc>
      </w:tr>
      <w:tr>
        <w:trPr>
          <w:trHeight w:val="189"/>
        </w:trPr>
        <w:tc>
          <w:tcPr>
            <w:tcW w:w="77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Net cash provided by (used in) financing activities</w:t>
            </w: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1,061</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(25,254)</w:t>
            </w:r>
          </w:p>
        </w:tc>
        <w:tc>
          <w:tcPr>
            <w:tcW w:w="0" w:type="dxa"/>
            <w:vAlign w:val="bottom"/>
          </w:tcPr>
          <w:p>
            <w:pPr>
              <w:spacing w:after="0"/>
              <w:rPr>
                <w:sz w:val="1"/>
                <w:szCs w:val="1"/>
                <w:color w:val="auto"/>
              </w:rPr>
            </w:pPr>
          </w:p>
        </w:tc>
      </w:tr>
      <w:tr>
        <w:trPr>
          <w:trHeight w:val="189"/>
        </w:trPr>
        <w:tc>
          <w:tcPr>
            <w:tcW w:w="77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Net decrease in cash, cash equivalents and restricted cash</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(17,635)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(22,642)</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Cash, cash equivalents and restricted cash, beginning of period</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474,420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430,222</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Cash, cash equivalents and restricted cash, end of period</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456,785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407,580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3"/>
                <w:szCs w:val="13"/>
                <w:b w:val="1"/>
                <w:bCs w:val="1"/>
                <w:color w:val="auto"/>
              </w:rPr>
              <w:t>Supplemental cash flow disclosure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7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7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Cash paid during the period for:</w:t>
            </w: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400"/>
              <w:spacing w:after="0"/>
              <w:rPr>
                <w:sz w:val="20"/>
                <w:szCs w:val="20"/>
                <w:color w:val="auto"/>
              </w:rPr>
            </w:pPr>
            <w:r>
              <w:rPr>
                <w:rFonts w:ascii="Arial" w:cs="Arial" w:eastAsia="Arial" w:hAnsi="Arial"/>
                <w:sz w:val="13"/>
                <w:szCs w:val="13"/>
                <w:color w:val="auto"/>
              </w:rPr>
              <w:t>Income taxes, net of refunds</w:t>
            </w: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1,589</w:t>
            </w:r>
          </w:p>
        </w:tc>
        <w:tc>
          <w:tcPr>
            <w:tcW w:w="100" w:type="dxa"/>
            <w:vAlign w:val="bottom"/>
          </w:tcPr>
          <w:p>
            <w:pPr>
              <w:spacing w:after="0"/>
              <w:rPr>
                <w:sz w:val="18"/>
                <w:szCs w:val="18"/>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995</w:t>
            </w:r>
          </w:p>
        </w:tc>
        <w:tc>
          <w:tcPr>
            <w:tcW w:w="0" w:type="dxa"/>
            <w:vAlign w:val="bottom"/>
          </w:tcPr>
          <w:p>
            <w:pPr>
              <w:spacing w:after="0"/>
              <w:rPr>
                <w:sz w:val="1"/>
                <w:szCs w:val="1"/>
                <w:color w:val="auto"/>
              </w:rPr>
            </w:pPr>
          </w:p>
        </w:tc>
      </w:tr>
      <w:tr>
        <w:trPr>
          <w:trHeight w:val="222"/>
        </w:trPr>
        <w:tc>
          <w:tcPr>
            <w:tcW w:w="77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Interest expense, net</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60"/>
              <w:spacing w:after="0" w:line="109" w:lineRule="exact"/>
              <w:rPr>
                <w:sz w:val="20"/>
                <w:szCs w:val="20"/>
                <w:color w:val="auto"/>
              </w:rPr>
            </w:pPr>
            <w:r>
              <w:rPr>
                <w:rFonts w:ascii="Arial" w:cs="Arial" w:eastAsia="Arial" w:hAnsi="Arial"/>
                <w:sz w:val="12"/>
                <w:szCs w:val="12"/>
                <w:b w:val="1"/>
                <w:bCs w:val="1"/>
                <w:color w:val="auto"/>
                <w:w w:val="94"/>
              </w:rPr>
              <w:t>Reconciliation of cash, cash equivalents and restricted cash within the condensed consolidated balance sheets, end of period, to the amounts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77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7780" w:type="dxa"/>
            <w:vAlign w:val="bottom"/>
          </w:tcPr>
          <w:p>
            <w:pPr>
              <w:ind w:left="180"/>
              <w:spacing w:after="0"/>
              <w:rPr>
                <w:sz w:val="20"/>
                <w:szCs w:val="20"/>
                <w:color w:val="auto"/>
              </w:rPr>
            </w:pPr>
            <w:r>
              <w:rPr>
                <w:rFonts w:ascii="Arial" w:cs="Arial" w:eastAsia="Arial" w:hAnsi="Arial"/>
                <w:sz w:val="13"/>
                <w:szCs w:val="13"/>
                <w:b w:val="1"/>
                <w:bCs w:val="1"/>
                <w:color w:val="auto"/>
              </w:rPr>
              <w:t>shown in the statements of cash flows above:</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Cash and cash equivalents</w:t>
            </w:r>
          </w:p>
        </w:tc>
        <w:tc>
          <w:tcPr>
            <w:tcW w:w="400" w:type="dxa"/>
            <w:vAlign w:val="bottom"/>
            <w:vMerge w:val="restart"/>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456,275</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407,055</w:t>
            </w:r>
          </w:p>
        </w:tc>
        <w:tc>
          <w:tcPr>
            <w:tcW w:w="0" w:type="dxa"/>
            <w:vAlign w:val="bottom"/>
          </w:tcPr>
          <w:p>
            <w:pPr>
              <w:spacing w:after="0"/>
              <w:rPr>
                <w:sz w:val="1"/>
                <w:szCs w:val="1"/>
                <w:color w:val="auto"/>
              </w:rPr>
            </w:pPr>
          </w:p>
        </w:tc>
      </w:tr>
      <w:tr>
        <w:trPr>
          <w:trHeight w:val="70"/>
        </w:trPr>
        <w:tc>
          <w:tcPr>
            <w:tcW w:w="778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780" w:type="dxa"/>
            <w:vAlign w:val="bottom"/>
          </w:tcPr>
          <w:p>
            <w:pPr>
              <w:ind w:left="260"/>
              <w:spacing w:after="0"/>
              <w:rPr>
                <w:sz w:val="20"/>
                <w:szCs w:val="20"/>
                <w:color w:val="auto"/>
              </w:rPr>
            </w:pPr>
            <w:r>
              <w:rPr>
                <w:rFonts w:ascii="Arial" w:cs="Arial" w:eastAsia="Arial" w:hAnsi="Arial"/>
                <w:sz w:val="13"/>
                <w:szCs w:val="13"/>
                <w:color w:val="auto"/>
              </w:rPr>
              <w:t>Restricted cash, non-current</w:t>
            </w: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510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525</w:t>
            </w:r>
          </w:p>
        </w:tc>
        <w:tc>
          <w:tcPr>
            <w:tcW w:w="0" w:type="dxa"/>
            <w:vAlign w:val="bottom"/>
          </w:tcPr>
          <w:p>
            <w:pPr>
              <w:spacing w:after="0"/>
              <w:rPr>
                <w:sz w:val="1"/>
                <w:szCs w:val="1"/>
                <w:color w:val="auto"/>
              </w:rPr>
            </w:pPr>
          </w:p>
        </w:tc>
      </w:tr>
      <w:tr>
        <w:trPr>
          <w:trHeight w:val="64"/>
        </w:trPr>
        <w:tc>
          <w:tcPr>
            <w:tcW w:w="77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7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Total cash, cash equivalents and restricted cash</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456,785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407,580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MONGODB, INC.</w:t>
      </w:r>
    </w:p>
    <w:p>
      <w:pPr>
        <w:spacing w:after="0" w:line="21"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5" w:lineRule="exact"/>
        <w:rPr>
          <w:sz w:val="20"/>
          <w:szCs w:val="20"/>
          <w:color w:val="auto"/>
        </w:rPr>
      </w:pPr>
    </w:p>
    <w:p>
      <w:pPr>
        <w:ind w:right="240" w:firstLine="486"/>
        <w:spacing w:after="0" w:line="255" w:lineRule="auto"/>
        <w:rPr>
          <w:sz w:val="20"/>
          <w:szCs w:val="20"/>
          <w:color w:val="auto"/>
        </w:rPr>
      </w:pPr>
      <w:r>
        <w:rPr>
          <w:rFonts w:ascii="Arial" w:cs="Arial" w:eastAsia="Arial" w:hAnsi="Arial"/>
          <w:sz w:val="18"/>
          <w:szCs w:val="18"/>
          <w:color w:val="auto"/>
        </w:rPr>
        <w:t>MongoDB, Inc. (“MongoDB” or the “Company”) was originally incorporated in the state of Delaware in November 2007 under the name 10Gen, Inc. In August 2013, the Company changed its name to MongoDB, Inc. The Company is headquartered in New York City. MongoDB is the leading modern, general purpose database platform. The Company’s robust platform enables developers to build and modernize applications rapidly and cost-effectively across a broad range of use cases. Organizations can deploy the Company’s platform at scale in the cloud, on-premise or in a hybrid environment. In addition to selling subscriptions to its software, the Company provides post-contract support, training and consulting services for its offerings. The Company’s fiscal year ends on January 31.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Basis of Presentation</w:t>
      </w:r>
    </w:p>
    <w:p>
      <w:pPr>
        <w:spacing w:after="0" w:line="171"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The accompanying interim condensed consolidated balance sheet as of April 30, 2022, the interim condensed consolidated statements of stockholders’ equity (deficit) for the three months ended April 30, 2022 and 2021, the interim condensed consolidated statements of operations and of comprehensive loss for the three months ended April 30, 2022 and 2021 and the interim condensed consolidated statements of cash flows for the three months ended April 30, 2022 and 2021 are unaudited. The interim unaudited condensed consolidated financial statements have been prepared on a basis consistent with the annual consolidated financial statements and, in the opinion of management, reflect all adjustments, which include only normal recurring adjustments, necessary to state fairly the Company’s financial position as of April 30, 2022, its statements of stockholders’ equity (deficit) as of April 30, 2022 and 2021, its results of operations and of comprehensive loss for the three months ended April 30, 2022 and 2021 and its statements of cash flows for the three months ended April 30, 2022 and 2021. The financial data and the other financial information disclosed in the notes to these interim condensed consolidated financial statements related to the three-month periods are also unaudited. The results of operations for the three months ended April 30, 2022 are not necessarily indicative of the results to be expected for the fiscal year ending January 31, 2023 or for any other future year or interim period.</w:t>
      </w:r>
    </w:p>
    <w:p>
      <w:pPr>
        <w:spacing w:after="0" w:line="128"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interim unaudited condensed consolidated financial statements have been prepared in accordance with accounting principles generally accepted in the United States of America (“U.S. GAAP”) and include the accounts of the Company and its wholly owned subsidiaries. All intercompany transactions and accounts have been eliminated. Certain information and note disclosures normally included in the financial statements prepared in accordance with U.S. GAAP have been condensed or omitted pursuant to the applicable rules and regulations of the Securities and Exchange Commission. The condensed balance sheet data as of January 31, 2022 was derived from the Company’s audited financial statements, but does not include all disclosures required by U.S. GAAP. Therefore, these interim unaudited condensed consolidated financial statements and accompanying footnotes should be read in conjunction with the Company’s annual consolidated financial statements and related footnotes included in its Annual Report on Form 10-K for the fiscal year ended January 31, 2022 (the “2022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Use of Estimates</w:t>
      </w:r>
    </w:p>
    <w:p>
      <w:pPr>
        <w:spacing w:after="0" w:line="17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preparation of the interim unaudited condensed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 Such estimates include, but are not limited to, revenue recognition, allowances for doubtful accounts, the incremental borrowing rate related to the Company’s lease liabilities, stock-based compensation, legal contingencies, fair value of acquired intangible assets and goodwill, useful lives of acquired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spacing w:after="0" w:line="112" w:lineRule="exact"/>
        <w:rPr>
          <w:sz w:val="20"/>
          <w:szCs w:val="20"/>
          <w:color w:val="auto"/>
        </w:rPr>
      </w:pPr>
    </w:p>
    <w:p>
      <w:pPr>
        <w:ind w:right="760" w:firstLine="486"/>
        <w:spacing w:after="0" w:line="308" w:lineRule="auto"/>
        <w:rPr>
          <w:sz w:val="20"/>
          <w:szCs w:val="20"/>
          <w:color w:val="auto"/>
        </w:rPr>
      </w:pPr>
      <w:r>
        <w:rPr>
          <w:rFonts w:ascii="Arial" w:cs="Arial" w:eastAsia="Arial" w:hAnsi="Arial"/>
          <w:sz w:val="17"/>
          <w:szCs w:val="17"/>
          <w:color w:val="auto"/>
        </w:rPr>
        <w:t>The ongoing COVID-19 pandemic has impacted demand and supply for a broad variety of goods and services, including demand from the Company’s customers, while also disrupting sales channels and marketing activities for an unknown period of time.</w:t>
      </w:r>
    </w:p>
    <w:p>
      <w:pPr>
        <w:spacing w:after="0" w:line="9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5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Significant Accounting Policies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changes to the Company’s significant accounting policies as described in the Company’s 2022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tables present information about the Company’s financial assets that have been measured at fair value on a recurring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April 30, 2022 and January 31, 2022 and indicate the fair value hierarchy of the valuation inputs utilized to determine such fair value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Fair Value Measurement as of April 30, 2022</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5"/>
        </w:trPr>
        <w:tc>
          <w:tcPr>
            <w:tcW w:w="5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440" w:type="dxa"/>
            <w:vAlign w:val="bottom"/>
            <w:gridSpan w:val="2"/>
          </w:tcPr>
          <w:p>
            <w:pPr>
              <w:ind w:left="3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7"/>
                <w:szCs w:val="17"/>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r>
      <w:tr>
        <w:trPr>
          <w:trHeight w:val="216"/>
        </w:trPr>
        <w:tc>
          <w:tcPr>
            <w:tcW w:w="51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100" w:type="dxa"/>
            <w:vAlign w:val="bottom"/>
          </w:tcPr>
          <w:p>
            <w:pPr>
              <w:ind w:left="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288,993</w:t>
            </w:r>
          </w:p>
        </w:tc>
      </w:tr>
      <w:tr>
        <w:trPr>
          <w:trHeight w:val="229"/>
        </w:trPr>
        <w:tc>
          <w:tcPr>
            <w:tcW w:w="5100" w:type="dxa"/>
            <w:vAlign w:val="bottom"/>
          </w:tcPr>
          <w:p>
            <w:pPr>
              <w:ind w:left="6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3"/>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treasury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1,372,420</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1,372,420</w:t>
            </w:r>
          </w:p>
        </w:tc>
      </w:tr>
      <w:tr>
        <w:trPr>
          <w:trHeight w:val="263"/>
        </w:trPr>
        <w:tc>
          <w:tcPr>
            <w:tcW w:w="5100" w:type="dxa"/>
            <w:vAlign w:val="bottom"/>
          </w:tcPr>
          <w:p>
            <w:pPr>
              <w:ind w:left="36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1,661,413</w:t>
            </w:r>
          </w:p>
        </w:tc>
        <w:tc>
          <w:tcPr>
            <w:tcW w:w="100" w:type="dxa"/>
            <w:vAlign w:val="bottom"/>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1,661,413</w:t>
            </w:r>
          </w:p>
        </w:tc>
      </w:tr>
      <w:tr>
        <w:trPr>
          <w:trHeight w:val="21"/>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84"/>
        </w:trPr>
        <w:tc>
          <w:tcPr>
            <w:tcW w:w="5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7"/>
              </w:rPr>
              <w:t>Fair Value Measurement as of January 31, 2022</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5"/>
        </w:trPr>
        <w:tc>
          <w:tcPr>
            <w:tcW w:w="5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440" w:type="dxa"/>
            <w:vAlign w:val="bottom"/>
            <w:gridSpan w:val="2"/>
          </w:tcPr>
          <w:p>
            <w:pPr>
              <w:ind w:left="3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7"/>
                <w:szCs w:val="17"/>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r>
      <w:tr>
        <w:trPr>
          <w:trHeight w:val="21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331,221</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3"/>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treasury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1,352,019</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1,352,019</w:t>
            </w:r>
          </w:p>
        </w:tc>
      </w:tr>
      <w:tr>
        <w:trPr>
          <w:trHeight w:val="264"/>
        </w:trPr>
        <w:tc>
          <w:tcPr>
            <w:tcW w:w="5100" w:type="dxa"/>
            <w:vAlign w:val="bottom"/>
          </w:tcPr>
          <w:p>
            <w:pPr>
              <w:ind w:left="360"/>
              <w:spacing w:after="0"/>
              <w:rPr>
                <w:sz w:val="20"/>
                <w:szCs w:val="20"/>
                <w:color w:val="auto"/>
              </w:rPr>
            </w:pPr>
            <w:r>
              <w:rPr>
                <w:rFonts w:ascii="Arial" w:cs="Arial" w:eastAsia="Arial" w:hAnsi="Arial"/>
                <w:sz w:val="18"/>
                <w:szCs w:val="18"/>
                <w:color w:val="auto"/>
              </w:rPr>
              <w:t>Total financial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1,683,240</w:t>
            </w: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1,683,240</w:t>
            </w:r>
          </w:p>
        </w:tc>
      </w:tr>
      <w:tr>
        <w:trPr>
          <w:trHeight w:val="20"/>
        </w:trPr>
        <w:tc>
          <w:tcPr>
            <w:tcW w:w="5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 utilized the market approach and Level 1 valuation inputs to value its money market mutual funds and U.S. government treasury securities because published net asset values were readily available. The contractual maturity of all marketable securities was less than one year as of April 30, 2022 and January 31, 2022. As of April 30, 2022, unrealized losses on our U.S. government treasury securities were approximately $5.8 million, net of tax. The increase in market interest rates as of April 30, 2022 has resulted in unrealized losses on these securities. The Company intends to hold these securities to maturity and, as a result, does not expect to realize these losses in its financial statements. The Company concluded that an allowance for credit losses was unnecessary for short-term investments as of April 30, 2022. Gross realized gains and losses were not material for each of the three-month periods ended April 30, 2022 and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Convertible Senior Notes</w:t>
      </w:r>
    </w:p>
    <w:p>
      <w:pPr>
        <w:spacing w:after="0" w:line="17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 xml:space="preserve">The Company measures the fair value of its outstanding convertible senior notes on a quarterly basis for disclosure purposes. The Company considers the fair value of its convertible senior notes at April 30, 2022 to be a Level 2 measurement due to limited trading activity of the convertible senior notes. Refer to Note 5,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for further details.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Non-marketable Securities</w:t>
      </w:r>
    </w:p>
    <w:p>
      <w:pPr>
        <w:spacing w:after="0" w:line="17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As of April 30, 2022 and January 31, 2022, the total amount of non-marketable equity and debt securities included in other assets on the Company’s condensed consolidated balance sheets were $7.7 million and $4.8 million, respectively. During the three months ended April 30, 2022, the Company invested an additional $1.1 million of its cash in non-marketable equity securities. In addition, the Company recognized a gain on certain of these non-marketable securities of $1.8 million during the three months ended April 30, 2022. No gain or loss was recognized for the three months ended April 30, 2021.</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5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in the Notes to Consolidated Financial Statements included in Part II, Item 8 of the Company’s 2022 Form 10-K for further information. The Company considers these assets as Level 3 within the fair value hierarchy. The estimation of fair value for these investments is inherently complex due to the lack of readily available market data and inherent lack of liquidity and requires the Company’s judgment and the use of significant unobservable inputs in an inactive market. In addition, the determination of whether an orderly transaction is for the identical or a similar investment requires significant management judgment, including understanding the differences in the rights and obligations of the investments, the extent to which those differences would affect the fair values of those investments and the stage of operational development of the entities.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Acquired Intangible Assets, Net</w:t>
      </w:r>
    </w:p>
    <w:p>
      <w:pPr>
        <w:spacing w:after="0" w:line="175"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There were no material changes to goodwill carrying amounts during the three months ended April 30, 2022. The gross carrying amounts and accumulated amortization of the Company’s intangible assets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95"/>
              <w:spacing w:after="0"/>
              <w:rPr>
                <w:sz w:val="20"/>
                <w:szCs w:val="20"/>
                <w:color w:val="auto"/>
              </w:rPr>
            </w:pPr>
            <w:r>
              <w:rPr>
                <w:rFonts w:ascii="Arial" w:cs="Arial" w:eastAsia="Arial" w:hAnsi="Arial"/>
                <w:sz w:val="14"/>
                <w:szCs w:val="14"/>
                <w:b w:val="1"/>
                <w:bCs w:val="1"/>
                <w:color w:val="auto"/>
              </w:rPr>
              <w:t>April 30, 2022</w:t>
            </w:r>
          </w:p>
        </w:tc>
        <w:tc>
          <w:tcPr>
            <w:tcW w:w="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Weighted-Average Remaining</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6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Gross Carrying Value</w:t>
            </w:r>
          </w:p>
        </w:tc>
        <w:tc>
          <w:tcPr>
            <w:tcW w:w="1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Amortization</w:t>
            </w:r>
          </w:p>
        </w:tc>
        <w:tc>
          <w:tcPr>
            <w:tcW w:w="220" w:type="dxa"/>
            <w:vAlign w:val="bottom"/>
          </w:tcPr>
          <w:p>
            <w:pPr>
              <w:spacing w:after="0"/>
              <w:rPr>
                <w:sz w:val="11"/>
                <w:szCs w:val="11"/>
                <w:color w:val="auto"/>
              </w:rPr>
            </w:pPr>
          </w:p>
        </w:tc>
        <w:tc>
          <w:tcPr>
            <w:tcW w:w="13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Net Book Value</w:t>
            </w:r>
          </w:p>
        </w:tc>
        <w:tc>
          <w:tcPr>
            <w:tcW w:w="80" w:type="dxa"/>
            <w:vAlign w:val="bottom"/>
          </w:tcPr>
          <w:p>
            <w:pPr>
              <w:spacing w:after="0"/>
              <w:rPr>
                <w:sz w:val="11"/>
                <w:szCs w:val="11"/>
                <w:color w:val="auto"/>
              </w:rPr>
            </w:pP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88"/>
        </w:trPr>
        <w:tc>
          <w:tcPr>
            <w:tcW w:w="380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4"/>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13,583</w:t>
            </w:r>
          </w:p>
        </w:tc>
        <w:tc>
          <w:tcPr>
            <w:tcW w:w="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4,730</w:t>
            </w:r>
          </w:p>
        </w:tc>
        <w:tc>
          <w:tcPr>
            <w:tcW w:w="2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18,313</w:t>
            </w:r>
          </w:p>
        </w:tc>
        <w:tc>
          <w:tcPr>
            <w:tcW w:w="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8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January 31, 2022</w:t>
            </w: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Weighted-Average Remaining</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6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Gross Carrying Value</w:t>
            </w:r>
          </w:p>
        </w:tc>
        <w:tc>
          <w:tcPr>
            <w:tcW w:w="1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Amortization</w:t>
            </w:r>
          </w:p>
        </w:tc>
        <w:tc>
          <w:tcPr>
            <w:tcW w:w="220" w:type="dxa"/>
            <w:vAlign w:val="bottom"/>
          </w:tcPr>
          <w:p>
            <w:pPr>
              <w:spacing w:after="0"/>
              <w:rPr>
                <w:sz w:val="11"/>
                <w:szCs w:val="11"/>
                <w:color w:val="auto"/>
              </w:rPr>
            </w:pPr>
          </w:p>
        </w:tc>
        <w:tc>
          <w:tcPr>
            <w:tcW w:w="13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Net Book Value</w:t>
            </w:r>
          </w:p>
        </w:tc>
        <w:tc>
          <w:tcPr>
            <w:tcW w:w="80" w:type="dxa"/>
            <w:vAlign w:val="bottom"/>
          </w:tcPr>
          <w:p>
            <w:pPr>
              <w:spacing w:after="0"/>
              <w:rPr>
                <w:sz w:val="11"/>
                <w:szCs w:val="11"/>
                <w:color w:val="auto"/>
              </w:rPr>
            </w:pP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88"/>
        </w:trPr>
        <w:tc>
          <w:tcPr>
            <w:tcW w:w="380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4"/>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15,118</w:t>
            </w:r>
          </w:p>
        </w:tc>
        <w:tc>
          <w:tcPr>
            <w:tcW w:w="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w:t>
            </w:r>
          </w:p>
        </w:tc>
        <w:tc>
          <w:tcPr>
            <w:tcW w:w="2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20,608</w:t>
            </w:r>
          </w:p>
        </w:tc>
        <w:tc>
          <w:tcPr>
            <w:tcW w:w="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Acquired intangible assets are amortized on a straight-line basis. Amortization expense of intangible assets was $2.3 million and $2.2 million for the three months ended April 30, 2022 and 2021, respectively. Amortization expense for developed technology was included as research and development expense in the Company’s condensed consolidated statements of operations. Amortization expense for customer relationships was included as sales and marketing expense in the Company’s condensed consolidated statements of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ind w:left="500"/>
              <w:spacing w:after="0"/>
              <w:rPr>
                <w:sz w:val="20"/>
                <w:szCs w:val="20"/>
                <w:color w:val="auto"/>
              </w:rPr>
            </w:pPr>
            <w:r>
              <w:rPr>
                <w:rFonts w:ascii="Arial" w:cs="Arial" w:eastAsia="Arial" w:hAnsi="Arial"/>
                <w:sz w:val="18"/>
                <w:szCs w:val="18"/>
                <w:color w:val="auto"/>
              </w:rPr>
              <w:t>As of April 30, 2022, future amortization expense related to the intangible assets is as follows (in thousands):</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8"/>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Years Ending January 31,</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8,505</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9760" w:type="dxa"/>
            <w:vAlign w:val="bottom"/>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18,313</w:t>
            </w:r>
          </w:p>
        </w:tc>
      </w:tr>
      <w:tr>
        <w:trPr>
          <w:trHeight w:val="20"/>
        </w:trPr>
        <w:tc>
          <w:tcPr>
            <w:tcW w:w="9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Convertible Senior Notes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net carrying amounts of the Company’s convertible notes were as follows for the periods presented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30, 2022</w:t>
            </w:r>
          </w:p>
        </w:tc>
        <w:tc>
          <w:tcPr>
            <w:tcW w:w="240" w:type="dxa"/>
            <w:vAlign w:val="bottom"/>
          </w:tcPr>
          <w:p>
            <w:pPr>
              <w:spacing w:after="0"/>
              <w:rPr>
                <w:sz w:val="16"/>
                <w:szCs w:val="16"/>
                <w:color w:val="auto"/>
              </w:rPr>
            </w:pPr>
          </w:p>
        </w:tc>
        <w:tc>
          <w:tcPr>
            <w:tcW w:w="1560" w:type="dxa"/>
            <w:vAlign w:val="bottom"/>
          </w:tcPr>
          <w:p>
            <w:pPr>
              <w:jc w:val="right"/>
              <w:ind w:right="297"/>
              <w:spacing w:after="0"/>
              <w:rPr>
                <w:sz w:val="20"/>
                <w:szCs w:val="20"/>
                <w:color w:val="auto"/>
              </w:rPr>
            </w:pPr>
            <w:r>
              <w:rPr>
                <w:rFonts w:ascii="Arial" w:cs="Arial" w:eastAsia="Arial" w:hAnsi="Arial"/>
                <w:sz w:val="14"/>
                <w:szCs w:val="14"/>
                <w:b w:val="1"/>
                <w:bCs w:val="1"/>
                <w:color w:val="auto"/>
              </w:rPr>
              <w:t>January 31, 2022</w:t>
            </w:r>
          </w:p>
        </w:tc>
      </w:tr>
      <w:tr>
        <w:trPr>
          <w:trHeight w:val="188"/>
        </w:trPr>
        <w:tc>
          <w:tcPr>
            <w:tcW w:w="74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ind w:right="477"/>
              <w:spacing w:after="0"/>
              <w:rPr>
                <w:sz w:val="20"/>
                <w:szCs w:val="20"/>
                <w:color w:val="auto"/>
              </w:rPr>
            </w:pPr>
            <w:r>
              <w:rPr>
                <w:rFonts w:ascii="Arial" w:cs="Arial" w:eastAsia="Arial" w:hAnsi="Arial"/>
                <w:sz w:val="14"/>
                <w:szCs w:val="14"/>
                <w:b w:val="1"/>
                <w:bCs w:val="1"/>
                <w:color w:val="auto"/>
              </w:rPr>
              <w:t>2026 Notes</w:t>
            </w: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ind w:right="477"/>
              <w:spacing w:after="0"/>
              <w:rPr>
                <w:sz w:val="20"/>
                <w:szCs w:val="20"/>
                <w:color w:val="auto"/>
              </w:rPr>
            </w:pPr>
            <w:r>
              <w:rPr>
                <w:rFonts w:ascii="Arial" w:cs="Arial" w:eastAsia="Arial" w:hAnsi="Arial"/>
                <w:sz w:val="14"/>
                <w:szCs w:val="14"/>
                <w:b w:val="1"/>
                <w:bCs w:val="1"/>
                <w:color w:val="auto"/>
              </w:rPr>
              <w:t>2026 Notes</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Principal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1,149,986</w:t>
            </w:r>
          </w:p>
        </w:tc>
        <w:tc>
          <w:tcPr>
            <w:tcW w:w="1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1,149,988</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(12,625)</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(13,467)</w:t>
            </w:r>
          </w:p>
        </w:tc>
      </w:tr>
      <w:tr>
        <w:trPr>
          <w:trHeight w:val="223"/>
        </w:trPr>
        <w:tc>
          <w:tcPr>
            <w:tcW w:w="7460" w:type="dxa"/>
            <w:vAlign w:val="bottom"/>
          </w:tcPr>
          <w:p>
            <w:pPr>
              <w:ind w:left="220"/>
              <w:spacing w:after="0"/>
              <w:rPr>
                <w:sz w:val="20"/>
                <w:szCs w:val="20"/>
                <w:color w:val="auto"/>
              </w:rPr>
            </w:pPr>
            <w:r>
              <w:rPr>
                <w:rFonts w:ascii="Arial" w:cs="Arial" w:eastAsia="Arial" w:hAnsi="Arial"/>
                <w:sz w:val="18"/>
                <w:szCs w:val="18"/>
                <w:color w:val="auto"/>
              </w:rPr>
              <w:t>Net carrying amount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1,137,361</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1,136,521</w:t>
            </w: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As of April 30, 2022, the estimated fair value (Level 2) of the outstanding 2026 Notes (as defined herein), which is utilized solely for disclosure purposes, was approximately $2.1 billion. The fair value was determined based on the closing trading price per $100 of the 2026 Notes as of the last day of trading for the period. The fair value of the 2026 Notes is primarily affected by the trading price of the Company’s common stock and market interest rates.</w:t>
      </w:r>
    </w:p>
    <w:p>
      <w:pPr>
        <w:spacing w:after="0" w:line="95"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are senior unsecured obligations of the Company and interest is payable semiannually in arrears on July 15 and January 15 of each year, beginning on July 15, 2020, at a rate of 0.25% per year. The 2026 Notes will mature on January 15, 2026, unless earlier converted, redeemed or repurchased. The total net proceeds from the offering, after deducting initial purchase discounts and estimated debt issuance costs, were approximately $1.13 billion.</w:t>
      </w:r>
    </w:p>
    <w:p>
      <w:pPr>
        <w:spacing w:after="0" w:line="110"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in the Notes to Consolidated Financial Statements included in Part II, Item 8 of the Company’s 2022 Form 10-K for further information on the 2026 Notes.</w:t>
      </w:r>
    </w:p>
    <w:p>
      <w:pPr>
        <w:spacing w:after="0" w:line="116" w:lineRule="exact"/>
        <w:rPr>
          <w:sz w:val="20"/>
          <w:szCs w:val="20"/>
          <w:color w:val="auto"/>
        </w:rPr>
      </w:pPr>
    </w:p>
    <w:p>
      <w:pPr>
        <w:ind w:right="200" w:firstLine="486"/>
        <w:spacing w:after="0" w:line="275" w:lineRule="auto"/>
        <w:rPr>
          <w:sz w:val="20"/>
          <w:szCs w:val="20"/>
          <w:color w:val="auto"/>
        </w:rPr>
      </w:pPr>
      <w:r>
        <w:rPr>
          <w:rFonts w:ascii="Arial" w:cs="Arial" w:eastAsia="Arial" w:hAnsi="Arial"/>
          <w:sz w:val="17"/>
          <w:szCs w:val="17"/>
          <w:color w:val="auto"/>
        </w:rPr>
        <w:t>During the three months ended April 30, 2022, the conditional conversion feature of the 2026 Notes was triggered as the last reported sale price of the Company's common stock was more than or equal to 130% of the conversion price for at least 20 trading days in the period of 30 consecutive trading days ending on April 30, 2022 (the last trading day of the fiscal quarter) and therefore the 2026 Notes are currently convertible, in whole or in part, at the option of the holders from May 1, 2022 through July 31, 2022. Whether the 2026 Notes will be convertible following such period will depend on the continued satisfaction of this condition or another conversion condition in the future.</w:t>
      </w:r>
    </w:p>
    <w:p>
      <w:pPr>
        <w:spacing w:after="0" w:line="122" w:lineRule="exact"/>
        <w:rPr>
          <w:sz w:val="20"/>
          <w:szCs w:val="20"/>
          <w:color w:val="auto"/>
        </w:rPr>
      </w:pPr>
    </w:p>
    <w:p>
      <w:pPr>
        <w:jc w:val="both"/>
        <w:ind w:right="200" w:firstLine="486"/>
        <w:spacing w:after="0" w:line="286" w:lineRule="auto"/>
        <w:rPr>
          <w:sz w:val="20"/>
          <w:szCs w:val="20"/>
          <w:color w:val="auto"/>
        </w:rPr>
      </w:pPr>
      <w:r>
        <w:rPr>
          <w:rFonts w:ascii="Arial" w:cs="Arial" w:eastAsia="Arial" w:hAnsi="Arial"/>
          <w:sz w:val="17"/>
          <w:szCs w:val="17"/>
          <w:color w:val="auto"/>
        </w:rPr>
        <w:t>During the three months ended April 30, 2022, certain holders elected to redeem an immaterial aggregate principal amount of the 2026 Notes. The Company elected to settle the redemption through the issuance of common stock. The Company may elect to repay the 2026 Notes in cash, shares of the Company’s common stock or a combination of both cash and shares with respect to future conversions of the 2026 Notes.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Capped Calls</w:t>
      </w:r>
    </w:p>
    <w:p>
      <w:pPr>
        <w:spacing w:after="0" w:line="171"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In connection with the pricing of the issuance of our convertible notes due June 15, 2024 (the “2024 Notes”) and the 2026 Notes, the Company entered into privately negotiated capped call transactions with certain counterparties (the “Capped Calls”). The Capped Calls associated with the 2024 Notes each have an initial strike price of approximately $68.15 per share, subject to certain adjustments, which corresponded to the initial conversion price of the 2024 Notes. These Capped Calls have initial cap prices of $106.90 per share, subject to certain adjustments.</w:t>
      </w:r>
    </w:p>
    <w:p>
      <w:pPr>
        <w:spacing w:after="0" w:line="117"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 The Company did not unwind any of its Capped Calls through April 30, 2022.</w:t>
      </w:r>
    </w:p>
    <w:p>
      <w:pPr>
        <w:spacing w:after="0" w:line="130"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in the Notes to Consolidated Financial Statements included in Part II, Item 8 of the Company’s 2022 Form 10-K for further information on the Capped Calls and the 2024 Notes.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7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1 to 12 years and may include renewal options, which the company deems reasonably certain to be renewed. The exercise of the lease renewal option is at the company's discretion.</w:t>
      </w:r>
    </w:p>
    <w:p>
      <w:pPr>
        <w:spacing w:after="0" w:line="13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Company entered into a new agreement to lease office space in Gurgaon, India for a term of five years with total estimated aggregate base rent payments of $7.0 million. This lease commenced and payments began in April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Lease Costs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components of the Company’s lease costs included in its condensed consolidated statement of operations were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April 30,</w:t>
            </w:r>
          </w:p>
        </w:tc>
        <w:tc>
          <w:tcPr>
            <w:tcW w:w="5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Amortization of finance lease right-of-use assets</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finance lease 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1,907</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Balance Sheet Components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balances of the Company’s finance and operating leases were recorded on the condensed consolidated balance sheet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April 30, 2022</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January 31, 2022</w:t>
            </w:r>
          </w:p>
        </w:tc>
      </w:tr>
      <w:tr>
        <w:trPr>
          <w:trHeight w:val="215"/>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w:t>
            </w:r>
          </w:p>
        </w:tc>
        <w:tc>
          <w:tcPr>
            <w:tcW w:w="1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780" w:type="dxa"/>
            <w:vAlign w:val="bottom"/>
          </w:tcPr>
          <w:p>
            <w:pPr>
              <w:jc w:val="right"/>
              <w:ind w:right="159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30,469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31,463</w:t>
            </w: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liabilities (current)</w:t>
            </w:r>
          </w:p>
        </w:tc>
        <w:tc>
          <w:tcPr>
            <w:tcW w:w="1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Other liabilities, non-current</w:t>
            </w:r>
          </w:p>
        </w:tc>
        <w:tc>
          <w:tcPr>
            <w:tcW w:w="1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49,173</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7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1780" w:type="dxa"/>
            <w:vAlign w:val="bottom"/>
          </w:tcPr>
          <w:p>
            <w:pPr>
              <w:jc w:val="right"/>
              <w:ind w:right="159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45,248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41,745</w:t>
            </w: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 (current)</w:t>
            </w:r>
          </w:p>
        </w:tc>
        <w:tc>
          <w:tcPr>
            <w:tcW w:w="1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w:t>
            </w: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Operating lease liabilities, non-current</w:t>
            </w:r>
          </w:p>
        </w:tc>
        <w:tc>
          <w:tcPr>
            <w:tcW w:w="17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40,279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38,707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Supplemental Information</w:t>
      </w:r>
    </w:p>
    <w:p>
      <w:pPr>
        <w:spacing w:after="0" w:line="171"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following table presents supplemental information related to the Company’s finance and operating leases (in thousands, except weighted-average information):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32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 April 30,</w:t>
            </w:r>
          </w:p>
        </w:tc>
        <w:tc>
          <w:tcPr>
            <w:tcW w:w="780" w:type="dxa"/>
            <w:vAlign w:val="bottom"/>
            <w:tcBorders>
              <w:bottom w:val="single" w:sz="8" w:color="auto"/>
            </w:tcBorders>
          </w:tcPr>
          <w:p>
            <w:pPr>
              <w:spacing w:after="0"/>
              <w:rPr>
                <w:sz w:val="16"/>
                <w:szCs w:val="16"/>
                <w:color w:val="auto"/>
              </w:rPr>
            </w:pPr>
          </w:p>
        </w:tc>
      </w:tr>
      <w:tr>
        <w:trPr>
          <w:trHeight w:val="187"/>
        </w:trPr>
        <w:tc>
          <w:tcPr>
            <w:tcW w:w="71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r>
      <w:tr>
        <w:trPr>
          <w:trHeight w:val="211"/>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Operating cash flows from finance lease</w:t>
            </w: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819</w:t>
            </w: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2,722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1,506</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w:t>
            </w:r>
          </w:p>
        </w:tc>
        <w:tc>
          <w:tcPr>
            <w:tcW w:w="124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1,199</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5,744</w:t>
            </w:r>
          </w:p>
        </w:tc>
        <w:tc>
          <w:tcPr>
            <w:tcW w:w="100" w:type="dxa"/>
            <w:vAlign w:val="bottom"/>
          </w:tcPr>
          <w:p>
            <w:pPr>
              <w:spacing w:after="0"/>
              <w:rPr>
                <w:sz w:val="19"/>
                <w:szCs w:val="19"/>
                <w:color w:val="auto"/>
              </w:rPr>
            </w:pP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w w:val="98"/>
              </w:rPr>
              <w:t>11,924</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Finance lease</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4.3 %</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Maturities of Lease Liabilities</w:t>
      </w:r>
    </w:p>
    <w:p>
      <w:pPr>
        <w:spacing w:after="0" w:line="17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Future minimum lease payments under non-cancelable finance and operating leases on an annual undiscounted cash flow basis as of April 30, 2022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January 31,</w:t>
            </w:r>
          </w:p>
        </w:tc>
        <w:tc>
          <w:tcPr>
            <w:tcW w:w="28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Finance Lease</w:t>
            </w:r>
          </w:p>
        </w:tc>
        <w:tc>
          <w:tcPr>
            <w:tcW w:w="240" w:type="dxa"/>
            <w:vAlign w:val="bottom"/>
          </w:tcPr>
          <w:p>
            <w:pPr>
              <w:spacing w:after="0"/>
              <w:rPr>
                <w:sz w:val="16"/>
                <w:szCs w:val="16"/>
                <w:color w:val="auto"/>
              </w:rPr>
            </w:pPr>
          </w:p>
        </w:tc>
        <w:tc>
          <w:tcPr>
            <w:tcW w:w="1560" w:type="dxa"/>
            <w:vAlign w:val="bottom"/>
          </w:tcPr>
          <w:p>
            <w:pPr>
              <w:jc w:val="right"/>
              <w:ind w:right="272"/>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5"/>
        </w:trPr>
        <w:tc>
          <w:tcPr>
            <w:tcW w:w="7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Remainder of 2023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0" w:type="dxa"/>
            <w:vAlign w:val="bottom"/>
          </w:tcPr>
          <w:p>
            <w:pPr>
              <w:spacing w:after="0"/>
              <w:rPr>
                <w:sz w:val="1"/>
                <w:szCs w:val="1"/>
                <w:color w:val="auto"/>
              </w:rPr>
            </w:pPr>
          </w:p>
        </w:tc>
      </w:tr>
      <w:tr>
        <w:trPr>
          <w:trHeight w:val="230"/>
        </w:trPr>
        <w:tc>
          <w:tcPr>
            <w:tcW w:w="7440" w:type="dxa"/>
            <w:vAlign w:val="bottom"/>
          </w:tcPr>
          <w:p>
            <w:pPr>
              <w:ind w:left="10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10,364</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0" w:type="dxa"/>
            <w:vAlign w:val="bottom"/>
          </w:tcPr>
          <w:p>
            <w:pPr>
              <w:spacing w:after="0"/>
              <w:rPr>
                <w:sz w:val="1"/>
                <w:szCs w:val="1"/>
                <w:color w:val="auto"/>
              </w:rPr>
            </w:pPr>
          </w:p>
        </w:tc>
      </w:tr>
      <w:tr>
        <w:trPr>
          <w:trHeight w:val="230"/>
        </w:trPr>
        <w:tc>
          <w:tcPr>
            <w:tcW w:w="7440" w:type="dxa"/>
            <w:vAlign w:val="bottom"/>
          </w:tcPr>
          <w:p>
            <w:pPr>
              <w:ind w:left="10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83"/>
        </w:trPr>
        <w:tc>
          <w:tcPr>
            <w:tcW w:w="75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16,880</w:t>
            </w:r>
          </w:p>
        </w:tc>
        <w:tc>
          <w:tcPr>
            <w:tcW w:w="0" w:type="dxa"/>
            <w:vAlign w:val="bottom"/>
          </w:tcPr>
          <w:p>
            <w:pPr>
              <w:spacing w:after="0"/>
              <w:rPr>
                <w:sz w:val="1"/>
                <w:szCs w:val="1"/>
                <w:color w:val="auto"/>
              </w:rPr>
            </w:pPr>
          </w:p>
        </w:tc>
      </w:tr>
      <w:tr>
        <w:trPr>
          <w:trHeight w:val="223"/>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minimum payments</w:t>
            </w:r>
          </w:p>
        </w:tc>
        <w:tc>
          <w:tcPr>
            <w:tcW w:w="28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65,402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57,431</w:t>
            </w:r>
          </w:p>
        </w:tc>
        <w:tc>
          <w:tcPr>
            <w:tcW w:w="0" w:type="dxa"/>
            <w:vAlign w:val="bottom"/>
          </w:tcPr>
          <w:p>
            <w:pPr>
              <w:spacing w:after="0"/>
              <w:rPr>
                <w:sz w:val="1"/>
                <w:szCs w:val="1"/>
                <w:color w:val="auto"/>
              </w:rPr>
            </w:pPr>
          </w:p>
        </w:tc>
      </w:tr>
      <w:tr>
        <w:trPr>
          <w:trHeight w:val="67"/>
        </w:trPr>
        <w:tc>
          <w:tcPr>
            <w:tcW w:w="7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100"/>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21"/>
                <w:szCs w:val="21"/>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(12,315)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68"/>
        </w:trPr>
        <w:tc>
          <w:tcPr>
            <w:tcW w:w="74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Present value of future minimum lease payments</w:t>
            </w:r>
          </w:p>
        </w:tc>
        <w:tc>
          <w:tcPr>
            <w:tcW w:w="28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53,087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48,950</w:t>
            </w:r>
          </w:p>
        </w:tc>
        <w:tc>
          <w:tcPr>
            <w:tcW w:w="0" w:type="dxa"/>
            <w:vAlign w:val="bottom"/>
          </w:tcPr>
          <w:p>
            <w:pPr>
              <w:spacing w:after="0"/>
              <w:rPr>
                <w:sz w:val="1"/>
                <w:szCs w:val="1"/>
                <w:color w:val="auto"/>
              </w:rPr>
            </w:pPr>
          </w:p>
        </w:tc>
      </w:tr>
      <w:tr>
        <w:trPr>
          <w:trHeight w:val="68"/>
        </w:trPr>
        <w:tc>
          <w:tcPr>
            <w:tcW w:w="7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100"/>
              <w:spacing w:after="0"/>
              <w:rPr>
                <w:sz w:val="20"/>
                <w:szCs w:val="20"/>
                <w:color w:val="auto"/>
              </w:rPr>
            </w:pPr>
            <w:r>
              <w:rPr>
                <w:rFonts w:ascii="Arial" w:cs="Arial" w:eastAsia="Arial" w:hAnsi="Arial"/>
                <w:sz w:val="18"/>
                <w:szCs w:val="18"/>
                <w:color w:val="auto"/>
              </w:rPr>
              <w:t>Less current obligations under leases</w:t>
            </w:r>
          </w:p>
        </w:tc>
        <w:tc>
          <w:tcPr>
            <w:tcW w:w="280" w:type="dxa"/>
            <w:vAlign w:val="bottom"/>
          </w:tcPr>
          <w:p>
            <w:pPr>
              <w:spacing w:after="0"/>
              <w:rPr>
                <w:sz w:val="21"/>
                <w:szCs w:val="21"/>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(5,257)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(8,671)</w:t>
            </w:r>
          </w:p>
        </w:tc>
        <w:tc>
          <w:tcPr>
            <w:tcW w:w="0" w:type="dxa"/>
            <w:vAlign w:val="bottom"/>
          </w:tcPr>
          <w:p>
            <w:pPr>
              <w:spacing w:after="0"/>
              <w:rPr>
                <w:sz w:val="1"/>
                <w:szCs w:val="1"/>
                <w:color w:val="auto"/>
              </w:rPr>
            </w:pPr>
          </w:p>
        </w:tc>
      </w:tr>
      <w:tr>
        <w:trPr>
          <w:trHeight w:val="68"/>
        </w:trPr>
        <w:tc>
          <w:tcPr>
            <w:tcW w:w="74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Non-current lease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47,830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Non-cancelable Material Commitments</w:t>
      </w:r>
    </w:p>
    <w:p>
      <w:pPr>
        <w:spacing w:after="0" w:line="17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 xml:space="preserve">During the three months ended April 30, 2022, other than certain non-cancelable operating leases described in Note 6, </w:t>
      </w:r>
      <w:r>
        <w:rPr>
          <w:rFonts w:ascii="Arial" w:cs="Arial" w:eastAsia="Arial" w:hAnsi="Arial"/>
          <w:sz w:val="18"/>
          <w:szCs w:val="18"/>
          <w:i w:val="1"/>
          <w:iCs w:val="1"/>
          <w:color w:val="auto"/>
        </w:rPr>
        <w:t>Leases</w:t>
      </w:r>
      <w:r>
        <w:rPr>
          <w:rFonts w:ascii="Arial" w:cs="Arial" w:eastAsia="Arial" w:hAnsi="Arial"/>
          <w:sz w:val="18"/>
          <w:szCs w:val="18"/>
          <w:color w:val="auto"/>
        </w:rPr>
        <w:t>, there have been no material changes outside the ordinary course of business to the Company’s contractual obligations and commitments from those disclosed in the 2022 Form 10-K.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Legal Matters</w:t>
      </w:r>
    </w:p>
    <w:p>
      <w:pPr>
        <w:spacing w:after="0" w:line="171"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From time to time, the Company has become involved in claims, litigation and other legal matters arising in the ordinary course of business, including intellectual property claims, labor and employment claims and breach of contract claims. For example, on March 12, 2019, Realtime Data LLC (“Realtime”) filed a lawsuit against the Company in the United States District Court for the District of Delaware alleging that the Company is infringing three U.S. patents that it holds: U.S. Patent No. 9,116,908, U.S. Patent No. 9,667,751 and U.S. Patent No. 8,933,825. On May 4, 2021, in a consolidated action that includes Realtime's case against MongoDB, the District Court granted certain defendants' motion to dismiss without prejudice, finding that the patents are invalid under 35 U.S.C. § 101. Realtime filed an amended complaint against the Company on May 18, 2021, and the Company moved to dismiss that amended complaint on June 29, 2021. On August 23, 2021, the District Court granted the Company's motion to dismiss. On August 25, 2021, Realtime filed a notice of appeal of the Delaware District Court’s order. Realtime filed its appellate brief on December 2, 2021 and the defendants (including MongoDB) filed a responsive brief on March 11, 2022. Realtime filed a reply brief on April 29, 2022. The oral argument has not yet been scheduled.</w:t>
      </w:r>
    </w:p>
    <w:p>
      <w:pPr>
        <w:spacing w:after="0" w:line="13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investigates all claims, litigation and other legal matters as they arise. Although claims and litigation are inherently unpredictable, the Company is currently not aware of any matters that, if determined adversely to the Company, would individually or taken together have a material adverse effect on its business, financial position, results of operations or cash flows.</w:t>
      </w:r>
    </w:p>
    <w:p>
      <w:pPr>
        <w:spacing w:after="0" w:line="13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Company accrues estimates for resolution of legal and other contingencies when losses are probable and estimable. Although the results of claims and litigation are inherently unpredictable, the Company believes that there was less than a reasonable possibility that the Company had incurred a material loss with respect to such loss contingencies, as of April 30, 2022 and January 31, 2022; therefore, the Company has not recorded an accrual for such contingencies.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Indemnification</w:t>
      </w:r>
    </w:p>
    <w:p>
      <w:pPr>
        <w:spacing w:after="0" w:line="17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The Company has never incurred costs to defend lawsuits or settle claims related to these indemnification agreements. As a result, the Company believes the fair value of these agreements is not material. The Company maintains commercial general liability insurance and product liability insurance to offset certain of the Company’s potential liabilities under these indemnification provisions.</w:t>
      </w:r>
    </w:p>
    <w:p>
      <w:pPr>
        <w:spacing w:after="0" w:line="11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Disaggregation of Revenue</w:t>
      </w:r>
    </w:p>
    <w:p>
      <w:pPr>
        <w:spacing w:after="0" w:line="171" w:lineRule="exact"/>
        <w:rPr>
          <w:sz w:val="20"/>
          <w:szCs w:val="20"/>
          <w:color w:val="auto"/>
        </w:rPr>
      </w:pPr>
    </w:p>
    <w:p>
      <w:pPr>
        <w:ind w:right="200" w:firstLine="486"/>
        <w:spacing w:after="0" w:line="296" w:lineRule="auto"/>
        <w:rPr>
          <w:sz w:val="20"/>
          <w:szCs w:val="20"/>
          <w:color w:val="auto"/>
        </w:rPr>
      </w:pPr>
      <w:r>
        <w:rPr>
          <w:rFonts w:ascii="Arial" w:cs="Arial" w:eastAsia="Arial" w:hAnsi="Arial"/>
          <w:sz w:val="16"/>
          <w:szCs w:val="16"/>
          <w:color w:val="auto"/>
        </w:rPr>
        <w:t>Based on the information provided to and reviewed by the Company’s Chief Executive Officer (“CEO”), its Chief Operating Decision Maker, 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and other subscription products, which include MongoDB Enterprise Advanced.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5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presents the Company’s revenues disaggregated by primary geographical markets, subscription product categories and services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31"/>
        </w:trPr>
        <w:tc>
          <w:tcPr>
            <w:tcW w:w="8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Primary geographical markets: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70"/>
        </w:trPr>
        <w:tc>
          <w:tcPr>
            <w:tcW w:w="822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174,056</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109,476</w:t>
            </w:r>
          </w:p>
        </w:tc>
      </w:tr>
      <w:tr>
        <w:trPr>
          <w:trHeight w:val="27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54,725</w:t>
            </w:r>
          </w:p>
        </w:tc>
      </w:tr>
      <w:tr>
        <w:trPr>
          <w:trHeight w:val="283"/>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Asia Pacific</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17,447</w:t>
            </w:r>
          </w:p>
        </w:tc>
      </w:tr>
      <w:tr>
        <w:trPr>
          <w:trHeight w:val="288"/>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285,447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181,648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product categories and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8220" w:type="dxa"/>
            <w:vAlign w:val="bottom"/>
          </w:tcPr>
          <w:p>
            <w:pPr>
              <w:ind w:left="180"/>
              <w:spacing w:after="0"/>
              <w:rPr>
                <w:sz w:val="20"/>
                <w:szCs w:val="20"/>
                <w:color w:val="auto"/>
              </w:rPr>
            </w:pPr>
            <w:r>
              <w:rPr>
                <w:rFonts w:ascii="Arial" w:cs="Arial" w:eastAsia="Arial" w:hAnsi="Arial"/>
                <w:sz w:val="18"/>
                <w:szCs w:val="18"/>
                <w:color w:val="auto"/>
              </w:rPr>
              <w:t>MongoDB Atlas-related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169,995</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93,510</w:t>
            </w:r>
          </w:p>
        </w:tc>
      </w:tr>
      <w:tr>
        <w:trPr>
          <w:trHeight w:val="27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subscription</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81,060</w:t>
            </w:r>
          </w:p>
        </w:tc>
      </w:tr>
      <w:tr>
        <w:trPr>
          <w:trHeight w:val="283"/>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7,078</w:t>
            </w:r>
          </w:p>
        </w:tc>
      </w:tr>
      <w:tr>
        <w:trPr>
          <w:trHeight w:val="289"/>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285,447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181,648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Customers located in the United States accounted for 55% of total revenue for each of the three months ended April 30, 2022 and 2021. No other country accounted for 10% or more of revenue for the periods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Contract Liabilities</w:t>
      </w:r>
    </w:p>
    <w:p>
      <w:pPr>
        <w:spacing w:after="0" w:line="17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Company’s contract liabilities are recorded as deferred revenue in the Company’s condensed consolidated balance sheet and consist of customer invoices issued or payments received in advance of revenues being recognized from the Company’s subscription and services contracts. Deferred revenue, including current and non-current balances, as of April 30, 2022 and January 31, 2022 was $375.5 million and $375.2 million, respectively. Approximately 43% and 42% of the total revenue recognized for the three months ended April 30, 2022 and 2021, respectively, was from deferred revenue at the beginning of each respective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Remaining Performance Obligations</w:t>
      </w:r>
    </w:p>
    <w:p>
      <w:pPr>
        <w:spacing w:after="0" w:line="17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April 30, 2022, the aggregate transaction price allocated to remaining performance obligations was $401.9 million. Approximately 59% is expected to be recognized as revenue over the next 12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Unbilled Receivables</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condensed consolidated balance sheets. As of April 30, 2022 and January 31, 2022, unbilled receivables were $6.4 million and $6.1 million, respectively.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Allowance for Doubtful Accounts</w:t>
      </w:r>
    </w:p>
    <w:p>
      <w:pPr>
        <w:spacing w:after="0" w:line="171"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Allowance for Doubtful Accounts</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31, 2022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r>
      <w:tr>
        <w:trPr>
          <w:trHeight w:val="229"/>
        </w:trPr>
        <w:tc>
          <w:tcPr>
            <w:tcW w:w="7340" w:type="dxa"/>
            <w:vAlign w:val="bottom"/>
          </w:tcPr>
          <w:p>
            <w:pPr>
              <w:ind w:left="240"/>
              <w:spacing w:after="0"/>
              <w:rPr>
                <w:sz w:val="20"/>
                <w:szCs w:val="20"/>
                <w:color w:val="auto"/>
              </w:rPr>
            </w:pPr>
            <w:r>
              <w:rPr>
                <w:rFonts w:ascii="Arial" w:cs="Arial" w:eastAsia="Arial" w:hAnsi="Arial"/>
                <w:sz w:val="18"/>
                <w:szCs w:val="18"/>
                <w:color w:val="auto"/>
              </w:rPr>
              <w:t>Provision</w:t>
            </w:r>
          </w:p>
        </w:tc>
        <w:tc>
          <w:tcPr>
            <w:tcW w:w="52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Recoveries/write-offs</w:t>
            </w:r>
          </w:p>
        </w:tc>
        <w:tc>
          <w:tcPr>
            <w:tcW w:w="520" w:type="dxa"/>
            <w:vAlign w:val="bottom"/>
            <w:tcBorders>
              <w:bottom w:val="single" w:sz="8" w:color="auto"/>
            </w:tcBorders>
            <w:shd w:val="clear" w:color="auto" w:fill="CCEEFF"/>
          </w:tcPr>
          <w:p>
            <w:pPr>
              <w:spacing w:after="0"/>
              <w:rPr>
                <w:sz w:val="19"/>
                <w:szCs w:val="19"/>
                <w:color w:val="auto"/>
              </w:rPr>
            </w:pPr>
          </w:p>
        </w:tc>
        <w:tc>
          <w:tcPr>
            <w:tcW w:w="3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r>
      <w:tr>
        <w:trPr>
          <w:trHeight w:val="223"/>
        </w:trPr>
        <w:tc>
          <w:tcPr>
            <w:tcW w:w="7340" w:type="dxa"/>
            <w:vAlign w:val="bottom"/>
          </w:tcPr>
          <w:p>
            <w:pPr>
              <w:ind w:left="20"/>
              <w:spacing w:after="0"/>
              <w:rPr>
                <w:sz w:val="20"/>
                <w:szCs w:val="20"/>
                <w:color w:val="auto"/>
              </w:rPr>
            </w:pPr>
            <w:r>
              <w:rPr>
                <w:rFonts w:ascii="Arial" w:cs="Arial" w:eastAsia="Arial" w:hAnsi="Arial"/>
                <w:sz w:val="18"/>
                <w:szCs w:val="18"/>
                <w:color w:val="auto"/>
              </w:rPr>
              <w:t>Balance as of April 30, 2022</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w:t>
            </w:r>
          </w:p>
        </w:tc>
      </w:tr>
      <w:tr>
        <w:trPr>
          <w:trHeight w:val="21"/>
        </w:trPr>
        <w:tc>
          <w:tcPr>
            <w:tcW w:w="7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Costs Capitalized to Obtain Contracts with Customers</w:t>
      </w:r>
    </w:p>
    <w:p>
      <w:pPr>
        <w:spacing w:after="0" w:line="17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Deferred commissions were $208.1 million and $203.3 million as of April 30, 2022 and January 31, 2022, respectively. Amortization expense with respect to deferred commissions, which is included in sales and marketing expense in the Company’s condensed consolidated statement of operations, was $17.6 million for the three months ended April 30, 2022 and $9.7 million for the three months ended April 30, 2021. There was no impairment loss in relation to the costs capitalized for the periods presented.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 and Employee Stock Purchase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2008 Stock Incentive Plan and 2016 Equity Incentive Plan</w:t>
      </w:r>
    </w:p>
    <w:p>
      <w:pPr>
        <w:spacing w:after="0" w:line="17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 adopted the 2008 Stock Incentive Plan (as amended, the “2008 Plan”) and the 2016 Equity Incentive Plan (as amended, the “2016 Plan”), primarily for the purpose of granting stock-based awards to employees, directors and consultants, including stock options, restricted stock units (“RSUs”)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 Options</w:t>
      </w:r>
    </w:p>
    <w:p>
      <w:pPr>
        <w:spacing w:after="0" w:line="171" w:lineRule="exact"/>
        <w:rPr>
          <w:sz w:val="20"/>
          <w:szCs w:val="20"/>
          <w:color w:val="auto"/>
        </w:rPr>
      </w:pPr>
    </w:p>
    <w:p>
      <w:pPr>
        <w:ind w:right="200" w:firstLine="486"/>
        <w:spacing w:after="0" w:line="301" w:lineRule="auto"/>
        <w:rPr>
          <w:sz w:val="20"/>
          <w:szCs w:val="20"/>
          <w:color w:val="auto"/>
        </w:rPr>
      </w:pPr>
      <w:r>
        <w:rPr>
          <w:rFonts w:ascii="Arial" w:cs="Arial" w:eastAsia="Arial" w:hAnsi="Arial"/>
          <w:sz w:val="16"/>
          <w:szCs w:val="16"/>
          <w:color w:val="auto"/>
        </w:rPr>
        <w:t>The 2016 Plan provides for the issuance of incentive stock options to employees and non-statutory stock options to employees, directors or consultants. The Company’s Board of Directors, or a committee thereof, determines the vesting schedule for all equity awards. Stock option awards generally vest over a period of four years with 25% vesting on the one-year anniversary of the award and the remainder vesting monthly over the next 36 months of the grantee’s service to the Company. There were no stock options granted during the three months ended April 30, 2022.</w:t>
      </w:r>
    </w:p>
    <w:p>
      <w:pPr>
        <w:spacing w:after="0" w:line="10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following table summarizes stock option activity for the three months ended April 30, 2022 (in thousands, except share and per share data and years):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Weighted-Average</w:t>
            </w:r>
          </w:p>
        </w:tc>
        <w:tc>
          <w:tcPr>
            <w:tcW w:w="164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Weighted- Average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64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4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140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4"/>
              </w:rPr>
              <w:t>Contractual Term</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Price Per Share</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(In Years)</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Arial" w:cs="Arial" w:eastAsia="Arial" w:hAnsi="Arial"/>
                <w:sz w:val="18"/>
                <w:szCs w:val="18"/>
                <w:color w:val="auto"/>
              </w:rPr>
              <w:t>Balance - January 31, 2022</w:t>
            </w:r>
          </w:p>
        </w:tc>
        <w:tc>
          <w:tcPr>
            <w:tcW w:w="1420" w:type="dxa"/>
            <w:vAlign w:val="bottom"/>
          </w:tcPr>
          <w:p>
            <w:pPr>
              <w:jc w:val="right"/>
              <w:spacing w:after="0"/>
              <w:rPr>
                <w:sz w:val="20"/>
                <w:szCs w:val="20"/>
                <w:color w:val="auto"/>
              </w:rPr>
            </w:pPr>
            <w:r>
              <w:rPr>
                <w:rFonts w:ascii="Arial" w:cs="Arial" w:eastAsia="Arial" w:hAnsi="Arial"/>
                <w:sz w:val="18"/>
                <w:szCs w:val="18"/>
                <w:color w:val="auto"/>
              </w:rPr>
              <w:t>2,591,894</w:t>
            </w:r>
          </w:p>
        </w:tc>
        <w:tc>
          <w:tcPr>
            <w:tcW w:w="1520" w:type="dxa"/>
            <w:vAlign w:val="bottom"/>
            <w:gridSpan w:val="2"/>
          </w:tcPr>
          <w:p>
            <w:pPr>
              <w:jc w:val="right"/>
              <w:ind w:right="122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7.46</w:t>
            </w: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1,030,680</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(235,517)</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7.16</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Stock options forfeited and 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 April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2,356,377</w:t>
            </w:r>
          </w:p>
        </w:tc>
        <w:tc>
          <w:tcPr>
            <w:tcW w:w="1520" w:type="dxa"/>
            <w:vAlign w:val="bottom"/>
            <w:tcBorders>
              <w:bottom w:val="single" w:sz="8" w:color="CCEEFF"/>
            </w:tcBorders>
            <w:gridSpan w:val="2"/>
            <w:shd w:val="clear" w:color="auto" w:fill="CCEEFF"/>
          </w:tcPr>
          <w:p>
            <w:pPr>
              <w:jc w:val="right"/>
              <w:ind w:right="122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7.67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824,527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Vested and exercisable - January 31, 2022</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2,591,894</w:t>
            </w:r>
          </w:p>
        </w:tc>
        <w:tc>
          <w:tcPr>
            <w:tcW w:w="1520" w:type="dxa"/>
            <w:vAlign w:val="bottom"/>
            <w:gridSpan w:val="2"/>
          </w:tcPr>
          <w:p>
            <w:pPr>
              <w:jc w:val="right"/>
              <w:ind w:right="1228"/>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w w:val="91"/>
              </w:rPr>
              <w:t>7.46</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rPr>
              <w:t>3.9</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1,030,680</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 and exercisable - April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2,373,165</w:t>
            </w:r>
          </w:p>
        </w:tc>
        <w:tc>
          <w:tcPr>
            <w:tcW w:w="1520" w:type="dxa"/>
            <w:vAlign w:val="bottom"/>
            <w:tcBorders>
              <w:bottom w:val="single" w:sz="8" w:color="CCEEFF"/>
            </w:tcBorders>
            <w:gridSpan w:val="2"/>
            <w:shd w:val="clear" w:color="auto" w:fill="CCEEFF"/>
          </w:tcPr>
          <w:p>
            <w:pPr>
              <w:jc w:val="right"/>
              <w:ind w:right="122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824,239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Restricted Stock Units</w:t>
      </w:r>
    </w:p>
    <w:p>
      <w:pPr>
        <w:spacing w:after="0" w:line="17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2016 Plan provides for the issuance of RSUs to employees, directors and consultants. RSUs granted to new employees generally vest over a period of four years with 25% vesting on the one-year anniversary of the vesting start date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59"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and the remainder vesting quarterly over the next 12 quarters, subject to the grantee’s continued service to the Company. RSUs granted to existing employees generally vest quarterly over a period of four years, subject to the grantee’s continued service to the Company.</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RSU activity for the three months ended April 30,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80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right"/>
              <w:ind w:right="35"/>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96"/>
        </w:trPr>
        <w:tc>
          <w:tcPr>
            <w:tcW w:w="7540" w:type="dxa"/>
            <w:vAlign w:val="bottom"/>
          </w:tcPr>
          <w:p>
            <w:pPr>
              <w:spacing w:after="0"/>
              <w:rPr>
                <w:sz w:val="17"/>
                <w:szCs w:val="17"/>
                <w:color w:val="auto"/>
              </w:rPr>
            </w:pPr>
          </w:p>
        </w:tc>
        <w:tc>
          <w:tcPr>
            <w:tcW w:w="1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6"/>
              </w:rPr>
              <w:t>Date Fair Value per RSU</w:t>
            </w:r>
          </w:p>
        </w:tc>
        <w:tc>
          <w:tcPr>
            <w:tcW w:w="0" w:type="dxa"/>
            <w:vAlign w:val="bottom"/>
          </w:tcPr>
          <w:p>
            <w:pPr>
              <w:spacing w:after="0"/>
              <w:rPr>
                <w:sz w:val="1"/>
                <w:szCs w:val="1"/>
                <w:color w:val="auto"/>
              </w:rPr>
            </w:pPr>
          </w:p>
        </w:tc>
      </w:tr>
      <w:tr>
        <w:trPr>
          <w:trHeight w:val="257"/>
        </w:trPr>
        <w:tc>
          <w:tcPr>
            <w:tcW w:w="7540" w:type="dxa"/>
            <w:vAlign w:val="bottom"/>
          </w:tcPr>
          <w:p>
            <w:pPr>
              <w:ind w:left="60"/>
              <w:spacing w:after="0"/>
              <w:rPr>
                <w:sz w:val="20"/>
                <w:szCs w:val="20"/>
                <w:color w:val="auto"/>
              </w:rPr>
            </w:pPr>
            <w:r>
              <w:rPr>
                <w:rFonts w:ascii="Arial" w:cs="Arial" w:eastAsia="Arial" w:hAnsi="Arial"/>
                <w:sz w:val="18"/>
                <w:szCs w:val="18"/>
                <w:color w:val="auto"/>
              </w:rPr>
              <w:t>Unvested - January 31, 2022</w:t>
            </w:r>
          </w:p>
        </w:tc>
        <w:tc>
          <w:tcPr>
            <w:tcW w:w="1800" w:type="dxa"/>
            <w:vAlign w:val="bottom"/>
          </w:tcPr>
          <w:p>
            <w:pPr>
              <w:jc w:val="right"/>
              <w:spacing w:after="0"/>
              <w:rPr>
                <w:sz w:val="20"/>
                <w:szCs w:val="20"/>
                <w:color w:val="auto"/>
              </w:rPr>
            </w:pPr>
            <w:r>
              <w:rPr>
                <w:rFonts w:ascii="Arial" w:cs="Arial" w:eastAsia="Arial" w:hAnsi="Arial"/>
                <w:sz w:val="18"/>
                <w:szCs w:val="18"/>
                <w:color w:val="auto"/>
              </w:rPr>
              <w:t>3,226,759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258.85</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RSUs granted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1,012,314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0" w:type="dxa"/>
            <w:vAlign w:val="bottom"/>
          </w:tcPr>
          <w:p>
            <w:pPr>
              <w:spacing w:after="0"/>
              <w:rPr>
                <w:sz w:val="1"/>
                <w:szCs w:val="1"/>
                <w:color w:val="auto"/>
              </w:rPr>
            </w:pPr>
          </w:p>
        </w:tc>
      </w:tr>
      <w:tr>
        <w:trPr>
          <w:trHeight w:val="270"/>
        </w:trPr>
        <w:tc>
          <w:tcPr>
            <w:tcW w:w="7540" w:type="dxa"/>
            <w:vAlign w:val="bottom"/>
          </w:tcPr>
          <w:p>
            <w:pPr>
              <w:ind w:left="220"/>
              <w:spacing w:after="0"/>
              <w:rPr>
                <w:sz w:val="20"/>
                <w:szCs w:val="20"/>
                <w:color w:val="auto"/>
              </w:rPr>
            </w:pPr>
            <w:r>
              <w:rPr>
                <w:rFonts w:ascii="Arial" w:cs="Arial" w:eastAsia="Arial" w:hAnsi="Arial"/>
                <w:sz w:val="18"/>
                <w:szCs w:val="18"/>
                <w:color w:val="auto"/>
              </w:rPr>
              <w:t>RSUs 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(381,178)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181.62</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RSUs forfeited and canceled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274.86</w:t>
            </w:r>
          </w:p>
        </w:tc>
        <w:tc>
          <w:tcPr>
            <w:tcW w:w="0" w:type="dxa"/>
            <w:vAlign w:val="bottom"/>
          </w:tcPr>
          <w:p>
            <w:pPr>
              <w:spacing w:after="0"/>
              <w:rPr>
                <w:sz w:val="1"/>
                <w:szCs w:val="1"/>
                <w:color w:val="auto"/>
              </w:rPr>
            </w:pPr>
          </w:p>
        </w:tc>
      </w:tr>
      <w:tr>
        <w:trPr>
          <w:trHeight w:val="223"/>
        </w:trPr>
        <w:tc>
          <w:tcPr>
            <w:tcW w:w="7540" w:type="dxa"/>
            <w:vAlign w:val="bottom"/>
          </w:tcPr>
          <w:p>
            <w:pPr>
              <w:ind w:left="60"/>
              <w:spacing w:after="0"/>
              <w:rPr>
                <w:sz w:val="20"/>
                <w:szCs w:val="20"/>
                <w:color w:val="auto"/>
              </w:rPr>
            </w:pPr>
            <w:r>
              <w:rPr>
                <w:rFonts w:ascii="Arial" w:cs="Arial" w:eastAsia="Arial" w:hAnsi="Arial"/>
                <w:sz w:val="18"/>
                <w:szCs w:val="18"/>
                <w:color w:val="auto"/>
              </w:rPr>
              <w:t>Unvested - April 30, 2022</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3,772,975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282.11</w:t>
            </w:r>
          </w:p>
        </w:tc>
        <w:tc>
          <w:tcPr>
            <w:tcW w:w="0" w:type="dxa"/>
            <w:vAlign w:val="bottom"/>
          </w:tcPr>
          <w:p>
            <w:pPr>
              <w:spacing w:after="0"/>
              <w:rPr>
                <w:sz w:val="1"/>
                <w:szCs w:val="1"/>
                <w:color w:val="auto"/>
              </w:rPr>
            </w:pPr>
          </w:p>
        </w:tc>
      </w:tr>
      <w:tr>
        <w:trPr>
          <w:trHeight w:val="21"/>
        </w:trPr>
        <w:tc>
          <w:tcPr>
            <w:tcW w:w="75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Executive Performance Share Awards</w:t>
      </w:r>
    </w:p>
    <w:p>
      <w:pPr>
        <w:spacing w:after="0" w:line="171"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During the three months ended April 30, 2022, the Company created a long-term performance-based equity award program and granted performance share units (“PSUs”) to the Company’s CEO and certain other executives. The vesting of PSUs is conditioned upon the achievement of certain targets for the year ended January 31, 2023. Upon achievement of those conditions, the PSUs vest annually over a period of three years from the date of grant, subject to the executive’s continued employment with the Company. Each vested PSU entitles the executive to one share of common stock. A PSU performance factor of 100 will result in the targeted number of PSUs being vested. The minimum percentage of PSUs that can vest is zero, with a maximum percentage of 200. On the date of grant, the Company assumed a performance factor of 100, which would result in 74,823 PSUs to be issued, if fully vested.</w:t>
      </w:r>
    </w:p>
    <w:p>
      <w:pPr>
        <w:spacing w:after="0" w:line="110"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The grant date fair value of these PSUs was $23.7 million at a performance factor of 100, which was determined by using the closing price of the Company’s stock at the date of grant. Compensation expense is recognized over the requisite service period if it is probable that the performance condition will be satisfied based on the accelerated attribution method.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2017 Employee Stock Purchase Plan</w:t>
      </w:r>
    </w:p>
    <w:p>
      <w:pPr>
        <w:spacing w:after="0" w:line="17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 discounted price per share. The Company’s current offering period began December 16, 2021 and is expected to end on June 15,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Stock-Based Compensation Expense</w:t>
      </w:r>
    </w:p>
    <w:p>
      <w:pPr>
        <w:spacing w:after="0" w:line="17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Total stock-based compensation expense recognized in the Company’s unaudited condensed consolidated statements of operations is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251"/>
        </w:trPr>
        <w:tc>
          <w:tcPr>
            <w:tcW w:w="8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 of revenue—subscription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r>
      <w:tr>
        <w:trPr>
          <w:trHeight w:val="270"/>
        </w:trPr>
        <w:tc>
          <w:tcPr>
            <w:tcW w:w="8360" w:type="dxa"/>
            <w:vAlign w:val="bottom"/>
          </w:tcPr>
          <w:p>
            <w:pPr>
              <w:ind w:left="60"/>
              <w:spacing w:after="0"/>
              <w:rPr>
                <w:sz w:val="20"/>
                <w:szCs w:val="20"/>
                <w:color w:val="auto"/>
              </w:rPr>
            </w:pPr>
            <w:r>
              <w:rPr>
                <w:rFonts w:ascii="Arial" w:cs="Arial" w:eastAsia="Arial" w:hAnsi="Arial"/>
                <w:sz w:val="18"/>
                <w:szCs w:val="18"/>
                <w:color w:val="auto"/>
              </w:rPr>
              <w:t>Cost of revenue—services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1,487</w:t>
            </w:r>
          </w:p>
        </w:tc>
      </w:tr>
      <w:tr>
        <w:trPr>
          <w:trHeight w:val="270"/>
        </w:trPr>
        <w:tc>
          <w:tcPr>
            <w:tcW w:w="8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18,876</w:t>
            </w:r>
          </w:p>
        </w:tc>
      </w:tr>
      <w:tr>
        <w:trPr>
          <w:trHeight w:val="270"/>
        </w:trPr>
        <w:tc>
          <w:tcPr>
            <w:tcW w:w="836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20,335</w:t>
            </w:r>
          </w:p>
        </w:tc>
      </w:tr>
      <w:tr>
        <w:trPr>
          <w:trHeight w:val="283"/>
        </w:trPr>
        <w:tc>
          <w:tcPr>
            <w:tcW w:w="8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7,226</w:t>
            </w:r>
          </w:p>
        </w:tc>
      </w:tr>
      <w:tr>
        <w:trPr>
          <w:trHeight w:val="264"/>
        </w:trPr>
        <w:tc>
          <w:tcPr>
            <w:tcW w:w="8360" w:type="dxa"/>
            <w:vAlign w:val="bottom"/>
          </w:tcPr>
          <w:p>
            <w:pPr>
              <w:ind w:left="26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83,566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50,914</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75"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Company calculates basic net loss per share by dividing the net loss by the weighted-average number of shares of common stock outstanding during the period, less shares subject to repurchase. Diluted net loss per share is computed by giving effect to all potentially dilutive common shares outstanding for the period, including stock options, restricted stock units and shares underlying the conversion option of the convertible senior notes. Basic and diluted net loss per share was the same for each period presented, as the inclusion of all potential common shares outstanding would have been anti-dilutive due to the net loss reported for each period presented.</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360" w:type="dxa"/>
            <w:vAlign w:val="bottom"/>
            <w:shd w:val="clear" w:color="auto" w:fill="CCEEFF"/>
          </w:tcPr>
          <w:p>
            <w:pPr>
              <w:ind w:left="60"/>
              <w:spacing w:after="0"/>
              <w:rPr>
                <w:sz w:val="20"/>
                <w:szCs w:val="20"/>
                <w:color w:val="auto"/>
              </w:rPr>
            </w:pPr>
            <w:r>
              <w:rPr>
                <w:rFonts w:ascii="Arial" w:cs="Arial" w:eastAsia="Arial" w:hAnsi="Arial"/>
                <w:sz w:val="18"/>
                <w:szCs w:val="18"/>
                <w:i w:val="1"/>
                <w:iCs w:val="1"/>
                <w:color w:val="auto"/>
              </w:rPr>
              <w:t>Numerator: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3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00"/>
              <w:spacing w:after="0"/>
              <w:rPr>
                <w:sz w:val="20"/>
                <w:szCs w:val="20"/>
                <w:color w:val="auto"/>
              </w:rPr>
            </w:pPr>
            <w:r>
              <w:rPr>
                <w:rFonts w:ascii="Arial" w:cs="Arial" w:eastAsia="Arial" w:hAnsi="Arial"/>
                <w:sz w:val="18"/>
                <w:szCs w:val="18"/>
                <w:color w:val="auto"/>
              </w:rPr>
              <w:t>Net loss</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(77,294)</w:t>
            </w:r>
          </w:p>
        </w:tc>
        <w:tc>
          <w:tcPr>
            <w:tcW w:w="100" w:type="dxa"/>
            <w:vAlign w:val="bottom"/>
          </w:tcPr>
          <w:p>
            <w:pPr>
              <w:spacing w:after="0"/>
              <w:rPr>
                <w:sz w:val="21"/>
                <w:szCs w:val="21"/>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(63,992)</w:t>
            </w:r>
          </w:p>
        </w:tc>
        <w:tc>
          <w:tcPr>
            <w:tcW w:w="0" w:type="dxa"/>
            <w:vAlign w:val="bottom"/>
          </w:tcPr>
          <w:p>
            <w:pPr>
              <w:spacing w:after="0"/>
              <w:rPr>
                <w:sz w:val="1"/>
                <w:szCs w:val="1"/>
                <w:color w:val="auto"/>
              </w:rPr>
            </w:pPr>
          </w:p>
        </w:tc>
      </w:tr>
      <w:tr>
        <w:trPr>
          <w:trHeight w:val="68"/>
        </w:trPr>
        <w:tc>
          <w:tcPr>
            <w:tcW w:w="83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60"/>
              <w:spacing w:after="0"/>
              <w:rPr>
                <w:sz w:val="20"/>
                <w:szCs w:val="20"/>
                <w:color w:val="auto"/>
              </w:rPr>
            </w:pPr>
            <w:r>
              <w:rPr>
                <w:rFonts w:ascii="Arial" w:cs="Arial" w:eastAsia="Arial" w:hAnsi="Arial"/>
                <w:sz w:val="18"/>
                <w:szCs w:val="18"/>
                <w:i w:val="1"/>
                <w:iCs w:val="1"/>
                <w:color w:val="auto"/>
              </w:rPr>
              <w:t>Denominator:</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8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00" w:type="dxa"/>
            <w:vAlign w:val="bottom"/>
            <w:shd w:val="clear" w:color="auto" w:fill="CCEEFF"/>
          </w:tcPr>
          <w:p>
            <w:pPr>
              <w:spacing w:after="0"/>
              <w:rPr>
                <w:sz w:val="21"/>
                <w:szCs w:val="2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67,706,502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61,361,670</w:t>
            </w:r>
          </w:p>
        </w:tc>
        <w:tc>
          <w:tcPr>
            <w:tcW w:w="0" w:type="dxa"/>
            <w:vAlign w:val="bottom"/>
          </w:tcPr>
          <w:p>
            <w:pPr>
              <w:spacing w:after="0"/>
              <w:rPr>
                <w:sz w:val="1"/>
                <w:szCs w:val="1"/>
                <w:color w:val="auto"/>
              </w:rPr>
            </w:pPr>
          </w:p>
        </w:tc>
      </w:tr>
      <w:tr>
        <w:trPr>
          <w:trHeight w:val="68"/>
        </w:trPr>
        <w:tc>
          <w:tcPr>
            <w:tcW w:w="83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1"/>
                <w:szCs w:val="21"/>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68"/>
        </w:trPr>
        <w:tc>
          <w:tcPr>
            <w:tcW w:w="836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connection with the issuance of the 2024 Notes and 2026 Notes, the Company entered into Capped Calls, which were not included for purposes of calculating the number of diluted shares outstanding, as their effect would have been anti-dilutive. The Capped Calls are expected to partially offset the potential dilution to the Company’s common stock upon any conversion of the 2024 Notes and the 2026 Notes. The Company has not exercised any of its Capped Calls as of April 30, 2022.</w:t>
      </w:r>
    </w:p>
    <w:p>
      <w:pPr>
        <w:spacing w:after="0" w:line="13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weighted-average outstanding potentially dilutive shares of common stock were excluded from the computation of diluted net loss per share for the periods presented because the impact of including them would have been anti-dilutive: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504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1"/>
        </w:trPr>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options pursuant to the 2016 Equity Incentive Plan</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621,307</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918,106</w:t>
            </w:r>
          </w:p>
        </w:tc>
        <w:tc>
          <w:tcPr>
            <w:tcW w:w="0" w:type="dxa"/>
            <w:vAlign w:val="bottom"/>
          </w:tcPr>
          <w:p>
            <w:pPr>
              <w:spacing w:after="0"/>
              <w:rPr>
                <w:sz w:val="1"/>
                <w:szCs w:val="1"/>
                <w:color w:val="auto"/>
              </w:rPr>
            </w:pPr>
          </w:p>
        </w:tc>
      </w:tr>
      <w:tr>
        <w:trPr>
          <w:trHeight w:val="270"/>
        </w:trPr>
        <w:tc>
          <w:tcPr>
            <w:tcW w:w="5040" w:type="dxa"/>
            <w:vAlign w:val="bottom"/>
          </w:tcPr>
          <w:p>
            <w:pPr>
              <w:ind w:left="60"/>
              <w:spacing w:after="0"/>
              <w:rPr>
                <w:sz w:val="20"/>
                <w:szCs w:val="20"/>
                <w:color w:val="auto"/>
              </w:rPr>
            </w:pPr>
            <w:r>
              <w:rPr>
                <w:rFonts w:ascii="Arial" w:cs="Arial" w:eastAsia="Arial" w:hAnsi="Arial"/>
                <w:sz w:val="18"/>
                <w:szCs w:val="18"/>
                <w:color w:val="auto"/>
              </w:rPr>
              <w:t>Stock options pursuant to the 2008 Stock Incentive Plan</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1,836,934</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2,755,430</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Unvested restricted stock units</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3,675,756</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3,812,342</w:t>
            </w:r>
          </w:p>
        </w:tc>
        <w:tc>
          <w:tcPr>
            <w:tcW w:w="0" w:type="dxa"/>
            <w:vAlign w:val="bottom"/>
          </w:tcPr>
          <w:p>
            <w:pPr>
              <w:spacing w:after="0"/>
              <w:rPr>
                <w:sz w:val="1"/>
                <w:szCs w:val="1"/>
                <w:color w:val="auto"/>
              </w:rPr>
            </w:pPr>
          </w:p>
        </w:tc>
      </w:tr>
      <w:tr>
        <w:trPr>
          <w:trHeight w:val="270"/>
        </w:trPr>
        <w:tc>
          <w:tcPr>
            <w:tcW w:w="5040" w:type="dxa"/>
            <w:vAlign w:val="bottom"/>
          </w:tcPr>
          <w:p>
            <w:pPr>
              <w:ind w:left="80"/>
              <w:spacing w:after="0"/>
              <w:rPr>
                <w:sz w:val="20"/>
                <w:szCs w:val="20"/>
                <w:color w:val="auto"/>
              </w:rPr>
            </w:pPr>
            <w:r>
              <w:rPr>
                <w:rFonts w:ascii="Arial" w:cs="Arial" w:eastAsia="Arial" w:hAnsi="Arial"/>
                <w:sz w:val="18"/>
                <w:szCs w:val="18"/>
                <w:color w:val="auto"/>
              </w:rPr>
              <w:t>Unvested executive PSUs</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42,876</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Early exercised stock options</w:t>
            </w:r>
          </w:p>
        </w:tc>
        <w:tc>
          <w:tcPr>
            <w:tcW w:w="33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0"/>
        </w:trPr>
        <w:tc>
          <w:tcPr>
            <w:tcW w:w="5040" w:type="dxa"/>
            <w:vAlign w:val="bottom"/>
          </w:tcPr>
          <w:p>
            <w:pPr>
              <w:ind w:left="60"/>
              <w:spacing w:after="0"/>
              <w:rPr>
                <w:sz w:val="20"/>
                <w:szCs w:val="20"/>
                <w:color w:val="auto"/>
              </w:rPr>
            </w:pPr>
            <w:r>
              <w:rPr>
                <w:rFonts w:ascii="Arial" w:cs="Arial" w:eastAsia="Arial" w:hAnsi="Arial"/>
                <w:sz w:val="18"/>
                <w:szCs w:val="18"/>
                <w:color w:val="auto"/>
              </w:rPr>
              <w:t>Shares underlying the conversion option of the 2024 Notes</w:t>
            </w:r>
          </w:p>
        </w:tc>
        <w:tc>
          <w:tcPr>
            <w:tcW w:w="3320" w:type="dxa"/>
            <w:vAlign w:val="bottom"/>
          </w:tcPr>
          <w:p>
            <w:pPr>
              <w:spacing w:after="0"/>
              <w:rPr>
                <w:sz w:val="23"/>
                <w:szCs w:val="23"/>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871,697</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underlying the conversion option of the 2026 Notes</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5,445,069</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5,445,135</w:t>
            </w:r>
          </w:p>
        </w:tc>
        <w:tc>
          <w:tcPr>
            <w:tcW w:w="0" w:type="dxa"/>
            <w:vAlign w:val="bottom"/>
          </w:tcPr>
          <w:p>
            <w:pPr>
              <w:spacing w:after="0"/>
              <w:rPr>
                <w:sz w:val="1"/>
                <w:szCs w:val="1"/>
                <w:color w:val="auto"/>
              </w:rPr>
            </w:pPr>
          </w:p>
        </w:tc>
      </w:tr>
      <w:tr>
        <w:trPr>
          <w:trHeight w:val="223"/>
        </w:trPr>
        <w:tc>
          <w:tcPr>
            <w:tcW w:w="504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33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11,621,942</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13,803,126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320" w:type="dxa"/>
            <w:vAlign w:val="bottom"/>
            <w:vMerge w:val="restart"/>
          </w:tcPr>
          <w:p>
            <w:pPr>
              <w:jc w:val="right"/>
              <w:ind w:right="2310"/>
              <w:spacing w:after="0"/>
              <w:rPr>
                <w:sz w:val="20"/>
                <w:szCs w:val="20"/>
                <w:color w:val="auto"/>
              </w:rPr>
            </w:pPr>
            <w:r>
              <w:rPr>
                <w:rFonts w:ascii="Arial" w:cs="Arial" w:eastAsia="Arial" w:hAnsi="Arial"/>
                <w:sz w:val="18"/>
                <w:szCs w:val="18"/>
                <w:color w:val="auto"/>
              </w:rPr>
              <w:t>16</w:t>
            </w: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50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 recorded a provision for income taxes of $1.1 million for the three months ended April 30, 2022 and a benefit from income taxes of $1.4 million for the three months ended April 30, 2021. The provision recorded during the three months ended April 30, 2022 was driven by the increase in global income and the associated foreign taxes as the Company continues its global expansion. The benefit from income taxes for the three months ended April 30, 2021, was due to a reduction in the valuation allowance as a result of goodwill from an immaterial business combination and the impact from the adoption of ASU 2020-06, partially offset by an increase in foreign taxes. The calculation of income taxes was based upon the estimated annual effective tax rates for the year applied to the jurisdictional mix of current period income (loss) before tax plus the tax effect of any significant unusual items, discrete events or changes in tax law.</w:t>
      </w:r>
    </w:p>
    <w:p>
      <w:pPr>
        <w:spacing w:after="0" w:line="141" w:lineRule="exact"/>
        <w:rPr>
          <w:sz w:val="20"/>
          <w:szCs w:val="20"/>
          <w:color w:val="auto"/>
        </w:rPr>
      </w:pPr>
    </w:p>
    <w:p>
      <w:pPr>
        <w:ind w:right="360" w:firstLine="486"/>
        <w:spacing w:after="0" w:line="257" w:lineRule="auto"/>
        <w:rPr>
          <w:sz w:val="20"/>
          <w:szCs w:val="20"/>
          <w:color w:val="auto"/>
        </w:rPr>
      </w:pPr>
      <w:r>
        <w:rPr>
          <w:rFonts w:ascii="Arial" w:cs="Arial" w:eastAsia="Arial" w:hAnsi="Arial"/>
          <w:sz w:val="18"/>
          <w:szCs w:val="18"/>
          <w:color w:val="auto"/>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has maintained a valuation allowance on U.S., U.K. and Ireland net deferred tax assets, as it is more likely than not that some or all of the deferred tax assets will not be realized.</w:t>
      </w:r>
    </w:p>
    <w:p>
      <w:pPr>
        <w:spacing w:after="0" w:line="134"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 xml:space="preserve">The Company assesses uncertain tax positions in accordance with ASC 740-10, </w:t>
      </w:r>
      <w:r>
        <w:rPr>
          <w:rFonts w:ascii="Arial" w:cs="Arial" w:eastAsia="Arial" w:hAnsi="Arial"/>
          <w:sz w:val="16"/>
          <w:szCs w:val="16"/>
          <w:i w:val="1"/>
          <w:iCs w:val="1"/>
          <w:color w:val="auto"/>
        </w:rPr>
        <w:t>Accounting for Uncertainties in Tax</w:t>
      </w:r>
      <w:r>
        <w:rPr>
          <w:rFonts w:ascii="Arial" w:cs="Arial" w:eastAsia="Arial" w:hAnsi="Arial"/>
          <w:sz w:val="16"/>
          <w:szCs w:val="16"/>
          <w:color w:val="auto"/>
        </w:rPr>
        <w:t>. As of January 31, 2022, the Company’s net unrecognized tax benefits totaled $22.7 million, which would have no impact on the Company’s effective tax rate if recognized.</w:t>
      </w:r>
    </w:p>
    <w:p>
      <w:pPr>
        <w:spacing w:after="0" w:line="70"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The Company continues to monitor and interpret the impact of proposed and enacted global tax legislation, such as the Coronavirus Aid, Relief, and Economic Security Act, and the impact of such tax legislation on the effective tax rate and tax provision thereunder. In addition, the Tax Cuts and Jobs Act of 2017 ("Tax Act") provided for significant changes to the U.S. tax system including the mandatory capitalization of research and experimentation costs starting in the 2022 tax year. The Company is still assessing the impact due to the lack of Treasury Regulations, however, the legislation is not expected to have an impact on the Company's financial statements due to the net operating losses and full valuation allowances. To date, based on the full valuation allowance against the Company’s two most significant tax jurisdictions, the United States and Ireland, the impact of global enacted and proposed legislation has not had an impact on the tax provisions of the financial statements. The Company continues to monitor to ensure both the Company’s financial results and its related tax disclosures are in compliance with any tax legislation.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94" w:lineRule="exact"/>
        <w:rPr>
          <w:sz w:val="20"/>
          <w:szCs w:val="20"/>
          <w:color w:val="auto"/>
        </w:rPr>
      </w:pPr>
    </w:p>
    <w:p>
      <w:pPr>
        <w:ind w:left="900" w:right="620" w:hanging="850"/>
        <w:spacing w:after="0" w:line="269"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08"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Unless the context otherwise indicates, references in this report to the terms “MongoDB,” “the Company,” “we,” “our” and “us” refer to MongoDB, Inc., its divisions and its subsidiaries. The following discussion and analysis of our financial condition and results of operations should be read in conjunction with (1) our interim unaudited condensed consolidated financial statements and related notes appearing elsewhere in this Quarterly Report on Form 10-Q and (2) the audited consolidated financial statements and the related notes and the discussion under the heading “Management’s Discussion and Analysis of Financial Condition and Results of Operations” included in our Annual Report on Form 10-K for the fiscal year ended January 31, 2022 (the “2022 Form 10-K”). All information presented herein is based on our fiscal calendar year, which ends January 31. Unless otherwise stated, references to particular years, quarters, months or periods refer to our fiscal years ended January 31 and the associated quarters, months and periods of those fiscal years.</w:t>
      </w:r>
    </w:p>
    <w:p>
      <w:pPr>
        <w:spacing w:after="0" w:line="11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These statements are often identified by the use of words such as “anticipate,” “believe,” “continue,” “could,” “estimate,” “expect,” “intend,” “may,” “plan,” “project,” “will,” “would” or the negative or plural of these words or similar expressions or variations, including our expectations regarding our future growth opportunity, revenue and revenue growth, investments, strategy, operating expenses and the anticipated impact of the global economic uncertainty and financial market conditions, caused by the ongoing COVID-19 pandemic and the macroeconomic environment, on our business, results of operations and financial condition.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2, Item 1A of this Quarterly Report on Form 10-Q.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25"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 xml:space="preserve">Our corporate website is located at </w:t>
      </w:r>
      <w:r>
        <w:rPr>
          <w:rFonts w:ascii="Arial" w:cs="Arial" w:eastAsia="Arial" w:hAnsi="Arial"/>
          <w:sz w:val="18"/>
          <w:szCs w:val="18"/>
          <w:i w:val="1"/>
          <w:iCs w:val="1"/>
          <w:color w:val="auto"/>
        </w:rPr>
        <w:t>www.mongodb.com</w:t>
      </w:r>
      <w:r>
        <w:rPr>
          <w:rFonts w:ascii="Arial" w:cs="Arial" w:eastAsia="Arial" w:hAnsi="Arial"/>
          <w:sz w:val="18"/>
          <w:szCs w:val="18"/>
          <w:color w:val="auto"/>
        </w:rPr>
        <w:t>. We make available free of charge, on or through our corporate website, our annual, quarterly and current reports, and any amendments to those reports, as soon as reasonably practicable after electronically filing such reports with, or furnishing such reports to, the Securities and Exchange Commission (“SEC”). Information contained on our corporate website is not part of this Quarterly Report on Form 10-Q or any other report filed with or furnished to the SEC.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Through our unique document-based architecture, we are able to address the needs of organizations for performance, scalability, flexibility and reliability while maintaining the strengths of legacy databases. Software applications continue to redefine how organizations across industries engage with their customers, operate their businesses and compete with each other. A database is at the heart of every software application. As a result, selecting a database is a highly strategic decision that directly affects developer productivity, application performance and organizational competitiveness. Our platform addresses the performance, scalability, flexibility and reliability demands of modern applications while maintaining the strengths of legacy databases. Our business model combines the developer mindshare and adoption benefits of open source with the economic benefits of a proprietary software subscription business model. MongoDB is headquartered in New York City and our total headcount increased to 3,798 as of April 30, 2022, from 2,745 as of April 30, 2021.</w:t>
      </w:r>
    </w:p>
    <w:p>
      <w:pPr>
        <w:spacing w:after="0" w:line="131"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We generate revenue primarily from sales of subscriptions, which accounted for 96% of our total revenue for each of the three months ended April 30, 2022 and April 30, 2021.</w:t>
      </w:r>
    </w:p>
    <w:p>
      <w:pPr>
        <w:spacing w:after="0" w:line="116"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MongoDB Atlas is our hosted multi-cloud database-as-a-service (“DBaaS”) offering that includes comprehensive infrastructure and management, which we run and manage in the cloud. During the three months ended April 30, 2022, MongoDB Atlas revenue represented 60%, as compared to 51% of our total revenue during the three months ended April 30, 2021, reflecting the continued growth of MongoDB Atlas since its introduction in June 2016. We have experienced strong growth in self-serve customers of MongoDB Atlas. These customers are charged monthly in arrears based on their usage. In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addition, we have also seen growth in MongoDB Atlas customers sold by our sales force. These customers typically sign annual contracts and pay in advance or are invoiced monthly in arrears based on usage.</w:t>
      </w:r>
    </w:p>
    <w:p>
      <w:pPr>
        <w:spacing w:after="0" w:line="116"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MongoDB Enterprise Advanced is our proprietary commercial database server offering for enterprise customers that can run in the cloud, on-premise or in a hybrid environment. MongoDB Enterprise Advanced revenue represented 33% of our subscription revenue for the three months ended April 30, 2022 and 40% of our subscription revenue for the three months ended April 30, 2021. We sell subscriptions directly through our field and inside sales teams, as well as indirectly through channel partners. The majority of our subscription contracts are one year in duration and are invoiced upfront. When we enter into multi-year subscriptions, we typically invoice the customer on an annual basis.</w:t>
      </w:r>
    </w:p>
    <w:p>
      <w:pPr>
        <w:spacing w:after="0" w:line="122"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Our platform has been downloaded from our website more than 265 million times since February 2009 and over 90 million times in the last 12 months alone. 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11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also generate revenue from services, which consist primarily of fees associated with consulting and training services. Revenue from services accounted for 4% of our total revenue for each of the three months ended April 30, 2022 and April 30, 2021. We expect to continue to invest in our services organization as we believe it plays an important role in accelerating our customers’ realization of the benefits of our platform, which helps drive customer retention and expansion.</w:t>
      </w:r>
    </w:p>
    <w:p>
      <w:pPr>
        <w:spacing w:after="0" w:line="133"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believe the market for our offerings is large and growing. According to IDC, the worldwide database software market, which it refers to as the data management software market, is forecast to be approximately $85 billion in 2022 growing to approximately $138 billion in 2026, representing a 13% compound annual growth rate. We have experienced rapid growth and have made substantial investments in developing our platform and expanding our sales and marketing footprint. We intend to continue to invest heavily to grow our business to take advantage of our market opportunity rather than optimizing for profitability or cash flow in the near term.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Ongoing COVID-19 Pandemic</w:t>
      </w:r>
    </w:p>
    <w:p>
      <w:pPr>
        <w:spacing w:after="0" w:line="175"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ongoing COVID-19 pandemic has continued to impact the United States (“U.S.”) and the world. The full extent of the impact of the ongoing COVID-19 pandemic on our future operational and financial performance will depend on certain developments, including the duration and spread of the outbreak and the impact of new variants of the virus that cause COVID-19; the public health measures taken by authorities and other entities to contain and treat COVID-19; the actions taken to effect a widespread, global roll-out of the available vaccines and the efficacy and durability of such vaccines; and the impact of the COVID-19 pandemic on the global economy and on our current and prospective customers, employees, vendors and other parties with whom we do business, all of which are uncertain and cannot be predicted.</w:t>
      </w:r>
    </w:p>
    <w:p>
      <w:pPr>
        <w:spacing w:after="0" w:line="12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2020, we adopted several measures in response to the COVID-19 pandemic, including temporarily requiring employees to work remotely, suspending non-essential travel by our employees, and replacing in-person marketing events (including our annual developer conference) with virtual events. In 2021, we began to re-open our offices in the United States and certain other locations globally for employees to voluntarily return. In April 2022 we moved forward with our return to office plan, which encompasses a hybrid approach to in-office attendance based on the different needs of teams across the company. Business travel resumed during 2021 on a voluntary basis and we started to hold in-person marketing events. We expect spending on business travel and in-person marketing events to increase during 2022. We continue to monitor the developments of the COVID-19 pandemic and we may adjust our policies as may be required or recommended by federal, foreign, state or local authorities.</w:t>
      </w:r>
    </w:p>
    <w:p>
      <w:pPr>
        <w:spacing w:after="0" w:line="12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also continue to evaluate the nature and extent of the impact of COVID-19 on our business. For further discussion of the potential impacts of the ongoing COVID-19 pandemic on our business, operating results, and financial condition, see the section titled “Risk Factors” included in Part II, Item 1A of this Quarterly Report on Form 10-Q. Other factors affecting our performance are discussed below, although we caution you that the ongoing COVID-19 pandemic may also impact these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Growing Our Customer Base and Expanding Our Global Reach</w:t>
      </w:r>
    </w:p>
    <w:p>
      <w:pPr>
        <w:spacing w:after="0" w:line="171"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We are intensely focused on continuing to grow our customer base. We have invested, and expect to continue to invest, heavily in our sales and marketing efforts and developer community outreach, which are critical to driving customer acquisition. As of April 30, 2022, we had over 35,200 customers across a wide range of industries and in over 100 countries, compared to over 26,800 customers as of April 30, 2021. All affiliated entities are counted as a single customer and our definition of “customer” excludes users of our free offerings.</w:t>
      </w:r>
    </w:p>
    <w:p>
      <w:pPr>
        <w:spacing w:after="0" w:line="133"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As of April 30, 2022, we had over 4,800 customers that were sold through our direct sales force and channel partners, as compared to over 3,300 such customers as of April 30, 2021. These customers, which we refer to as our Direct Sales Customers, accounted for 87% of our subscription revenue for the three months ended April 30, 2022 and 84% of our subscription revenue for the three months ended April 30, 2021. The percentage of our subscription revenue from Direct Sales Customers increased during the three months ended April 30, 2022, in part due to existing self-serve customers of MongoDB Atlas becoming Direct Sales Customers. We are also focused on increasing the number of overall MongoDB Atlas customers as we emphasize the on-demand scalability of MongoDB Atlas by allowing our customers to consume the product with minimal commitment. We had over 33,700 MongoDB Atlas customers as of April 30, 2022 compared to over 25,300 as of April 30, 2021. The growth in MongoDB Atlas customers included new customers to MongoDB and existing MongoDB Enterprise Advanced customers adding incremental MongoDB Atlas workloads.</w:t>
      </w:r>
    </w:p>
    <w:p>
      <w:pPr>
        <w:spacing w:after="0" w:line="111"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In an effort to expand our global reach, in October 2019, we announced a partnership with Alibaba Cloud to offer an authorized MongoDB-as-a-service solution allowing customers of Alibaba Cloud to use this managed offering from their data centers globally. We expanded our reach in China in February 2021 when we announced the launch of a global partnership with Tencent Cloud that allows customers to easily adopt and use MongoDB-as-a-Service across Tencent’s global cloud infrastructure.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Increasing Adoption of MongoDB Atlas</w:t>
      </w:r>
    </w:p>
    <w:p>
      <w:pPr>
        <w:spacing w:after="0" w:line="17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MongoDB Atlas, our hosted multi-cloud offering, is an important part of our run-anywhere strategy. To accelerate the adoption of this database-as-a-service offering, we provide tools to easily migrate existing users of our Community Server offering to MongoDB Atlas. We have also expanded our introductory offerings for MongoDB Atlas, including a free tier, which provides limited processing power and storage in order to drive usage and adoption of MongoDB Atlas among developers. Our MongoDB Atlas free tier offering is available on all three major cloud providers (Amazon Web Services (“AWS”), Google Cloud Platform (“GCP”) and Microsoft Azure) in North America, Europe and Asia Pacific. In addition, MongoDB Atlas is available on AWS Marketplace, making it easier for AWS customers to buy and consume MongoDB Atlas. Our business partnership with GCP provides deeper product integration and unified billing for GCP customers who are also MongoDB Atlas customers and offers GCP customers a seamless integration between MongoDB Atlas and GCP. The availability of MongoDB Atlas on the Microsoft Azure Marketplace offers unified billing for joint customers of MongoDB Atlas and Microsoft and makes it easier for established Azure customers to purchase and use MongoDB Atlas.</w:t>
      </w:r>
    </w:p>
    <w:p>
      <w:pPr>
        <w:spacing w:after="0" w:line="112"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We have also expanded the functionality available in MongoDB Atlas beyond that of our Community Server offering. We expect this will drive further adoption of MongoDB Atlas as companies migrate mission-critical applications to the public cloud. The enterprise capabilities that we have introduced to MongoDB Atlas include advanced security features, enterprise-standard authentication and database auditing. We have invested significantly in MongoDB Atlas and our ability to drive the adoption of MongoDB Atlas is a key component of our growth strategy.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Retaining and Expanding Revenue from Existing Customers</w:t>
      </w:r>
    </w:p>
    <w:p>
      <w:pPr>
        <w:spacing w:after="0" w:line="17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usage of our platform. Growth of an application is impacted by a number of factors including the macroeconomic environment. During the three months ended April 30, 2022, we believe we experienced a macroeconomic impact on the growth of existing applications, which affected our revenue growth. We expect the macroeconomic environment to continue to impact us for the remainder of the year. In addition, our customers expand their subscriptions to our platform as they migrate additional existing applications or build new applications, either within the same department or in other lines of business or geographies. Also, as customers modernize their information technology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infrastructure and move to the cloud, they may migrate applications from legacy databases. Our goal is to increase the number of customers that standardize on our database within their organization. Over time, the subscription amount for our typical Direct Sales Customer has increased.</w:t>
      </w:r>
    </w:p>
    <w:p>
      <w:pPr>
        <w:spacing w:after="0" w:line="70"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consumption of MongoDB Atlas, assuming no increases or reductions in their subscriptions or usage. For all other customers of our self-serve products, we calculate annualized MRR by annualizing the prior 30 days of their actual consumption of such products, assuming no increases or reductions in usage. ARR and annualized MRR exclude professional services. The number of customers with $100,000 or greater in ARR and annualized MRR was 1,379 and 1,057 as of April 30, 2022 and 2021,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1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For Direct Sales Customers included in the base period, measurement period or both such periods that were self-serve customers in any such period, we also include annualized MRR from those customers in the calculation of the net ARR expansion rate. Our net ARR expansion rate has consistently been over 120% demonstrating our ability to expand within existing customers.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Revenue</w:t>
      </w:r>
    </w:p>
    <w:p>
      <w:pPr>
        <w:spacing w:after="0" w:line="171" w:lineRule="exact"/>
        <w:rPr>
          <w:sz w:val="20"/>
          <w:szCs w:val="20"/>
          <w:color w:val="auto"/>
        </w:rPr>
      </w:pPr>
    </w:p>
    <w:p>
      <w:pPr>
        <w:ind w:right="160" w:firstLine="486"/>
        <w:spacing w:after="0" w:line="219" w:lineRule="exact"/>
        <w:rPr>
          <w:sz w:val="20"/>
          <w:szCs w:val="20"/>
          <w:color w:val="auto"/>
        </w:rPr>
      </w:pPr>
      <w:r>
        <w:rPr>
          <w:rFonts w:ascii="Arial" w:cs="Arial" w:eastAsia="Arial" w:hAnsi="Arial"/>
          <w:sz w:val="17"/>
          <w:szCs w:val="17"/>
          <w:i w:val="1"/>
          <w:iCs w:val="1"/>
          <w:color w:val="auto"/>
        </w:rPr>
        <w:t xml:space="preserve">Subscription Revenue. </w:t>
      </w:r>
      <w:r>
        <w:rPr>
          <w:rFonts w:ascii="Arial" w:cs="Arial" w:eastAsia="Arial" w:hAnsi="Arial"/>
          <w:sz w:val="17"/>
          <w:szCs w:val="17"/>
          <w:color w:val="auto"/>
        </w:rPr>
        <w:t>Our subscription revenue is comprised of term licenses and hosted as-a-service solutions. Subscriptions to term licenses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Revenue from our hosted as</w:t>
      </w:r>
      <w:r>
        <w:rPr>
          <w:rFonts w:ascii="MS PGothic" w:cs="MS PGothic" w:eastAsia="MS PGothic" w:hAnsi="MS PGothic"/>
          <w:sz w:val="17"/>
          <w:szCs w:val="17"/>
          <w:color w:val="auto"/>
        </w:rPr>
        <w:t>‑</w:t>
      </w:r>
      <w:r>
        <w:rPr>
          <w:rFonts w:ascii="Arial" w:cs="Arial" w:eastAsia="Arial" w:hAnsi="Arial"/>
          <w:sz w:val="17"/>
          <w:szCs w:val="17"/>
          <w:color w:val="auto"/>
        </w:rPr>
        <w:t>a</w:t>
      </w:r>
      <w:r>
        <w:rPr>
          <w:rFonts w:ascii="MS PGothic" w:cs="MS PGothic" w:eastAsia="MS PGothic" w:hAnsi="MS PGothic"/>
          <w:sz w:val="17"/>
          <w:szCs w:val="17"/>
          <w:color w:val="auto"/>
        </w:rPr>
        <w:t>‑</w:t>
      </w:r>
      <w:r>
        <w:rPr>
          <w:rFonts w:ascii="Arial" w:cs="Arial" w:eastAsia="Arial" w:hAnsi="Arial"/>
          <w:sz w:val="17"/>
          <w:szCs w:val="17"/>
          <w:color w:val="auto"/>
        </w:rPr>
        <w:t>service solutions is primarily generated on a usage basis and is billed either in arrears or paid upfront. The majority of our subscription contracts are one year in duration. When we enter into multi-year subscriptions, we typically invoice the customer on an annual basis. Our subscription contracts are generally non-cancelable and non-refundable.</w:t>
      </w:r>
    </w:p>
    <w:p>
      <w:pPr>
        <w:spacing w:after="0" w:line="148"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is comprised of consulting and training services and is recognized over the period of delivery of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recognize revenue from services agreements as services are delivered.</w:t>
      </w:r>
    </w:p>
    <w:p>
      <w:pPr>
        <w:spacing w:after="0" w:line="116" w:lineRule="exact"/>
        <w:rPr>
          <w:sz w:val="20"/>
          <w:szCs w:val="20"/>
          <w:color w:val="auto"/>
        </w:rPr>
      </w:pPr>
    </w:p>
    <w:p>
      <w:pPr>
        <w:ind w:right="140" w:firstLine="486"/>
        <w:spacing w:after="0" w:line="221" w:lineRule="exact"/>
        <w:rPr>
          <w:sz w:val="20"/>
          <w:szCs w:val="20"/>
          <w:color w:val="auto"/>
        </w:rPr>
      </w:pPr>
      <w:r>
        <w:rPr>
          <w:rFonts w:ascii="Arial" w:cs="Arial" w:eastAsia="Arial" w:hAnsi="Arial"/>
          <w:sz w:val="17"/>
          <w:szCs w:val="17"/>
          <w:color w:val="auto"/>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for our consumption</w:t>
      </w:r>
      <w:r>
        <w:rPr>
          <w:rFonts w:ascii="MS PGothic" w:cs="MS PGothic" w:eastAsia="MS PGothic" w:hAnsi="MS PGothic"/>
          <w:sz w:val="17"/>
          <w:szCs w:val="17"/>
          <w:color w:val="auto"/>
        </w:rPr>
        <w:t>‑</w:t>
      </w:r>
      <w:r>
        <w:rPr>
          <w:rFonts w:ascii="Arial" w:cs="Arial" w:eastAsia="Arial" w:hAnsi="Arial"/>
          <w:sz w:val="17"/>
          <w:szCs w:val="17"/>
          <w:color w:val="auto"/>
        </w:rPr>
        <w:t>based customers.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Cost of Revenue</w:t>
      </w:r>
    </w:p>
    <w:p>
      <w:pPr>
        <w:spacing w:after="0" w:line="158" w:lineRule="exact"/>
        <w:rPr>
          <w:sz w:val="20"/>
          <w:szCs w:val="20"/>
          <w:color w:val="auto"/>
        </w:rPr>
      </w:pPr>
    </w:p>
    <w:p>
      <w:pPr>
        <w:ind w:right="60" w:firstLine="486"/>
        <w:spacing w:after="0" w:line="261" w:lineRule="auto"/>
        <w:rPr>
          <w:sz w:val="20"/>
          <w:szCs w:val="20"/>
          <w:color w:val="auto"/>
        </w:rPr>
      </w:pPr>
      <w:r>
        <w:rPr>
          <w:rFonts w:ascii="Arial" w:cs="Arial" w:eastAsia="Arial" w:hAnsi="Arial"/>
          <w:sz w:val="16"/>
          <w:szCs w:val="16"/>
          <w:i w:val="1"/>
          <w:iCs w:val="1"/>
          <w:color w:val="auto"/>
        </w:rPr>
        <w:t xml:space="preserve">Cost of Subscription Revenue. </w:t>
      </w:r>
      <w:r>
        <w:rPr>
          <w:rFonts w:ascii="Arial" w:cs="Arial" w:eastAsia="Arial" w:hAnsi="Arial"/>
          <w:sz w:val="16"/>
          <w:szCs w:val="16"/>
          <w:color w:val="auto"/>
        </w:rPr>
        <w:t>Cost of subscription revenue primarily includes third-party cloud infrastructure expenses for our hosted as-a-service</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We expect our cost of subscription revenue to increase in absolute dollars as our subscription revenue increases and, depending on the results of MongoDB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spacing w:after="0" w:line="201" w:lineRule="exact"/>
        <w:rPr>
          <w:sz w:val="20"/>
          <w:szCs w:val="20"/>
          <w:color w:val="auto"/>
        </w:rPr>
      </w:pPr>
    </w:p>
    <w:p>
      <w:pPr>
        <w:ind w:right="360" w:firstLine="486"/>
        <w:spacing w:after="0" w:line="221" w:lineRule="exact"/>
        <w:rPr>
          <w:sz w:val="20"/>
          <w:szCs w:val="20"/>
          <w:color w:val="auto"/>
        </w:rPr>
      </w:pPr>
      <w:r>
        <w:rPr>
          <w:rFonts w:ascii="Arial" w:cs="Arial" w:eastAsia="Arial" w:hAnsi="Arial"/>
          <w:sz w:val="17"/>
          <w:szCs w:val="17"/>
          <w:i w:val="1"/>
          <w:iCs w:val="1"/>
          <w:color w:val="auto"/>
        </w:rPr>
        <w:t xml:space="preserve">Cost of Services Revenue. </w:t>
      </w:r>
      <w:r>
        <w:rPr>
          <w:rFonts w:ascii="Arial" w:cs="Arial" w:eastAsia="Arial" w:hAnsi="Arial"/>
          <w:sz w:val="17"/>
          <w:szCs w:val="17"/>
          <w:color w:val="auto"/>
        </w:rPr>
        <w:t>Cost of services revenue primarily includes personnel costs, including salaries, bonuses and benefits, and stock</w:t>
      </w:r>
      <w:r>
        <w:rPr>
          <w:rFonts w:ascii="MS PGothic" w:cs="MS PGothic" w:eastAsia="MS PGothic" w:hAnsi="MS PGothic"/>
          <w:sz w:val="17"/>
          <w:szCs w:val="17"/>
          <w:color w:val="auto"/>
        </w:rPr>
        <w:t>‑</w:t>
      </w:r>
      <w:r>
        <w:rPr>
          <w:rFonts w:ascii="Arial" w:cs="Arial" w:eastAsia="Arial" w:hAnsi="Arial"/>
          <w:sz w:val="17"/>
          <w:szCs w:val="17"/>
          <w:color w:val="auto"/>
        </w:rPr>
        <w:t>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Gross Profit and Gross Margin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represents revenue less cost of revenue.</w:t>
      </w:r>
    </w:p>
    <w:p>
      <w:pPr>
        <w:spacing w:after="0" w:line="171"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or gross profit as a percentage of revenue, has been and will continue to be affected by a variety of factors,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Expenses</w:t>
      </w:r>
    </w:p>
    <w:p>
      <w:pPr>
        <w:spacing w:after="0" w:line="171"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spacing w:after="0" w:line="130" w:lineRule="exact"/>
        <w:rPr>
          <w:sz w:val="20"/>
          <w:szCs w:val="20"/>
          <w:color w:val="auto"/>
        </w:rPr>
      </w:pPr>
    </w:p>
    <w:p>
      <w:pPr>
        <w:ind w:firstLine="486"/>
        <w:spacing w:after="0" w:line="219" w:lineRule="exact"/>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 consists primarily of personnel costs, including salaries, sales commission and benefits,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These expenses also include costs related to marketing programs, travel</w:t>
      </w:r>
      <w:r>
        <w:rPr>
          <w:rFonts w:ascii="MS PGothic" w:cs="MS PGothic" w:eastAsia="MS PGothic" w:hAnsi="MS PGothic"/>
          <w:sz w:val="18"/>
          <w:szCs w:val="18"/>
          <w:color w:val="auto"/>
        </w:rPr>
        <w:t>‑</w:t>
      </w:r>
      <w:r>
        <w:rPr>
          <w:rFonts w:ascii="Arial" w:cs="Arial" w:eastAsia="Arial" w:hAnsi="Arial"/>
          <w:sz w:val="18"/>
          <w:szCs w:val="18"/>
          <w:color w:val="auto"/>
        </w:rPr>
        <w:t>related expenses and allocated overhead. Marketing programs consist of advertising, events, corporate communications, and brand</w:t>
      </w:r>
      <w:r>
        <w:rPr>
          <w:rFonts w:ascii="MS PGothic" w:cs="MS PGothic" w:eastAsia="MS PGothic" w:hAnsi="MS PGothic"/>
          <w:sz w:val="18"/>
          <w:szCs w:val="18"/>
          <w:color w:val="auto"/>
        </w:rPr>
        <w:t>‑</w:t>
      </w:r>
      <w:r>
        <w:rPr>
          <w:rFonts w:ascii="Arial" w:cs="Arial" w:eastAsia="Arial" w:hAnsi="Arial"/>
          <w:sz w:val="18"/>
          <w:szCs w:val="18"/>
          <w:color w:val="auto"/>
        </w:rPr>
        <w:t>building and developer</w:t>
      </w:r>
      <w:r>
        <w:rPr>
          <w:rFonts w:ascii="MS PGothic" w:cs="MS PGothic" w:eastAsia="MS PGothic" w:hAnsi="MS PGothic"/>
          <w:sz w:val="18"/>
          <w:szCs w:val="18"/>
          <w:color w:val="auto"/>
        </w:rPr>
        <w:t>‑</w:t>
      </w:r>
      <w:r>
        <w:rPr>
          <w:rFonts w:ascii="Arial" w:cs="Arial" w:eastAsia="Arial" w:hAnsi="Arial"/>
          <w:sz w:val="18"/>
          <w:szCs w:val="18"/>
          <w:color w:val="auto"/>
        </w:rPr>
        <w:t>community activities. We expect our sales and marketing expense to increase in absolute dollars over time as we expand our sales force and increase our marketing resources, expand into new markets and further develop our self-serve and partner channels.</w:t>
      </w:r>
    </w:p>
    <w:p>
      <w:pPr>
        <w:spacing w:after="0" w:line="151" w:lineRule="exact"/>
        <w:rPr>
          <w:sz w:val="20"/>
          <w:szCs w:val="20"/>
          <w:color w:val="auto"/>
        </w:rPr>
      </w:pPr>
    </w:p>
    <w:p>
      <w:pPr>
        <w:ind w:right="160" w:firstLine="486"/>
        <w:spacing w:after="0" w:line="221" w:lineRule="exact"/>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costs, including salaries, bonuses and benefits, and</w:t>
      </w:r>
      <w:r>
        <w:rPr>
          <w:rFonts w:ascii="Arial" w:cs="Arial" w:eastAsia="Arial" w:hAnsi="Arial"/>
          <w:sz w:val="16"/>
          <w:szCs w:val="16"/>
          <w:i w:val="1"/>
          <w:iCs w:val="1"/>
          <w:color w:val="auto"/>
        </w:rPr>
        <w:t xml:space="preserve"> </w:t>
      </w: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compensation. It also includes amortization associated with intangible acquired assets and allocated overhead. We expect our research and development expenses to continue to increase in absolute dollars, as we continue to invest in our platform and develop new products.</w:t>
      </w:r>
    </w:p>
    <w:p>
      <w:pPr>
        <w:spacing w:after="0" w:line="150" w:lineRule="exact"/>
        <w:rPr>
          <w:sz w:val="20"/>
          <w:szCs w:val="20"/>
          <w:color w:val="auto"/>
        </w:rPr>
      </w:pPr>
    </w:p>
    <w:p>
      <w:pPr>
        <w:ind w:right="100" w:firstLine="486"/>
        <w:spacing w:after="0" w:line="220" w:lineRule="exact"/>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 consists primarily of personnel costs, including salaries, bonuses and benefits, and</w:t>
      </w:r>
      <w:r>
        <w:rPr>
          <w:rFonts w:ascii="Arial" w:cs="Arial" w:eastAsia="Arial" w:hAnsi="Arial"/>
          <w:sz w:val="17"/>
          <w:szCs w:val="17"/>
          <w:i w:val="1"/>
          <w:iCs w:val="1"/>
          <w:color w:val="auto"/>
        </w:rPr>
        <w:t xml:space="preserve"> </w:t>
      </w:r>
      <w:r>
        <w:rPr>
          <w:rFonts w:ascii="Arial" w:cs="Arial" w:eastAsia="Arial" w:hAnsi="Arial"/>
          <w:sz w:val="17"/>
          <w:szCs w:val="17"/>
          <w:color w:val="auto"/>
        </w:rPr>
        <w:t>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as well as incur the ongoing costs of compliance associated with being a publicly-traded company.</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Other income (expense), net consists primarily of interest income, interest expense, gains and losses on investments and gains and losses from foreign currency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Provision for Income Taxes</w:t>
      </w:r>
    </w:p>
    <w:p>
      <w:pPr>
        <w:spacing w:after="0" w:line="17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Provision for income taxes consists primarily of state income taxes in the United States and income taxes in certain foreign jurisdictions in which we conduct business.</w:t>
      </w:r>
    </w:p>
    <w:p>
      <w:pPr>
        <w:spacing w:after="0" w:line="116"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30"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U.S., U.K. and Ireland net deferred tax assets, as it is more likely than not that some or all of the deferred tax assets will not be realized.</w:t>
      </w:r>
    </w:p>
    <w:p>
      <w:pPr>
        <w:spacing w:after="0" w:line="117" w:lineRule="exact"/>
        <w:rPr>
          <w:sz w:val="20"/>
          <w:szCs w:val="20"/>
          <w:color w:val="auto"/>
        </w:rPr>
      </w:pPr>
    </w:p>
    <w:p>
      <w:pPr>
        <w:jc w:val="both"/>
        <w:ind w:right="80" w:firstLine="486"/>
        <w:spacing w:after="0" w:line="301" w:lineRule="auto"/>
        <w:rPr>
          <w:sz w:val="20"/>
          <w:szCs w:val="20"/>
          <w:color w:val="auto"/>
        </w:rPr>
      </w:pPr>
      <w:r>
        <w:rPr>
          <w:rFonts w:ascii="Arial" w:cs="Arial" w:eastAsia="Arial" w:hAnsi="Arial"/>
          <w:sz w:val="16"/>
          <w:szCs w:val="16"/>
          <w:color w:val="auto"/>
        </w:rPr>
        <w:t>We continue to monitor and interpret the impact of proposed and enacted global tax legislation, such as the Coronavirus Aid, Relief, and Economic Security Act, and the impact of such legislation on the effective tax rate and tax provision thereunder. In addition, the Tax Cuts and Jobs Act of 2017 ("Tax Act") provided for significant changes to the U.S. tax system including the mandatory capitalization of Research and Experimentation costs starting in the 2022 tax year. The Company is still assessing the impact due to lack of Treasury Regulations, however the legislation is not expected to have an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impact on the Company's financial statements due to the net operating losses and full valuation allowances. To date, based on the full valuation allowance against our two most significant tax jurisdictions, the United States and Ireland, the impact of global enacted and proposed legislation has not had an impact on the tax provisions of the financial statements. We continue to monitor to ensure both our financial results and our related tax disclosures are in compliance with any tax legislation.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April 30, 2022 Summary</w:t>
      </w:r>
    </w:p>
    <w:p>
      <w:pPr>
        <w:spacing w:after="0" w:line="175"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For the three months ended April 30, 2022, our total revenue increased to $285.4 million as compared to $181.6 million for the three months ended April 30, 2021, primarily driven by an increase in subscription revenue from our Direct Sales Customers. Our net loss increased to $77.3 million for the three months ended April 30, 2022 as compared to $64.0 million for the three months ended April 30, 2021, as improvement in gross profit was offset by higher sales and marketing spend and research and development costs during the three months ended April 30, 2022.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operating cash flow was $11.6 million and $10.2 million for the three months ended April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4" w:right="47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in U.S. dollars (unaudited, in thousands) and as a percentage of our total revenue. Percentage of revenue figures are rounded and therefore may not subtotal exactly.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50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211"/>
        </w:trPr>
        <w:tc>
          <w:tcPr>
            <w:tcW w:w="846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460" w:type="dxa"/>
            <w:vAlign w:val="bottom"/>
            <w:gridSpan w:val="3"/>
          </w:tcPr>
          <w:p>
            <w:pPr>
              <w:ind w:left="6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0"/>
        </w:trPr>
        <w:tc>
          <w:tcPr>
            <w:tcW w:w="84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Subscription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274,581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174,570</w:t>
            </w:r>
          </w:p>
        </w:tc>
      </w:tr>
      <w:tr>
        <w:trPr>
          <w:trHeight w:val="283"/>
        </w:trPr>
        <w:tc>
          <w:tcPr>
            <w:tcW w:w="8460" w:type="dxa"/>
            <w:vAlign w:val="bottom"/>
            <w:tcBorders>
              <w:bottom w:val="single" w:sz="8" w:color="CCEEFF"/>
            </w:tcBorders>
            <w:gridSpan w:val="3"/>
          </w:tcPr>
          <w:p>
            <w:pPr>
              <w:ind w:left="260"/>
              <w:spacing w:after="0"/>
              <w:rPr>
                <w:sz w:val="20"/>
                <w:szCs w:val="20"/>
                <w:color w:val="auto"/>
              </w:rPr>
            </w:pPr>
            <w:r>
              <w:rPr>
                <w:rFonts w:ascii="Arial" w:cs="Arial" w:eastAsia="Arial" w:hAnsi="Arial"/>
                <w:sz w:val="18"/>
                <w:szCs w:val="18"/>
                <w:color w:val="auto"/>
              </w:rPr>
              <w:t>Services</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7,078</w:t>
            </w:r>
          </w:p>
        </w:tc>
      </w:tr>
      <w:tr>
        <w:trPr>
          <w:trHeight w:val="250"/>
        </w:trPr>
        <w:tc>
          <w:tcPr>
            <w:tcW w:w="8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285,447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181,648</w:t>
            </w:r>
          </w:p>
        </w:tc>
      </w:tr>
      <w:tr>
        <w:trPr>
          <w:trHeight w:val="243"/>
        </w:trPr>
        <w:tc>
          <w:tcPr>
            <w:tcW w:w="8460" w:type="dxa"/>
            <w:vAlign w:val="bottom"/>
            <w:gridSpan w:val="3"/>
          </w:tcPr>
          <w:p>
            <w:pPr>
              <w:ind w:left="6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Subscription</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45,402</w:t>
            </w:r>
          </w:p>
        </w:tc>
      </w:tr>
      <w:tr>
        <w:trPr>
          <w:trHeight w:val="283"/>
        </w:trPr>
        <w:tc>
          <w:tcPr>
            <w:tcW w:w="8460" w:type="dxa"/>
            <w:vAlign w:val="bottom"/>
            <w:tcBorders>
              <w:bottom w:val="single" w:sz="8" w:color="CCEEFF"/>
            </w:tcBorders>
            <w:gridSpan w:val="3"/>
          </w:tcPr>
          <w:p>
            <w:pPr>
              <w:ind w:left="260"/>
              <w:spacing w:after="0"/>
              <w:rPr>
                <w:sz w:val="20"/>
                <w:szCs w:val="20"/>
                <w:color w:val="auto"/>
              </w:rPr>
            </w:pPr>
            <w:r>
              <w:rPr>
                <w:rFonts w:ascii="Arial" w:cs="Arial" w:eastAsia="Arial" w:hAnsi="Arial"/>
                <w:sz w:val="18"/>
                <w:szCs w:val="18"/>
                <w:color w:val="auto"/>
              </w:rPr>
              <w:t>Services</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9,126</w:t>
            </w:r>
          </w:p>
        </w:tc>
      </w:tr>
      <w:tr>
        <w:trPr>
          <w:trHeight w:val="263"/>
        </w:trPr>
        <w:tc>
          <w:tcPr>
            <w:tcW w:w="8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54,528</w:t>
            </w:r>
          </w:p>
        </w:tc>
      </w:tr>
      <w:tr>
        <w:trPr>
          <w:trHeight w:val="250"/>
        </w:trPr>
        <w:tc>
          <w:tcPr>
            <w:tcW w:w="8460" w:type="dxa"/>
            <w:vAlign w:val="bottom"/>
            <w:gridSpan w:val="3"/>
          </w:tcPr>
          <w:p>
            <w:pPr>
              <w:ind w:left="6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207,232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127,120</w:t>
            </w:r>
          </w:p>
        </w:tc>
      </w:tr>
      <w:tr>
        <w:trPr>
          <w:trHeight w:val="229"/>
        </w:trPr>
        <w:tc>
          <w:tcPr>
            <w:tcW w:w="84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70"/>
        </w:trPr>
        <w:tc>
          <w:tcPr>
            <w:tcW w:w="8460" w:type="dxa"/>
            <w:vAlign w:val="bottom"/>
            <w:gridSpan w:val="3"/>
          </w:tcPr>
          <w:p>
            <w:pPr>
              <w:ind w:left="2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150,268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97,890</w:t>
            </w:r>
          </w:p>
        </w:tc>
      </w:tr>
      <w:tr>
        <w:trPr>
          <w:trHeight w:val="270"/>
        </w:trPr>
        <w:tc>
          <w:tcPr>
            <w:tcW w:w="84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64,751</w:t>
            </w:r>
          </w:p>
        </w:tc>
      </w:tr>
      <w:tr>
        <w:trPr>
          <w:trHeight w:val="283"/>
        </w:trPr>
        <w:tc>
          <w:tcPr>
            <w:tcW w:w="8460" w:type="dxa"/>
            <w:vAlign w:val="bottom"/>
            <w:tcBorders>
              <w:bottom w:val="single" w:sz="8" w:color="CCEEFF"/>
            </w:tcBorders>
            <w:gridSpan w:val="3"/>
          </w:tcPr>
          <w:p>
            <w:pPr>
              <w:ind w:left="2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25,925</w:t>
            </w:r>
          </w:p>
        </w:tc>
      </w:tr>
      <w:tr>
        <w:trPr>
          <w:trHeight w:val="264"/>
        </w:trPr>
        <w:tc>
          <w:tcPr>
            <w:tcW w:w="8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283,172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188,566</w:t>
            </w:r>
          </w:p>
        </w:tc>
      </w:tr>
      <w:tr>
        <w:trPr>
          <w:trHeight w:val="250"/>
        </w:trPr>
        <w:tc>
          <w:tcPr>
            <w:tcW w:w="8460" w:type="dxa"/>
            <w:vAlign w:val="bottom"/>
            <w:gridSpan w:val="3"/>
          </w:tcPr>
          <w:p>
            <w:pPr>
              <w:ind w:left="6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(75,940)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(61,446)</w:t>
            </w:r>
          </w:p>
        </w:tc>
      </w:tr>
      <w:tr>
        <w:trPr>
          <w:trHeight w:val="270"/>
        </w:trPr>
        <w:tc>
          <w:tcPr>
            <w:tcW w:w="84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r>
      <w:tr>
        <w:trPr>
          <w:trHeight w:val="250"/>
        </w:trPr>
        <w:tc>
          <w:tcPr>
            <w:tcW w:w="8460" w:type="dxa"/>
            <w:vAlign w:val="bottom"/>
            <w:gridSpan w:val="3"/>
          </w:tcPr>
          <w:p>
            <w:pPr>
              <w:ind w:left="60"/>
              <w:spacing w:after="0"/>
              <w:rPr>
                <w:sz w:val="20"/>
                <w:szCs w:val="20"/>
                <w:color w:val="auto"/>
              </w:rPr>
            </w:pPr>
            <w:r>
              <w:rPr>
                <w:rFonts w:ascii="Arial" w:cs="Arial" w:eastAsia="Arial" w:hAnsi="Arial"/>
                <w:sz w:val="18"/>
                <w:szCs w:val="18"/>
                <w:color w:val="auto"/>
              </w:rPr>
              <w:t>Loss before provision for (benefit from) income taxes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(76,148)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(65,368)</w:t>
            </w:r>
          </w:p>
        </w:tc>
      </w:tr>
      <w:tr>
        <w:trPr>
          <w:trHeight w:val="284"/>
        </w:trPr>
        <w:tc>
          <w:tcPr>
            <w:tcW w:w="84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r>
      <w:tr>
        <w:trPr>
          <w:trHeight w:val="263"/>
        </w:trPr>
        <w:tc>
          <w:tcPr>
            <w:tcW w:w="8460" w:type="dxa"/>
            <w:vAlign w:val="bottom"/>
            <w:gridSpan w:val="3"/>
          </w:tcPr>
          <w:p>
            <w:pPr>
              <w:ind w:left="6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(77,294)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(63,992)</w:t>
            </w:r>
          </w:p>
        </w:tc>
      </w:tr>
      <w:tr>
        <w:trPr>
          <w:trHeight w:val="20"/>
        </w:trPr>
        <w:tc>
          <w:tcPr>
            <w:tcW w:w="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5"/>
        </w:trPr>
        <w:tc>
          <w:tcPr>
            <w:tcW w:w="500" w:type="dxa"/>
            <w:vAlign w:val="bottom"/>
          </w:tcPr>
          <w:p>
            <w:pPr>
              <w:spacing w:after="0"/>
              <w:rPr>
                <w:sz w:val="13"/>
                <w:szCs w:val="13"/>
                <w:color w:val="auto"/>
              </w:rPr>
            </w:pPr>
          </w:p>
        </w:tc>
        <w:tc>
          <w:tcPr>
            <w:tcW w:w="2840" w:type="dxa"/>
            <w:vAlign w:val="bottom"/>
            <w:tcBorders>
              <w:bottom w:val="single" w:sz="8" w:color="auto"/>
            </w:tcBorders>
          </w:tcPr>
          <w:p>
            <w:pPr>
              <w:spacing w:after="0"/>
              <w:rPr>
                <w:sz w:val="13"/>
                <w:szCs w:val="13"/>
                <w:color w:val="auto"/>
              </w:rPr>
            </w:pPr>
          </w:p>
        </w:tc>
        <w:tc>
          <w:tcPr>
            <w:tcW w:w="5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46" w:lineRule="exact"/>
        <w:rPr>
          <w:sz w:val="20"/>
          <w:szCs w:val="20"/>
          <w:color w:val="auto"/>
        </w:rPr>
      </w:pPr>
    </w:p>
    <w:p>
      <w:pPr>
        <w:ind w:left="320" w:hanging="312"/>
        <w:spacing w:after="0" w:line="265" w:lineRule="exact"/>
        <w:tabs>
          <w:tab w:leader="none" w:pos="3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Includes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 follows (unaudited,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20" w:type="dxa"/>
            <w:vAlign w:val="bottom"/>
            <w:tcBorders>
              <w:bottom w:val="single" w:sz="8" w:color="auto"/>
            </w:tcBorders>
          </w:tcPr>
          <w:p>
            <w:pPr>
              <w:spacing w:after="0"/>
              <w:rPr>
                <w:sz w:val="16"/>
                <w:szCs w:val="16"/>
                <w:color w:val="auto"/>
              </w:rPr>
            </w:pPr>
          </w:p>
        </w:tc>
      </w:tr>
      <w:tr>
        <w:trPr>
          <w:trHeight w:val="187"/>
        </w:trPr>
        <w:tc>
          <w:tcPr>
            <w:tcW w:w="82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197"/>
        </w:trPr>
        <w:tc>
          <w:tcPr>
            <w:tcW w:w="8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Cost of revenue—subscription</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2,990</w:t>
            </w:r>
          </w:p>
        </w:tc>
      </w:tr>
      <w:tr>
        <w:trPr>
          <w:trHeight w:val="210"/>
        </w:trPr>
        <w:tc>
          <w:tcPr>
            <w:tcW w:w="8220" w:type="dxa"/>
            <w:vAlign w:val="bottom"/>
          </w:tcPr>
          <w:p>
            <w:pPr>
              <w:ind w:left="60"/>
              <w:spacing w:after="0"/>
              <w:rPr>
                <w:sz w:val="20"/>
                <w:szCs w:val="20"/>
                <w:color w:val="auto"/>
              </w:rPr>
            </w:pPr>
            <w:r>
              <w:rPr>
                <w:rFonts w:ascii="Arial" w:cs="Arial" w:eastAsia="Arial" w:hAnsi="Arial"/>
                <w:sz w:val="14"/>
                <w:szCs w:val="14"/>
                <w:color w:val="auto"/>
              </w:rPr>
              <w:t>Cost of revenue—services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2,212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1,487</w:t>
            </w:r>
          </w:p>
        </w:tc>
      </w:tr>
      <w:tr>
        <w:trPr>
          <w:trHeight w:val="222"/>
        </w:trPr>
        <w:tc>
          <w:tcPr>
            <w:tcW w:w="8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Sales and marketing</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18,876</w:t>
            </w:r>
          </w:p>
        </w:tc>
      </w:tr>
      <w:tr>
        <w:trPr>
          <w:trHeight w:val="210"/>
        </w:trPr>
        <w:tc>
          <w:tcPr>
            <w:tcW w:w="8220" w:type="dxa"/>
            <w:vAlign w:val="bottom"/>
          </w:tcPr>
          <w:p>
            <w:pPr>
              <w:ind w:left="60"/>
              <w:spacing w:after="0"/>
              <w:rPr>
                <w:sz w:val="20"/>
                <w:szCs w:val="20"/>
                <w:color w:val="auto"/>
              </w:rPr>
            </w:pPr>
            <w:r>
              <w:rPr>
                <w:rFonts w:ascii="Arial" w:cs="Arial" w:eastAsia="Arial" w:hAnsi="Arial"/>
                <w:sz w:val="14"/>
                <w:szCs w:val="14"/>
                <w:color w:val="auto"/>
              </w:rPr>
              <w:t>Research and development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35,483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20,335</w:t>
            </w:r>
          </w:p>
        </w:tc>
      </w:tr>
      <w:tr>
        <w:trPr>
          <w:trHeight w:val="235"/>
        </w:trPr>
        <w:tc>
          <w:tcPr>
            <w:tcW w:w="8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General and administrative</w:t>
            </w:r>
          </w:p>
        </w:tc>
        <w:tc>
          <w:tcPr>
            <w:tcW w:w="9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10,870</w:t>
            </w:r>
          </w:p>
        </w:tc>
        <w:tc>
          <w:tcPr>
            <w:tcW w:w="10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7,226</w:t>
            </w:r>
          </w:p>
        </w:tc>
      </w:tr>
      <w:tr>
        <w:trPr>
          <w:trHeight w:val="203"/>
        </w:trPr>
        <w:tc>
          <w:tcPr>
            <w:tcW w:w="8220" w:type="dxa"/>
            <w:vAlign w:val="bottom"/>
          </w:tcPr>
          <w:p>
            <w:pPr>
              <w:ind w:left="260"/>
              <w:spacing w:after="0" w:line="161" w:lineRule="exact"/>
              <w:rPr>
                <w:sz w:val="20"/>
                <w:szCs w:val="20"/>
                <w:color w:val="auto"/>
              </w:rPr>
            </w:pPr>
            <w:r>
              <w:rPr>
                <w:rFonts w:ascii="Arial" w:cs="Arial" w:eastAsia="Arial" w:hAnsi="Arial"/>
                <w:sz w:val="14"/>
                <w:szCs w:val="14"/>
                <w:color w:val="auto"/>
              </w:rPr>
              <w:t>Total 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83,566</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50,914</w:t>
            </w:r>
          </w:p>
        </w:tc>
      </w:tr>
      <w:tr>
        <w:trPr>
          <w:trHeight w:val="27"/>
        </w:trPr>
        <w:tc>
          <w:tcPr>
            <w:tcW w:w="8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Percentage of Revenue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Subscription</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revenue</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Subscription</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cost of revenue</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Gross profit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Research and development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operating expenses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expense, net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 before provision for (benefit from)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Provision for (benefit from) income taxes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3020"/>
        <w:spacing w:after="0" w:line="467" w:lineRule="auto"/>
        <w:rPr>
          <w:sz w:val="20"/>
          <w:szCs w:val="20"/>
          <w:color w:val="auto"/>
        </w:rPr>
      </w:pPr>
      <w:r>
        <w:rPr>
          <w:rFonts w:ascii="Arial" w:cs="Arial" w:eastAsia="Arial" w:hAnsi="Arial"/>
          <w:sz w:val="18"/>
          <w:szCs w:val="18"/>
          <w:b w:val="1"/>
          <w:bCs w:val="1"/>
          <w:color w:val="auto"/>
        </w:rPr>
        <w:t>Comparison of the Three Months Ended April 30, 2022 and 2021 Revenue</w:t>
      </w:r>
    </w:p>
    <w:p>
      <w:pPr>
        <w:jc w:val="right"/>
        <w:ind w:right="540"/>
        <w:spacing w:after="0"/>
        <w:rPr>
          <w:sz w:val="20"/>
          <w:szCs w:val="20"/>
          <w:color w:val="auto"/>
        </w:rPr>
      </w:pPr>
      <w:r>
        <w:rPr>
          <w:rFonts w:ascii="Arial" w:cs="Arial" w:eastAsia="Arial" w:hAnsi="Arial"/>
          <w:sz w:val="14"/>
          <w:szCs w:val="14"/>
          <w:b w:val="1"/>
          <w:bCs w:val="1"/>
          <w:color w:val="auto"/>
        </w:rPr>
        <w:t>Three Months Ended April 30,</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5000" w:type="dxa"/>
            <w:vAlign w:val="bottom"/>
          </w:tcPr>
          <w:p>
            <w:pPr>
              <w:spacing w:after="0"/>
              <w:rPr>
                <w:sz w:val="20"/>
                <w:szCs w:val="20"/>
                <w:color w:val="auto"/>
              </w:rPr>
            </w:pPr>
            <w:r>
              <w:rPr>
                <w:rFonts w:ascii="Arial" w:cs="Arial" w:eastAsia="Arial" w:hAnsi="Arial"/>
                <w:sz w:val="14"/>
                <w:szCs w:val="14"/>
                <w:b w:val="1"/>
                <w:bCs w:val="1"/>
                <w:color w:val="auto"/>
              </w:rPr>
              <w:t>(unaudited, in thousands)</w:t>
            </w:r>
          </w:p>
        </w:tc>
        <w:tc>
          <w:tcPr>
            <w:tcW w:w="148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50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23495</wp:posOffset>
            </wp:positionV>
            <wp:extent cx="20745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2"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0" w:lineRule="exact"/>
        <w:rPr>
          <w:sz w:val="20"/>
          <w:szCs w:val="20"/>
          <w:color w:val="auto"/>
        </w:rPr>
      </w:pPr>
    </w:p>
    <w:p>
      <w:pPr>
        <w:spacing w:after="0" w:line="336"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96 %</w:t>
            </w:r>
          </w:p>
        </w:tc>
        <w:tc>
          <w:tcPr>
            <w:tcW w:w="1580" w:type="dxa"/>
            <w:vAlign w:val="bottom"/>
          </w:tcPr>
          <w:p>
            <w:pPr>
              <w:jc w:val="right"/>
              <w:spacing w:after="0"/>
              <w:rPr>
                <w:sz w:val="20"/>
                <w:szCs w:val="20"/>
                <w:color w:val="auto"/>
              </w:rPr>
            </w:pPr>
            <w:r>
              <w:rPr>
                <w:rFonts w:ascii="Arial" w:cs="Arial" w:eastAsia="Arial" w:hAnsi="Arial"/>
                <w:sz w:val="18"/>
                <w:szCs w:val="18"/>
                <w:color w:val="auto"/>
              </w:rPr>
              <w:t>96 %</w:t>
            </w:r>
          </w:p>
        </w:tc>
      </w:tr>
      <w:tr>
        <w:trPr>
          <w:trHeight w:val="283"/>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4 %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50"/>
        </w:trPr>
        <w:tc>
          <w:tcPr>
            <w:tcW w:w="600" w:type="dxa"/>
            <w:vAlign w:val="bottom"/>
          </w:tcPr>
          <w:p>
            <w:pPr>
              <w:jc w:val="right"/>
              <w:ind w:right="30"/>
              <w:spacing w:after="0"/>
              <w:rPr>
                <w:sz w:val="20"/>
                <w:szCs w:val="20"/>
                <w:color w:val="auto"/>
              </w:rPr>
            </w:pPr>
            <w:r>
              <w:rPr>
                <w:rFonts w:ascii="Arial" w:cs="Arial" w:eastAsia="Arial" w:hAnsi="Arial"/>
                <w:sz w:val="18"/>
                <w:szCs w:val="18"/>
                <w:color w:val="auto"/>
                <w:w w:val="90"/>
              </w:rPr>
              <w:t>100 %</w:t>
            </w:r>
          </w:p>
        </w:tc>
        <w:tc>
          <w:tcPr>
            <w:tcW w:w="15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499"/>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22 %</w:t>
            </w:r>
          </w:p>
        </w:tc>
        <w:tc>
          <w:tcPr>
            <w:tcW w:w="158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83"/>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5 %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63"/>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27 %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r>
      <w:tr>
        <w:trPr>
          <w:trHeight w:val="250"/>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73 %</w:t>
            </w:r>
          </w:p>
        </w:tc>
        <w:tc>
          <w:tcPr>
            <w:tcW w:w="158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500"/>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53 %</w:t>
            </w:r>
          </w:p>
        </w:tc>
        <w:tc>
          <w:tcPr>
            <w:tcW w:w="158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0"/>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34 %</w:t>
            </w:r>
          </w:p>
        </w:tc>
        <w:tc>
          <w:tcPr>
            <w:tcW w:w="158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83"/>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13 %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263"/>
        </w:trPr>
        <w:tc>
          <w:tcPr>
            <w:tcW w:w="600" w:type="dxa"/>
            <w:vAlign w:val="bottom"/>
          </w:tcPr>
          <w:p>
            <w:pPr>
              <w:jc w:val="right"/>
              <w:ind w:right="30"/>
              <w:spacing w:after="0"/>
              <w:rPr>
                <w:sz w:val="20"/>
                <w:szCs w:val="20"/>
                <w:color w:val="auto"/>
              </w:rPr>
            </w:pPr>
            <w:r>
              <w:rPr>
                <w:rFonts w:ascii="Arial" w:cs="Arial" w:eastAsia="Arial" w:hAnsi="Arial"/>
                <w:sz w:val="18"/>
                <w:szCs w:val="18"/>
                <w:color w:val="auto"/>
                <w:w w:val="90"/>
              </w:rPr>
              <w:t>100 %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104 %</w:t>
            </w:r>
          </w:p>
        </w:tc>
      </w:tr>
      <w:tr>
        <w:trPr>
          <w:trHeight w:val="250"/>
        </w:trPr>
        <w:tc>
          <w:tcPr>
            <w:tcW w:w="600" w:type="dxa"/>
            <w:vAlign w:val="bottom"/>
          </w:tcPr>
          <w:p>
            <w:pPr>
              <w:jc w:val="right"/>
              <w:ind w:right="30"/>
              <w:spacing w:after="0"/>
              <w:rPr>
                <w:sz w:val="20"/>
                <w:szCs w:val="20"/>
                <w:color w:val="auto"/>
              </w:rPr>
            </w:pPr>
            <w:r>
              <w:rPr>
                <w:rFonts w:ascii="Arial" w:cs="Arial" w:eastAsia="Arial" w:hAnsi="Arial"/>
                <w:sz w:val="18"/>
                <w:szCs w:val="18"/>
                <w:color w:val="auto"/>
                <w:w w:val="95"/>
              </w:rPr>
              <w:t>(27)%</w:t>
            </w: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600" w:type="dxa"/>
            <w:vAlign w:val="bottom"/>
          </w:tcPr>
          <w:p>
            <w:pPr>
              <w:jc w:val="right"/>
              <w:ind w:right="30"/>
              <w:spacing w:after="0"/>
              <w:rPr>
                <w:sz w:val="20"/>
                <w:szCs w:val="20"/>
                <w:color w:val="auto"/>
              </w:rPr>
            </w:pPr>
            <w:r>
              <w:rPr>
                <w:rFonts w:ascii="Arial" w:cs="Arial" w:eastAsia="Arial" w:hAnsi="Arial"/>
                <w:sz w:val="18"/>
                <w:szCs w:val="18"/>
                <w:color w:val="auto"/>
                <w:w w:val="95"/>
              </w:rPr>
              <w:t>(27)%</w:t>
            </w: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83"/>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600" w:type="dxa"/>
            <w:vAlign w:val="bottom"/>
          </w:tcPr>
          <w:p>
            <w:pPr>
              <w:jc w:val="right"/>
              <w:ind w:right="30"/>
              <w:spacing w:after="0"/>
              <w:rPr>
                <w:sz w:val="20"/>
                <w:szCs w:val="20"/>
                <w:color w:val="auto"/>
              </w:rPr>
            </w:pPr>
            <w:r>
              <w:rPr>
                <w:rFonts w:ascii="Arial" w:cs="Arial" w:eastAsia="Arial" w:hAnsi="Arial"/>
                <w:sz w:val="18"/>
                <w:szCs w:val="18"/>
                <w:color w:val="auto"/>
                <w:w w:val="95"/>
              </w:rPr>
              <w:t>(27)%</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6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-33655</wp:posOffset>
            </wp:positionV>
            <wp:extent cx="10026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02665" cy="8890"/>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-8255</wp:posOffset>
            </wp:positionV>
            <wp:extent cx="10026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02665" cy="8890"/>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-213995</wp:posOffset>
            </wp:positionV>
            <wp:extent cx="10026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-565150</wp:posOffset>
            </wp:positionV>
            <wp:extent cx="10026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-908050</wp:posOffset>
            </wp:positionV>
            <wp:extent cx="10026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-1928495</wp:posOffset>
            </wp:positionV>
            <wp:extent cx="10026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32385</wp:posOffset>
            </wp:positionV>
            <wp:extent cx="19888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5" w:lineRule="exact"/>
        <w:rPr>
          <w:sz w:val="20"/>
          <w:szCs w:val="20"/>
          <w:color w:val="auto"/>
        </w:rPr>
      </w:pPr>
    </w:p>
    <w:p>
      <w:pPr>
        <w:ind w:left="180"/>
        <w:spacing w:after="0"/>
        <w:tabs>
          <w:tab w:leader="none" w:pos="174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49" w:lineRule="exact"/>
        <w:rPr>
          <w:sz w:val="20"/>
          <w:szCs w:val="20"/>
          <w:color w:val="auto"/>
        </w:rPr>
      </w:pPr>
    </w:p>
    <w:p>
      <w:pPr>
        <w:sectPr>
          <w:pgSz w:w="11900" w:h="16838" w:orient="portrait"/>
          <w:cols w:equalWidth="0" w:num="2">
            <w:col w:w="8000" w:space="620"/>
            <w:col w:w="2620"/>
          </w:cols>
          <w:pgMar w:left="320" w:top="134" w:right="339" w:bottom="1440" w:gutter="0" w:footer="0" w:header="0"/>
        </w:sectPr>
      </w:pPr>
    </w:p>
    <w:tbl>
      <w:tblPr>
        <w:tblLayout w:type="fixed"/>
        <w:tblInd w:w="0" w:type="dxa"/>
        <w:tblCellMar>
          <w:top w:w="0" w:type="dxa"/>
          <w:left w:w="0" w:type="dxa"/>
          <w:bottom w:w="0" w:type="dxa"/>
          <w:right w:w="0" w:type="dxa"/>
        </w:tblCellMar>
      </w:tblPr>
      <w:tr>
        <w:trPr>
          <w:trHeight w:val="252"/>
        </w:trPr>
        <w:tc>
          <w:tcPr>
            <w:tcW w:w="50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Subscription</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274,581</w:t>
            </w: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174,570</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100,011</w:t>
            </w:r>
          </w:p>
        </w:tc>
        <w:tc>
          <w:tcPr>
            <w:tcW w:w="10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83"/>
        </w:trPr>
        <w:tc>
          <w:tcPr>
            <w:tcW w:w="50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Services</w:t>
            </w: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10,866</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7,078</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54 %</w:t>
            </w:r>
          </w:p>
        </w:tc>
      </w:tr>
      <w:tr>
        <w:trPr>
          <w:trHeight w:val="289"/>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285,447</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181,648</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103,799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ind w:right="180" w:firstLine="486"/>
        <w:spacing w:after="0" w:line="311" w:lineRule="auto"/>
        <w:rPr>
          <w:sz w:val="20"/>
          <w:szCs w:val="20"/>
          <w:color w:val="auto"/>
        </w:rPr>
      </w:pPr>
      <w:r>
        <w:rPr>
          <w:rFonts w:ascii="Arial" w:cs="Arial" w:eastAsia="Arial" w:hAnsi="Arial"/>
          <w:sz w:val="16"/>
          <w:szCs w:val="16"/>
          <w:color w:val="auto"/>
        </w:rPr>
        <w:t>Total revenue growth reflects increased demand for our platform and related services. Subscription revenue increased by $100.0 million primarily due to an increase of $91.9 million from our Direct Sales Customers, inclusive of the impact from Direct Sales Customers who were self-serve customers of MongoDB Atlas in the prior-year period. The growth in services revenue was driven primarily by the increased delivery of consulting services.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 Percentage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April 30,</w:t>
            </w:r>
          </w:p>
        </w:tc>
        <w:tc>
          <w:tcPr>
            <w:tcW w:w="800" w:type="dxa"/>
            <w:vAlign w:val="bottom"/>
          </w:tcPr>
          <w:p>
            <w:pPr>
              <w:spacing w:after="0"/>
              <w:rPr>
                <w:sz w:val="17"/>
                <w:szCs w:val="17"/>
                <w:color w:val="auto"/>
              </w:rPr>
            </w:pPr>
          </w:p>
        </w:tc>
        <w:tc>
          <w:tcPr>
            <w:tcW w:w="118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7"/>
                <w:szCs w:val="17"/>
                <w:color w:val="auto"/>
              </w:rPr>
            </w:pPr>
          </w:p>
        </w:tc>
      </w:tr>
      <w:tr>
        <w:trPr>
          <w:trHeight w:val="19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 in thousands)</w:t>
            </w: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w:t>
            </w:r>
          </w:p>
        </w:tc>
      </w:tr>
      <w:tr>
        <w:trPr>
          <w:trHeight w:val="256"/>
        </w:trPr>
        <w:tc>
          <w:tcPr>
            <w:tcW w:w="4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Subscription cost of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64,569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45,402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19,167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83"/>
        </w:trPr>
        <w:tc>
          <w:tcPr>
            <w:tcW w:w="48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Services cost of revenue</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13,646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9,126</w:t>
            </w: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50 %</w:t>
            </w:r>
          </w:p>
        </w:tc>
      </w:tr>
      <w:tr>
        <w:trPr>
          <w:trHeight w:val="250"/>
        </w:trPr>
        <w:tc>
          <w:tcPr>
            <w:tcW w:w="4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cost of revenue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78,215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54,528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23,687</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83"/>
        </w:trPr>
        <w:tc>
          <w:tcPr>
            <w:tcW w:w="4860" w:type="dxa"/>
            <w:vAlign w:val="bottom"/>
          </w:tcPr>
          <w:p>
            <w:pPr>
              <w:ind w:left="6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207,232</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127,120</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80,112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0"/>
        </w:trPr>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3560" w:type="dxa"/>
            <w:vAlign w:val="bottom"/>
          </w:tcPr>
          <w:p>
            <w:pPr>
              <w:ind w:left="60"/>
              <w:spacing w:after="0"/>
              <w:rPr>
                <w:sz w:val="20"/>
                <w:szCs w:val="20"/>
                <w:color w:val="auto"/>
              </w:rPr>
            </w:pPr>
            <w:r>
              <w:rPr>
                <w:rFonts w:ascii="Arial" w:cs="Arial" w:eastAsia="Arial" w:hAnsi="Arial"/>
                <w:sz w:val="18"/>
                <w:szCs w:val="18"/>
                <w:color w:val="auto"/>
              </w:rPr>
              <w:t>Gross margin</w:t>
            </w:r>
          </w:p>
        </w:tc>
        <w:tc>
          <w:tcPr>
            <w:tcW w:w="3460" w:type="dxa"/>
            <w:vAlign w:val="bottom"/>
          </w:tcPr>
          <w:p>
            <w:pPr>
              <w:jc w:val="right"/>
              <w:ind w:right="530"/>
              <w:spacing w:after="0"/>
              <w:rPr>
                <w:sz w:val="20"/>
                <w:szCs w:val="20"/>
                <w:color w:val="auto"/>
              </w:rPr>
            </w:pPr>
            <w:r>
              <w:rPr>
                <w:rFonts w:ascii="Arial" w:cs="Arial" w:eastAsia="Arial" w:hAnsi="Arial"/>
                <w:sz w:val="18"/>
                <w:szCs w:val="18"/>
                <w:color w:val="auto"/>
              </w:rPr>
              <w:t>73 %</w:t>
            </w:r>
          </w:p>
        </w:tc>
        <w:tc>
          <w:tcPr>
            <w:tcW w:w="4220" w:type="dxa"/>
            <w:vAlign w:val="bottom"/>
          </w:tcPr>
          <w:p>
            <w:pPr>
              <w:jc w:val="right"/>
              <w:ind w:right="3070"/>
              <w:spacing w:after="0"/>
              <w:rPr>
                <w:sz w:val="20"/>
                <w:szCs w:val="20"/>
                <w:color w:val="auto"/>
              </w:rPr>
            </w:pPr>
            <w:r>
              <w:rPr>
                <w:rFonts w:ascii="Arial" w:cs="Arial" w:eastAsia="Arial" w:hAnsi="Arial"/>
                <w:sz w:val="18"/>
                <w:szCs w:val="18"/>
                <w:color w:val="auto"/>
              </w:rPr>
              <w:t>70 %</w:t>
            </w:r>
          </w:p>
        </w:tc>
      </w:tr>
      <w:tr>
        <w:trPr>
          <w:trHeight w:val="270"/>
        </w:trPr>
        <w:tc>
          <w:tcPr>
            <w:tcW w:w="356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3460" w:type="dxa"/>
            <w:vAlign w:val="bottom"/>
          </w:tcPr>
          <w:p>
            <w:pPr>
              <w:jc w:val="right"/>
              <w:ind w:right="530"/>
              <w:spacing w:after="0"/>
              <w:rPr>
                <w:sz w:val="20"/>
                <w:szCs w:val="20"/>
                <w:color w:val="auto"/>
              </w:rPr>
            </w:pPr>
            <w:r>
              <w:rPr>
                <w:rFonts w:ascii="Arial" w:cs="Arial" w:eastAsia="Arial" w:hAnsi="Arial"/>
                <w:sz w:val="18"/>
                <w:szCs w:val="18"/>
                <w:color w:val="auto"/>
              </w:rPr>
              <w:t>76 %</w:t>
            </w:r>
          </w:p>
        </w:tc>
        <w:tc>
          <w:tcPr>
            <w:tcW w:w="4220" w:type="dxa"/>
            <w:vAlign w:val="bottom"/>
          </w:tcPr>
          <w:p>
            <w:pPr>
              <w:jc w:val="right"/>
              <w:ind w:right="3070"/>
              <w:spacing w:after="0"/>
              <w:rPr>
                <w:sz w:val="20"/>
                <w:szCs w:val="20"/>
                <w:color w:val="auto"/>
              </w:rPr>
            </w:pPr>
            <w:r>
              <w:rPr>
                <w:rFonts w:ascii="Arial" w:cs="Arial" w:eastAsia="Arial" w:hAnsi="Arial"/>
                <w:sz w:val="18"/>
                <w:szCs w:val="18"/>
                <w:color w:val="auto"/>
              </w:rPr>
              <w:t>74 %</w:t>
            </w:r>
          </w:p>
        </w:tc>
      </w:tr>
      <w:tr>
        <w:trPr>
          <w:trHeight w:val="270"/>
        </w:trPr>
        <w:tc>
          <w:tcPr>
            <w:tcW w:w="3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Services</w:t>
            </w:r>
          </w:p>
        </w:tc>
        <w:tc>
          <w:tcPr>
            <w:tcW w:w="3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(26)%</w:t>
            </w:r>
          </w:p>
        </w:tc>
        <w:tc>
          <w:tcPr>
            <w:tcW w:w="4220" w:type="dxa"/>
            <w:vAlign w:val="bottom"/>
            <w:shd w:val="clear" w:color="auto" w:fill="CCEEFF"/>
          </w:tcPr>
          <w:p>
            <w:pPr>
              <w:jc w:val="right"/>
              <w:ind w:right="3070"/>
              <w:spacing w:after="0"/>
              <w:rPr>
                <w:sz w:val="20"/>
                <w:szCs w:val="20"/>
                <w:color w:val="auto"/>
              </w:rPr>
            </w:pPr>
            <w:r>
              <w:rPr>
                <w:rFonts w:ascii="Arial" w:cs="Arial" w:eastAsia="Arial" w:hAnsi="Arial"/>
                <w:sz w:val="18"/>
                <w:szCs w:val="18"/>
                <w:color w:val="auto"/>
              </w:rPr>
              <w:t>(29)%</w:t>
            </w:r>
          </w:p>
        </w:tc>
      </w:tr>
    </w:tbl>
    <w:p>
      <w:pPr>
        <w:spacing w:after="0" w:line="229" w:lineRule="exact"/>
        <w:rPr>
          <w:sz w:val="20"/>
          <w:szCs w:val="20"/>
          <w:color w:val="auto"/>
        </w:rPr>
      </w:pPr>
    </w:p>
    <w:p>
      <w:pPr>
        <w:ind w:right="40" w:firstLine="486"/>
        <w:spacing w:after="0" w:line="218" w:lineRule="exact"/>
        <w:rPr>
          <w:sz w:val="20"/>
          <w:szCs w:val="20"/>
          <w:color w:val="auto"/>
        </w:rPr>
      </w:pPr>
      <w:r>
        <w:rPr>
          <w:rFonts w:ascii="Arial" w:cs="Arial" w:eastAsia="Arial" w:hAnsi="Arial"/>
          <w:sz w:val="18"/>
          <w:szCs w:val="18"/>
          <w:color w:val="auto"/>
        </w:rPr>
        <w:t>The increase in subscription cost of revenue was primarily due to a $15.0 million increase in third</w:t>
      </w:r>
      <w:r>
        <w:rPr>
          <w:rFonts w:ascii="MS PGothic" w:cs="MS PGothic" w:eastAsia="MS PGothic" w:hAnsi="MS PGothic"/>
          <w:sz w:val="18"/>
          <w:szCs w:val="18"/>
          <w:color w:val="auto"/>
        </w:rPr>
        <w:t>‑</w:t>
      </w:r>
      <w:r>
        <w:rPr>
          <w:rFonts w:ascii="Arial" w:cs="Arial" w:eastAsia="Arial" w:hAnsi="Arial"/>
          <w:sz w:val="18"/>
          <w:szCs w:val="18"/>
          <w:color w:val="auto"/>
        </w:rPr>
        <w:t>party cloud infrastructure costs, including costs associated with the growth of MongoDB Atlas. The increase in third-party infrastructure costs was partly offset by continued cost efficiencies realized as we scale MongoDB Atlas. In addition, subscription cost of revenue was higher due to a $3.0 million increase in personnel costs and stock-based compensation associated with increased headcount in our support organization. The increase in services cost of revenue was primarily due to a $3.0 million increase in personnel costs and stock-based compensation associated with increased headcount in our services organization, and a $1.1 million increase in professional fees for support services as we scale the business. Total headcount in our support and services organizations increased 36% from April 30, 2021 to April 30, 2022.</w:t>
      </w:r>
    </w:p>
    <w:p>
      <w:pPr>
        <w:spacing w:after="0" w:line="153" w:lineRule="exact"/>
        <w:rPr>
          <w:sz w:val="20"/>
          <w:szCs w:val="20"/>
          <w:color w:val="auto"/>
        </w:rPr>
      </w:pPr>
    </w:p>
    <w:p>
      <w:pPr>
        <w:jc w:val="both"/>
        <w:ind w:right="380" w:firstLine="486"/>
        <w:spacing w:after="0" w:line="286" w:lineRule="auto"/>
        <w:rPr>
          <w:sz w:val="20"/>
          <w:szCs w:val="20"/>
          <w:color w:val="auto"/>
        </w:rPr>
      </w:pPr>
      <w:r>
        <w:rPr>
          <w:rFonts w:ascii="Arial" w:cs="Arial" w:eastAsia="Arial" w:hAnsi="Arial"/>
          <w:sz w:val="17"/>
          <w:szCs w:val="17"/>
          <w:color w:val="auto"/>
        </w:rPr>
        <w:t>Our overall gross margin improved to 73%. Our subscription gross margin increased to 76% as efficiencies realized in managing our third-party cloud infrastructure costs more than offset the negative margin impact from the increasing percentage of revenue from MongoDB Atlas. The impact of higher services personnel costs and stock-based compensation resulted in negative services gross margin.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Sales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tcPr>
          <w:p>
            <w:pPr>
              <w:spacing w:after="0"/>
              <w:rPr>
                <w:sz w:val="17"/>
                <w:szCs w:val="17"/>
                <w:color w:val="auto"/>
              </w:rPr>
            </w:pPr>
          </w:p>
        </w:tc>
      </w:tr>
      <w:tr>
        <w:trPr>
          <w:trHeight w:val="197"/>
        </w:trPr>
        <w:tc>
          <w:tcPr>
            <w:tcW w:w="5020" w:type="dxa"/>
            <w:vAlign w:val="bottom"/>
            <w:tcBorders>
              <w:bottom w:val="single" w:sz="8" w:color="CCEEFF"/>
            </w:tcBorders>
          </w:tcPr>
          <w:p>
            <w:pPr>
              <w:jc w:val="center"/>
              <w:ind w:right="3319"/>
              <w:spacing w:after="0"/>
              <w:rPr>
                <w:sz w:val="20"/>
                <w:szCs w:val="20"/>
                <w:color w:val="auto"/>
              </w:rPr>
            </w:pPr>
            <w:r>
              <w:rPr>
                <w:rFonts w:ascii="Arial" w:cs="Arial" w:eastAsia="Arial" w:hAnsi="Arial"/>
                <w:sz w:val="14"/>
                <w:szCs w:val="14"/>
                <w:b w:val="1"/>
                <w:bCs w:val="1"/>
                <w:color w:val="auto"/>
                <w:w w:val="92"/>
              </w:rPr>
              <w:t>(unaudited, in thousands)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294"/>
        </w:trPr>
        <w:tc>
          <w:tcPr>
            <w:tcW w:w="5020" w:type="dxa"/>
            <w:vAlign w:val="bottom"/>
            <w:tcBorders>
              <w:bottom w:val="single" w:sz="8" w:color="CCEEFF"/>
            </w:tcBorders>
            <w:shd w:val="clear" w:color="auto" w:fill="CCEEFF"/>
          </w:tcPr>
          <w:p>
            <w:pPr>
              <w:jc w:val="center"/>
              <w:ind w:right="3359"/>
              <w:spacing w:after="0"/>
              <w:rPr>
                <w:sz w:val="20"/>
                <w:szCs w:val="20"/>
                <w:color w:val="auto"/>
              </w:rPr>
            </w:pPr>
            <w:r>
              <w:rPr>
                <w:rFonts w:ascii="Arial" w:cs="Arial" w:eastAsia="Arial" w:hAnsi="Arial"/>
                <w:sz w:val="18"/>
                <w:szCs w:val="18"/>
                <w:color w:val="auto"/>
                <w:w w:val="88"/>
              </w:rPr>
              <w:t>Sales and marketing</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150,268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97,890</w:t>
            </w:r>
          </w:p>
        </w:tc>
        <w:tc>
          <w:tcPr>
            <w:tcW w:w="92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52,378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The increase in sales and marketing expense included $32.4 million from higher personnel costs and stock-based compensation, driven by an increase in our sales and marketing headcount to 1,864 as of April 30, 2022 from 1,281 as of April 30, 2021, which includes non-quota-carrying hires in sales operations, customer success and marketing. A portion of the increased personnel costs was due to higher payroll taxes related to the vesting of restricted stock units and stock option exercises, which was impacted by our higher average stock price as compared to the prior year. Sales and marketing expense also increased $15.9 million from costs associated with our higher headcount, including higher commissions expense and higher travel costs related to in-person events. In addition, sales and marketing expenses increased by $2.6 million due to increased spending on marketing programs.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20" w:type="dxa"/>
            <w:vAlign w:val="bottom"/>
          </w:tcPr>
          <w:p>
            <w:pPr>
              <w:spacing w:after="0"/>
              <w:rPr>
                <w:sz w:val="17"/>
                <w:szCs w:val="17"/>
                <w:color w:val="auto"/>
              </w:rPr>
            </w:pPr>
          </w:p>
        </w:tc>
        <w:tc>
          <w:tcPr>
            <w:tcW w:w="298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tcPr>
          <w:p>
            <w:pPr>
              <w:spacing w:after="0"/>
              <w:rPr>
                <w:sz w:val="17"/>
                <w:szCs w:val="17"/>
                <w:color w:val="auto"/>
              </w:rPr>
            </w:pPr>
          </w:p>
        </w:tc>
      </w:tr>
      <w:tr>
        <w:trPr>
          <w:trHeight w:val="19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 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295"/>
        </w:trPr>
        <w:tc>
          <w:tcPr>
            <w:tcW w:w="5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Research and development</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96,372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64,751</w:t>
            </w:r>
          </w:p>
        </w:tc>
        <w:tc>
          <w:tcPr>
            <w:tcW w:w="92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31,621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The increase in research and development expense was primarily driven by a $27.0 million increase in personnel costs and stock-based compensation as we increased our research and development headcount by 32%. A portion of the increased personnel costs was due to higher payroll taxes related to the vesting of restricted stock units and stock option exercises, which was impacted by our higher average stock price as compared to the prior year. Research and development expense also increased $3.4 million from costs associated with our higher headcount, including higher third-party infrastructure costs and higher facilities and computer hardware and software expenses.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20" w:type="dxa"/>
            <w:vAlign w:val="bottom"/>
          </w:tcPr>
          <w:p>
            <w:pPr>
              <w:spacing w:after="0"/>
              <w:rPr>
                <w:sz w:val="17"/>
                <w:szCs w:val="17"/>
                <w:color w:val="auto"/>
              </w:rPr>
            </w:pPr>
          </w:p>
        </w:tc>
        <w:tc>
          <w:tcPr>
            <w:tcW w:w="298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tcPr>
          <w:p>
            <w:pPr>
              <w:spacing w:after="0"/>
              <w:rPr>
                <w:sz w:val="17"/>
                <w:szCs w:val="17"/>
                <w:color w:val="auto"/>
              </w:rPr>
            </w:pPr>
          </w:p>
        </w:tc>
      </w:tr>
      <w:tr>
        <w:trPr>
          <w:trHeight w:val="19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 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295"/>
        </w:trPr>
        <w:tc>
          <w:tcPr>
            <w:tcW w:w="5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36,532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25,925</w:t>
            </w:r>
          </w:p>
        </w:tc>
        <w:tc>
          <w:tcPr>
            <w:tcW w:w="92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10,607</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right="220" w:firstLine="486"/>
        <w:spacing w:after="0" w:line="301" w:lineRule="auto"/>
        <w:rPr>
          <w:sz w:val="20"/>
          <w:szCs w:val="20"/>
          <w:color w:val="auto"/>
        </w:rPr>
      </w:pPr>
      <w:r>
        <w:rPr>
          <w:rFonts w:ascii="Arial" w:cs="Arial" w:eastAsia="Arial" w:hAnsi="Arial"/>
          <w:sz w:val="16"/>
          <w:szCs w:val="16"/>
          <w:color w:val="auto"/>
        </w:rPr>
        <w:t>The increase in general and administrative expense was due to higher costs to support the growth of our business and to maintain compliance as a public company. In particular, these higher costs were driven by an increase in general and administrative personnel headcount resulting in $7.5 million higher personnel costs and stock-based compensation. A portion of the increased personnel costs was due to higher payroll taxes related to the vesting of restricted stock units and stock option exercises, which was impacted by our higher average stock price as compared to the prior year.</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Expense,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20" w:type="dxa"/>
            <w:vAlign w:val="bottom"/>
          </w:tcPr>
          <w:p>
            <w:pPr>
              <w:spacing w:after="0"/>
              <w:rPr>
                <w:sz w:val="17"/>
                <w:szCs w:val="17"/>
                <w:color w:val="auto"/>
              </w:rPr>
            </w:pPr>
          </w:p>
        </w:tc>
        <w:tc>
          <w:tcPr>
            <w:tcW w:w="298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tcPr>
          <w:p>
            <w:pPr>
              <w:spacing w:after="0"/>
              <w:rPr>
                <w:sz w:val="17"/>
                <w:szCs w:val="17"/>
                <w:color w:val="auto"/>
              </w:rPr>
            </w:pPr>
          </w:p>
        </w:tc>
      </w:tr>
      <w:tr>
        <w:trPr>
          <w:trHeight w:val="197"/>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 in thousands)</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254"/>
        </w:trPr>
        <w:tc>
          <w:tcPr>
            <w:tcW w:w="5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expense, net</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98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Other expense, net, for the three months ended April 30, 2022 decreased primarily due to gain on investments, related to our non-marketable securities, as well as lower interest expense following the redemption of convertible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(Benefit from)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20" w:type="dxa"/>
            <w:vAlign w:val="bottom"/>
          </w:tcPr>
          <w:p>
            <w:pPr>
              <w:spacing w:after="0"/>
              <w:rPr>
                <w:sz w:val="17"/>
                <w:szCs w:val="17"/>
                <w:color w:val="auto"/>
              </w:rPr>
            </w:pPr>
          </w:p>
        </w:tc>
        <w:tc>
          <w:tcPr>
            <w:tcW w:w="300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tcPr>
          <w:p>
            <w:pPr>
              <w:spacing w:after="0"/>
              <w:rPr>
                <w:sz w:val="17"/>
                <w:szCs w:val="17"/>
                <w:color w:val="auto"/>
              </w:rPr>
            </w:pPr>
          </w:p>
        </w:tc>
      </w:tr>
      <w:tr>
        <w:trPr>
          <w:trHeight w:val="19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 in thousands)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295"/>
        </w:trPr>
        <w:tc>
          <w:tcPr>
            <w:tcW w:w="5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Provision for (benefit from) income taxes</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96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provision for income taxes during the three months ended April 30, 2022 was primarily due to adjustments to the increase in global income and the associated foreign taxes as the Company continues its global expansion. The benefit from income taxes for the three months ended April 30, 2021, was due to a reduction in the valuation allowance as a result of goodwill from an immaterial business combination and the impact from the adoption of ASU 2020-06, partially offset by an increase in foreign taxes.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0" w:firstLine="486"/>
        <w:spacing w:after="0" w:line="220" w:lineRule="exact"/>
        <w:rPr>
          <w:sz w:val="20"/>
          <w:szCs w:val="20"/>
          <w:color w:val="auto"/>
        </w:rPr>
      </w:pPr>
      <w:r>
        <w:rPr>
          <w:rFonts w:ascii="Arial" w:cs="Arial" w:eastAsia="Arial" w:hAnsi="Arial"/>
          <w:sz w:val="16"/>
          <w:szCs w:val="16"/>
          <w:color w:val="auto"/>
        </w:rPr>
        <w:t>As of April 30, 2022, our principal sources of liquidity were cash, cash equivalents, short</w:t>
      </w:r>
      <w:r>
        <w:rPr>
          <w:rFonts w:ascii="MS PGothic" w:cs="MS PGothic" w:eastAsia="MS PGothic" w:hAnsi="MS PGothic"/>
          <w:sz w:val="16"/>
          <w:szCs w:val="16"/>
          <w:color w:val="auto"/>
        </w:rPr>
        <w:t>‑</w:t>
      </w:r>
      <w:r>
        <w:rPr>
          <w:rFonts w:ascii="Arial" w:cs="Arial" w:eastAsia="Arial" w:hAnsi="Arial"/>
          <w:sz w:val="16"/>
          <w:szCs w:val="16"/>
          <w:color w:val="auto"/>
        </w:rPr>
        <w:t>term investments and restricted cash totaling $1.8 billion. Our cash and cash equivalents primarily consist of bank deposits and money market funds. Our short</w:t>
      </w:r>
      <w:r>
        <w:rPr>
          <w:rFonts w:ascii="MS PGothic" w:cs="MS PGothic" w:eastAsia="MS PGothic" w:hAnsi="MS PGothic"/>
          <w:sz w:val="16"/>
          <w:szCs w:val="16"/>
          <w:color w:val="auto"/>
        </w:rPr>
        <w:t>‑</w:t>
      </w:r>
      <w:r>
        <w:rPr>
          <w:rFonts w:ascii="Arial" w:cs="Arial" w:eastAsia="Arial" w:hAnsi="Arial"/>
          <w:sz w:val="16"/>
          <w:szCs w:val="16"/>
          <w:color w:val="auto"/>
        </w:rPr>
        <w:t>term investments consist of U.S. government treasury securities, and our restricted cash represents collateral for our available credit on corporate credit cards. We believe our existing cash and cash equivalents and short</w:t>
      </w:r>
      <w:r>
        <w:rPr>
          <w:rFonts w:ascii="MS PGothic" w:cs="MS PGothic" w:eastAsia="MS PGothic" w:hAnsi="MS PGothic"/>
          <w:sz w:val="16"/>
          <w:szCs w:val="16"/>
          <w:color w:val="auto"/>
        </w:rPr>
        <w:t>‑</w:t>
      </w:r>
      <w:r>
        <w:rPr>
          <w:rFonts w:ascii="Arial" w:cs="Arial" w:eastAsia="Arial" w:hAnsi="Arial"/>
          <w:sz w:val="16"/>
          <w:szCs w:val="16"/>
          <w:color w:val="auto"/>
        </w:rPr>
        <w:t>term investments will be sufficient to fund our operating and capital needs for at least the next 12 months.</w:t>
      </w:r>
    </w:p>
    <w:p>
      <w:pPr>
        <w:spacing w:after="0" w:line="149"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We have generated significant operating losses and negative cash flows from operations as reflected in our accumulated deficit and historical consolidated statements of cash flows. As of April 30, 2022, we had an accumulated deficit of $1.3 billion. We expect to continue to incur operating losses, may continue to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the macroeconomic environment, the timing and extent of spending to support development efforts, the expansion of sales and marketing and international operation activities, the timing and size of new subscription introductions and customer usage of our platform, the continuing market acceptance of our subscriptions and services and the impact of the ongoing COVID-19 pandemic on the global economy and our business, financial condition and results of operations. As the impact of the ongoing COVID-19 pandemic on the global economy and our operations continues to evolve, we will continue to assess our liquidity needs.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 (unaudited,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51"/>
        </w:trPr>
        <w:tc>
          <w:tcPr>
            <w:tcW w:w="8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10,217</w:t>
            </w:r>
          </w:p>
        </w:tc>
      </w:tr>
      <w:tr>
        <w:trPr>
          <w:trHeight w:val="270"/>
        </w:trPr>
        <w:tc>
          <w:tcPr>
            <w:tcW w:w="8220" w:type="dxa"/>
            <w:vAlign w:val="bottom"/>
          </w:tcPr>
          <w:p>
            <w:pPr>
              <w:ind w:left="1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(28,803)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(7,511)</w:t>
            </w:r>
          </w:p>
        </w:tc>
      </w:tr>
      <w:tr>
        <w:trPr>
          <w:trHeight w:val="270"/>
        </w:trPr>
        <w:tc>
          <w:tcPr>
            <w:tcW w:w="8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Activities</w:t>
      </w:r>
    </w:p>
    <w:p>
      <w:pPr>
        <w:spacing w:after="0" w:line="158" w:lineRule="exact"/>
        <w:rPr>
          <w:sz w:val="20"/>
          <w:szCs w:val="20"/>
          <w:color w:val="auto"/>
        </w:rPr>
      </w:pPr>
    </w:p>
    <w:p>
      <w:pPr>
        <w:ind w:right="100" w:firstLine="648"/>
        <w:spacing w:after="0" w:line="196" w:lineRule="exact"/>
        <w:rPr>
          <w:sz w:val="20"/>
          <w:szCs w:val="20"/>
          <w:color w:val="auto"/>
        </w:rPr>
      </w:pPr>
      <w:r>
        <w:rPr>
          <w:rFonts w:ascii="Arial" w:cs="Arial" w:eastAsia="Arial" w:hAnsi="Arial"/>
          <w:sz w:val="16"/>
          <w:szCs w:val="16"/>
          <w:color w:val="auto"/>
        </w:rPr>
        <w:t>Cash provided by operating activities during the three months ended April 30, 2022 was $11.6 million primarily driven by an increase in our cash collections reflecting overall growth of our sales and our expanding customer base. Accordingly, our accounts receivable decreased by $28.7 million. In addition, our net loss of $77.3 million, included non</w:t>
      </w:r>
      <w:r>
        <w:rPr>
          <w:rFonts w:ascii="MS PGothic" w:cs="MS PGothic" w:eastAsia="MS PGothic" w:hAnsi="MS PGothic"/>
          <w:sz w:val="16"/>
          <w:szCs w:val="16"/>
          <w:color w:val="auto"/>
        </w:rPr>
        <w:t>‑</w:t>
      </w:r>
      <w:r>
        <w:rPr>
          <w:rFonts w:ascii="Arial" w:cs="Arial" w:eastAsia="Arial" w:hAnsi="Arial"/>
          <w:sz w:val="16"/>
          <w:szCs w:val="16"/>
          <w:color w:val="auto"/>
        </w:rPr>
        <w:t>cash charges of $83.6 million for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$3.8 million for depreciation and amortization, $3.0 million for lease-related charges and $2.2 million for accretion of discount on our short-term investments. Partially offsetting these benefits to our operating cash flow were a decrease of $23.0 million in accrued liabilities and a decrease of $4.7 million in deferred commissions, driven primarily by higher commissions paid during the three months ended April 30, 2022, as well as higher prepaid expenses of $3.3 million.</w:t>
      </w:r>
    </w:p>
    <w:p>
      <w:pPr>
        <w:spacing w:after="0" w:line="204" w:lineRule="exact"/>
        <w:rPr>
          <w:sz w:val="20"/>
          <w:szCs w:val="20"/>
          <w:color w:val="auto"/>
        </w:rPr>
      </w:pPr>
    </w:p>
    <w:p>
      <w:pPr>
        <w:ind w:right="100" w:firstLine="648"/>
        <w:spacing w:after="0" w:line="195" w:lineRule="exact"/>
        <w:rPr>
          <w:sz w:val="20"/>
          <w:szCs w:val="20"/>
          <w:color w:val="auto"/>
        </w:rPr>
      </w:pPr>
      <w:r>
        <w:rPr>
          <w:rFonts w:ascii="Arial" w:cs="Arial" w:eastAsia="Arial" w:hAnsi="Arial"/>
          <w:sz w:val="18"/>
          <w:szCs w:val="18"/>
          <w:color w:val="auto"/>
        </w:rPr>
        <w:t>Cash provided by operating activities during the three months ended April 30, 2021 was $10.2 million primarily driven by an increase in our cash collections reflecting overall growth of our sales and our expanding customer base. Accordingly, our accounts receivable decreased by $35.1 million and our deferred revenue increased by $9.7 million. In addition, our net loss of $64.0 million included non</w:t>
      </w:r>
      <w:r>
        <w:rPr>
          <w:rFonts w:ascii="MS PGothic" w:cs="MS PGothic" w:eastAsia="MS PGothic" w:hAnsi="MS PGothic"/>
          <w:sz w:val="18"/>
          <w:szCs w:val="18"/>
          <w:color w:val="auto"/>
        </w:rPr>
        <w:t>‑</w:t>
      </w:r>
      <w:r>
        <w:rPr>
          <w:rFonts w:ascii="Arial" w:cs="Arial" w:eastAsia="Arial" w:hAnsi="Arial"/>
          <w:sz w:val="18"/>
          <w:szCs w:val="18"/>
          <w:color w:val="auto"/>
        </w:rPr>
        <w:t>cash charges of $50.9 million for stock</w:t>
      </w:r>
      <w:r>
        <w:rPr>
          <w:rFonts w:ascii="MS PGothic" w:cs="MS PGothic" w:eastAsia="MS PGothic" w:hAnsi="MS PGothic"/>
          <w:sz w:val="18"/>
          <w:szCs w:val="18"/>
          <w:color w:val="auto"/>
        </w:rPr>
        <w:t>‑</w:t>
      </w:r>
      <w:r>
        <w:rPr>
          <w:rFonts w:ascii="Arial" w:cs="Arial" w:eastAsia="Arial" w:hAnsi="Arial"/>
          <w:sz w:val="18"/>
          <w:szCs w:val="18"/>
          <w:color w:val="auto"/>
        </w:rPr>
        <w:t>based compensation, $3.3 million for depreciation and amortization, $2.5 million for lease-related non-cash charges and $1.4 million for the amortization of our debt issuance costs. Partially offsetting these benefits to our operating cash flow were a decrease of $17.2 million in accrued liabilities, primarily from commissions paid during the three months ended April 30, 2021, as well as higher prepaid expenses of $9.0 million and higher deferred commissions of $5.9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Investing Activities</w:t>
      </w:r>
    </w:p>
    <w:p>
      <w:pPr>
        <w:spacing w:after="0" w:line="171"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Cash used in investing activities during the three months ended April 30, 2022 was $28.8 million, primarily due to cash used to purchase marketable securities, net of maturities, of $25.1 million. In addition, we used $2.5 million for purchases of property and equipment and $1.1 million to invest in additional non-marketable securities.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Cash used in investing activities during the three months ended April 30, 2021 of $7.5 million resulted primarily from $4.5 million of net cash used for an immaterial acquisition and $1.5 million of cash used to purchase marketable securities, net of maturities. In addition, we used $0.9 million to invest in additional non-marketable securities and $0.6 million for purchases of property and equipment.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Financing Activities</w:t>
      </w:r>
    </w:p>
    <w:p>
      <w:pPr>
        <w:spacing w:after="0" w:line="17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Cash provided by financing activities during the three months ended April 30, 2022 was $1.1 million, due to proceeds from the exercise of stock options, partly offset by principal repayments of finance leases.</w:t>
      </w:r>
    </w:p>
    <w:p>
      <w:pPr>
        <w:spacing w:after="0" w:line="116"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Cash used in financing activities during the three months ended April 30, 2021 was $25.3 million, primarily to repay a portion of the principal upon the conversion of the 2024 Notes redeemed during the period, as well as $1.2 million used for principal repayments of finance leases, partially offset by $3.5 million in proceeds from the exercises of stock options.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We have in the past and expect in the future to experience seasonal fluctuations in our revenue and operating results from time to time. We may experience variability and reduced comparability of our quarterly revenue and operating results with respect to the timing and nature of certain of our contracts, particularly multi-year contracts that contain a term license. We may also experience fluctuations as MongoDB Atlas revenue is recorded on a consumption basis and varies with usage, including due to seasonal factors. As MongoDB Atlas revenue continues to increase as a percentage of total revenue, these fluctuations may have a greater impact on our results of operations. We believe that seasonal fluctuations that we have experienced in the past may continue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 xml:space="preserve">During the three months ended April 30, 2022, there were no material changes outside the ordinary course of business to our contractual obligations and commitments from those disclosed in our 2022 Form 10-K. Refer to Note 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Note 7,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our Notes to Unaudited Condensed Consolidated Financial Statements included in Part I, Item 1 of this Quarterly Report on Form 10-Q for further details.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There have been no material changes in our critical accounting estimates from those disclosed in Part II, Item 7, “Management’s Discussion and Analysis of Financial Condition and Results of Operations” of the 2022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94"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QUANTITATIVE AND QUALITATIVE DISCLOSURES ABOUT MARKET RISK.</w:t>
      </w:r>
    </w:p>
    <w:p>
      <w:pPr>
        <w:spacing w:after="0" w:line="165"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 in the ordinary course of business. The uncertainty that exists with respect to the global economic impact of the ongoing COVID-19 pandemic has introduced significant volatility in the financial markets.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Interest Rate Risk</w:t>
      </w:r>
    </w:p>
    <w:p>
      <w:pPr>
        <w:spacing w:after="0" w:line="171"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Our cash and cash equivalents primarily consist of bank deposits and money market funds, and our short-term investments consist of U.S. government treasury securities. As of April 30, 2022, we had cash, cash equivalents, restricted cash and short-term investments of $1.8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April 30, 2022.</w:t>
      </w:r>
    </w:p>
    <w:p>
      <w:pPr>
        <w:spacing w:after="0" w:line="123"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In January 2020, we issued $1.15 billion aggregate principal amount of 0.25% convertible senior notes due 2026 in a private placement (the “2026 Notes”). The fair value of the 2026 Notes is subject to interest rate risk, market risk and other factors due to the conversion feature. The fair value of the 2026 Notes will generally increase as our common stock price increases and will generally decrease as our common stock price declines. The interest and market value changes affect the fair value of the 2026 Notes, but do not impact our financial position, cash flows or results of operations due to the fixed nature of the debt obligation. Additionally, we carry the 2026 Notes at face value less unamortized issuance costs on our balance sheet, and we present the fair value for required disclosure purposes only.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Foreign Currency Risk</w:t>
      </w:r>
    </w:p>
    <w:p>
      <w:pPr>
        <w:spacing w:after="0" w:line="17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 of operations. The effect of a hypothetical 10% change in foreign currency exchange rates applicable to our business would not have a material impact on our historical consolidated financial statements for either of the three-month periods ended April 30, 2022 and 2021.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Market Risk</w:t>
      </w:r>
    </w:p>
    <w:p>
      <w:pPr>
        <w:spacing w:after="0" w:line="171"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We could experience additional volatility to our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As of April 30, 2022 and January 31, 2022, the total amount of non-marketable securities included in other assets on our balance sheet was $7.7 million and $4.8 million.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38"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April 30, 2022. Based on the evaluation of our disclosure controls and procedures as of April 30, 2022, our Chief Executive Officer and Chief Financial Officer concluded that, as of such date, our disclosure controls and procedures were effective at the reasonable assurance level.</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340" w:firstLine="486"/>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Rule 15d-15(d) of the Exchange Act that occurred during the three months ended April 30, 2022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94"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PART II—OTHER INFORMATION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ITEM 1. LEGAL PROCEEDINGS.</w:t>
      </w:r>
    </w:p>
    <w:p>
      <w:pPr>
        <w:spacing w:after="0" w:line="165"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 xml:space="preserve">The information required to be set forth under this Item 1 is incorporated by reference to Note 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the Notes to Condensed Consolidated Financial Statements included in this Form 10-Q.</w:t>
      </w:r>
    </w:p>
    <w:p>
      <w:pPr>
        <w:spacing w:after="0" w:line="11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For example, on March 12, 2019, Realtime filed a lawsuit against us in the United States District Court for the District of Delaware alleging that we are infringing three U.S. patents that it holds: the 908 Patent, the 751 Patent and the 825 Patent. On May 4, 2021, in a consolidated action that includes Realtime's case against MongoDB, the District Court granted certain defendants' motion to dismiss without prejudice, finding that the patents are invalid under 35 U.S.C. § 101. Realtime filed an amended complaint against us on May 18, 2021, and we moved to dismiss that amended complaint on June 29, 2021. On August 23, 2021, the District Court granted our motion to dismiss. On August 25, 2021, Realtime filed a notice of appeal of the Delaware District Court’s order. Realtime filed its appellate brief on December 2, 2021 and the defendants (including MongoDB) filed a responsive brief on March 11, 2022. Realtime filed a reply brief on April 29, 2022. The oral brief argument has not yet been scheduled.</w:t>
      </w:r>
    </w:p>
    <w:p>
      <w:pPr>
        <w:spacing w:after="0" w:line="12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5"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spacing w:after="0" w:line="130"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conditions in our industry or the global economy or reductions in information technology spending could limit our ability to grow our business and materially and adversely affect our results of operations.</w:t>
      </w:r>
    </w:p>
    <w:p>
      <w:pPr>
        <w:spacing w:after="0" w:line="62"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COVID-19 pandemic, related economic downturn and measures taken in response to the pandemic could negatively impact our business, financial condition and results of operations.</w:t>
      </w:r>
    </w:p>
    <w:p>
      <w:pPr>
        <w:spacing w:after="0" w:line="6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meet our publicly announced guidance or other expectations about our business and future operating results, which would cause our stock price to decline.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predict our future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a history of losses and as our costs increase, we may not be able to generate sufficient revenue to achieve or sustain profitability.</w:t>
      </w:r>
    </w:p>
    <w:p>
      <w:pPr>
        <w:spacing w:after="0" w:line="128" w:lineRule="exact"/>
        <w:rPr>
          <w:rFonts w:ascii="Arial" w:cs="Arial" w:eastAsia="Arial" w:hAnsi="Arial"/>
          <w:sz w:val="17"/>
          <w:szCs w:val="17"/>
          <w:color w:val="auto"/>
        </w:rPr>
      </w:pPr>
    </w:p>
    <w:p>
      <w:pPr>
        <w:ind w:left="660" w:right="6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and results of operations depend substantially on our customers renewing their subscriptions with us and expanding their usage of software and related services. Any decline in our customer renewals or failure to</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convince our customers to broaden their usage of subscription offerings and related services could materially and adversely harm our business, results of operations and financial condition.</w:t>
      </w:r>
    </w:p>
    <w:p>
      <w:pPr>
        <w:spacing w:after="0" w:line="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face significant competition and expect that intense competition will continue.</w:t>
      </w:r>
    </w:p>
    <w:p>
      <w:pPr>
        <w:spacing w:after="0" w:line="117"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do not effectively expand our sales and marketing organization, we may be unable to add new customers or increase sales to our existing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decision to offer Community Server under the Server Side Public License (“SSPL”) may harm the adoption of Community Server.</w:t>
      </w:r>
    </w:p>
    <w:p>
      <w:pPr>
        <w:spacing w:after="0" w:line="128" w:lineRule="exact"/>
        <w:rPr>
          <w:rFonts w:ascii="Arial" w:cs="Arial" w:eastAsia="Arial" w:hAnsi="Arial"/>
          <w:sz w:val="17"/>
          <w:szCs w:val="17"/>
          <w:color w:val="auto"/>
        </w:rPr>
      </w:pPr>
    </w:p>
    <w:p>
      <w:pPr>
        <w:ind w:left="660" w:right="1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invested significantly in our MongoDB Atlas offering and, if we fail to continue to attract new MongoDB Atlas customers or retain and expand within existing customers, our business, results of operations and financial condition could be harmed.</w:t>
      </w:r>
    </w:p>
    <w:p>
      <w:pPr>
        <w:spacing w:after="0" w:line="62"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could be negatively impacted if the GNU Affero General Public License Version 3 (the “AGPL”), the SSPL and other open source licenses under which some of our software is licensed are not enforceable.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licensing model for Community Server could negatively affect our ability to monetize and protect our intellectual property rights.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could incur substantial costs in protecting or defending our intellectual property rights and any failure to protect our intellectual property rights could reduce the value of our software and brand.</w:t>
      </w:r>
    </w:p>
    <w:p>
      <w:pPr>
        <w:spacing w:after="0" w:line="62"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not able to introduce new features or services successfully and to make enhancements to our software or services, our business and results of operations could be adversely affected.</w:t>
      </w:r>
    </w:p>
    <w:p>
      <w:pPr>
        <w:spacing w:after="0" w:line="62"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75" w:lineRule="exact"/>
        <w:rPr>
          <w:rFonts w:ascii="Arial" w:cs="Arial" w:eastAsia="Arial" w:hAnsi="Arial"/>
          <w:sz w:val="18"/>
          <w:szCs w:val="18"/>
          <w:color w:val="auto"/>
        </w:rPr>
      </w:pPr>
    </w:p>
    <w:p>
      <w:pPr>
        <w:jc w:val="both"/>
        <w:ind w:left="660" w:right="340" w:hanging="328"/>
        <w:spacing w:after="0" w:line="286"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our security measures, or those of our service providers, are breached or unauthorized access to personal information or otherwise private or proprietary data is otherwise obtained, our software may be perceived as not being secure, customers may reduce or terminate their use of our software and we may face litigation, regulatory investigations, significant liability and reputational damage.</w:t>
      </w:r>
    </w:p>
    <w:p>
      <w:pPr>
        <w:spacing w:after="0" w:line="57" w:lineRule="exact"/>
        <w:rPr>
          <w:rFonts w:ascii="Arial" w:cs="Arial" w:eastAsia="Arial" w:hAnsi="Arial"/>
          <w:sz w:val="17"/>
          <w:szCs w:val="17"/>
          <w:color w:val="auto"/>
        </w:rPr>
      </w:pPr>
    </w:p>
    <w:p>
      <w:pPr>
        <w:ind w:left="660" w:right="5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not able to maintain and enhance our brand, especially among developers, our business and results of operations may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6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materially and adversely affect our results of operations.</w:t>
      </w:r>
    </w:p>
    <w:p>
      <w:pPr>
        <w:spacing w:after="0" w:line="198"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adversely affect our business and results of operations. Negative conditions in the general economy both in the United States and abroad, including conditions resulting from changes in gross domestic product growth, labor shortages, supply chain disruptions, inflationary pressures, financial and credit market fluctuations, international trade relations and/or the imposition of trade tariffs, political turmoil, natural catastrophes, regional or global outbreaks of contagious diseases, such as the ongoing COVID-19 pandemic, warfare and terrorist attacks on the United States, Europe, the Asia Pacific region or elsewhere, could cause a decrease in business investments, including spending on information technology, disrupt the timing and cadence of key industry and marketing events and otherwise could materially and adversely affect the growth of our business.</w:t>
      </w:r>
    </w:p>
    <w:p>
      <w:pPr>
        <w:spacing w:after="0" w:line="208"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Geopolitical risks, including those arising from trade tension and/or the imposition of trade tariffs, terrorist activity or acts of civil or international hostility, are increasing. Similarly, the ongoing military conflict between Russia and Ukraine has created extreme volatility in the global capital markets and is expected to have further global economic consequences, including disruptions of the global supply chain and energy markets. Further, other events outside of our control, including natural disasters, climate change-related events, pandemics (such as the COVID-19 pandemic) or health crises may arise from time to time and be accompanied by governmental actions that may increase international tension. Any such events and responses, including regulatory developments, may cause significant volatility and declines in the global markets,</w:t>
      </w:r>
    </w:p>
    <w:p>
      <w:pPr>
        <w:spacing w:after="0" w:line="200" w:lineRule="exact"/>
        <w:rPr>
          <w:sz w:val="20"/>
          <w:szCs w:val="20"/>
          <w:color w:val="auto"/>
        </w:rPr>
      </w:pPr>
    </w:p>
    <w:p>
      <w:pPr>
        <w:spacing w:after="0" w:line="35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spacing w:after="0" w:line="151"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Additionally, 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Similarly, the ongoing military conflict between Russia and Ukraine has created extreme volatility in the global capital markets and is expected to have further global economic consequences, including disruptions of the global supply chain and energy markets. Any such volatility and disruptions may have material and adverse consequences on us, the third parties on whom we rely or our</w:t>
      </w:r>
    </w:p>
    <w:p>
      <w:pPr>
        <w:spacing w:after="0" w:line="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customers. Increased inflation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spacing w:after="0" w:line="15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20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The ongoing COVID-19 pandemic, related economic downturn and measures taken in response could materially and adversely impact our business, financial condition and results of operations.</w:t>
      </w:r>
    </w:p>
    <w:p>
      <w:pPr>
        <w:spacing w:after="0" w:line="19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Beginning in March 2020, we took measures intended to help minimize the risk of the SARS-CoV-2 virus to our employees, our customers and the communities in which we participate, which measures could negatively impact our business. These measures included temporarily requiring all employees to work remotely, suspending all non-essential travel worldwide for our employees, canceling, postponing or holding virtually MongoDB-sponsored events and discouraging employee attendance at industry events and in-person work-related meetings. In 2021, we began to re-open our offices in the United States and certain other locations globally for employees to voluntarily return. In April 2022, we moved forward with our return to office plan which encompasses a hybrid approach to in-office attendance based on the different needs of teams across the company. While certain travel bans and other restrictions that were implemented at the beginning of the pandemic were relaxed earlier in the year, due to the identification of the Omicron variant of the SARS-CoV-2 virus, among other developments, some of these restrictions were re-imposed, and new restrictions may be implemented. Business travel resumed during 2021 on a voluntary basis and we started to hold some in-person marketing events. Although our travel costs for the year ended January 31, 2022 were below pre-pandemic levels, we expect spending on business travel and in-person marketing events to increase during 2022. We continue to monitor the situation related to the COVID-19 pandemic, and we may adjust our policies as may be required or recommended by federal, foreign, state or local authorities.</w:t>
      </w:r>
    </w:p>
    <w:p>
      <w:pPr>
        <w:spacing w:after="0" w:line="20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While we have a distributed workforce and our employees are accustomed to working remotely or working with other remote employees, our workforce has not historically been fully remote. Additionally, prior to the COVID-19 pandemic, our employees traveled frequently to establish and maintain relationships with one another and with our customers, partners and investors, and some of our business processes assume that employees can review and sign documents in person. We are adopting a hybrid work environment that may also present operational challenges and risks, including reduced productivity, lower employee retention, and increased compliance and tax obligations in a number of jurisdictions. We have informed our employees that they may continue to elect to work remotely until conditions improve, even if their office reopens, and we continue to host large events virtually rather than in person and to travel less frequently for business than we did prior to the pandemic. Although we continue to monitor the situation and may adjust our current policies as more information and guidance become available, reducing travel and in-person business interactions on a long-term basis could negatively impact our marketing efforts, our ability to enter into customer contracts in a timely manner, our international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expansion efforts, our ability to recruit employees across the organization and, in sales and marketing, in particular, which could have longer term effects on our sales pipeline, or create operational or other challenges as our workforce remains predominantly remote, any of which could harm our business. For example, remote and hybrid work arrangements may result in decreased employee productivity and morale with increased regretted employee attrition. In addition, our management team has spent, and will likely continue to spend, significant time, attention and resources monitoring the COVID-19 pandemic and associated global economic uncertainty and seeking to manage its effects on our business and workforce.</w:t>
      </w:r>
    </w:p>
    <w:p>
      <w:pPr>
        <w:spacing w:after="0" w:line="12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particular, the ongoing COVID-19 pandemic, attempts by governments and private organizations to address the pandemic and the associated global economic uncertainty may prevent us or our employees, contractors, suppliers, customers and other business partners from conducting certain business activities, which could materially and adversely impact our business, financial results and results of operations. In the initial stages of the pandemic, business activities were severely curtailed as a result of shelter-in-place and similar orders. Such orders or restrictions and the perception that such orders or restrictions could occur have resulted in business closures, work stoppages, slowdowns and delays, work-from-home policies, travel restrictions and cancellation of events, among other effects that could negatively impact productivity and disrupt our operations and those of our contractors, suppliers, customers and other business partners. As the COVID-19 pandemic has continued and the most stringent limitations on the conduct of in-person business have been lifted, many state, local and foreign governments have continued to put in place, and may in the future re-institute or put in place travel restrictions, limitations on indoor occupancy, masking and/or vaccination requirements and similar government orders and restrictions in order to control the spread of the disease. The ongoing COVID-19 pandemic, including actions by governmental and private actors in response to the pandemic, including vaccination mandates, could adversely affect workforces, customers, economies and financial markets globally, potentially leading to a sustained economic downturn. While it is not possible at this time to predict the duration and extent of the impact that the ongoing COVID-19 pandemic could have on worldwide economic activity and our business in particular, the continued spread of COVID-19, including known variants and other potentially more contagious variants of the SARS-CoV-2 virus, the measures taken by governments, businesses and other organizations in response to COVID-19 and the associated global economic uncertainty could materially and adversely impact our business, financial condition or results of operations.</w:t>
      </w:r>
    </w:p>
    <w:p>
      <w:pPr>
        <w:spacing w:after="0" w:line="19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ultimate impact to our results of operations will depend to a large extent on currently unknowable developments, including the length of time the disruption and uncertainty caused by COVID-19 will continue, which will, in turn, depend on, among other things, the actions taken by authorities and other entities to contain COVID-19 or treat its impact, including the impact of any reopening plans, additional closures and spikes or surges in COVID-19 infection, including as a result of new variants of the SARS-CoV-2 virus, and individuals’ and companies’ risk tolerance regarding health matters going forward, all of which are beyond our control. For example, vaccine mandates have been announced in certain jurisdictions in which our business operates and the implementation of additional vaccination requirements in jurisdictions in which our business operates, could result in attrition, including attrition of critically skilled labor and difficulty securing future labor needs, which could materially and adversely affect our results of operations, financial condition and cash flows. These potential impacts, while uncertain, could harm our business and adversely affect our operating results. In addition, to the extent the ongoing COVID-19 pandemic adversely affects our business and results of operations, it may also have the effect of heightening many of the other risks and uncertainties described in this “Risk Factors” section which may materially and adversely affect our business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predict our future results of operations.</w:t>
      </w:r>
    </w:p>
    <w:p>
      <w:pPr>
        <w:spacing w:after="0" w:line="171"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losses and as our costs increase, we may not be able to generate sufficient revenue to achieve or sustain profitability.</w:t>
      </w:r>
    </w:p>
    <w:p>
      <w:pPr>
        <w:spacing w:after="0" w:line="194"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have incurred net losses in each period since our inception and we had an accumulated deficit of $1.3 billion as of April 30, 2022.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11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derive and expect to continue to derive substantially all of our revenue from our database platform. As such, market adoption of our database platform is critical to our continued success. Demand for our platform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If we are unable to continue to meet the demands of our customers and the developer community, our business operations, financial results and growth prospects will be materially and adversely affected.</w:t>
      </w:r>
    </w:p>
    <w:p>
      <w:pPr>
        <w:spacing w:after="0" w:line="138" w:lineRule="exact"/>
        <w:rPr>
          <w:sz w:val="20"/>
          <w:szCs w:val="20"/>
          <w:color w:val="auto"/>
        </w:rPr>
      </w:pPr>
    </w:p>
    <w:p>
      <w:pPr>
        <w:jc w:val="both"/>
        <w:ind w:right="520"/>
        <w:spacing w:after="0" w:line="311" w:lineRule="auto"/>
        <w:rPr>
          <w:sz w:val="20"/>
          <w:szCs w:val="20"/>
          <w:color w:val="auto"/>
        </w:rPr>
      </w:pPr>
      <w:r>
        <w:rPr>
          <w:rFonts w:ascii="Arial" w:cs="Arial" w:eastAsia="Arial" w:hAnsi="Arial"/>
          <w:sz w:val="16"/>
          <w:szCs w:val="16"/>
          <w:b w:val="1"/>
          <w:bCs w:val="1"/>
          <w:i w:val="1"/>
          <w:iCs w:val="1"/>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176"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Our subscription offerings are term-based and a majority of our subscription contracts were one year in duration in fiscal year 2022.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condition could materially and adversely affected.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face significant competition and expect that intense competition will continue.</w:t>
      </w:r>
    </w:p>
    <w:p>
      <w:pPr>
        <w:spacing w:after="0" w:line="17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database software market, for both relational and non-relational database products, is highly competitive,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on-premise or in a hybrid environment and ease of deployment; breadth of use cases supported; ease of integration with existing IT infrastructure; robustness of professional services and customer support; price and total cost of ownership; adherence to industry standards and certifications; size of customer base and level of user adoption; strength of sales and marketing efforts; and brand awareness and reputation. If we fail to compete effectively with respect to any of these competitive factors, we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may fail to attract new customers or lose or fail to renew existing customers, which would cause our business and results of operations to suffer.</w:t>
      </w:r>
    </w:p>
    <w:p>
      <w:pPr>
        <w:spacing w:after="0" w:line="183" w:lineRule="exact"/>
        <w:rPr>
          <w:sz w:val="20"/>
          <w:szCs w:val="20"/>
          <w:color w:val="auto"/>
        </w:rPr>
      </w:pPr>
    </w:p>
    <w:p>
      <w:pPr>
        <w:jc w:val="both"/>
        <w:ind w:right="260" w:firstLine="486"/>
        <w:spacing w:after="0" w:line="311" w:lineRule="auto"/>
        <w:rPr>
          <w:sz w:val="20"/>
          <w:szCs w:val="20"/>
          <w:color w:val="auto"/>
        </w:rPr>
      </w:pPr>
      <w:r>
        <w:rPr>
          <w:rFonts w:ascii="Arial" w:cs="Arial" w:eastAsia="Arial" w:hAnsi="Arial"/>
          <w:sz w:val="16"/>
          <w:szCs w:val="16"/>
          <w:color w:val="auto"/>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non-relational database software providers. In addition, other large software and internet companies may seek to enter our market.</w:t>
      </w:r>
    </w:p>
    <w:p>
      <w:pPr>
        <w:spacing w:after="0" w:line="95"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As we introduce new technologies and product enhancements, such as the ones we announced during fiscal year 2022,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14"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13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do not effectively expand our sales and marketing organization, we may be unable to add new customers or increase sales to our existing customers.</w:t>
      </w:r>
    </w:p>
    <w:p>
      <w:pPr>
        <w:spacing w:after="0" w:line="116"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Increasing our customer base and achieving broader market acceptance of our subscription offerings and related services will depend, to a significant extent, on our ability to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including as a result of the ongoing COVID-19 pandemic and remote work arrangements, and we may be unable to hire or retain sufficient numbers of qualified individuals in the future in the markets where we do business, particularly during the current period of heightened employee attrition in the United States and other countries.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adoption strategies include offering Community Server and a free tier of MongoDB Atlas and we may not be able to realize the intended benefits of these strategies.</w:t>
      </w:r>
    </w:p>
    <w:p>
      <w:pPr>
        <w:spacing w:after="0" w:line="1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decision to offer Community Server under the SSPL may harm the adoption of Community Server.</w:t>
      </w:r>
    </w:p>
    <w:p>
      <w:pPr>
        <w:spacing w:after="0" w:line="171"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spacing w:after="0" w:line="11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We have invested significantly in our MongoDB Atlas offering and, if we fail to continue to attract new MongoDB Atlas customers or retain and expand within existing customers, our business, results of operations and financial condition could be harmed.</w:t>
      </w:r>
    </w:p>
    <w:p>
      <w:pPr>
        <w:spacing w:after="0" w:line="9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introduced MongoDB Atlas in June 2016 and we have directed and intend to continue to direct a significant portion of our financial and operating resources to develop and grow MongoDB Atlas, including offering a free tier of MongoDB Atlas to generate developer usage and awareness. Although MongoDB Atlas has seen rapid adoption since its commercial launch, we cannot guarantee that rate of adoption will continue at the same pace or at all. If we are unsuccessful in our efforts to increase customer adoption of MongoDB Atlas or retain and expand within existing customers, or if we do so in a way that is not profitable or fails to compete successfully against our current or future competitors, our business, results of operations and financial condition could be harmed.</w:t>
      </w:r>
    </w:p>
    <w:p>
      <w:pPr>
        <w:spacing w:after="0" w:line="21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could be negatively impacted if the AGPL, the SSPL and other open source licenses under which some of our software is licensed are not enforceable.</w:t>
      </w:r>
    </w:p>
    <w:p>
      <w:pPr>
        <w:spacing w:after="0" w:line="116"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after that date. The SSPL builds on the spirit of the AGPL, but includes an explicit condition that any organization using Community Server to offer MongoDB as a third-party service must open source the software that it uses to offer such service. It is possible that a court would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licensing model for Community Server could negatively affect our ability to monetize and protect our intellectual property rights.</w:t>
      </w:r>
    </w:p>
    <w:p>
      <w:pPr>
        <w:spacing w:after="0" w:line="18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make our Community Server offering available under either the SSPL (for versions released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software incorporates third-party open source software, which could negatively affect our ability to sell our products and subject us to possible litigation.</w:t>
      </w:r>
    </w:p>
    <w:p>
      <w:pPr>
        <w:spacing w:after="0" w:line="116"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10"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12"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In addition to risks related to license requirements, the use of third-party open source software can lead to greater risks than the use of third-party commercial software, as open source licensors generally do not provide warranties.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03"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Any of these risks could be difficult to eliminate or manage and if not addressed, could have a negative effect on our business, results of operations and financial condition.</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16"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13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success is highly dependent on our ability to penetrate the existing market for database products, as well as the growth and expansion of the market for database products.</w:t>
      </w:r>
    </w:p>
    <w:p>
      <w:pPr>
        <w:spacing w:after="0" w:line="11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future quarterly results may fluctuate significantly and if we fail to meet the expectations of analysts or investors, our stock price could decline substantially.</w:t>
      </w:r>
    </w:p>
    <w:p>
      <w:pPr>
        <w:spacing w:after="0" w:line="116"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13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actual and anticipated growth rates of our revenue, customers and other key operating metrics;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product announcements, pricing changes and other actions by competitors;</w:t>
      </w:r>
    </w:p>
    <w:p>
      <w:pPr>
        <w:spacing w:after="0" w:line="117" w:lineRule="exact"/>
        <w:rPr>
          <w:rFonts w:ascii="Arial" w:cs="Arial" w:eastAsia="Arial" w:hAnsi="Arial"/>
          <w:sz w:val="18"/>
          <w:szCs w:val="18"/>
          <w:color w:val="auto"/>
        </w:rPr>
      </w:pPr>
    </w:p>
    <w:p>
      <w:pPr>
        <w:ind w:left="660" w:right="120" w:hanging="328"/>
        <w:spacing w:after="0" w:line="28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mix of revenue and associated costs attributable to subscriptions for our MongoDB Enterprise Advanced and MongoDB Atlas offerings (such as our non-cancelable multi-year cloud infrastructure capacity commitments, which require us to pay for such capacity irrespective of actual usage) and professional services, as such relative mix may impact our gross margins and operating income;</w:t>
      </w:r>
    </w:p>
    <w:p>
      <w:pPr>
        <w:spacing w:after="0" w:line="57"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mix of revenue and associated costs attributable to sales where subscriptions are bundled with services versus sold on a standalone basis and sales by us and our partners;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expand our sales and marketing capabilities and teams;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customers and expand their usage of our software, particularly for our largest customers;</w:t>
      </w:r>
    </w:p>
    <w:p>
      <w:pPr>
        <w:spacing w:after="0" w:line="117" w:lineRule="exact"/>
        <w:rPr>
          <w:rFonts w:ascii="Arial" w:cs="Arial" w:eastAsia="Arial" w:hAnsi="Arial"/>
          <w:sz w:val="18"/>
          <w:szCs w:val="18"/>
          <w:color w:val="auto"/>
        </w:rPr>
      </w:pPr>
    </w:p>
    <w:p>
      <w:pPr>
        <w:ind w:left="660" w:right="540" w:hanging="328"/>
        <w:spacing w:after="0" w:line="342"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shelter-in-place, occupancy limitations or similar orders, private travel limitation, or business disruption in regions affecting our operations, stemming from actual, imminent or perceived outbreak of contagious disease, including the ongoing COVID-19 pandemic;</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enforce the AGPL or SSPL;</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closing sales, including the timing of renewals, which may result in revenue being pushed into the next quarter, particularly because a large portion of our sales occur toward the end of each quarter;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revenue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mix of revenue attributable to larger transactions as opposed to smaller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budgeting cycles and purchasing decisions;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customers and potential customers opting for alternative products, including developing their own in-house solutions, or opting to use only the free version of our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software;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maintain the level of service uptime and performance required by our customers;</w:t>
      </w:r>
    </w:p>
    <w:p>
      <w:pPr>
        <w:spacing w:after="0" w:line="117"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collectability of receivables from customers and resellers, which may be hindered or delayed if these customers or resellers experience financial distress;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political and economic conditions, in domestic or international markets;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 including those conditions related to the ongoing COVID-19 pandemic;</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new accounting pronouncements;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stock-based compensation expense.</w:t>
      </w:r>
    </w:p>
    <w:p>
      <w:pPr>
        <w:spacing w:after="0" w:line="17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occurrence of one or more of the foregoing and other factors may cause our results of operations to vary significantly and be materially and adversely affected. For example, the ongoing COVID-19 pandemic could result in material adverse changes in our results of operations and its related political, social and economic impacts may continue to spread. Moreover, fluctuations in our quarterly operating results and the price of our common stock may be particularly pronounced in the current economic environment due to the uncertainty caused by and the unprecedented nature of the COVID-19 pandemic, the ongoing geopolitical instability resulting from the conflict between Russia and Ukraine, severely diminished liquidity and credit availability, declines in consumer confidence, declines in economic growth, increases in unemployment rates, increases in inflation rates, higher interest rates and uncertainty about economic stability. Any of these factors or any combination thereof could materially and adversely affect our business, results of operations and financial condition. We also intend to continue to invest significantly to grow our business in the near future rather than optimizing for profitability or cash flows.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w:t>
      </w:r>
    </w:p>
    <w:p>
      <w:pPr>
        <w:spacing w:after="0" w:line="19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30"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We have recently experienced rapid growth in our business, operations and employee headcount. For fiscal years 2022, 2021 and 2020, our total revenue was $873.8 million, $590.4 million and $421.7 million, respectively, representing a 48% and 40% growth rate, respectively. We have also significantly increased the size of our customer base from over 3,200 customers as of January 31, 2017 to over 33,000 customers as of January 31, 2022, and we grew from 713 employees as of January 31, 2017 to 3,544 employees as of January 31, 2022. We expect to continue to expand our operations and employee headcount in the near term. Our success will depend in part on our ability to continue to grow and to manage this growth, domestically and internationally, effectively.</w:t>
      </w:r>
    </w:p>
    <w:p>
      <w:pPr>
        <w:spacing w:after="0" w:line="138"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Our recent growth has placed and future growth will continue to place, a significant strain on our management, administrative, operational and financial infrastructure. We will need to continue to improve our operational, financial and management processes and controls and our reporting systems and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retain existing customers and expand their use of our products and services, all of which would adversely affect our brand, overall business, results of operations and financial condition.</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If our security measures, or those of our service providers, are breached or unauthorized access to personal data or otherwise private or proprietary data is otherwise obtained, our software may be perceived as not being secure, customers may reduce or terminate their use of our software and we may face litigation, regulatory investigations, significant liability and reputational damage.</w:t>
      </w:r>
    </w:p>
    <w:p>
      <w:pPr>
        <w:spacing w:after="0" w:line="111"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In the ordinary course of our business, we collect, store and process personal data and other confidential information of our employees and our customers. We collect such information from individuals located both in the United States and abroad and may store or process such information outside of the country in which it was collected. We use third-party service providers and subprocessors to help us deliver services to our customers. These third-party service providers and subprocessors may store or process personal data and/or other confidential information of our employees and our customers.</w:t>
      </w:r>
    </w:p>
    <w:p>
      <w:pPr>
        <w:spacing w:after="0" w:line="103" w:lineRule="exact"/>
        <w:rPr>
          <w:sz w:val="20"/>
          <w:szCs w:val="20"/>
          <w:color w:val="auto"/>
        </w:rPr>
      </w:pPr>
    </w:p>
    <w:p>
      <w:pPr>
        <w:ind w:right="20" w:firstLine="486"/>
        <w:spacing w:after="0" w:line="267" w:lineRule="auto"/>
        <w:rPr>
          <w:sz w:val="20"/>
          <w:szCs w:val="20"/>
          <w:color w:val="auto"/>
        </w:rPr>
      </w:pPr>
      <w:r>
        <w:rPr>
          <w:rFonts w:ascii="Arial" w:cs="Arial" w:eastAsia="Arial" w:hAnsi="Arial"/>
          <w:sz w:val="17"/>
          <w:szCs w:val="17"/>
          <w:color w:val="auto"/>
        </w:rPr>
        <w:t>Cyberattacks, malicious internet-based activity, and online and offline fraud are prevalent and continue to increase. These threats are becoming increasingly difficult to detect. These threats come from a variety of sources, including traditional computer “hackers,” threat actors, personnel (such as through theft or misuse), sophisticated nation-states, and nation-state-supported actors.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 Ransomware attacks, including by organized criminal threat actors, nation-states, and nation-state-supported actors, are becoming increasingly prevalent and severe – particularly for companies like ours that are engaged in critical infrastructure or manufacturing –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The COVID-19 pandemic and our remote workforce pose increased risks to our information technology systems and data, as more of our employees work from home, utilizing network connections outside our premises.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3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provide our platform, products, and services.</w:t>
      </w:r>
    </w:p>
    <w:p>
      <w:pPr>
        <w:spacing w:after="0" w:line="133"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We may expend significant resources or modify our business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30"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While we have implemented security measures designed to protect against security incidents, there can be no assurance that these measures will be effective. We have not always been able in the past and may be unable in the future to detect vulnerabilities in our information technology systems (including our products) because such threats and techniques change frequently, are often sophisticated in nature, and may not be detected until after a security incident has occurred. For example, industry publications have reported ransomware attacks on MongoDB instances. We believe these attacks were successful due to the failure by users of our Community Server offering to properly turn on the recommended security settings when running these instances. Despite our efforts to identify and remediate vulnerabilities, if any, in our information technology systems (including our products), our efforts may not be successful. Further, we may experience delays in developing and deploying remedial measures designed to address any such identified vulnerabilities.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116"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platform, products, and services, deter new customers from using our platform, products, and services, and negatively impact our ability to grow and operate our business.</w:t>
      </w:r>
    </w:p>
    <w:p>
      <w:pPr>
        <w:spacing w:after="0" w:line="14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116"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or other confidential data or otherwise relating to privacy or data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 may be long and is unpredictable and our sales efforts require considerable time and expense.</w:t>
      </w:r>
    </w:p>
    <w:p>
      <w:pPr>
        <w:spacing w:after="0" w:line="17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4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sales force, in particular new sales people as we increase the size of our sales force;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discretionary nature of purchasing and budget cycles and decisions;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obstacles placed by a customer’s procurement process;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convert users of our free offerings to paying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conditions and other factors impacting customer budgets;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evaluation of competing products during the purchasing process;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evolving customer demands.</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Given these factors, it is difficult to predict whether and when a sale will be completed and when revenue from a sale will be recognized, particularly the timing of revenue recognition related to the term license portion of our subscription revenue. This could impact the variability and comparability of our quarterly revenue results and may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limited history with our subscription offerings and pricing model and if, in the future, we are forced to reduce prices for our subscription offerings, our revenue and results of operations will be harmed.</w:t>
      </w:r>
    </w:p>
    <w:p>
      <w:pPr>
        <w:spacing w:after="0" w:line="116"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We have limited experience with respect to determining the optimal prices for our subscription offerings. 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11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3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Even if we do attract new customers, the cost of new customer acquisition, product implementation and ongoing customer support may prove so high as to prevent us from achieving or sustaining profitability. For example, in fiscal years 2022, 2021 and 2020, total sales and marketing expense represented 54%, 55% and 53%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and growth of our MongoDB World,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 quality support, our business and reputation could suffer.</w:t>
      </w:r>
    </w:p>
    <w:p>
      <w:pPr>
        <w:spacing w:after="0" w:line="171"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16"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We are subject to stringent and changing obligations related to data privacy and information security. Our actual or perceived failure to comply with such obligations could lead to regulatory investigations or actions; litigation; fines and penalties; a disruption of our business operations; reputational harm; and other adverse business impacts.</w:t>
      </w:r>
    </w:p>
    <w:p>
      <w:pPr>
        <w:spacing w:after="0" w:line="209"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Data privacy has become a significant issue in the United States, Europe and in many other countries and jurisdictions where we offer our software and services. In the ordinary course of business, we collect, receive, store, process, generate, use, transfer, disclose, make accessible, protect, secure, dispose of, transmit, and share (commonly known as processing) personal data and other sensitive information, including proprietary and confidential business data, trade secrets, and intellectual property. Our data processing activities subject us to numerous data privacy and security obligations, such as various laws, regulations, guidance, industry standards, external and internal privacy and security policies, contracts, and other obligations that govern the processing of sensitive data by us and on our behalf.</w:t>
      </w:r>
    </w:p>
    <w:p>
      <w:pPr>
        <w:spacing w:after="0" w:line="138"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data privacy laws, and consumer protection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Additionally, California enacted the California Consumer Privacy Act (the “CCPA”), which became effective on January 1, 2020. The CCPA introduced new requirements regarding the handling of personal data of California consumers and households. The law gives individuals the right to request access to and deletion of their personal data and the right to opt out of sales of their personal data. The CCPA also authorizes private lawsuits to recover statutory damages for certain data breaches. In addition, a new California ballot initiative, the California Privacy Rights Act (the “CPRA”), was passed in November 2020. Effective January 1, 2023, the CPRA will impose additional obligations on companies covered by the legislation and will significantly modify the CCPA, including by expanding consumers’ rights with respect to certain sensitive personal information and establishing a new California Privacy Protection Agency to implement and enforce the CPRA, which could increase the risk of enforcement. The effects of the CCPA and the CPRA are potentially significant and may require us to modify our data collection or processing practices and policies and increase our compliance costs and potential liability with respect to personal information we collect about California residents. Other states have enacted data privacy laws. For example, Virginia passed the Consumer Data Protection Act, Colorado passed the Colorado Privacy Act, and Utah passed the Utah Consumer Privacy Act, all of which become effective in 2023. In addition, data privacy and security laws have been proposed at the federal, state, and local levels in recent years, which could further complicate compliance efforts.</w:t>
      </w:r>
    </w:p>
    <w:p>
      <w:pPr>
        <w:spacing w:after="0" w:line="11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Furthermore, on May 12, 2021 the Biden administration issued an Executive Order requiring federal agencies to implement additional IT security measures, including, among other things, requiring agencies to adopt multifactor authentication and encryption for data at rest and in transit, to the maximum extent consistent with federal records laws and other applicable laws. Additionally, the Executive Order will result in the development of secure software development practices or criteria for a consumer software labeling program and shall reflect a baseline level of secure practices for development of software sold to the U.S. federal government, including requiring developers to maintain greater visibility into their software and making security data publicly available. Due to the Executive Order, federal agencies may require us to modify our cybersecurity practices and policies and increase our compliance costs and, if we are unable to meet the requirements of the Executive Order, it could impede our ability to work with the U.S. government and result in a loss of revenue.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to government regulation, privacy advocates and industry groups may propose new and different self-regulatory standards that may apply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us.</w:t>
      </w:r>
    </w:p>
    <w:p>
      <w:pPr>
        <w:spacing w:after="0" w:line="238"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Internationally, virtually every jurisdiction in which we operate has established its own data security and privacy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and Switzerland is subject to the General Data Protection Regulation (the “GDPR”), which came into effect in May 2018, and other European laws governing the processing of personal data. Data protection authorities in the E.E.A. and Switzerland have the power to impose administrative fines for violations of the GDPR of up to a maximum of €20 million or 4% of the entity’s total worldwide global turnover for the preceding financial year, whichever is higher, and violations of the GDPR may also lead to damages claims by data controllers and data subjects. Since we act as a data processor for our MongoDB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 Countries outside Europe, including without limitation Brazil, which recently enacted the General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Data Protection Law (Lei Geral Proteção de Dados Pessoais, or LGPD) (Law No. 13,709/2018), are implementing significant limitations on the processing of personal data, similar to those in the GDPR. On June 5, 2020, Japan passed amendments to its Act on the Protection of Personal data, or APPI. Both laws broadly regulate the processing of personal data in a manner comparable to the GDPR, and violators of the LGPD and APPI face substantial penalties.</w:t>
      </w:r>
    </w:p>
    <w:p>
      <w:pPr>
        <w:spacing w:after="0" w:line="95" w:lineRule="exact"/>
        <w:rPr>
          <w:sz w:val="20"/>
          <w:szCs w:val="20"/>
          <w:color w:val="auto"/>
        </w:rPr>
      </w:pPr>
    </w:p>
    <w:p>
      <w:pPr>
        <w:ind w:right="100" w:firstLine="486"/>
        <w:spacing w:after="0" w:line="285" w:lineRule="auto"/>
        <w:rPr>
          <w:sz w:val="20"/>
          <w:szCs w:val="20"/>
          <w:color w:val="auto"/>
        </w:rPr>
      </w:pPr>
      <w:r>
        <w:rPr>
          <w:rFonts w:ascii="Arial" w:cs="Arial" w:eastAsia="Arial" w:hAnsi="Arial"/>
          <w:sz w:val="16"/>
          <w:szCs w:val="16"/>
          <w:color w:val="auto"/>
        </w:rPr>
        <w:t>Some of the foreign data protection laws, including, without limitation, the GDPR, may restrict the cross-border transfer of personal data, such as transfers of data to the United States from the E.E.A and Switzerland.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absent appropriate safeguards or other circumstances, the GDPR generally restricts the transfer of personal data to countries outside of the E.E.A. that the European Commission does not consider to provide an adequate level of data privacy and security, such as the United States. The European Commission released a set of “Standard Contractual Clauses” (“SCCs”) that are designed to be a valid mechanism to facilitate personal data transfers out of the EEA to these jurisdictions. Currently, these SCCs are a valid mechanism to transfer personal data outside of the EEA, but there exists some uncertainty regarding whether the SCCs will remain a valid mechanism. Additionally, the SCCs impose additional compliance burdens, such as conducting transfer impact assessments to determine whether additional security measures are necessary to protect the at-issue personal data. In addition, Switzerland and the United Kingdom similarly restrict personal data transfers outside of those jurisdictions to countries such as the United States that do not provide an adequate level of personal data protection, and certain countries outside Europe (e.g. Russia, China,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spacing w:after="0" w:line="120"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In addition to the GDPR, other European legislative proposals and present laws and regulations apply to cookies and similar tracking technologies, electronic communications, and marketing. In the E.E.A. and the United Kingdom, regulators are increasingly focusing on compliance with requirements related to the online behavioral advertising ecosystem. It is anticipated that the ePrivacy Regulation and national implementing laws will replace the current national laws implementing the ePrivacy Directive. Compliance with these laws may require us to make significant operational changes, limit the effectiveness of our marketing activities, divert the attention of our technology personnel, adversely affect our margins, and subject us to liabilities.</w:t>
      </w:r>
    </w:p>
    <w:p>
      <w:pPr>
        <w:spacing w:after="0" w:line="107"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In addition, because data security and privacy are critical competitive factors in our industry, we publish privacy policies and other documentation regarding our collection, processing, use and disclosure of personal data and/or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security and privacy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spacing w:after="0" w:line="112"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Because the interpretation and application of privacy and data protection laws, regulations, rules and other standards are still uncertain and likely to remain uncertain for the foreseeable future, it is possible that these laws, rules, regulations and other actual or alleged legal obligations, such as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privacy concerns, even if unfounded, or the failure, or perceived failure, to comply with applicable privacy or data protection laws, regulations and other actual or alleged obligations, could result in additional cost and liability to us, damage our reputation, inhibit sales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Furthermore, the costs of compliance with and other burdens imposed by, the laws, regulations and policies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Form 10-Q may prove to be inaccurate and even if the market in which we compete achieves the forecasted growth, our business could fail to grow at similar rates, if at all.</w:t>
      </w:r>
    </w:p>
    <w:p>
      <w:pPr>
        <w:spacing w:after="0" w:line="116"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Market opportunity estimates and growth forecasts included in this Form 10-Q are subject to significant uncertainty and are based on third-party assumptions and estimates that may not prove to be accurate. The market in which we compete may not meet the size estimates and may not achieve the growth forecast referenced in this Form 10-Q. Even if the market in which we compete meets the size estimates and the growth forecast referenced in this Form 10-Q, our business could fail to grow at similar rates, if at all, for a variety of reasons, which would adversely affect our results of operations.</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rights could reduce the value of our software and brand.</w:t>
      </w:r>
    </w:p>
    <w:p>
      <w:pPr>
        <w:spacing w:after="0" w:line="116"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success and ability to compete depend in part upon our intellectual property rights. As of January 31, 2022, we had 52 issued patents and 36 pending patent applications in the United States, which may not result in issued patents. Even if a patent issues, we cannot assure you that such patent will be adequate to protect our business. We primarily rely on copyright, trademark laws, trade secret protection and confidentiality or other contractual arrangements with our employees, customers, partners and others to protect our intellectual property rights. However, the steps we take to protect our intellectual property rights may not be adequate.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which may result in the impairment or loss of portions of our intellectual property.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spacing w:after="0" w:line="13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been and may in the future be, subject to intellectual property rights claims by third parties, which may be costly to defend, could require us to pay significant damages and could limit our ability to use certain technologies.</w:t>
      </w:r>
    </w:p>
    <w:p>
      <w:pPr>
        <w:spacing w:after="0" w:line="11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large numbers of patents, copyrights, trademarks and trade secrets and frequently enter into litigation based on allegations of infringement or other violations of intellectual property rights. We have in the past and may in the future be subject to claims that we have misappropriated, misused or infringed the intellectual property rights of our competitors, non-practicing entities or other third parties. This risk is exacerbated by the fact that our software incorporates third-party open source software. For example, Realtime Data (“Realtime”) filed a lawsuit against us in the United States District Court for the District of Delaware in March 2019 alleging that we are infringing three U.S. patents that it holds: the 908 Patent, the 751 Patent and the 825 Patent. See the section titled “Part II, Item 1. Legal Proceedings.”</w:t>
      </w:r>
    </w:p>
    <w:p>
      <w:pPr>
        <w:spacing w:after="0" w:line="141"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on the intellectual property rights of another party, we could be forced to limit or stop sales of subscriptions to our software and may be unable to compete effectively. Any of these results would adversely affect our business, results of operations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successful relationships with our partners, our business, results of operations and financial condition could be harmed.</w:t>
      </w:r>
    </w:p>
    <w:p>
      <w:pPr>
        <w:spacing w:after="0" w:line="20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116" w:lineRule="exact"/>
        <w:rPr>
          <w:sz w:val="20"/>
          <w:szCs w:val="20"/>
          <w:color w:val="auto"/>
        </w:rPr>
      </w:pPr>
    </w:p>
    <w:p>
      <w:pPr>
        <w:ind w:right="80" w:firstLine="486"/>
        <w:spacing w:after="0" w:line="285" w:lineRule="auto"/>
        <w:rPr>
          <w:sz w:val="20"/>
          <w:szCs w:val="20"/>
          <w:color w:val="auto"/>
        </w:rPr>
      </w:pPr>
      <w:r>
        <w:rPr>
          <w:rFonts w:ascii="Arial" w:cs="Arial" w:eastAsia="Arial" w:hAnsi="Arial"/>
          <w:sz w:val="16"/>
          <w:szCs w:val="16"/>
          <w:color w:val="auto"/>
        </w:rPr>
        <w:t>We outsource substantially all of the infrastructure relating to MongoDB Atlas across AWS, Microsoft Azure and GCP to host our cloud offering. If the hosting of MongoDB Atlas gets disrupted for any reason, our business would be negatively impacted.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or security attacks that we cannot predict or prevent. Such outages could lead to the triggering of our service level agreements and the issuance of credits to our cloud offering customers, which may impact our business, results of operations and financial condition. In addition, if our security, or that of any of these third-party cloud providers, is compromised,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technology and infrastructure may adversely affect our business, results of operations and financial condition.</w:t>
      </w:r>
    </w:p>
    <w:p>
      <w:pPr>
        <w:spacing w:after="0" w:line="11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time or at all, or if other performance problems occur, our business, results of operations and financial conditions may be adversely affected.</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16"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38"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meet our service level commitments, our business, results of operations and financial condition could be adversely affected.</w:t>
      </w:r>
    </w:p>
    <w:p>
      <w:pPr>
        <w:spacing w:after="0" w:line="183"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141"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46"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We believe our success has depended, and continues to depend, on the efforts and talents of our senior management team, particularly our Chief Executive Officer, and our highly skilled team members, including our sales personnel, customer-facing technical personnel and software engineers.</w:t>
      </w:r>
    </w:p>
    <w:p>
      <w:pPr>
        <w:spacing w:after="0" w:line="7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 Further, if members of our management and other key personnel in critical functions across our organization are unable to perform their duties or have limited availability due to COVID-19, we may not be able to execute on our business strategy and/or our operations may be negatively impacted.</w:t>
      </w:r>
    </w:p>
    <w:p>
      <w:pPr>
        <w:spacing w:after="0" w:line="124" w:lineRule="exact"/>
        <w:rPr>
          <w:sz w:val="20"/>
          <w:szCs w:val="20"/>
          <w:color w:val="auto"/>
        </w:rPr>
      </w:pPr>
    </w:p>
    <w:p>
      <w:pPr>
        <w:ind w:right="380" w:firstLine="486"/>
        <w:spacing w:after="0" w:line="259" w:lineRule="auto"/>
        <w:rPr>
          <w:sz w:val="20"/>
          <w:szCs w:val="20"/>
          <w:color w:val="auto"/>
        </w:rPr>
      </w:pPr>
      <w:r>
        <w:rPr>
          <w:rFonts w:ascii="Arial" w:cs="Arial" w:eastAsia="Arial" w:hAnsi="Arial"/>
          <w:sz w:val="18"/>
          <w:szCs w:val="18"/>
          <w:color w:val="auto"/>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and software engineers, is intense, and it may be even more challenging to retain qualified personnel as many companies have moved to offer a remote or hybrid work environment, and considering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current period of heightened employee attrition in the United States and other countries. Our recruiting efforts focus on elite organizations and our primary recruiting competition are well-known, high-paying technology companies.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maintain and enhance our brand, especially among developers, our business and results of operations may be adversely affected.</w:t>
      </w:r>
    </w:p>
    <w:p>
      <w:pPr>
        <w:spacing w:after="0" w:line="2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World,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14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spacing w:after="0" w:line="130"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We believe that our culture has been and will continue to be a key contributor to our success. From January 31, 2017 to January 31, 2022, we increased the size of our workforce by 2,831 employees and we expect to continue to hire aggressively as we expand, especially research and development and sales and marketing personnel. Such substantial headcount growth may result in a change to our corporate culture.</w:t>
      </w:r>
    </w:p>
    <w:p>
      <w:pPr>
        <w:spacing w:after="0" w:line="111"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Our leadership team also plays a key role in our corporate culture. We recently hired a Chief Technology Officer, a Chief People Officer and a Chief Marketing Officer, and we may also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 including the ongoing COVID-19 pandemic.</w:t>
      </w:r>
    </w:p>
    <w:p>
      <w:pPr>
        <w:spacing w:after="0" w:line="122"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If we do not continue to maintain and develop our corporate culture, we may be unable to execute effectively and foster the innovation, creativity and entrepreneurial spirit we believe we need to support our growth, which could harm our business.</w:t>
      </w:r>
    </w:p>
    <w:p>
      <w:pPr>
        <w:spacing w:after="0" w:line="11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116"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1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Indemnity provisions in various agreements potentially expose us to substantial liability for data breaches, intellectual property infringement and other losses.</w:t>
      </w:r>
    </w:p>
    <w:p>
      <w:pPr>
        <w:spacing w:after="0" w:line="116"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data breaches,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1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 component of our growth strategy involves the further expansion of our operations and customer base internationally. In the fiscal years ended January 31, 2022, 2021 and 2020, total revenue generated from customers outside the United States was 46%, 44% and 41%,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spacing w:after="0" w:line="1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taxes or trade laws;</w:t>
      </w:r>
    </w:p>
    <w:p>
      <w:pPr>
        <w:spacing w:after="0" w:line="117" w:lineRule="exact"/>
        <w:rPr>
          <w:rFonts w:ascii="Arial" w:cs="Arial" w:eastAsia="Arial" w:hAnsi="Arial"/>
          <w:sz w:val="18"/>
          <w:szCs w:val="18"/>
          <w:color w:val="auto"/>
        </w:rPr>
      </w:pPr>
    </w:p>
    <w:p>
      <w:pPr>
        <w:ind w:left="660" w:right="480" w:hanging="328"/>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shelter-in-place, occupancy limitations or similar orders, private travel limitation, or business disruption in regions affecting our operations, stemming from actual, imminent or perceived outbreak of contagious disease, including the ongoing COVID-19 pandemic;</w:t>
      </w:r>
    </w:p>
    <w:p>
      <w:pPr>
        <w:spacing w:after="0" w:line="15" w:lineRule="exact"/>
        <w:rPr>
          <w:rFonts w:ascii="Arial" w:cs="Arial" w:eastAsia="Arial" w:hAnsi="Arial"/>
          <w:sz w:val="16"/>
          <w:szCs w:val="16"/>
          <w:color w:val="auto"/>
        </w:rPr>
      </w:pPr>
    </w:p>
    <w:p>
      <w:pPr>
        <w:ind w:left="660" w:right="7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data, particularly in EMEA;</w:t>
      </w:r>
    </w:p>
    <w:p>
      <w:pPr>
        <w:spacing w:after="0" w:line="6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differing labor regulations, especially in EMEA, where labor laws are generally more advantageous to employees as compared to the United States, including deemed hourly wage and overtime regulations in these locations;</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62"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costs associated with international operations, including travel, real estate, infrastructure and legal compliance costs;</w:t>
      </w:r>
    </w:p>
    <w:p>
      <w:pPr>
        <w:spacing w:after="0" w:line="117" w:lineRule="exact"/>
        <w:rPr>
          <w:rFonts w:ascii="Arial" w:cs="Arial" w:eastAsia="Arial" w:hAnsi="Arial"/>
          <w:sz w:val="18"/>
          <w:szCs w:val="18"/>
          <w:color w:val="auto"/>
        </w:rPr>
      </w:pPr>
    </w:p>
    <w:p>
      <w:pPr>
        <w:ind w:left="660" w:right="8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other economic factors, including inflation, pricing and currency devaluation;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limitations on our ability to reinvest earnings from operations in one country to fund the capital needs of our operations in other countries;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preferences for local vendors;</w:t>
      </w:r>
    </w:p>
    <w:p>
      <w:pPr>
        <w:spacing w:after="0" w:line="117" w:lineRule="exact"/>
        <w:rPr>
          <w:rFonts w:ascii="Arial" w:cs="Arial" w:eastAsia="Arial" w:hAnsi="Arial"/>
          <w:sz w:val="18"/>
          <w:szCs w:val="18"/>
          <w:color w:val="auto"/>
        </w:rPr>
      </w:pPr>
    </w:p>
    <w:p>
      <w:pPr>
        <w:ind w:left="660" w:right="90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enforcing our intellectual property;</w:t>
      </w:r>
    </w:p>
    <w:p>
      <w:pPr>
        <w:spacing w:after="0" w:line="117"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instability, social unrest, terrorist activities, acts of civil or international hostility, such as the current military conflict and escalating tensions between Russia and Ukraine, natural disasters or regional or global outbreaks of contagious diseases, such as the ongoing COVID-19 pandemic;</w:t>
      </w:r>
    </w:p>
    <w:p>
      <w:pPr>
        <w:spacing w:after="0" w:line="75"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U.K. Bribery Act and similar laws and regulations in other jurisdictions;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13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spacing w:after="0" w:line="70"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might result in lower demand for our offerings, which could adversely affect our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currency exchange rates fluctuate substantially in the future, our financial results, which are reported in U.S. dollars, could be adversely affected.</w:t>
      </w:r>
    </w:p>
    <w:p>
      <w:pPr>
        <w:spacing w:after="0" w:line="194"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11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16"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1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“ransomware,” “viruses,” “worms,” “malware,” “phishing attacks,” “data breaches” and similar malicious programs, behavior and events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1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harm our business and results of operations.</w:t>
      </w:r>
    </w:p>
    <w:p>
      <w:pPr>
        <w:spacing w:after="0" w:line="13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7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success will depend, in part, on our ability to grow our business in response to changing technologies, customer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risks we face in connection with any acquisitions include:</w:t>
      </w:r>
    </w:p>
    <w:p>
      <w:pPr>
        <w:spacing w:after="0" w:line="171" w:lineRule="exact"/>
        <w:rPr>
          <w:sz w:val="20"/>
          <w:szCs w:val="20"/>
          <w:color w:val="auto"/>
        </w:rPr>
      </w:pPr>
    </w:p>
    <w:p>
      <w:pPr>
        <w:ind w:left="660" w:right="24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78"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realize anticipated synergies;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117"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encounter challenges integrating the employees of the acquired company into our company culture;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international transactions, we may face additional challenges related to the integration of operations across different cultures and languages and the economic, political and regulatory risks associated with specific countries;</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successfully sell any acquired products or increase adoption or usage of acquired products, or increase spend by acquired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use of cash to pay for acquisitions would limit other potential uses for our cash;</w:t>
      </w:r>
    </w:p>
    <w:p>
      <w:pPr>
        <w:spacing w:after="0" w:line="117"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incur debt to fund any acquisitions, such debt may subject us to material restrictions on our ability to conduct our business, including financial maintenance covenants; and</w:t>
      </w:r>
    </w:p>
    <w:p>
      <w:pPr>
        <w:spacing w:after="0" w:line="62"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issue a significant amount of equity securities in connection with future acquisitions, existing stockholders may be diluted and earnings per share may decrease.</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occurrence of any of these risks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our non-marketable securities, including partial or complete loss of invested capital. Significant changes in the fair value of our private investment portfolio could negatively impact our financial results.</w:t>
      </w:r>
    </w:p>
    <w:p>
      <w:pPr>
        <w:spacing w:after="0" w:line="116" w:lineRule="exact"/>
        <w:rPr>
          <w:sz w:val="20"/>
          <w:szCs w:val="20"/>
          <w:color w:val="auto"/>
        </w:rPr>
      </w:pPr>
    </w:p>
    <w:p>
      <w:pPr>
        <w:ind w:right="240" w:firstLine="486"/>
        <w:spacing w:after="0" w:line="311" w:lineRule="auto"/>
        <w:rPr>
          <w:sz w:val="20"/>
          <w:szCs w:val="20"/>
          <w:color w:val="auto"/>
        </w:rPr>
      </w:pPr>
      <w:r>
        <w:rPr>
          <w:rFonts w:ascii="Arial" w:cs="Arial" w:eastAsia="Arial" w:hAnsi="Arial"/>
          <w:sz w:val="16"/>
          <w:szCs w:val="16"/>
          <w:color w:val="auto"/>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spacing w:after="0" w:line="9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anti-bribery, anti-corruption and anti-money laundering laws could subject us to penalties and other adverse consequences.</w:t>
      </w:r>
    </w:p>
    <w:p>
      <w:pPr>
        <w:spacing w:after="0" w:line="194"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83"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06"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in the Notes to Unaudited Condensed Consolidated Financial Statements included in Part I, Item 1 of this Quarterly Report on Form 10-Q.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Financial Statements and Unaudited Condensed Consolidated Financial Statements include those related to revenue recognition, allowances for doubtful accounts, the incremental borrowing rate related to our lease liabilities, stock-based compensation, fair value of the liability component of the convertible debt, fair value of common stock and redeemable convertible preferred stock warrants prior to the initial public offering,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16"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33"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12"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spacing w:after="0" w:line="112"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16" w:lineRule="exact"/>
        <w:rPr>
          <w:sz w:val="20"/>
          <w:szCs w:val="20"/>
          <w:color w:val="auto"/>
        </w:rPr>
      </w:pPr>
    </w:p>
    <w:p>
      <w:pPr>
        <w:ind w:right="360" w:firstLine="486"/>
        <w:spacing w:after="0" w:line="263"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4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a multinational organization with a distributed workforce facing increasingly complex tax issues in many jurisdictions, and we could be obligated to pay additional taxes in various jurisdictions.</w:t>
      </w:r>
    </w:p>
    <w:p>
      <w:pPr>
        <w:spacing w:after="0" w:line="103" w:lineRule="exact"/>
        <w:rPr>
          <w:sz w:val="20"/>
          <w:szCs w:val="20"/>
          <w:color w:val="auto"/>
        </w:rPr>
      </w:pPr>
    </w:p>
    <w:p>
      <w:pPr>
        <w:ind w:firstLine="486"/>
        <w:spacing w:after="0" w:line="238"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both the COVID-19 pandemic and new flexible work policies have increased and are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spacing w:after="0" w:line="21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1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spacing w:after="0" w:line="120"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Potential tax reform in the United States may result in significant changes to U.S. federal income taxation law, including changes to the U.S. federal income taxation of corporations (including ours) and/or changes to the U.S. federal income taxation of stockholders in U.S. corporations, including investors in our common stock. For example, the Tax Cuts and Jobs Act of 2017 (the “Act”) was enacted on December 22, 2017 and significantly revised the U.S. corporate income tax law. Furthermore, the Biden Administration has proposed tax legislation under the “Build Back Better Act” (“BBBA”) highlighting potential reversal and revision of key provisions of the Act. As the BBBA is only proposed legislation and has not yet been passed by Congress and enacted into law, we have not yet determined the impact on our effective tax rate, though we continue to monitor the progression of the Biden Administration’s proposals. We are currently unable to predict whether any future changes will occur and, if so, the impact of such changes, including on the U.S. federal income tax considerations relating to the purchase, ownership and disposition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7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As of January 31, 2022, we had net operating loss (“NOL”) carryforwards for U.S. federal and state, Irish and U.K. income tax purposes. A lack of future taxable income would adversely affect our ability to utilize these net operating losses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w:t>
      </w:r>
    </w:p>
    <w:p>
      <w:pPr>
        <w:spacing w:after="0" w:line="138"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70"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spacing w:after="0" w:line="1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16"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70"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2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133" w:lineRule="exact"/>
        <w:rPr>
          <w:sz w:val="20"/>
          <w:szCs w:val="20"/>
          <w:color w:val="auto"/>
        </w:rPr>
      </w:pPr>
    </w:p>
    <w:p>
      <w:pPr>
        <w:ind w:right="420" w:firstLine="486"/>
        <w:spacing w:after="0" w:line="286" w:lineRule="auto"/>
        <w:rPr>
          <w:sz w:val="20"/>
          <w:szCs w:val="20"/>
          <w:color w:val="auto"/>
        </w:rPr>
      </w:pPr>
      <w:r>
        <w:rPr>
          <w:rFonts w:ascii="Arial" w:cs="Arial" w:eastAsia="Arial" w:hAnsi="Arial"/>
          <w:sz w:val="17"/>
          <w:szCs w:val="17"/>
          <w:color w:val="auto"/>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1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power disruptions, computer viruses, Security Breaches or terrorism.</w:t>
      </w:r>
    </w:p>
    <w:p>
      <w:pPr>
        <w:spacing w:after="0" w:line="116"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As of April 30, 2022, we have customers in over 100 countries and employees in over 25 countries. A significant natural disaster or man-made problem, such as an earthquake, fire, flood, an act of terrorism, the regional or global outbreak of a contagious disease, such as the ongoing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economy as a whole. Moreover, these types of events could negatively impact consumer and business spending in the impacted regions or depending upon the severity, globally, which could adversely impact our operating results. For example, the extent to which the ongoing COVID-19 pandemic may continue to impact our business is uncertain; however, we continue to monitor its effect.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3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as computer malware, viruses and computer hacking, fraudulent use attempts and phishing attacks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our environmental, social, and governance activities and disclosures</w:t>
      </w:r>
      <w:r>
        <w:rPr>
          <w:rFonts w:ascii="Arial" w:cs="Arial" w:eastAsia="Arial" w:hAnsi="Arial"/>
          <w:sz w:val="18"/>
          <w:szCs w:val="18"/>
          <w:color w:val="auto"/>
        </w:rPr>
        <w:t>.</w:t>
      </w:r>
    </w:p>
    <w:p>
      <w:pPr>
        <w:spacing w:after="0" w:line="252"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We are in the process of developing our sustainability initiatives. The implementation of such initiatives may require considerable investment and if these initiatives are not perceived to be adequate, our reputation could be harmed.</w:t>
      </w:r>
    </w:p>
    <w:p>
      <w:pPr>
        <w:spacing w:after="0" w:line="19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Additionally,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with any new legal and regulatory requirements in the United States and elsewhere may be substantial. Furthermore, industry and market practices may further develop to become even more robust than what is required under any new laws and regulations, and we may have to expend significant efforts and resources to keep up with market trends and stay competitive among our peers.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trading price of our common stock has been and is likely to continue to be volatile, which could cause the value of our common stock to decline.</w:t>
      </w:r>
    </w:p>
    <w:p>
      <w:pPr>
        <w:spacing w:after="0" w:line="206"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spacing w:after="0" w:line="13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actual or anticipated changes or fluctuations in our results of operations;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whether our results of operations meet the expectations of securities analysts or investors;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announcements of new products or technologies, commercial relationships, acquisitions or other events by us or our competitors;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changes in how customers perceive the benefits of our product and future product offerings and releases;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departures of key personnel;</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price and volume fluctuations in the overall stock market from time to time;</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fluctuations in the trading volume of our shares or the size of our public float;</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sales of large blocks of our common stock;</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changes in actual or future expectations of investors or securities analysts;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significant data breach involving our software;</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litigation involving us, our industry, or both;</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regulatory developments in the United States, foreign countries or both;</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general economic conditions and trends;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major catastrophic events in our domestic and foreign markets; and</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“flash crashes,” “freeze flashes” or other glitches that disrupt trading on the securities exchange on which we are listed.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116"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impact of the ongoing COVID-19 pandemic and the macroeconomic environment,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conditions caused by the ongoing COVID-19 pandemic, the ongoing geopolitical instability resulting from the conflict between Russia and Ukraine, severely diminished liquidity and credit availability, declines in consumer confidence, declines in economic growth, increases in unemployment rates, increases in inflation rates, higher interest rates and uncertainty about economic stability, any of which or combination 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20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33"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1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for the foreseeable future.</w:t>
      </w:r>
    </w:p>
    <w:p>
      <w:pPr>
        <w:spacing w:after="0" w:line="171" w:lineRule="exact"/>
        <w:rPr>
          <w:sz w:val="20"/>
          <w:szCs w:val="20"/>
          <w:color w:val="auto"/>
        </w:rPr>
      </w:pPr>
    </w:p>
    <w:p>
      <w:pPr>
        <w:jc w:val="both"/>
        <w:ind w:right="240" w:firstLine="486"/>
        <w:spacing w:after="0" w:line="263" w:lineRule="auto"/>
        <w:rPr>
          <w:sz w:val="20"/>
          <w:szCs w:val="20"/>
          <w:color w:val="auto"/>
        </w:rPr>
      </w:pPr>
      <w:r>
        <w:rPr>
          <w:rFonts w:ascii="Arial" w:cs="Arial" w:eastAsia="Arial" w:hAnsi="Arial"/>
          <w:sz w:val="18"/>
          <w:szCs w:val="18"/>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spacing w:after="0" w:line="13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16" w:lineRule="exact"/>
        <w:rPr>
          <w:sz w:val="20"/>
          <w:szCs w:val="20"/>
          <w:color w:val="auto"/>
        </w:rPr>
      </w:pPr>
    </w:p>
    <w:p>
      <w:pPr>
        <w:ind w:right="140" w:firstLine="486"/>
        <w:spacing w:after="0" w:line="269"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3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133"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103"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95"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1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71"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t>
      </w:r>
      <w:r>
        <w:rPr>
          <w:rFonts w:ascii="Arial" w:cs="Arial" w:eastAsia="Arial" w:hAnsi="Arial"/>
          <w:sz w:val="18"/>
          <w:szCs w:val="18"/>
          <w:color w:val="212529"/>
        </w:rPr>
        <w:t>While the Delaware courts have</w:t>
      </w:r>
      <w:r>
        <w:rPr>
          <w:rFonts w:ascii="Arial" w:cs="Arial" w:eastAsia="Arial" w:hAnsi="Arial"/>
          <w:sz w:val="18"/>
          <w:szCs w:val="18"/>
          <w:color w:val="auto"/>
        </w:rPr>
        <w:t xml:space="preserve"> </w:t>
      </w:r>
      <w:r>
        <w:rPr>
          <w:rFonts w:ascii="Arial" w:cs="Arial" w:eastAsia="Arial" w:hAnsi="Arial"/>
          <w:sz w:val="18"/>
          <w:szCs w:val="18"/>
          <w:color w:val="212529"/>
        </w:rPr>
        <w:t>determined that such choice of forum</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212529"/>
        </w:rPr>
        <w:t>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spacing w:after="0" w:line="10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Delaware law and our corporate charter and bylaws contain anti-takeover provisions that could delay or discourage takeover attempts that stockholders may consider favorable.</w:t>
      </w:r>
    </w:p>
    <w:p>
      <w:pPr>
        <w:spacing w:after="0" w:line="116" w:lineRule="exact"/>
        <w:rPr>
          <w:sz w:val="20"/>
          <w:szCs w:val="20"/>
          <w:color w:val="auto"/>
        </w:rPr>
      </w:pPr>
    </w:p>
    <w:p>
      <w:pPr>
        <w:jc w:val="both"/>
        <w:ind w:right="140" w:firstLine="486"/>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95" w:lineRule="exact"/>
        <w:rPr>
          <w:sz w:val="20"/>
          <w:szCs w:val="20"/>
          <w:color w:val="auto"/>
        </w:rPr>
      </w:pPr>
    </w:p>
    <w:p>
      <w:pPr>
        <w:ind w:left="660" w:right="4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62" w:lineRule="exact"/>
        <w:rPr>
          <w:rFonts w:ascii="Arial" w:cs="Arial" w:eastAsia="Arial" w:hAnsi="Arial"/>
          <w:sz w:val="18"/>
          <w:szCs w:val="18"/>
          <w:color w:val="auto"/>
        </w:rPr>
      </w:pPr>
    </w:p>
    <w:p>
      <w:pPr>
        <w:jc w:val="both"/>
        <w:ind w:left="660" w:right="54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5" w:lineRule="exact"/>
        <w:rPr>
          <w:rFonts w:ascii="Arial" w:cs="Arial" w:eastAsia="Arial" w:hAnsi="Arial"/>
          <w:sz w:val="16"/>
          <w:szCs w:val="16"/>
          <w:color w:val="auto"/>
        </w:rPr>
      </w:pPr>
    </w:p>
    <w:p>
      <w:pPr>
        <w:ind w:left="660" w:right="70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5" w:lineRule="exact"/>
        <w:rPr>
          <w:rFonts w:ascii="Arial" w:cs="Arial" w:eastAsia="Arial" w:hAnsi="Arial"/>
          <w:sz w:val="16"/>
          <w:szCs w:val="16"/>
          <w:color w:val="auto"/>
        </w:rPr>
      </w:pPr>
    </w:p>
    <w:p>
      <w:pPr>
        <w:ind w:left="660" w:right="7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spacing w:after="0" w:line="75"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78" w:lineRule="exact"/>
        <w:rPr>
          <w:rFonts w:ascii="Arial" w:cs="Arial" w:eastAsia="Arial" w:hAnsi="Arial"/>
          <w:sz w:val="18"/>
          <w:szCs w:val="18"/>
          <w:color w:val="auto"/>
        </w:rPr>
      </w:pPr>
    </w:p>
    <w:p>
      <w:pPr>
        <w:ind w:left="660" w:right="58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15" w:lineRule="exact"/>
        <w:rPr>
          <w:rFonts w:ascii="Arial" w:cs="Arial" w:eastAsia="Arial" w:hAnsi="Arial"/>
          <w:sz w:val="16"/>
          <w:szCs w:val="16"/>
          <w:color w:val="auto"/>
        </w:rPr>
      </w:pPr>
    </w:p>
    <w:p>
      <w:pPr>
        <w:jc w:val="both"/>
        <w:ind w:left="660" w:right="28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30"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Notes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incurred a significant amount of debt and may in the future incur additional indebtedness. We may not have sufficient cash flow from our business to make payments on our substantial debt when due.</w:t>
      </w:r>
    </w:p>
    <w:p>
      <w:pPr>
        <w:spacing w:after="0" w:line="116"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In June and July 2018, we issued $300.0 million aggregate principal amount of 0.75% convertible senior notes due 2024 (the “2024 Notes”), which were redeemed on December 3, 2021, in a private placement and in January 2020, we issued $1.15 billion aggregate principal amount of 0.25% convertible senior notes due 2026 (the “2026 Notes” and, together with</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2024 Notes, the “Notes”) in a private placement and concurrently repurchased for cash approximately $210.0 million of the aggregate principal amount of the 2024 Notes.</w:t>
      </w:r>
    </w:p>
    <w:p>
      <w:pPr>
        <w:spacing w:after="0" w:line="116"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We may be required to use a substantial portion of our cash flows from operations to pay interest and principal on our indebtedness. Our ability to make scheduled payments of the principal of, to pay interest on or to refinance our indebtedness, including the 2026 Notes,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w:t>
      </w:r>
    </w:p>
    <w:p>
      <w:pPr>
        <w:spacing w:after="0" w:line="12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addition, we and our subsidiaries may incur substantial additional debt in the future, subject to the restrictions contained in our future debt agreements, some of which may be secured debt. We are not restricted under the terms of the indentures governing the 2026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Notes that could have the effect of diminishing our ability to make payments on the Notes when due.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2026 Notes, if triggered, may adversely affect our financial condition and operating results.</w:t>
      </w:r>
    </w:p>
    <w:p>
      <w:pPr>
        <w:spacing w:after="0" w:line="18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the event the conditional conversion feature of the 2026 Notes is triggered, holders of the 2026 Notes will be entitled to convert their 2026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even if holders of 2026 Notes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124"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The conditional conversion feature of the 2026 Notes was triggered during the three months ended April 30, 2022, as the last reported sale price of our common stock was more than or equal to 130% of the applicable conversion price for each series of Notes for at least 20 trading days in the period of 30 consecutive trading days ending on October 31, 2021 (the last trading day of the fiscal quarter). Therefore, the 2026 Notes are currently convertible at the option of the holders thereof, in whole or in part, from May 1, 2021 through July 31, 2021. Whether the 2026 Notes will be convertible following such fiscal quarter will depend on the continued satisfaction of this condition or another conversion condition in the future.</w:t>
      </w:r>
    </w:p>
    <w:p>
      <w:pPr>
        <w:spacing w:after="0" w:line="122"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Upon conversion of the 2026 Notes, unless we elect to deliver solely shares of our common stock to settle such conversion (other than paying cash in lieu of delivering any fractional share), we will be required to make cash payments in respect of the 2026 Notes being converted, which could adversely affect our liquidity.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2026 Notes and our common stock.</w:t>
      </w:r>
    </w:p>
    <w:p>
      <w:pPr>
        <w:spacing w:after="0" w:line="171" w:lineRule="exact"/>
        <w:rPr>
          <w:sz w:val="20"/>
          <w:szCs w:val="20"/>
          <w:color w:val="auto"/>
        </w:rPr>
      </w:pPr>
    </w:p>
    <w:p>
      <w:pPr>
        <w:ind w:right="240" w:firstLine="486"/>
        <w:spacing w:after="0" w:line="296" w:lineRule="auto"/>
        <w:rPr>
          <w:sz w:val="20"/>
          <w:szCs w:val="20"/>
          <w:color w:val="auto"/>
        </w:rPr>
      </w:pPr>
      <w:r>
        <w:rPr>
          <w:rFonts w:ascii="Arial" w:cs="Arial" w:eastAsia="Arial" w:hAnsi="Arial"/>
          <w:sz w:val="16"/>
          <w:szCs w:val="16"/>
          <w:color w:val="auto"/>
        </w:rPr>
        <w:t>In connection with the pricing of the 2026 Notes, we entered into privately negotiated capped call transactions with certain counterparties. The capped call transactions cover, subject to customary adjustments, the number of shares of our common stock initially underlying the 2026 Notes. The capped call transactions are expected to offset the potential dilution to our common stock upon any conversion of the 2026 Notes. In connection with establishing their initial hedges of the capped call transactions, the counterparties or their respective affiliates entered into various derivative transactions with respect to our common stock concurrently with or shortly after the pricing of the 2026 Notes, including with certain investors in the 2026 Notes.</w:t>
      </w:r>
    </w:p>
    <w:p>
      <w:pPr>
        <w:spacing w:after="0" w:line="107"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counterparties or their respective affiliates may modify their hedge positions by entering into or unwinding various derivatives with respect to our common stock and/or purchasing or selling our common stock or other securities of</w:t>
      </w:r>
    </w:p>
    <w:p>
      <w:pPr>
        <w:spacing w:after="0" w:line="200" w:lineRule="exact"/>
        <w:rPr>
          <w:sz w:val="20"/>
          <w:szCs w:val="20"/>
          <w:color w:val="auto"/>
        </w:rPr>
      </w:pPr>
    </w:p>
    <w:p>
      <w:pPr>
        <w:spacing w:after="0" w:line="34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4" w:name="page65"/>
    <w:bookmarkEnd w:id="64"/>
    <w:p>
      <w:pPr>
        <w:ind w:left="33"/>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ind w:right="-72"/>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33"/>
        <w:spacing w:after="0" w:line="255" w:lineRule="auto"/>
        <w:rPr>
          <w:sz w:val="20"/>
          <w:szCs w:val="20"/>
          <w:color w:val="auto"/>
        </w:rPr>
      </w:pPr>
      <w:r>
        <w:rPr>
          <w:rFonts w:ascii="Arial" w:cs="Arial" w:eastAsia="Arial" w:hAnsi="Arial"/>
          <w:sz w:val="18"/>
          <w:szCs w:val="18"/>
          <w:color w:val="auto"/>
        </w:rPr>
        <w:t>ours in secondary market transactions prior to the maturity of the 2026 Notes (and are likely to do so on each exercise date of the capped call transactions, which are scheduled to occur during the observation period relating to any conversion of the 2026 Notes on or after October 15, 2025), or following any termination of any portion of the capped call transactions in connection with any repurchase, redemption or early conversions of the 2026 Notes or otherwise. This activity could also cause or avoid an increase or a decrease in the market price of our common stock. We do not make any representation or prediction as to the direction or magnitude of any potential effect that the transactions described above may have on the price of shares of our common stock.</w:t>
      </w:r>
    </w:p>
    <w:p>
      <w:pPr>
        <w:spacing w:after="0" w:line="382" w:lineRule="exact"/>
        <w:rPr>
          <w:sz w:val="20"/>
          <w:szCs w:val="20"/>
          <w:color w:val="auto"/>
        </w:rPr>
      </w:pPr>
    </w:p>
    <w:p>
      <w:pPr>
        <w:ind w:left="73"/>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75" w:lineRule="exact"/>
        <w:rPr>
          <w:sz w:val="20"/>
          <w:szCs w:val="20"/>
          <w:color w:val="auto"/>
        </w:rPr>
      </w:pPr>
    </w:p>
    <w:p>
      <w:pPr>
        <w:ind w:left="533" w:right="7160" w:hanging="492"/>
        <w:spacing w:after="0" w:line="438" w:lineRule="auto"/>
        <w:tabs>
          <w:tab w:leader="none" w:pos="52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Equity Securities </w:t>
      </w:r>
      <w:r>
        <w:rPr>
          <w:rFonts w:ascii="Arial" w:cs="Arial" w:eastAsia="Arial" w:hAnsi="Arial"/>
          <w:sz w:val="18"/>
          <w:szCs w:val="18"/>
          <w:color w:val="auto"/>
        </w:rPr>
        <w:t>None.</w:t>
      </w:r>
    </w:p>
    <w:p>
      <w:pPr>
        <w:ind w:left="533" w:right="9500" w:hanging="492"/>
        <w:spacing w:after="0" w:line="493" w:lineRule="auto"/>
        <w:tabs>
          <w:tab w:leader="none" w:pos="523"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Use of Proceeds </w:t>
      </w:r>
      <w:r>
        <w:rPr>
          <w:rFonts w:ascii="Arial" w:cs="Arial" w:eastAsia="Arial" w:hAnsi="Arial"/>
          <w:sz w:val="16"/>
          <w:szCs w:val="16"/>
          <w:color w:val="auto"/>
        </w:rPr>
        <w:t>None.</w:t>
      </w:r>
    </w:p>
    <w:p>
      <w:pPr>
        <w:ind w:left="533" w:right="7900" w:hanging="533"/>
        <w:spacing w:after="0" w:line="470" w:lineRule="auto"/>
        <w:tabs>
          <w:tab w:leader="none" w:pos="489"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355" w:lineRule="exact"/>
        <w:rPr>
          <w:sz w:val="20"/>
          <w:szCs w:val="20"/>
          <w:color w:val="auto"/>
        </w:rPr>
      </w:pPr>
    </w:p>
    <w:p>
      <w:pPr>
        <w:ind w:left="33"/>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165" w:lineRule="exact"/>
        <w:rPr>
          <w:sz w:val="20"/>
          <w:szCs w:val="20"/>
          <w:color w:val="auto"/>
        </w:rPr>
      </w:pPr>
    </w:p>
    <w:p>
      <w:pPr>
        <w:ind w:left="493"/>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33"/>
        <w:spacing w:after="0"/>
        <w:rPr>
          <w:sz w:val="20"/>
          <w:szCs w:val="20"/>
          <w:color w:val="auto"/>
        </w:rPr>
      </w:pPr>
      <w:r>
        <w:rPr>
          <w:rFonts w:ascii="Arial" w:cs="Arial" w:eastAsia="Arial" w:hAnsi="Arial"/>
          <w:sz w:val="22"/>
          <w:szCs w:val="22"/>
          <w:b w:val="1"/>
          <w:bCs w:val="1"/>
          <w:color w:val="auto"/>
        </w:rPr>
        <w:t>ITEM 4. MINE SAFETY DISCLOSURES.</w:t>
      </w:r>
    </w:p>
    <w:p>
      <w:pPr>
        <w:spacing w:after="0" w:line="165" w:lineRule="exact"/>
        <w:rPr>
          <w:sz w:val="20"/>
          <w:szCs w:val="20"/>
          <w:color w:val="auto"/>
        </w:rPr>
      </w:pPr>
    </w:p>
    <w:p>
      <w:pPr>
        <w:ind w:left="493"/>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33"/>
        <w:spacing w:after="0"/>
        <w:rPr>
          <w:sz w:val="20"/>
          <w:szCs w:val="20"/>
          <w:color w:val="auto"/>
        </w:rPr>
      </w:pPr>
      <w:r>
        <w:rPr>
          <w:rFonts w:ascii="Arial" w:cs="Arial" w:eastAsia="Arial" w:hAnsi="Arial"/>
          <w:sz w:val="22"/>
          <w:szCs w:val="22"/>
          <w:b w:val="1"/>
          <w:bCs w:val="1"/>
          <w:color w:val="auto"/>
        </w:rPr>
        <w:t>ITEM 5. OTHER INFORMATION.</w:t>
      </w:r>
    </w:p>
    <w:p>
      <w:pPr>
        <w:spacing w:after="0" w:line="165" w:lineRule="exact"/>
        <w:rPr>
          <w:sz w:val="20"/>
          <w:szCs w:val="20"/>
          <w:color w:val="auto"/>
        </w:rPr>
      </w:pPr>
    </w:p>
    <w:p>
      <w:pPr>
        <w:ind w:left="493"/>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173355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3"/>
          </w:cols>
          <w:pgMar w:left="287" w:top="134" w:right="37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4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rPr>
              <w:t>Incorporated by Reference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09"/>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540" w:type="dxa"/>
            <w:vAlign w:val="bottom"/>
            <w:gridSpan w:val="4"/>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77"/>
        </w:trPr>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2"/>
          </w:tcPr>
          <w:p>
            <w:pPr>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spacing w:after="0"/>
              <w:rPr>
                <w:sz w:val="20"/>
                <w:szCs w:val="20"/>
                <w:color w:val="auto"/>
              </w:rPr>
            </w:pPr>
            <w:r>
              <w:rPr>
                <w:rFonts w:ascii="Arial" w:cs="Arial" w:eastAsia="Arial" w:hAnsi="Arial"/>
                <w:sz w:val="14"/>
                <w:szCs w:val="14"/>
                <w:b w:val="1"/>
                <w:bCs w:val="1"/>
                <w:color w:val="auto"/>
              </w:rPr>
              <w:t>Form</w:t>
            </w:r>
          </w:p>
        </w:tc>
        <w:tc>
          <w:tcPr>
            <w:tcW w:w="1280" w:type="dxa"/>
            <w:vAlign w:val="bottom"/>
          </w:tcPr>
          <w:p>
            <w:pPr>
              <w:ind w:left="220"/>
              <w:spacing w:after="0"/>
              <w:rPr>
                <w:sz w:val="20"/>
                <w:szCs w:val="20"/>
                <w:color w:val="auto"/>
              </w:rPr>
            </w:pPr>
            <w:r>
              <w:rPr>
                <w:rFonts w:ascii="Arial" w:cs="Arial" w:eastAsia="Arial" w:hAnsi="Arial"/>
                <w:sz w:val="14"/>
                <w:szCs w:val="14"/>
                <w:b w:val="1"/>
                <w:bCs w:val="1"/>
                <w:color w:val="auto"/>
              </w:rPr>
              <w:t>File No.</w:t>
            </w: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ind w:left="14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8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Borders>
              <w:bottom w:val="single" w:sz="8" w:color="0000FF"/>
            </w:tcBorders>
            <w:gridSpan w:val="4"/>
          </w:tcPr>
          <w:p>
            <w:pPr>
              <w:spacing w:after="0"/>
              <w:rPr>
                <w:rFonts w:ascii="Arial" w:cs="Arial" w:eastAsia="Arial" w:hAnsi="Arial"/>
                <w:sz w:val="18"/>
                <w:szCs w:val="18"/>
                <w:color w:val="0000FF"/>
                <w:w w:val="90"/>
              </w:rPr>
            </w:pPr>
            <w:hyperlink r:id="rId108">
              <w:r>
                <w:rPr>
                  <w:rFonts w:ascii="Arial" w:cs="Arial" w:eastAsia="Arial" w:hAnsi="Arial"/>
                  <w:sz w:val="18"/>
                  <w:szCs w:val="18"/>
                  <w:color w:val="0000FF"/>
                  <w:w w:val="90"/>
                </w:rPr>
                <w:t>Amended and Restated Certificate of Incorporation of Registrant</w:t>
              </w:r>
            </w:hyperlink>
          </w:p>
        </w:tc>
        <w:tc>
          <w:tcPr>
            <w:tcW w:w="460" w:type="dxa"/>
            <w:vAlign w:val="bottom"/>
            <w:gridSpan w:val="8"/>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280" w:type="dxa"/>
            <w:vAlign w:val="bottom"/>
          </w:tcPr>
          <w:p>
            <w:pPr>
              <w:ind w:left="220"/>
              <w:spacing w:after="0"/>
              <w:rPr>
                <w:sz w:val="20"/>
                <w:szCs w:val="20"/>
                <w:color w:val="auto"/>
              </w:rPr>
            </w:pPr>
            <w:r>
              <w:rPr>
                <w:rFonts w:ascii="Arial" w:cs="Arial" w:eastAsia="Arial" w:hAnsi="Arial"/>
                <w:sz w:val="18"/>
                <w:szCs w:val="18"/>
                <w:color w:val="auto"/>
              </w:rPr>
              <w:t>001-38240</w:t>
            </w:r>
          </w:p>
        </w:tc>
        <w:tc>
          <w:tcPr>
            <w:tcW w:w="760" w:type="dxa"/>
            <w:vAlign w:val="bottom"/>
          </w:tcPr>
          <w:p>
            <w:pPr>
              <w:ind w:left="180"/>
              <w:spacing w:after="0"/>
              <w:rPr>
                <w:sz w:val="20"/>
                <w:szCs w:val="20"/>
                <w:color w:val="auto"/>
              </w:rPr>
            </w:pPr>
            <w:r>
              <w:rPr>
                <w:rFonts w:ascii="Arial" w:cs="Arial" w:eastAsia="Arial" w:hAnsi="Arial"/>
                <w:sz w:val="18"/>
                <w:szCs w:val="18"/>
                <w:color w:val="auto"/>
              </w:rPr>
              <w:t>3.1</w:t>
            </w:r>
          </w:p>
        </w:tc>
        <w:tc>
          <w:tcPr>
            <w:tcW w:w="1400" w:type="dxa"/>
            <w:vAlign w:val="bottom"/>
          </w:tcPr>
          <w:p>
            <w:pPr>
              <w:ind w:left="140"/>
              <w:spacing w:after="0"/>
              <w:rPr>
                <w:sz w:val="20"/>
                <w:szCs w:val="20"/>
                <w:color w:val="auto"/>
              </w:rPr>
            </w:pPr>
            <w:r>
              <w:rPr>
                <w:rFonts w:ascii="Arial" w:cs="Arial" w:eastAsia="Arial" w:hAnsi="Arial"/>
                <w:sz w:val="18"/>
                <w:szCs w:val="18"/>
                <w:color w:val="auto"/>
              </w:rPr>
              <w:t>10/25/2017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98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2"/>
          </w:tcPr>
          <w:p>
            <w:pPr>
              <w:spacing w:after="0"/>
              <w:rPr>
                <w:rFonts w:ascii="Arial" w:cs="Arial" w:eastAsia="Arial" w:hAnsi="Arial"/>
                <w:sz w:val="18"/>
                <w:szCs w:val="18"/>
                <w:color w:val="0000FF"/>
              </w:rPr>
            </w:pPr>
            <w:hyperlink r:id="rId109">
              <w:r>
                <w:rPr>
                  <w:rFonts w:ascii="Arial" w:cs="Arial" w:eastAsia="Arial" w:hAnsi="Arial"/>
                  <w:sz w:val="18"/>
                  <w:szCs w:val="18"/>
                  <w:color w:val="0000FF"/>
                </w:rPr>
                <w:t>Certificate of Retirement</w:t>
              </w:r>
            </w:hyperlink>
          </w:p>
        </w:tc>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280" w:type="dxa"/>
            <w:vAlign w:val="bottom"/>
          </w:tcPr>
          <w:p>
            <w:pPr>
              <w:ind w:left="220"/>
              <w:spacing w:after="0"/>
              <w:rPr>
                <w:sz w:val="20"/>
                <w:szCs w:val="20"/>
                <w:color w:val="auto"/>
              </w:rPr>
            </w:pPr>
            <w:r>
              <w:rPr>
                <w:rFonts w:ascii="Arial" w:cs="Arial" w:eastAsia="Arial" w:hAnsi="Arial"/>
                <w:sz w:val="18"/>
                <w:szCs w:val="18"/>
                <w:color w:val="auto"/>
              </w:rPr>
              <w:t>001-38240</w:t>
            </w:r>
          </w:p>
        </w:tc>
        <w:tc>
          <w:tcPr>
            <w:tcW w:w="760" w:type="dxa"/>
            <w:vAlign w:val="bottom"/>
          </w:tcPr>
          <w:p>
            <w:pPr>
              <w:ind w:left="180"/>
              <w:spacing w:after="0"/>
              <w:rPr>
                <w:sz w:val="20"/>
                <w:szCs w:val="20"/>
                <w:color w:val="auto"/>
              </w:rPr>
            </w:pPr>
            <w:r>
              <w:rPr>
                <w:rFonts w:ascii="Arial" w:cs="Arial" w:eastAsia="Arial" w:hAnsi="Arial"/>
                <w:sz w:val="18"/>
                <w:szCs w:val="18"/>
                <w:color w:val="auto"/>
              </w:rPr>
              <w:t>3.1</w:t>
            </w:r>
          </w:p>
        </w:tc>
        <w:tc>
          <w:tcPr>
            <w:tcW w:w="1400" w:type="dxa"/>
            <w:vAlign w:val="bottom"/>
          </w:tcPr>
          <w:p>
            <w:pPr>
              <w:ind w:left="140"/>
              <w:spacing w:after="0"/>
              <w:rPr>
                <w:sz w:val="20"/>
                <w:szCs w:val="20"/>
                <w:color w:val="auto"/>
              </w:rPr>
            </w:pPr>
            <w:r>
              <w:rPr>
                <w:rFonts w:ascii="Arial" w:cs="Arial" w:eastAsia="Arial" w:hAnsi="Arial"/>
                <w:sz w:val="18"/>
                <w:szCs w:val="18"/>
                <w:color w:val="auto"/>
              </w:rPr>
              <w:t>6/16/2020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8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40" w:type="dxa"/>
            <w:vAlign w:val="bottom"/>
            <w:tcBorders>
              <w:bottom w:val="single" w:sz="8" w:color="0000FF"/>
            </w:tcBorders>
            <w:gridSpan w:val="3"/>
          </w:tcPr>
          <w:p>
            <w:pPr>
              <w:spacing w:after="0"/>
              <w:rPr>
                <w:rFonts w:ascii="Arial" w:cs="Arial" w:eastAsia="Arial" w:hAnsi="Arial"/>
                <w:sz w:val="18"/>
                <w:szCs w:val="18"/>
                <w:color w:val="0000FF"/>
                <w:w w:val="89"/>
              </w:rPr>
            </w:pPr>
            <w:hyperlink r:id="rId110">
              <w:r>
                <w:rPr>
                  <w:rFonts w:ascii="Arial" w:cs="Arial" w:eastAsia="Arial" w:hAnsi="Arial"/>
                  <w:sz w:val="18"/>
                  <w:szCs w:val="18"/>
                  <w:color w:val="0000FF"/>
                  <w:w w:val="89"/>
                </w:rPr>
                <w:t>Amended and Restated Bylaws of Registrant</w:t>
              </w:r>
            </w:hyperlink>
          </w:p>
        </w:tc>
        <w:tc>
          <w:tcPr>
            <w:tcW w:w="1900" w:type="dxa"/>
            <w:vAlign w:val="bottom"/>
            <w:gridSpan w:val="9"/>
          </w:tcPr>
          <w:p>
            <w:pPr>
              <w:spacing w:after="0"/>
              <w:rPr>
                <w:sz w:val="22"/>
                <w:szCs w:val="22"/>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280" w:type="dxa"/>
            <w:vAlign w:val="bottom"/>
          </w:tcPr>
          <w:p>
            <w:pPr>
              <w:ind w:left="220"/>
              <w:spacing w:after="0"/>
              <w:rPr>
                <w:sz w:val="20"/>
                <w:szCs w:val="20"/>
                <w:color w:val="auto"/>
              </w:rPr>
            </w:pPr>
            <w:r>
              <w:rPr>
                <w:rFonts w:ascii="Arial" w:cs="Arial" w:eastAsia="Arial" w:hAnsi="Arial"/>
                <w:sz w:val="18"/>
                <w:szCs w:val="18"/>
                <w:color w:val="auto"/>
              </w:rPr>
              <w:t>333-220557</w:t>
            </w:r>
          </w:p>
        </w:tc>
        <w:tc>
          <w:tcPr>
            <w:tcW w:w="760" w:type="dxa"/>
            <w:vAlign w:val="bottom"/>
          </w:tcPr>
          <w:p>
            <w:pPr>
              <w:ind w:left="180"/>
              <w:spacing w:after="0"/>
              <w:rPr>
                <w:sz w:val="20"/>
                <w:szCs w:val="20"/>
                <w:color w:val="auto"/>
              </w:rPr>
            </w:pPr>
            <w:r>
              <w:rPr>
                <w:rFonts w:ascii="Arial" w:cs="Arial" w:eastAsia="Arial" w:hAnsi="Arial"/>
                <w:sz w:val="18"/>
                <w:szCs w:val="18"/>
                <w:color w:val="auto"/>
              </w:rPr>
              <w:t>3.4</w:t>
            </w:r>
          </w:p>
        </w:tc>
        <w:tc>
          <w:tcPr>
            <w:tcW w:w="1400" w:type="dxa"/>
            <w:vAlign w:val="bottom"/>
          </w:tcPr>
          <w:p>
            <w:pPr>
              <w:ind w:left="140"/>
              <w:spacing w:after="0"/>
              <w:rPr>
                <w:sz w:val="20"/>
                <w:szCs w:val="20"/>
                <w:color w:val="auto"/>
              </w:rPr>
            </w:pPr>
            <w:r>
              <w:rPr>
                <w:rFonts w:ascii="Arial" w:cs="Arial" w:eastAsia="Arial" w:hAnsi="Arial"/>
                <w:sz w:val="18"/>
                <w:szCs w:val="18"/>
                <w:color w:val="auto"/>
              </w:rPr>
              <w:t>9/21/2017</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8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40" w:type="dxa"/>
            <w:vAlign w:val="bottom"/>
            <w:gridSpan w:val="12"/>
          </w:tcPr>
          <w:p>
            <w:pPr>
              <w:spacing w:after="0"/>
              <w:rPr>
                <w:rFonts w:ascii="Arial" w:cs="Arial" w:eastAsia="Arial" w:hAnsi="Arial"/>
                <w:sz w:val="18"/>
                <w:szCs w:val="18"/>
                <w:color w:val="0000FF"/>
                <w:w w:val="98"/>
              </w:rPr>
            </w:pPr>
            <w:hyperlink w:anchor="page68">
              <w:r>
                <w:rPr>
                  <w:rFonts w:ascii="Arial" w:cs="Arial" w:eastAsia="Arial" w:hAnsi="Arial"/>
                  <w:sz w:val="18"/>
                  <w:szCs w:val="18"/>
                  <w:color w:val="0000FF"/>
                  <w:w w:val="98"/>
                </w:rPr>
                <w:t>Certification of Principal Executive Officer Pursuant to Rules 13a-</w:t>
              </w:r>
            </w:hyperlink>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14(a) and 15d-14(a) under the Securities Exchange Act of 1934, as</w:t>
              </w:r>
            </w:hyperlink>
          </w:p>
        </w:tc>
        <w:tc>
          <w:tcPr>
            <w:tcW w:w="20" w:type="dxa"/>
            <w:vAlign w:val="bottom"/>
            <w:tcBorders>
              <w:bottom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gridSpan w:val="12"/>
          </w:tcPr>
          <w:p>
            <w:pPr>
              <w:spacing w:after="0" w:line="156" w:lineRule="exact"/>
              <w:rPr>
                <w:rFonts w:ascii="Arial" w:cs="Arial" w:eastAsia="Arial" w:hAnsi="Arial"/>
                <w:sz w:val="18"/>
                <w:szCs w:val="18"/>
                <w:color w:val="0000FF"/>
                <w:w w:val="94"/>
              </w:rPr>
            </w:pPr>
            <w:hyperlink w:anchor="page68">
              <w:r>
                <w:rPr>
                  <w:rFonts w:ascii="Arial" w:cs="Arial" w:eastAsia="Arial" w:hAnsi="Arial"/>
                  <w:sz w:val="18"/>
                  <w:szCs w:val="18"/>
                  <w:color w:val="0000FF"/>
                  <w:w w:val="94"/>
                </w:rPr>
                <w:t>Adopted Pursuant to Section 302 of the Sarbanes-Oxley Act of 2002</w:t>
              </w:r>
            </w:hyperlink>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8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6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2"/>
              </w:rPr>
            </w:pPr>
            <w:hyperlink w:anchor="page69">
              <w:r>
                <w:rPr>
                  <w:rFonts w:ascii="Arial" w:cs="Arial" w:eastAsia="Arial" w:hAnsi="Arial"/>
                  <w:sz w:val="18"/>
                  <w:szCs w:val="18"/>
                  <w:color w:val="0000FF"/>
                  <w:w w:val="92"/>
                </w:rPr>
                <w:t>Certification of Principal Financial Officer Pursuant to Rules 13a-</w:t>
              </w:r>
            </w:hyperlink>
          </w:p>
        </w:tc>
        <w:tc>
          <w:tcPr>
            <w:tcW w:w="180" w:type="dxa"/>
            <w:vAlign w:val="bottom"/>
            <w:tcBorders>
              <w:top w:val="single" w:sz="8" w:color="0000FF"/>
            </w:tcBorders>
            <w:gridSpan w:val="3"/>
          </w:tcPr>
          <w:p>
            <w:pPr>
              <w:spacing w:after="0"/>
              <w:rPr>
                <w:sz w:val="22"/>
                <w:szCs w:val="22"/>
                <w:color w:val="auto"/>
              </w:rPr>
            </w:pPr>
          </w:p>
        </w:tc>
        <w:tc>
          <w:tcPr>
            <w:tcW w:w="20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bottom w:val="single" w:sz="8" w:color="0000FF"/>
            </w:tcBorders>
            <w:gridSpan w:val="9"/>
          </w:tcPr>
          <w:p>
            <w:pPr>
              <w:spacing w:after="0" w:line="156"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14(a) and 15d-14(a) under the Securities Exchange Act of 1934, as</w:t>
              </w:r>
            </w:hyperlink>
          </w:p>
        </w:tc>
        <w:tc>
          <w:tcPr>
            <w:tcW w:w="32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gridSpan w:val="12"/>
          </w:tcPr>
          <w:p>
            <w:pPr>
              <w:spacing w:after="0" w:line="156" w:lineRule="exact"/>
              <w:rPr>
                <w:rFonts w:ascii="Arial" w:cs="Arial" w:eastAsia="Arial" w:hAnsi="Arial"/>
                <w:sz w:val="18"/>
                <w:szCs w:val="18"/>
                <w:color w:val="0000FF"/>
                <w:w w:val="94"/>
              </w:rPr>
            </w:pPr>
            <w:hyperlink w:anchor="page69">
              <w:r>
                <w:rPr>
                  <w:rFonts w:ascii="Arial" w:cs="Arial" w:eastAsia="Arial" w:hAnsi="Arial"/>
                  <w:sz w:val="18"/>
                  <w:szCs w:val="18"/>
                  <w:color w:val="0000FF"/>
                  <w:w w:val="94"/>
                </w:rPr>
                <w:t>Adopted Pursuant to Section 302 of the Sarbanes-Oxley Act of 2002</w:t>
              </w:r>
            </w:hyperlink>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8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40" w:type="dxa"/>
            <w:vAlign w:val="bottom"/>
            <w:tcBorders>
              <w:top w:val="single" w:sz="8" w:color="0000FF"/>
            </w:tcBorders>
            <w:gridSpan w:val="10"/>
          </w:tcPr>
          <w:p>
            <w:pPr>
              <w:spacing w:after="0"/>
              <w:rPr>
                <w:rFonts w:ascii="Arial" w:cs="Arial" w:eastAsia="Arial" w:hAnsi="Arial"/>
                <w:sz w:val="18"/>
                <w:szCs w:val="18"/>
                <w:color w:val="0000FF"/>
                <w:w w:val="96"/>
              </w:rPr>
            </w:pPr>
            <w:hyperlink w:anchor="page70">
              <w:r>
                <w:rPr>
                  <w:rFonts w:ascii="Arial" w:cs="Arial" w:eastAsia="Arial" w:hAnsi="Arial"/>
                  <w:sz w:val="18"/>
                  <w:szCs w:val="18"/>
                  <w:color w:val="0000FF"/>
                  <w:w w:val="96"/>
                </w:rPr>
                <w:t>Certification of Principal Executive Officer Pursuant to 18 U.S.C.</w:t>
              </w:r>
            </w:hyperlink>
          </w:p>
        </w:tc>
        <w:tc>
          <w:tcPr>
            <w:tcW w:w="20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6"/>
          </w:tcPr>
          <w:p>
            <w:pPr>
              <w:spacing w:after="0" w:line="156" w:lineRule="exact"/>
              <w:rPr>
                <w:rFonts w:ascii="Arial" w:cs="Arial" w:eastAsia="Arial" w:hAnsi="Arial"/>
                <w:sz w:val="18"/>
                <w:szCs w:val="18"/>
                <w:color w:val="0000FF"/>
                <w:w w:val="88"/>
              </w:rPr>
            </w:pPr>
            <w:hyperlink w:anchor="page70">
              <w:r>
                <w:rPr>
                  <w:rFonts w:ascii="Arial" w:cs="Arial" w:eastAsia="Arial" w:hAnsi="Arial"/>
                  <w:sz w:val="18"/>
                  <w:szCs w:val="18"/>
                  <w:color w:val="0000FF"/>
                  <w:w w:val="88"/>
                </w:rPr>
                <w:t>Section 1350, as Adopted Pursuant to Section 906 of the Sarbanes</w:t>
              </w:r>
            </w:hyperlink>
          </w:p>
        </w:tc>
        <w:tc>
          <w:tcPr>
            <w:tcW w:w="400" w:type="dxa"/>
            <w:vAlign w:val="bottom"/>
            <w:gridSpan w:val="6"/>
          </w:tcPr>
          <w:p>
            <w:pPr>
              <w:jc w:val="right"/>
              <w:ind w:right="320"/>
              <w:spacing w:after="0" w:line="156" w:lineRule="exact"/>
              <w:rPr>
                <w:rFonts w:ascii="Arial" w:cs="Arial" w:eastAsia="Arial" w:hAnsi="Arial"/>
                <w:sz w:val="18"/>
                <w:szCs w:val="18"/>
                <w:color w:val="0000FF"/>
                <w:w w:val="99"/>
              </w:rPr>
            </w:pPr>
            <w:hyperlink w:anchor="page70">
              <w:r>
                <w:rPr>
                  <w:rFonts w:ascii="Arial" w:cs="Arial" w:eastAsia="Arial" w:hAnsi="Arial"/>
                  <w:sz w:val="18"/>
                  <w:szCs w:val="18"/>
                  <w:color w:val="0000FF"/>
                  <w:w w:val="99"/>
                </w:rPr>
                <w:t>-</w:t>
              </w:r>
            </w:hyperlink>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70">
              <w:r>
                <w:rPr>
                  <w:rFonts w:ascii="Arial" w:cs="Arial" w:eastAsia="Arial" w:hAnsi="Arial"/>
                  <w:sz w:val="18"/>
                  <w:szCs w:val="18"/>
                  <w:color w:val="0000FF"/>
                  <w:w w:val="94"/>
                </w:rPr>
                <w:t>Oxley Act of 2002</w:t>
              </w:r>
            </w:hyperlink>
          </w:p>
        </w:tc>
        <w:tc>
          <w:tcPr>
            <w:tcW w:w="3460" w:type="dxa"/>
            <w:vAlign w:val="bottom"/>
            <w:tcBorders>
              <w:top w:val="single" w:sz="8" w:color="0000FF"/>
            </w:tcBorders>
            <w:gridSpan w:val="8"/>
          </w:tcPr>
          <w:p>
            <w:pPr>
              <w:spacing w:after="0"/>
              <w:rPr>
                <w:sz w:val="13"/>
                <w:szCs w:val="13"/>
                <w:color w:val="auto"/>
              </w:rPr>
            </w:pPr>
          </w:p>
        </w:tc>
        <w:tc>
          <w:tcPr>
            <w:tcW w:w="32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8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40" w:type="dxa"/>
            <w:vAlign w:val="bottom"/>
            <w:gridSpan w:val="12"/>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Certification of Principal Financial Officer Pursuant to 18 U.S.C.</w:t>
              </w:r>
            </w:hyperlink>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5"/>
          </w:tcPr>
          <w:p>
            <w:pPr>
              <w:spacing w:after="0" w:line="156" w:lineRule="exact"/>
              <w:rPr>
                <w:rFonts w:ascii="Arial" w:cs="Arial" w:eastAsia="Arial" w:hAnsi="Arial"/>
                <w:sz w:val="18"/>
                <w:szCs w:val="18"/>
                <w:color w:val="0000FF"/>
                <w:w w:val="87"/>
              </w:rPr>
            </w:pPr>
            <w:hyperlink w:anchor="page71">
              <w:r>
                <w:rPr>
                  <w:rFonts w:ascii="Arial" w:cs="Arial" w:eastAsia="Arial" w:hAnsi="Arial"/>
                  <w:sz w:val="18"/>
                  <w:szCs w:val="18"/>
                  <w:color w:val="0000FF"/>
                  <w:w w:val="87"/>
                </w:rPr>
                <w:t>Section 1350, as Adopted Pursuant to Section 906 of the Sarbanes</w:t>
              </w:r>
            </w:hyperlink>
          </w:p>
        </w:tc>
        <w:tc>
          <w:tcPr>
            <w:tcW w:w="440" w:type="dxa"/>
            <w:vAlign w:val="bottom"/>
            <w:gridSpan w:val="7"/>
          </w:tcPr>
          <w:p>
            <w:pPr>
              <w:jc w:val="right"/>
              <w:ind w:right="320"/>
              <w:spacing w:after="0" w:line="156" w:lineRule="exact"/>
              <w:rPr>
                <w:rFonts w:ascii="Arial" w:cs="Arial" w:eastAsia="Arial" w:hAnsi="Arial"/>
                <w:sz w:val="18"/>
                <w:szCs w:val="18"/>
                <w:color w:val="0000FF"/>
              </w:rPr>
            </w:pPr>
            <w:hyperlink w:anchor="page71">
              <w:r>
                <w:rPr>
                  <w:rFonts w:ascii="Arial" w:cs="Arial" w:eastAsia="Arial" w:hAnsi="Arial"/>
                  <w:sz w:val="18"/>
                  <w:szCs w:val="18"/>
                  <w:color w:val="0000FF"/>
                </w:rPr>
                <w:t>-</w:t>
              </w:r>
            </w:hyperlink>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71">
              <w:r>
                <w:rPr>
                  <w:rFonts w:ascii="Arial" w:cs="Arial" w:eastAsia="Arial" w:hAnsi="Arial"/>
                  <w:sz w:val="18"/>
                  <w:szCs w:val="18"/>
                  <w:color w:val="0000FF"/>
                  <w:w w:val="94"/>
                </w:rPr>
                <w:t>Oxley Act of 2002</w:t>
              </w:r>
            </w:hyperlink>
          </w:p>
        </w:tc>
        <w:tc>
          <w:tcPr>
            <w:tcW w:w="3460" w:type="dxa"/>
            <w:vAlign w:val="bottom"/>
            <w:tcBorders>
              <w:top w:val="single" w:sz="8" w:color="0000FF"/>
            </w:tcBorders>
            <w:gridSpan w:val="8"/>
          </w:tcPr>
          <w:p>
            <w:pPr>
              <w:spacing w:after="0"/>
              <w:rPr>
                <w:sz w:val="13"/>
                <w:szCs w:val="13"/>
                <w:color w:val="auto"/>
              </w:rPr>
            </w:pPr>
          </w:p>
        </w:tc>
        <w:tc>
          <w:tcPr>
            <w:tcW w:w="32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Arial" w:cs="Arial" w:eastAsia="Arial" w:hAnsi="Arial"/>
                <w:sz w:val="18"/>
                <w:szCs w:val="18"/>
                <w:color w:val="auto"/>
                <w:w w:val="97"/>
              </w:rPr>
              <w:t>Inline XBRL Taxonomy Extension Calculation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Arial" w:cs="Arial" w:eastAsia="Arial" w:hAnsi="Arial"/>
                <w:sz w:val="18"/>
                <w:szCs w:val="18"/>
                <w:color w:val="auto"/>
                <w:w w:val="99"/>
              </w:rPr>
              <w:t>Inline XBRL Taxonomy Extension Definition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Arial" w:cs="Arial" w:eastAsia="Arial" w:hAnsi="Arial"/>
                <w:sz w:val="18"/>
                <w:szCs w:val="18"/>
                <w:color w:val="auto"/>
                <w:w w:val="95"/>
              </w:rPr>
              <w:t>Inline XBRL Taxonomy Extension Presentation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100" w:right="6320" w:hanging="1074"/>
        <w:spacing w:after="0" w:line="235"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7" w:lineRule="exact"/>
        <w:rPr>
          <w:rFonts w:ascii="Arial" w:cs="Arial" w:eastAsia="Arial" w:hAnsi="Arial"/>
          <w:sz w:val="18"/>
          <w:szCs w:val="18"/>
          <w:color w:val="auto"/>
        </w:rPr>
      </w:pPr>
    </w:p>
    <w:p>
      <w:pPr>
        <w:ind w:left="1100" w:right="60" w:hanging="859"/>
        <w:spacing w:after="0" w:line="224" w:lineRule="auto"/>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jc w:val="center"/>
        <w:ind w:left="480"/>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2740" w:type="dxa"/>
            <w:vAlign w:val="bottom"/>
            <w:gridSpan w:val="2"/>
          </w:tcPr>
          <w:p>
            <w:pPr>
              <w:ind w:left="1100"/>
              <w:spacing w:after="0"/>
              <w:rPr>
                <w:sz w:val="20"/>
                <w:szCs w:val="20"/>
                <w:color w:val="auto"/>
              </w:rPr>
            </w:pPr>
            <w:r>
              <w:rPr>
                <w:rFonts w:ascii="Arial" w:cs="Arial" w:eastAsia="Arial" w:hAnsi="Arial"/>
                <w:sz w:val="18"/>
                <w:szCs w:val="18"/>
                <w:b w:val="1"/>
                <w:bCs w:val="1"/>
                <w:color w:val="auto"/>
              </w:rPr>
              <w:t>MONGODB, INC.</w:t>
            </w:r>
          </w:p>
        </w:tc>
        <w:tc>
          <w:tcPr>
            <w:tcW w:w="3380" w:type="dxa"/>
            <w:vAlign w:val="bottom"/>
          </w:tcPr>
          <w:p>
            <w:pPr>
              <w:spacing w:after="0"/>
              <w:rPr>
                <w:sz w:val="20"/>
                <w:szCs w:val="20"/>
                <w:color w:val="auto"/>
              </w:rPr>
            </w:pPr>
          </w:p>
        </w:tc>
      </w:tr>
      <w:tr>
        <w:trPr>
          <w:trHeight w:val="904"/>
        </w:trPr>
        <w:tc>
          <w:tcPr>
            <w:tcW w:w="2440" w:type="dxa"/>
            <w:vAlign w:val="bottom"/>
          </w:tcPr>
          <w:p>
            <w:pPr>
              <w:spacing w:after="0"/>
              <w:rPr>
                <w:sz w:val="20"/>
                <w:szCs w:val="20"/>
                <w:color w:val="auto"/>
              </w:rPr>
            </w:pPr>
            <w:r>
              <w:rPr>
                <w:rFonts w:ascii="Arial" w:cs="Arial" w:eastAsia="Arial" w:hAnsi="Arial"/>
                <w:sz w:val="18"/>
                <w:szCs w:val="18"/>
                <w:color w:val="auto"/>
              </w:rPr>
              <w:t>Date: June 3, 2022</w:t>
            </w:r>
          </w:p>
        </w:tc>
        <w:tc>
          <w:tcPr>
            <w:tcW w:w="2740" w:type="dxa"/>
            <w:vAlign w:val="bottom"/>
            <w:gridSpan w:val="2"/>
          </w:tcPr>
          <w:p>
            <w:pPr>
              <w:ind w:left="1100"/>
              <w:spacing w:after="0"/>
              <w:rPr>
                <w:sz w:val="20"/>
                <w:szCs w:val="20"/>
                <w:color w:val="auto"/>
              </w:rPr>
            </w:pPr>
            <w:r>
              <w:rPr>
                <w:rFonts w:ascii="Arial" w:cs="Arial" w:eastAsia="Arial" w:hAnsi="Arial"/>
                <w:sz w:val="18"/>
                <w:szCs w:val="18"/>
                <w:color w:val="auto"/>
              </w:rPr>
              <w:t>By:</w:t>
            </w:r>
          </w:p>
        </w:tc>
        <w:tc>
          <w:tcPr>
            <w:tcW w:w="3380" w:type="dxa"/>
            <w:vAlign w:val="bottom"/>
          </w:tcPr>
          <w:p>
            <w:pPr>
              <w:ind w:left="180"/>
              <w:spacing w:after="0"/>
              <w:rPr>
                <w:sz w:val="20"/>
                <w:szCs w:val="20"/>
                <w:color w:val="auto"/>
              </w:rPr>
            </w:pPr>
            <w:r>
              <w:rPr>
                <w:rFonts w:ascii="Arial" w:cs="Arial" w:eastAsia="Arial" w:hAnsi="Arial"/>
                <w:sz w:val="18"/>
                <w:szCs w:val="18"/>
                <w:color w:val="auto"/>
              </w:rPr>
              <w:t>/s/ Dev Ittycheria</w:t>
            </w:r>
          </w:p>
        </w:tc>
      </w:tr>
      <w:tr>
        <w:trPr>
          <w:trHeight w:val="264"/>
        </w:trPr>
        <w:tc>
          <w:tcPr>
            <w:tcW w:w="2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6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Name:</w:t>
            </w:r>
          </w:p>
        </w:tc>
        <w:tc>
          <w:tcPr>
            <w:tcW w:w="33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Dev Ittycheria</w:t>
            </w:r>
          </w:p>
        </w:tc>
      </w:tr>
      <w:tr>
        <w:trPr>
          <w:trHeight w:val="270"/>
        </w:trPr>
        <w:tc>
          <w:tcPr>
            <w:tcW w:w="2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60" w:type="dxa"/>
            <w:vAlign w:val="bottom"/>
          </w:tcPr>
          <w:p>
            <w:pPr>
              <w:ind w:left="500"/>
              <w:spacing w:after="0"/>
              <w:rPr>
                <w:sz w:val="20"/>
                <w:szCs w:val="20"/>
                <w:color w:val="auto"/>
              </w:rPr>
            </w:pPr>
            <w:r>
              <w:rPr>
                <w:rFonts w:ascii="Arial" w:cs="Arial" w:eastAsia="Arial" w:hAnsi="Arial"/>
                <w:sz w:val="18"/>
                <w:szCs w:val="18"/>
                <w:b w:val="1"/>
                <w:bCs w:val="1"/>
                <w:color w:val="auto"/>
              </w:rPr>
              <w:t>Title:</w:t>
            </w:r>
          </w:p>
        </w:tc>
        <w:tc>
          <w:tcPr>
            <w:tcW w:w="338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2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5380" w:type="dxa"/>
        <w:tblCellMar>
          <w:top w:w="0" w:type="dxa"/>
          <w:left w:w="0" w:type="dxa"/>
          <w:bottom w:w="0" w:type="dxa"/>
          <w:right w:w="0" w:type="dxa"/>
        </w:tblCellMar>
      </w:tblPr>
      <w:tr>
        <w:trPr>
          <w:trHeight w:val="257"/>
        </w:trPr>
        <w:tc>
          <w:tcPr>
            <w:tcW w:w="1560" w:type="dxa"/>
            <w:vAlign w:val="bottom"/>
            <w:gridSpan w:val="2"/>
          </w:tcPr>
          <w:p>
            <w:pPr>
              <w:spacing w:after="0"/>
              <w:rPr>
                <w:sz w:val="20"/>
                <w:szCs w:val="20"/>
                <w:color w:val="auto"/>
              </w:rPr>
            </w:pPr>
            <w:r>
              <w:rPr>
                <w:rFonts w:ascii="Arial" w:cs="Arial" w:eastAsia="Arial" w:hAnsi="Arial"/>
                <w:sz w:val="18"/>
                <w:szCs w:val="18"/>
                <w:color w:val="auto"/>
              </w:rPr>
              <w:t>By:</w:t>
            </w:r>
          </w:p>
        </w:tc>
        <w:tc>
          <w:tcPr>
            <w:tcW w:w="3460" w:type="dxa"/>
            <w:vAlign w:val="bottom"/>
          </w:tcPr>
          <w:p>
            <w:pPr>
              <w:ind w:left="260"/>
              <w:spacing w:after="0"/>
              <w:rPr>
                <w:sz w:val="20"/>
                <w:szCs w:val="20"/>
                <w:color w:val="auto"/>
              </w:rPr>
            </w:pPr>
            <w:r>
              <w:rPr>
                <w:rFonts w:ascii="Arial" w:cs="Arial" w:eastAsia="Arial" w:hAnsi="Arial"/>
                <w:sz w:val="18"/>
                <w:szCs w:val="18"/>
                <w:color w:val="auto"/>
              </w:rPr>
              <w:t>/s/ Michael Gordon</w:t>
            </w:r>
          </w:p>
        </w:tc>
      </w:tr>
      <w:tr>
        <w:trPr>
          <w:trHeight w:val="263"/>
        </w:trPr>
        <w:tc>
          <w:tcPr>
            <w:tcW w:w="280" w:type="dxa"/>
            <w:vAlign w:val="bottom"/>
          </w:tcPr>
          <w:p>
            <w:pPr>
              <w:spacing w:after="0"/>
              <w:rPr>
                <w:sz w:val="22"/>
                <w:szCs w:val="22"/>
                <w:color w:val="auto"/>
              </w:rPr>
            </w:pPr>
          </w:p>
        </w:tc>
        <w:tc>
          <w:tcPr>
            <w:tcW w:w="128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Name:</w:t>
            </w:r>
          </w:p>
        </w:tc>
        <w:tc>
          <w:tcPr>
            <w:tcW w:w="34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Michael Gordon</w:t>
            </w:r>
          </w:p>
        </w:tc>
      </w:tr>
    </w:tbl>
    <w:p>
      <w:pPr>
        <w:ind w:left="7200"/>
        <w:spacing w:after="0" w:line="221" w:lineRule="auto"/>
        <w:rPr>
          <w:sz w:val="20"/>
          <w:szCs w:val="20"/>
          <w:color w:val="auto"/>
        </w:rPr>
      </w:pPr>
      <w:r>
        <w:rPr>
          <w:rFonts w:ascii="Arial" w:cs="Arial" w:eastAsia="Arial" w:hAnsi="Arial"/>
          <w:sz w:val="18"/>
          <w:szCs w:val="18"/>
          <w:color w:val="auto"/>
        </w:rPr>
        <w:t>Chief Operating Officer and Chief</w:t>
      </w:r>
    </w:p>
    <w:p>
      <w:pPr>
        <w:ind w:left="616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Financial Officer</w:t>
      </w:r>
    </w:p>
    <w:p>
      <w:pPr>
        <w:spacing w:after="0" w:line="4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34"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Dev Ittycheria, certify that:</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MongoDB, Inc. (the “registrant”) for the fiscal quarter ended April 30, 2022;</w:t>
      </w:r>
    </w:p>
    <w:p>
      <w:pPr>
        <w:spacing w:after="0" w:line="360"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8"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1"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100" w:hanging="324"/>
        <w:spacing w:after="0" w:line="263"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8"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80" w:hanging="324"/>
        <w:spacing w:after="0" w:line="342" w:lineRule="auto"/>
        <w:tabs>
          <w:tab w:leader="none" w:pos="971"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500" w:hanging="324"/>
        <w:spacing w:after="0" w:line="277"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1040"/>
        <w:spacing w:after="0"/>
        <w:tabs>
          <w:tab w:leader="none" w:pos="5800" w:val="left"/>
          <w:tab w:leader="none" w:pos="7000" w:val="left"/>
        </w:tabs>
        <w:rPr>
          <w:sz w:val="20"/>
          <w:szCs w:val="20"/>
          <w:color w:val="auto"/>
        </w:rPr>
      </w:pPr>
      <w:r>
        <w:rPr>
          <w:rFonts w:ascii="Arial" w:cs="Arial" w:eastAsia="Arial" w:hAnsi="Arial"/>
          <w:sz w:val="18"/>
          <w:szCs w:val="18"/>
          <w:color w:val="auto"/>
        </w:rPr>
        <w:t>Date: June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24942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9" w:lineRule="exact"/>
        <w:rPr>
          <w:sz w:val="20"/>
          <w:szCs w:val="20"/>
          <w:color w:val="auto"/>
        </w:rPr>
      </w:pPr>
    </w:p>
    <w:p>
      <w:pPr>
        <w:ind w:left="6320"/>
        <w:spacing w:after="0"/>
        <w:tabs>
          <w:tab w:leader="none" w:pos="70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7"/>
          <w:szCs w:val="17"/>
          <w:color w:val="auto"/>
        </w:rPr>
        <w:t>Dev Ittycheria</w:t>
      </w:r>
    </w:p>
    <w:p>
      <w:pPr>
        <w:spacing w:after="0" w:line="63" w:lineRule="exact"/>
        <w:rPr>
          <w:sz w:val="20"/>
          <w:szCs w:val="20"/>
          <w:color w:val="auto"/>
        </w:rPr>
      </w:pPr>
    </w:p>
    <w:p>
      <w:pPr>
        <w:ind w:left="6320"/>
        <w:spacing w:after="0"/>
        <w:tabs>
          <w:tab w:leader="none" w:pos="70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6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Gordon, certify that:</w:t>
      </w:r>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MongoDB, Inc. (the “registrant”) for the fiscal quarter ended April 30, 2022;</w:t>
      </w:r>
    </w:p>
    <w:p>
      <w:pPr>
        <w:spacing w:after="0" w:line="360"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8"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1"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100" w:hanging="324"/>
        <w:spacing w:after="0" w:line="263"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8"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80" w:hanging="324"/>
        <w:spacing w:after="0" w:line="342" w:lineRule="auto"/>
        <w:tabs>
          <w:tab w:leader="none" w:pos="97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500" w:hanging="324"/>
        <w:spacing w:after="0" w:line="277"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1040"/>
        <w:spacing w:after="0"/>
        <w:tabs>
          <w:tab w:leader="none" w:pos="4980" w:val="left"/>
          <w:tab w:leader="none" w:pos="6200" w:val="left"/>
        </w:tabs>
        <w:rPr>
          <w:sz w:val="20"/>
          <w:szCs w:val="20"/>
          <w:color w:val="auto"/>
        </w:rPr>
      </w:pPr>
      <w:r>
        <w:rPr>
          <w:rFonts w:ascii="Arial" w:cs="Arial" w:eastAsia="Arial" w:hAnsi="Arial"/>
          <w:sz w:val="18"/>
          <w:szCs w:val="18"/>
          <w:color w:val="auto"/>
        </w:rPr>
        <w:t>Date: June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30086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9" w:lineRule="exact"/>
        <w:rPr>
          <w:sz w:val="20"/>
          <w:szCs w:val="20"/>
          <w:color w:val="auto"/>
        </w:rPr>
      </w:pPr>
    </w:p>
    <w:p>
      <w:pPr>
        <w:ind w:left="5520"/>
        <w:spacing w:after="0"/>
        <w:tabs>
          <w:tab w:leader="none" w:pos="62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color w:val="auto"/>
        </w:rPr>
        <w:t>Michael Gordon</w:t>
      </w:r>
    </w:p>
    <w:p>
      <w:pPr>
        <w:spacing w:after="0" w:line="63" w:lineRule="exact"/>
        <w:rPr>
          <w:sz w:val="20"/>
          <w:szCs w:val="20"/>
          <w:color w:val="auto"/>
        </w:rPr>
      </w:pPr>
    </w:p>
    <w:p>
      <w:pPr>
        <w:ind w:left="5520"/>
        <w:spacing w:after="0"/>
        <w:tabs>
          <w:tab w:leader="none" w:pos="62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Operating Officer and Chief Financial Officer</w:t>
      </w:r>
    </w:p>
    <w:p>
      <w:pPr>
        <w:spacing w:after="0" w:line="6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 Dev Ittycheria, certify, pursuant to 18 U.S.C. Section 1350, as adopted pursuant to Section 906 of the Sarbanes-Oxley Act of 2002, that the Quarterly Report on Form 10-Q of MongoDB, Inc. for the fiscal quarter ended April 30, 2022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60"/>
        <w:spacing w:after="0"/>
        <w:tabs>
          <w:tab w:leader="none" w:pos="5780" w:val="left"/>
          <w:tab w:leader="none" w:pos="6980" w:val="left"/>
        </w:tabs>
        <w:rPr>
          <w:sz w:val="20"/>
          <w:szCs w:val="20"/>
          <w:color w:val="auto"/>
        </w:rPr>
      </w:pPr>
      <w:r>
        <w:rPr>
          <w:rFonts w:ascii="Arial" w:cs="Arial" w:eastAsia="Arial" w:hAnsi="Arial"/>
          <w:sz w:val="18"/>
          <w:szCs w:val="18"/>
          <w:color w:val="auto"/>
        </w:rPr>
        <w:t>Date: June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24942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9" w:lineRule="exact"/>
        <w:rPr>
          <w:sz w:val="20"/>
          <w:szCs w:val="20"/>
          <w:color w:val="auto"/>
        </w:rPr>
      </w:pPr>
    </w:p>
    <w:p>
      <w:pPr>
        <w:ind w:left="6300"/>
        <w:spacing w:after="0"/>
        <w:tabs>
          <w:tab w:leader="none" w:pos="698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7"/>
          <w:szCs w:val="17"/>
          <w:color w:val="auto"/>
        </w:rPr>
        <w:t>Dev Ittycheria</w:t>
      </w:r>
    </w:p>
    <w:p>
      <w:pPr>
        <w:spacing w:after="0" w:line="63" w:lineRule="exact"/>
        <w:rPr>
          <w:sz w:val="20"/>
          <w:szCs w:val="20"/>
          <w:color w:val="auto"/>
        </w:rPr>
      </w:pPr>
    </w:p>
    <w:p>
      <w:pPr>
        <w:ind w:left="6300"/>
        <w:spacing w:after="0"/>
        <w:tabs>
          <w:tab w:leader="none" w:pos="698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6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333"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 Michael Gordon, certify, pursuant to 18 U.S.C. Section 1350, as adopted pursuant to Section 906 of the Sarbanes-Oxley Act of 2002, that the Quarterly Report on Form 10-Q of MongoDB, Inc. for the fiscal quarter ended April 30, 2022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40"/>
        <w:spacing w:after="0"/>
        <w:tabs>
          <w:tab w:leader="none" w:pos="4980" w:val="left"/>
          <w:tab w:leader="none" w:pos="6200" w:val="left"/>
        </w:tabs>
        <w:rPr>
          <w:sz w:val="20"/>
          <w:szCs w:val="20"/>
          <w:color w:val="auto"/>
        </w:rPr>
      </w:pPr>
      <w:r>
        <w:rPr>
          <w:rFonts w:ascii="Arial" w:cs="Arial" w:eastAsia="Arial" w:hAnsi="Arial"/>
          <w:sz w:val="18"/>
          <w:szCs w:val="18"/>
          <w:color w:val="auto"/>
        </w:rPr>
        <w:t>Date: June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30086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9" w:lineRule="exact"/>
        <w:rPr>
          <w:sz w:val="20"/>
          <w:szCs w:val="20"/>
          <w:color w:val="auto"/>
        </w:rPr>
      </w:pPr>
    </w:p>
    <w:p>
      <w:pPr>
        <w:ind w:left="5520"/>
        <w:spacing w:after="0"/>
        <w:tabs>
          <w:tab w:leader="none" w:pos="62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color w:val="auto"/>
        </w:rPr>
        <w:t>Michael Gordon</w:t>
      </w:r>
    </w:p>
    <w:p>
      <w:pPr>
        <w:spacing w:after="0" w:line="63" w:lineRule="exact"/>
        <w:rPr>
          <w:sz w:val="20"/>
          <w:szCs w:val="20"/>
          <w:color w:val="auto"/>
        </w:rPr>
      </w:pPr>
    </w:p>
    <w:p>
      <w:pPr>
        <w:ind w:left="5520"/>
        <w:spacing w:after="0"/>
        <w:tabs>
          <w:tab w:leader="none" w:pos="62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Operating Officer and Chief Financial Officer</w:t>
      </w:r>
    </w:p>
    <w:p>
      <w:pPr>
        <w:spacing w:after="0" w:line="6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333"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decimal"/>
      <w:start w:val="104"/>
    </w:lvl>
    <w:lvl w:ilvl="1">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08" Type="http://schemas.openxmlformats.org/officeDocument/2006/relationships/hyperlink" Target="http://www.sec.gov/Archives/edgar/data/1441816/000110465917063753/a17-24439_1ex3d1.htm" TargetMode="External"/><Relationship Id="rId109" Type="http://schemas.openxmlformats.org/officeDocument/2006/relationships/hyperlink" Target="http://www.sec.gov/Archives/edgar/data/1441816/000144181620000114/mdb-certificateofretir.htm" TargetMode="External"/><Relationship Id="rId110" Type="http://schemas.openxmlformats.org/officeDocument/2006/relationships/hyperlink" Target="http://www.sec.gov/Archives/edgar/data/1441816/000104746917006014/a2233365zex-3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2022-06-03T15:20:32Z</dcterms:created>
  <dcterms:modified xsi:type="dcterms:W3CDTF">2022-06-03T15:20:32Z</dcterms:modified>
</cp:coreProperties>
</file>