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000"/>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ind w:left="2420"/>
        <w:spacing w:after="0"/>
        <w:rPr>
          <w:sz w:val="20"/>
          <w:szCs w:val="20"/>
          <w:color w:val="auto"/>
        </w:rPr>
      </w:pPr>
      <w:r>
        <w:rPr>
          <w:rFonts w:ascii="Courier New" w:cs="Courier New" w:eastAsia="Courier New" w:hAnsi="Courier New"/>
          <w:sz w:val="18"/>
          <w:szCs w:val="18"/>
          <w:color w:val="auto"/>
        </w:rPr>
        <w:t>Washington, D.C. 20549</w:t>
      </w:r>
    </w:p>
    <w:p>
      <w:pPr>
        <w:spacing w:after="0" w:line="201" w:lineRule="exact"/>
        <w:rPr>
          <w:sz w:val="24"/>
          <w:szCs w:val="24"/>
          <w:color w:val="auto"/>
        </w:rPr>
      </w:pPr>
    </w:p>
    <w:p>
      <w:pPr>
        <w:ind w:left="3060"/>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ind w:left="1280"/>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ind w:left="2640"/>
        <w:spacing w:after="0"/>
        <w:rPr>
          <w:sz w:val="20"/>
          <w:szCs w:val="20"/>
          <w:color w:val="auto"/>
        </w:rPr>
      </w:pPr>
      <w:r>
        <w:rPr>
          <w:rFonts w:ascii="Courier New" w:cs="Courier New" w:eastAsia="Courier New" w:hAnsi="Courier New"/>
          <w:sz w:val="18"/>
          <w:szCs w:val="18"/>
          <w:color w:val="auto"/>
        </w:rPr>
        <w:t>(Amendment No. 1)*</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September 30, 2024</w:t>
      </w:r>
    </w:p>
    <w:p>
      <w:pPr>
        <w:spacing w:after="0" w:line="31" w:lineRule="exact"/>
        <w:rPr>
          <w:sz w:val="24"/>
          <w:szCs w:val="24"/>
          <w:color w:val="auto"/>
        </w:rPr>
      </w:pPr>
    </w:p>
    <w:p>
      <w:pPr>
        <w:ind w:right="3919"/>
        <w:spacing w:after="0" w:line="464" w:lineRule="auto"/>
        <w:rPr>
          <w:sz w:val="20"/>
          <w:szCs w:val="20"/>
          <w:color w:val="auto"/>
        </w:rPr>
      </w:pPr>
      <w:r>
        <w:rPr>
          <w:rFonts w:ascii="Courier New" w:cs="Courier New" w:eastAsia="Courier New" w:hAnsi="Courier New"/>
          <w:sz w:val="18"/>
          <w:szCs w:val="18"/>
          <w:color w:val="auto"/>
        </w:rPr>
        <w:t>(Date of event which requires filing of this statement) Check the appropriate box to designate the rule pursuant to which this schedule is filed:</w:t>
      </w:r>
    </w:p>
    <w:p>
      <w:pPr>
        <w:jc w:val="both"/>
        <w:ind w:left="220" w:right="8139" w:hanging="1"/>
        <w:spacing w:after="0" w:line="536" w:lineRule="auto"/>
        <w:tabs>
          <w:tab w:leader="none" w:pos="64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Name of Issuer: MongoDB, Inc.</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Title of Class of Securities: Class A Common Stock</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Number: 60937P106</w:t>
      </w:r>
    </w:p>
    <w:p>
      <w:pPr>
        <w:spacing w:after="0" w:line="200" w:lineRule="exact"/>
        <w:rPr>
          <w:sz w:val="24"/>
          <w:szCs w:val="24"/>
          <w:color w:val="auto"/>
        </w:rPr>
      </w:pPr>
    </w:p>
    <w:p>
      <w:pPr>
        <w:spacing w:after="0" w:line="204" w:lineRule="exact"/>
        <w:rPr>
          <w:sz w:val="24"/>
          <w:szCs w:val="24"/>
          <w:color w:val="auto"/>
        </w:rPr>
      </w:pPr>
    </w:p>
    <w:p>
      <w:pPr>
        <w:ind w:right="3599"/>
        <w:spacing w:after="0" w:line="503" w:lineRule="auto"/>
        <w:rPr>
          <w:sz w:val="20"/>
          <w:szCs w:val="20"/>
          <w:color w:val="auto"/>
        </w:rPr>
      </w:pPr>
      <w:r>
        <w:rPr>
          <w:rFonts w:ascii="Courier New" w:cs="Courier New" w:eastAsia="Courier New" w:hAnsi="Courier New"/>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91" w:lineRule="exact"/>
        <w:rPr>
          <w:sz w:val="24"/>
          <w:szCs w:val="24"/>
          <w:color w:val="auto"/>
        </w:rPr>
      </w:pPr>
    </w:p>
    <w:p>
      <w:pPr>
        <w:ind w:right="3499"/>
        <w:spacing w:after="0" w:line="476"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Number: 60937P106</w:t>
      </w:r>
    </w:p>
    <w:p>
      <w:pPr>
        <w:spacing w:after="0" w:line="201" w:lineRule="exact"/>
        <w:rPr>
          <w:sz w:val="24"/>
          <w:szCs w:val="24"/>
          <w:color w:val="auto"/>
        </w:rPr>
      </w:pPr>
    </w:p>
    <w:p>
      <w:pPr>
        <w:ind w:right="4439" w:firstLine="8"/>
        <w:spacing w:after="0" w:line="476" w:lineRule="auto"/>
        <w:tabs>
          <w:tab w:leader="none" w:pos="316"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 Jennison Associates LLC S.S. or I.R.S. Identification No. of Above Person: IRS Identification #52-2069785 (formerly 13-2631108)</w:t>
      </w:r>
    </w:p>
    <w:p>
      <w:pPr>
        <w:spacing w:after="0" w:line="1" w:lineRule="exact"/>
        <w:rPr>
          <w:rFonts w:ascii="Courier New" w:cs="Courier New" w:eastAsia="Courier New" w:hAnsi="Courier New"/>
          <w:sz w:val="18"/>
          <w:szCs w:val="18"/>
          <w:color w:val="auto"/>
        </w:rPr>
      </w:pPr>
    </w:p>
    <w:p>
      <w:pPr>
        <w:ind w:right="4119" w:firstLine="8"/>
        <w:spacing w:after="0" w:line="476" w:lineRule="auto"/>
        <w:tabs>
          <w:tab w:leader="none" w:pos="316"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 Not Applicable</w:t>
      </w:r>
    </w:p>
    <w:p>
      <w:pPr>
        <w:spacing w:after="0" w:line="1" w:lineRule="exact"/>
        <w:rPr>
          <w:rFonts w:ascii="Courier New" w:cs="Courier New" w:eastAsia="Courier New" w:hAnsi="Courier New"/>
          <w:sz w:val="18"/>
          <w:szCs w:val="18"/>
          <w:color w:val="auto"/>
        </w:rPr>
      </w:pPr>
    </w:p>
    <w:p>
      <w:pPr>
        <w:ind w:left="320" w:hanging="312"/>
        <w:spacing w:after="0"/>
        <w:tabs>
          <w:tab w:leader="none" w:pos="3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rFonts w:ascii="Courier New" w:cs="Courier New" w:eastAsia="Courier New" w:hAnsi="Courier New"/>
          <w:sz w:val="18"/>
          <w:szCs w:val="18"/>
          <w:color w:val="auto"/>
        </w:rPr>
      </w:pPr>
    </w:p>
    <w:p>
      <w:pPr>
        <w:ind w:left="320" w:hanging="312"/>
        <w:spacing w:after="0"/>
        <w:tabs>
          <w:tab w:leader="none" w:pos="3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Delaware</w:t>
      </w:r>
    </w:p>
    <w:p>
      <w:pPr>
        <w:spacing w:after="0" w:line="201" w:lineRule="exact"/>
        <w:rPr>
          <w:sz w:val="24"/>
          <w:szCs w:val="24"/>
          <w:color w:val="auto"/>
        </w:rPr>
      </w:pPr>
    </w:p>
    <w:p>
      <w:pPr>
        <w:ind w:right="3819"/>
        <w:spacing w:after="0" w:line="476" w:lineRule="auto"/>
        <w:rPr>
          <w:sz w:val="20"/>
          <w:szCs w:val="20"/>
          <w:color w:val="auto"/>
        </w:rPr>
      </w:pPr>
      <w:r>
        <w:rPr>
          <w:rFonts w:ascii="Courier New" w:cs="Courier New" w:eastAsia="Courier New" w:hAnsi="Courier New"/>
          <w:sz w:val="18"/>
          <w:szCs w:val="18"/>
          <w:color w:val="auto"/>
        </w:rPr>
        <w:t>Number of Shares Beneficially Owned By Each Reporting Person With:</w:t>
      </w:r>
    </w:p>
    <w:p>
      <w:pPr>
        <w:spacing w:after="0" w:line="1" w:lineRule="exact"/>
        <w:rPr>
          <w:sz w:val="24"/>
          <w:szCs w:val="24"/>
          <w:color w:val="auto"/>
        </w:rPr>
      </w:pPr>
    </w:p>
    <w:p>
      <w:pPr>
        <w:ind w:left="320" w:hanging="312"/>
        <w:spacing w:after="0"/>
        <w:tabs>
          <w:tab w:leader="none" w:pos="3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3,102,024 shares</w:t>
      </w:r>
    </w:p>
    <w:p>
      <w:pPr>
        <w:spacing w:after="0" w:line="201" w:lineRule="exact"/>
        <w:rPr>
          <w:rFonts w:ascii="Courier New" w:cs="Courier New" w:eastAsia="Courier New" w:hAnsi="Courier New"/>
          <w:sz w:val="18"/>
          <w:szCs w:val="18"/>
          <w:color w:val="auto"/>
        </w:rPr>
      </w:pPr>
    </w:p>
    <w:p>
      <w:pPr>
        <w:ind w:left="320" w:hanging="312"/>
        <w:spacing w:after="0"/>
        <w:tabs>
          <w:tab w:leader="none" w:pos="3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 0 shares</w:t>
      </w:r>
    </w:p>
    <w:p>
      <w:pPr>
        <w:spacing w:after="0" w:line="201" w:lineRule="exact"/>
        <w:rPr>
          <w:rFonts w:ascii="Courier New" w:cs="Courier New" w:eastAsia="Courier New" w:hAnsi="Courier New"/>
          <w:sz w:val="18"/>
          <w:szCs w:val="18"/>
          <w:color w:val="auto"/>
        </w:rPr>
      </w:pPr>
    </w:p>
    <w:p>
      <w:pPr>
        <w:ind w:left="320" w:hanging="312"/>
        <w:spacing w:after="0"/>
        <w:tabs>
          <w:tab w:leader="none" w:pos="3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 0 shares</w:t>
      </w:r>
    </w:p>
    <w:p>
      <w:pPr>
        <w:spacing w:after="0" w:line="201" w:lineRule="exact"/>
        <w:rPr>
          <w:rFonts w:ascii="Courier New" w:cs="Courier New" w:eastAsia="Courier New" w:hAnsi="Courier New"/>
          <w:sz w:val="18"/>
          <w:szCs w:val="18"/>
          <w:color w:val="auto"/>
        </w:rPr>
      </w:pPr>
    </w:p>
    <w:p>
      <w:pPr>
        <w:ind w:left="320" w:hanging="312"/>
        <w:spacing w:after="0"/>
        <w:tabs>
          <w:tab w:leader="none" w:pos="3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3,102,024 shares</w:t>
      </w:r>
    </w:p>
    <w:p>
      <w:pPr>
        <w:sectPr>
          <w:pgSz w:w="11900" w:h="16838" w:orient="portrait"/>
          <w:cols w:equalWidth="0" w:num="1">
            <w:col w:w="10139"/>
          </w:cols>
          <w:pgMar w:left="320" w:top="218" w:right="1440" w:bottom="0" w:gutter="0" w:footer="0" w:header="0"/>
        </w:sectPr>
      </w:pPr>
    </w:p>
    <w:bookmarkStart w:id="1" w:name="page2"/>
    <w:bookmarkEnd w:id="1"/>
    <w:p>
      <w:pPr>
        <w:spacing w:after="0" w:line="104" w:lineRule="exact"/>
        <w:rPr>
          <w:sz w:val="20"/>
          <w:szCs w:val="20"/>
          <w:color w:val="auto"/>
        </w:rPr>
      </w:pPr>
    </w:p>
    <w:p>
      <w:pPr>
        <w:ind w:right="4239" w:firstLine="8"/>
        <w:spacing w:after="0" w:line="476" w:lineRule="auto"/>
        <w:tabs>
          <w:tab w:leader="none" w:pos="316"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3,102,024 shares</w:t>
      </w:r>
    </w:p>
    <w:p>
      <w:pPr>
        <w:spacing w:after="0" w:line="1" w:lineRule="exact"/>
        <w:rPr>
          <w:rFonts w:ascii="Courier New" w:cs="Courier New" w:eastAsia="Courier New" w:hAnsi="Courier New"/>
          <w:sz w:val="18"/>
          <w:szCs w:val="18"/>
          <w:color w:val="auto"/>
        </w:rPr>
      </w:pPr>
    </w:p>
    <w:p>
      <w:pPr>
        <w:ind w:right="4339" w:firstLine="8"/>
        <w:spacing w:after="0" w:line="476" w:lineRule="auto"/>
        <w:tabs>
          <w:tab w:leader="none" w:pos="421"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9 Excludes Certain Shares: ( )</w:t>
      </w:r>
    </w:p>
    <w:p>
      <w:pPr>
        <w:spacing w:after="0" w:line="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4.2%</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IA</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96"/>
        </w:trPr>
        <w:tc>
          <w:tcPr>
            <w:tcW w:w="1060" w:type="dxa"/>
            <w:vAlign w:val="bottom"/>
            <w:gridSpan w:val="2"/>
          </w:tcPr>
          <w:p>
            <w:pPr>
              <w:spacing w:after="0"/>
              <w:rPr>
                <w:sz w:val="20"/>
                <w:szCs w:val="20"/>
                <w:color w:val="auto"/>
              </w:rPr>
            </w:pPr>
            <w:r>
              <w:rPr>
                <w:rFonts w:ascii="Courier New" w:cs="Courier New" w:eastAsia="Courier New" w:hAnsi="Courier New"/>
                <w:sz w:val="18"/>
                <w:szCs w:val="18"/>
                <w:color w:val="auto"/>
              </w:rPr>
              <w:t>Item 1(a)</w:t>
            </w:r>
          </w:p>
        </w:tc>
        <w:tc>
          <w:tcPr>
            <w:tcW w:w="5260" w:type="dxa"/>
            <w:vAlign w:val="bottom"/>
            <w:gridSpan w:val="2"/>
          </w:tcPr>
          <w:p>
            <w:pPr>
              <w:spacing w:after="0"/>
              <w:rPr>
                <w:sz w:val="20"/>
                <w:szCs w:val="20"/>
                <w:color w:val="auto"/>
              </w:rPr>
            </w:pPr>
            <w:r>
              <w:rPr>
                <w:rFonts w:ascii="Courier New" w:cs="Courier New" w:eastAsia="Courier New" w:hAnsi="Courier New"/>
                <w:sz w:val="18"/>
                <w:szCs w:val="18"/>
                <w:color w:val="auto"/>
              </w:rPr>
              <w:t>Name of Issuer: MongoDB, Inc.</w:t>
            </w:r>
          </w:p>
        </w:tc>
        <w:tc>
          <w:tcPr>
            <w:tcW w:w="0" w:type="dxa"/>
            <w:vAlign w:val="bottom"/>
          </w:tcPr>
          <w:p>
            <w:pPr>
              <w:spacing w:after="0"/>
              <w:rPr>
                <w:sz w:val="1"/>
                <w:szCs w:val="1"/>
                <w:color w:val="auto"/>
              </w:rPr>
            </w:pPr>
          </w:p>
        </w:tc>
      </w:tr>
      <w:tr>
        <w:trPr>
          <w:trHeight w:val="405"/>
        </w:trPr>
        <w:tc>
          <w:tcPr>
            <w:tcW w:w="1060" w:type="dxa"/>
            <w:vAlign w:val="bottom"/>
            <w:gridSpan w:val="2"/>
          </w:tcPr>
          <w:p>
            <w:pPr>
              <w:spacing w:after="0"/>
              <w:rPr>
                <w:sz w:val="20"/>
                <w:szCs w:val="20"/>
                <w:color w:val="auto"/>
              </w:rPr>
            </w:pPr>
            <w:r>
              <w:rPr>
                <w:rFonts w:ascii="Courier New" w:cs="Courier New" w:eastAsia="Courier New" w:hAnsi="Courier New"/>
                <w:sz w:val="18"/>
                <w:szCs w:val="18"/>
                <w:color w:val="auto"/>
              </w:rPr>
              <w:t>Item 1(b)</w:t>
            </w:r>
          </w:p>
        </w:tc>
        <w:tc>
          <w:tcPr>
            <w:tcW w:w="5260" w:type="dxa"/>
            <w:vAlign w:val="bottom"/>
            <w:gridSpan w:val="2"/>
          </w:tcPr>
          <w:p>
            <w:pPr>
              <w:spacing w:after="0"/>
              <w:rPr>
                <w:sz w:val="20"/>
                <w:szCs w:val="20"/>
                <w:color w:val="auto"/>
              </w:rPr>
            </w:pPr>
            <w:r>
              <w:rPr>
                <w:rFonts w:ascii="Courier New" w:cs="Courier New" w:eastAsia="Courier New" w:hAnsi="Courier New"/>
                <w:sz w:val="18"/>
                <w:szCs w:val="18"/>
                <w:color w:val="auto"/>
              </w:rPr>
              <w:t>Address of Issuer's Principal Executive Offices:</w:t>
            </w:r>
          </w:p>
        </w:tc>
        <w:tc>
          <w:tcPr>
            <w:tcW w:w="0" w:type="dxa"/>
            <w:vAlign w:val="bottom"/>
          </w:tcPr>
          <w:p>
            <w:pPr>
              <w:spacing w:after="0"/>
              <w:rPr>
                <w:sz w:val="1"/>
                <w:szCs w:val="1"/>
                <w:color w:val="auto"/>
              </w:rPr>
            </w:pPr>
          </w:p>
        </w:tc>
      </w:tr>
      <w:tr>
        <w:trPr>
          <w:trHeight w:val="311"/>
        </w:trPr>
        <w:tc>
          <w:tcPr>
            <w:tcW w:w="480" w:type="dxa"/>
            <w:vAlign w:val="bottom"/>
          </w:tcPr>
          <w:p>
            <w:pPr>
              <w:spacing w:after="0"/>
              <w:rPr>
                <w:sz w:val="20"/>
                <w:szCs w:val="20"/>
                <w:color w:val="auto"/>
              </w:rPr>
            </w:pPr>
            <w:r>
              <w:rPr>
                <w:rFonts w:ascii="Courier New" w:cs="Courier New" w:eastAsia="Courier New" w:hAnsi="Courier New"/>
                <w:sz w:val="18"/>
                <w:szCs w:val="18"/>
                <w:color w:val="auto"/>
              </w:rPr>
              <w:t>1633</w:t>
            </w:r>
          </w:p>
        </w:tc>
        <w:tc>
          <w:tcPr>
            <w:tcW w:w="1000" w:type="dxa"/>
            <w:vAlign w:val="bottom"/>
            <w:gridSpan w:val="2"/>
          </w:tcPr>
          <w:p>
            <w:pPr>
              <w:ind w:left="60"/>
              <w:spacing w:after="0"/>
              <w:rPr>
                <w:sz w:val="20"/>
                <w:szCs w:val="20"/>
                <w:color w:val="auto"/>
              </w:rPr>
            </w:pPr>
            <w:r>
              <w:rPr>
                <w:rFonts w:ascii="Courier New" w:cs="Courier New" w:eastAsia="Courier New" w:hAnsi="Courier New"/>
                <w:sz w:val="18"/>
                <w:szCs w:val="18"/>
                <w:color w:val="auto"/>
                <w:w w:val="94"/>
              </w:rPr>
              <w:t>Broadway,</w:t>
            </w:r>
          </w:p>
        </w:tc>
        <w:tc>
          <w:tcPr>
            <w:tcW w:w="4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10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6"/>
              </w:rPr>
              <w:t>38th Floor</w:t>
            </w:r>
          </w:p>
        </w:tc>
        <w:tc>
          <w:tcPr>
            <w:tcW w:w="5260" w:type="dxa"/>
            <w:vAlign w:val="bottom"/>
            <w:gridSpan w:val="2"/>
            <w:vMerge w:val="restart"/>
          </w:tcPr>
          <w:p>
            <w:pPr>
              <w:spacing w:after="0"/>
              <w:rPr>
                <w:sz w:val="20"/>
                <w:szCs w:val="20"/>
                <w:color w:val="auto"/>
              </w:rPr>
            </w:pPr>
            <w:r>
              <w:rPr>
                <w:rFonts w:ascii="Courier New" w:cs="Courier New" w:eastAsia="Courier New" w:hAnsi="Courier New"/>
                <w:sz w:val="18"/>
                <w:szCs w:val="18"/>
                <w:color w:val="auto"/>
              </w:rPr>
              <w:t>NY 10019</w:t>
            </w:r>
          </w:p>
        </w:tc>
        <w:tc>
          <w:tcPr>
            <w:tcW w:w="0" w:type="dxa"/>
            <w:vAlign w:val="bottom"/>
          </w:tcPr>
          <w:p>
            <w:pPr>
              <w:spacing w:after="0"/>
              <w:rPr>
                <w:sz w:val="1"/>
                <w:szCs w:val="1"/>
                <w:color w:val="auto"/>
              </w:rPr>
            </w:pPr>
          </w:p>
        </w:tc>
      </w:tr>
      <w:tr>
        <w:trPr>
          <w:trHeight w:val="296"/>
        </w:trPr>
        <w:tc>
          <w:tcPr>
            <w:tcW w:w="1060" w:type="dxa"/>
            <w:vAlign w:val="bottom"/>
            <w:gridSpan w:val="2"/>
          </w:tcPr>
          <w:p>
            <w:pPr>
              <w:spacing w:after="0"/>
              <w:rPr>
                <w:sz w:val="20"/>
                <w:szCs w:val="20"/>
                <w:color w:val="auto"/>
              </w:rPr>
            </w:pPr>
            <w:r>
              <w:rPr>
                <w:rFonts w:ascii="Courier New" w:cs="Courier New" w:eastAsia="Courier New" w:hAnsi="Courier New"/>
                <w:sz w:val="18"/>
                <w:szCs w:val="18"/>
                <w:color w:val="auto"/>
              </w:rPr>
              <w:t>New York,</w:t>
            </w:r>
          </w:p>
        </w:tc>
        <w:tc>
          <w:tcPr>
            <w:tcW w:w="526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1060" w:type="dxa"/>
            <w:vAlign w:val="bottom"/>
            <w:gridSpan w:val="2"/>
          </w:tcPr>
          <w:p>
            <w:pPr>
              <w:spacing w:after="0"/>
              <w:rPr>
                <w:sz w:val="20"/>
                <w:szCs w:val="20"/>
                <w:color w:val="auto"/>
              </w:rPr>
            </w:pPr>
            <w:r>
              <w:rPr>
                <w:rFonts w:ascii="Courier New" w:cs="Courier New" w:eastAsia="Courier New" w:hAnsi="Courier New"/>
                <w:sz w:val="18"/>
                <w:szCs w:val="18"/>
                <w:color w:val="auto"/>
              </w:rPr>
              <w:t>Item 2(a)</w:t>
            </w:r>
          </w:p>
        </w:tc>
        <w:tc>
          <w:tcPr>
            <w:tcW w:w="5260" w:type="dxa"/>
            <w:vAlign w:val="bottom"/>
            <w:gridSpan w:val="2"/>
          </w:tcPr>
          <w:p>
            <w:pPr>
              <w:spacing w:after="0"/>
              <w:rPr>
                <w:sz w:val="20"/>
                <w:szCs w:val="20"/>
                <w:color w:val="auto"/>
              </w:rPr>
            </w:pPr>
            <w:r>
              <w:rPr>
                <w:rFonts w:ascii="Courier New" w:cs="Courier New" w:eastAsia="Courier New" w:hAnsi="Courier New"/>
                <w:sz w:val="18"/>
                <w:szCs w:val="18"/>
                <w:color w:val="auto"/>
              </w:rPr>
              <w:t>Name of Person Filing:  Jennison Associates LLC</w:t>
            </w:r>
          </w:p>
        </w:tc>
        <w:tc>
          <w:tcPr>
            <w:tcW w:w="0" w:type="dxa"/>
            <w:vAlign w:val="bottom"/>
          </w:tcPr>
          <w:p>
            <w:pPr>
              <w:spacing w:after="0"/>
              <w:rPr>
                <w:sz w:val="1"/>
                <w:szCs w:val="1"/>
                <w:color w:val="auto"/>
              </w:rPr>
            </w:pPr>
          </w:p>
        </w:tc>
      </w:tr>
      <w:tr>
        <w:trPr>
          <w:trHeight w:val="405"/>
        </w:trPr>
        <w:tc>
          <w:tcPr>
            <w:tcW w:w="1060" w:type="dxa"/>
            <w:vAlign w:val="bottom"/>
            <w:gridSpan w:val="2"/>
          </w:tcPr>
          <w:p>
            <w:pPr>
              <w:spacing w:after="0"/>
              <w:rPr>
                <w:sz w:val="20"/>
                <w:szCs w:val="20"/>
                <w:color w:val="auto"/>
              </w:rPr>
            </w:pPr>
            <w:r>
              <w:rPr>
                <w:rFonts w:ascii="Courier New" w:cs="Courier New" w:eastAsia="Courier New" w:hAnsi="Courier New"/>
                <w:sz w:val="18"/>
                <w:szCs w:val="18"/>
                <w:color w:val="auto"/>
              </w:rPr>
              <w:t>Item 2(b)</w:t>
            </w:r>
          </w:p>
        </w:tc>
        <w:tc>
          <w:tcPr>
            <w:tcW w:w="5260" w:type="dxa"/>
            <w:vAlign w:val="bottom"/>
            <w:gridSpan w:val="2"/>
          </w:tcPr>
          <w:p>
            <w:pPr>
              <w:spacing w:after="0"/>
              <w:rPr>
                <w:sz w:val="20"/>
                <w:szCs w:val="20"/>
                <w:color w:val="auto"/>
              </w:rPr>
            </w:pPr>
            <w:r>
              <w:rPr>
                <w:rFonts w:ascii="Courier New" w:cs="Courier New" w:eastAsia="Courier New" w:hAnsi="Courier New"/>
                <w:sz w:val="18"/>
                <w:szCs w:val="18"/>
                <w:color w:val="auto"/>
                <w:w w:val="97"/>
              </w:rPr>
              <w:t>Address of Principal Business Office or Residence:</w:t>
            </w:r>
          </w:p>
        </w:tc>
        <w:tc>
          <w:tcPr>
            <w:tcW w:w="0" w:type="dxa"/>
            <w:vAlign w:val="bottom"/>
          </w:tcPr>
          <w:p>
            <w:pPr>
              <w:spacing w:after="0"/>
              <w:rPr>
                <w:sz w:val="1"/>
                <w:szCs w:val="1"/>
                <w:color w:val="auto"/>
              </w:rPr>
            </w:pPr>
          </w:p>
        </w:tc>
      </w:tr>
      <w:tr>
        <w:trPr>
          <w:trHeight w:val="311"/>
        </w:trPr>
        <w:tc>
          <w:tcPr>
            <w:tcW w:w="1480" w:type="dxa"/>
            <w:vAlign w:val="bottom"/>
            <w:gridSpan w:val="3"/>
          </w:tcPr>
          <w:p>
            <w:pPr>
              <w:spacing w:after="0"/>
              <w:rPr>
                <w:sz w:val="20"/>
                <w:szCs w:val="20"/>
                <w:color w:val="auto"/>
              </w:rPr>
            </w:pPr>
            <w:r>
              <w:rPr>
                <w:rFonts w:ascii="Courier New" w:cs="Courier New" w:eastAsia="Courier New" w:hAnsi="Courier New"/>
                <w:sz w:val="18"/>
                <w:szCs w:val="18"/>
                <w:color w:val="auto"/>
              </w:rPr>
              <w:t>466 Lexington</w:t>
            </w:r>
          </w:p>
        </w:tc>
        <w:tc>
          <w:tcPr>
            <w:tcW w:w="4840" w:type="dxa"/>
            <w:vAlign w:val="bottom"/>
          </w:tcPr>
          <w:p>
            <w:pPr>
              <w:spacing w:after="0"/>
              <w:rPr>
                <w:sz w:val="20"/>
                <w:szCs w:val="20"/>
                <w:color w:val="auto"/>
              </w:rPr>
            </w:pPr>
            <w:r>
              <w:rPr>
                <w:rFonts w:ascii="Courier New" w:cs="Courier New" w:eastAsia="Courier New" w:hAnsi="Courier New"/>
                <w:sz w:val="18"/>
                <w:szCs w:val="18"/>
                <w:color w:val="auto"/>
              </w:rPr>
              <w:t>Avenue</w:t>
            </w:r>
          </w:p>
        </w:tc>
        <w:tc>
          <w:tcPr>
            <w:tcW w:w="0" w:type="dxa"/>
            <w:vAlign w:val="bottom"/>
          </w:tcPr>
          <w:p>
            <w:pPr>
              <w:spacing w:after="0"/>
              <w:rPr>
                <w:sz w:val="1"/>
                <w:szCs w:val="1"/>
                <w:color w:val="auto"/>
              </w:rPr>
            </w:pPr>
          </w:p>
        </w:tc>
      </w:tr>
      <w:tr>
        <w:trPr>
          <w:trHeight w:val="296"/>
        </w:trPr>
        <w:tc>
          <w:tcPr>
            <w:tcW w:w="1060" w:type="dxa"/>
            <w:vAlign w:val="bottom"/>
            <w:gridSpan w:val="2"/>
          </w:tcPr>
          <w:p>
            <w:pPr>
              <w:spacing w:after="0"/>
              <w:rPr>
                <w:sz w:val="20"/>
                <w:szCs w:val="20"/>
                <w:color w:val="auto"/>
              </w:rPr>
            </w:pPr>
            <w:r>
              <w:rPr>
                <w:rFonts w:ascii="Courier New" w:cs="Courier New" w:eastAsia="Courier New" w:hAnsi="Courier New"/>
                <w:sz w:val="18"/>
                <w:szCs w:val="18"/>
                <w:color w:val="auto"/>
              </w:rPr>
              <w:t>New York,</w:t>
            </w:r>
          </w:p>
        </w:tc>
        <w:tc>
          <w:tcPr>
            <w:tcW w:w="420" w:type="dxa"/>
            <w:vAlign w:val="bottom"/>
          </w:tcPr>
          <w:p>
            <w:pPr>
              <w:spacing w:after="0"/>
              <w:rPr>
                <w:sz w:val="20"/>
                <w:szCs w:val="20"/>
                <w:color w:val="auto"/>
              </w:rPr>
            </w:pPr>
            <w:r>
              <w:rPr>
                <w:rFonts w:ascii="Courier New" w:cs="Courier New" w:eastAsia="Courier New" w:hAnsi="Courier New"/>
                <w:sz w:val="18"/>
                <w:szCs w:val="18"/>
                <w:color w:val="auto"/>
              </w:rPr>
              <w:t>NY</w:t>
            </w:r>
          </w:p>
        </w:tc>
        <w:tc>
          <w:tcPr>
            <w:tcW w:w="4840" w:type="dxa"/>
            <w:vAlign w:val="bottom"/>
          </w:tcPr>
          <w:p>
            <w:pPr>
              <w:spacing w:after="0"/>
              <w:rPr>
                <w:sz w:val="20"/>
                <w:szCs w:val="20"/>
                <w:color w:val="auto"/>
              </w:rPr>
            </w:pPr>
            <w:r>
              <w:rPr>
                <w:rFonts w:ascii="Courier New" w:cs="Courier New" w:eastAsia="Courier New" w:hAnsi="Courier New"/>
                <w:sz w:val="18"/>
                <w:szCs w:val="18"/>
                <w:color w:val="auto"/>
              </w:rPr>
              <w:t>10017</w:t>
            </w:r>
          </w:p>
        </w:tc>
        <w:tc>
          <w:tcPr>
            <w:tcW w:w="0" w:type="dxa"/>
            <w:vAlign w:val="bottom"/>
          </w:tcPr>
          <w:p>
            <w:pPr>
              <w:spacing w:after="0"/>
              <w:rPr>
                <w:sz w:val="1"/>
                <w:szCs w:val="1"/>
                <w:color w:val="auto"/>
              </w:rPr>
            </w:pPr>
          </w:p>
        </w:tc>
      </w:tr>
      <w:tr>
        <w:trPr>
          <w:trHeight w:val="405"/>
        </w:trPr>
        <w:tc>
          <w:tcPr>
            <w:tcW w:w="1060" w:type="dxa"/>
            <w:vAlign w:val="bottom"/>
            <w:gridSpan w:val="2"/>
          </w:tcPr>
          <w:p>
            <w:pPr>
              <w:spacing w:after="0"/>
              <w:rPr>
                <w:sz w:val="20"/>
                <w:szCs w:val="20"/>
                <w:color w:val="auto"/>
              </w:rPr>
            </w:pPr>
            <w:r>
              <w:rPr>
                <w:rFonts w:ascii="Courier New" w:cs="Courier New" w:eastAsia="Courier New" w:hAnsi="Courier New"/>
                <w:sz w:val="18"/>
                <w:szCs w:val="18"/>
                <w:color w:val="auto"/>
              </w:rPr>
              <w:t>Item 2(c)</w:t>
            </w:r>
          </w:p>
        </w:tc>
        <w:tc>
          <w:tcPr>
            <w:tcW w:w="5260" w:type="dxa"/>
            <w:vAlign w:val="bottom"/>
            <w:gridSpan w:val="2"/>
          </w:tcPr>
          <w:p>
            <w:pPr>
              <w:spacing w:after="0"/>
              <w:rPr>
                <w:sz w:val="20"/>
                <w:szCs w:val="20"/>
                <w:color w:val="auto"/>
              </w:rPr>
            </w:pPr>
            <w:r>
              <w:rPr>
                <w:rFonts w:ascii="Courier New" w:cs="Courier New" w:eastAsia="Courier New" w:hAnsi="Courier New"/>
                <w:sz w:val="18"/>
                <w:szCs w:val="18"/>
                <w:color w:val="auto"/>
              </w:rPr>
              <w:t>Citizenship: Delaware</w:t>
            </w:r>
          </w:p>
        </w:tc>
        <w:tc>
          <w:tcPr>
            <w:tcW w:w="0" w:type="dxa"/>
            <w:vAlign w:val="bottom"/>
          </w:tcPr>
          <w:p>
            <w:pPr>
              <w:spacing w:after="0"/>
              <w:rPr>
                <w:sz w:val="1"/>
                <w:szCs w:val="1"/>
                <w:color w:val="auto"/>
              </w:rPr>
            </w:pPr>
          </w:p>
        </w:tc>
      </w:tr>
      <w:tr>
        <w:trPr>
          <w:trHeight w:val="405"/>
        </w:trPr>
        <w:tc>
          <w:tcPr>
            <w:tcW w:w="1060" w:type="dxa"/>
            <w:vAlign w:val="bottom"/>
            <w:gridSpan w:val="2"/>
          </w:tcPr>
          <w:p>
            <w:pPr>
              <w:spacing w:after="0"/>
              <w:rPr>
                <w:sz w:val="20"/>
                <w:szCs w:val="20"/>
                <w:color w:val="auto"/>
              </w:rPr>
            </w:pPr>
            <w:r>
              <w:rPr>
                <w:rFonts w:ascii="Courier New" w:cs="Courier New" w:eastAsia="Courier New" w:hAnsi="Courier New"/>
                <w:sz w:val="18"/>
                <w:szCs w:val="18"/>
                <w:color w:val="auto"/>
              </w:rPr>
              <w:t>Item 2(d)</w:t>
            </w:r>
          </w:p>
        </w:tc>
        <w:tc>
          <w:tcPr>
            <w:tcW w:w="5260" w:type="dxa"/>
            <w:vAlign w:val="bottom"/>
            <w:gridSpan w:val="2"/>
          </w:tcPr>
          <w:p>
            <w:pPr>
              <w:spacing w:after="0"/>
              <w:rPr>
                <w:sz w:val="20"/>
                <w:szCs w:val="20"/>
                <w:color w:val="auto"/>
              </w:rPr>
            </w:pPr>
            <w:r>
              <w:rPr>
                <w:rFonts w:ascii="Courier New" w:cs="Courier New" w:eastAsia="Courier New" w:hAnsi="Courier New"/>
                <w:sz w:val="18"/>
                <w:szCs w:val="18"/>
                <w:color w:val="auto"/>
                <w:w w:val="97"/>
              </w:rPr>
              <w:t>Title of Class of Securities: Class A Common Stock</w:t>
            </w:r>
          </w:p>
        </w:tc>
        <w:tc>
          <w:tcPr>
            <w:tcW w:w="0" w:type="dxa"/>
            <w:vAlign w:val="bottom"/>
          </w:tcPr>
          <w:p>
            <w:pPr>
              <w:spacing w:after="0"/>
              <w:rPr>
                <w:sz w:val="1"/>
                <w:szCs w:val="1"/>
                <w:color w:val="auto"/>
              </w:rPr>
            </w:pPr>
          </w:p>
        </w:tc>
      </w:tr>
      <w:tr>
        <w:trPr>
          <w:trHeight w:val="405"/>
        </w:trPr>
        <w:tc>
          <w:tcPr>
            <w:tcW w:w="1060" w:type="dxa"/>
            <w:vAlign w:val="bottom"/>
            <w:gridSpan w:val="2"/>
          </w:tcPr>
          <w:p>
            <w:pPr>
              <w:spacing w:after="0"/>
              <w:rPr>
                <w:sz w:val="20"/>
                <w:szCs w:val="20"/>
                <w:color w:val="auto"/>
              </w:rPr>
            </w:pPr>
            <w:r>
              <w:rPr>
                <w:rFonts w:ascii="Courier New" w:cs="Courier New" w:eastAsia="Courier New" w:hAnsi="Courier New"/>
                <w:sz w:val="18"/>
                <w:szCs w:val="18"/>
                <w:color w:val="auto"/>
              </w:rPr>
              <w:t>Item 2(e)</w:t>
            </w:r>
          </w:p>
        </w:tc>
        <w:tc>
          <w:tcPr>
            <w:tcW w:w="5260" w:type="dxa"/>
            <w:vAlign w:val="bottom"/>
            <w:gridSpan w:val="2"/>
          </w:tcPr>
          <w:p>
            <w:pPr>
              <w:spacing w:after="0"/>
              <w:rPr>
                <w:sz w:val="20"/>
                <w:szCs w:val="20"/>
                <w:color w:val="auto"/>
              </w:rPr>
            </w:pPr>
            <w:r>
              <w:rPr>
                <w:rFonts w:ascii="Courier New" w:cs="Courier New" w:eastAsia="Courier New" w:hAnsi="Courier New"/>
                <w:sz w:val="18"/>
                <w:szCs w:val="18"/>
                <w:color w:val="auto"/>
              </w:rPr>
              <w:t>CUSIP Number: 60937P106</w:t>
            </w:r>
          </w:p>
        </w:tc>
        <w:tc>
          <w:tcPr>
            <w:tcW w:w="0" w:type="dxa"/>
            <w:vAlign w:val="bottom"/>
          </w:tcPr>
          <w:p>
            <w:pPr>
              <w:spacing w:after="0"/>
              <w:rPr>
                <w:sz w:val="1"/>
                <w:szCs w:val="1"/>
                <w:color w:val="auto"/>
              </w:rPr>
            </w:pPr>
          </w:p>
        </w:tc>
      </w:tr>
    </w:tbl>
    <w:p>
      <w:pPr>
        <w:spacing w:after="0" w:line="311" w:lineRule="exact"/>
        <w:rPr>
          <w:sz w:val="20"/>
          <w:szCs w:val="20"/>
          <w:color w:val="auto"/>
        </w:rPr>
      </w:pPr>
    </w:p>
    <w:p>
      <w:pPr>
        <w:ind w:right="3699"/>
        <w:spacing w:after="0" w:line="536" w:lineRule="auto"/>
        <w:rPr>
          <w:sz w:val="20"/>
          <w:szCs w:val="20"/>
          <w:color w:val="auto"/>
        </w:rPr>
      </w:pPr>
      <w:r>
        <w:rPr>
          <w:rFonts w:ascii="Courier New" w:cs="Courier New" w:eastAsia="Courier New" w:hAnsi="Courier New"/>
          <w:sz w:val="16"/>
          <w:szCs w:val="16"/>
          <w:color w:val="auto"/>
        </w:rPr>
        <w:t>Item 3 If this statement is filed pursuant to Rules 13d-1(b), or 13d-2(b), or (c) check whether the person filing is a:</w:t>
      </w:r>
    </w:p>
    <w:p>
      <w:pPr>
        <w:ind w:left="420" w:hanging="412"/>
        <w:spacing w:after="0"/>
        <w:tabs>
          <w:tab w:leader="none" w:pos="42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Broker or Dealer registered under Section 15 of the Act</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Bank as defined in Section 3(a) (6) of the Act</w:t>
      </w:r>
    </w:p>
    <w:p>
      <w:pPr>
        <w:spacing w:after="0" w:line="201" w:lineRule="exact"/>
        <w:rPr>
          <w:rFonts w:ascii="Courier New" w:cs="Courier New" w:eastAsia="Courier New" w:hAnsi="Courier New"/>
          <w:sz w:val="18"/>
          <w:szCs w:val="18"/>
          <w:color w:val="auto"/>
        </w:rPr>
      </w:pPr>
    </w:p>
    <w:p>
      <w:pPr>
        <w:ind w:right="3819" w:firstLine="8"/>
        <w:spacing w:after="0" w:line="476" w:lineRule="auto"/>
        <w:tabs>
          <w:tab w:leader="none" w:pos="421"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Insurance Company as defined in Section 3(a) (19) of the Act</w:t>
      </w:r>
    </w:p>
    <w:p>
      <w:pPr>
        <w:spacing w:after="0" w:line="1" w:lineRule="exact"/>
        <w:rPr>
          <w:rFonts w:ascii="Courier New" w:cs="Courier New" w:eastAsia="Courier New" w:hAnsi="Courier New"/>
          <w:sz w:val="18"/>
          <w:szCs w:val="18"/>
          <w:color w:val="auto"/>
        </w:rPr>
      </w:pPr>
    </w:p>
    <w:p>
      <w:pPr>
        <w:ind w:right="3819" w:firstLine="8"/>
        <w:spacing w:after="0" w:line="476" w:lineRule="auto"/>
        <w:tabs>
          <w:tab w:leader="none" w:pos="421"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Investment Company registered under Section 8 of the Investment Company Act</w:t>
      </w:r>
    </w:p>
    <w:p>
      <w:pPr>
        <w:spacing w:after="0" w:line="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(X) Investment Adviser in accordance with Section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240.13d-1(b) (1) (ii) (E)</w:t>
      </w:r>
    </w:p>
    <w:p>
      <w:pPr>
        <w:spacing w:after="0" w:line="201" w:lineRule="exact"/>
        <w:rPr>
          <w:sz w:val="20"/>
          <w:szCs w:val="20"/>
          <w:color w:val="auto"/>
        </w:rPr>
      </w:pPr>
    </w:p>
    <w:p>
      <w:pPr>
        <w:ind w:right="3819" w:firstLine="8"/>
        <w:spacing w:after="0" w:line="476" w:lineRule="auto"/>
        <w:tabs>
          <w:tab w:leader="none" w:pos="421"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Employee Benefit Plan, Pension Fund which is subject to the provision of the Employee Retirement Income Security Act of 1974 or Endowment Fund in accordance with Section 240.13d-1(b) (ii) (F)</w:t>
      </w:r>
    </w:p>
    <w:p>
      <w:pPr>
        <w:spacing w:after="0" w:line="2" w:lineRule="exact"/>
        <w:rPr>
          <w:rFonts w:ascii="Courier New" w:cs="Courier New" w:eastAsia="Courier New" w:hAnsi="Courier New"/>
          <w:sz w:val="18"/>
          <w:szCs w:val="18"/>
          <w:color w:val="auto"/>
        </w:rPr>
      </w:pPr>
    </w:p>
    <w:p>
      <w:pPr>
        <w:ind w:right="3499" w:firstLine="8"/>
        <w:spacing w:after="0" w:line="476" w:lineRule="auto"/>
        <w:tabs>
          <w:tab w:leader="none" w:pos="421"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Parent Holding Company or control person, in accordance with Section 240.13(b) (ii) (G)</w:t>
      </w:r>
    </w:p>
    <w:p>
      <w:pPr>
        <w:spacing w:after="0" w:line="1" w:lineRule="exact"/>
        <w:rPr>
          <w:rFonts w:ascii="Courier New" w:cs="Courier New" w:eastAsia="Courier New" w:hAnsi="Courier New"/>
          <w:sz w:val="18"/>
          <w:szCs w:val="18"/>
          <w:color w:val="auto"/>
        </w:rPr>
      </w:pPr>
    </w:p>
    <w:p>
      <w:pPr>
        <w:ind w:right="3499" w:firstLine="8"/>
        <w:spacing w:after="0" w:line="476" w:lineRule="auto"/>
        <w:tabs>
          <w:tab w:leader="none" w:pos="421"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 savings association as defined by Section 3(b) of the Federal Deposit Insurance Act</w:t>
      </w:r>
    </w:p>
    <w:p>
      <w:pPr>
        <w:spacing w:after="0" w:line="1" w:lineRule="exact"/>
        <w:rPr>
          <w:rFonts w:ascii="Courier New" w:cs="Courier New" w:eastAsia="Courier New" w:hAnsi="Courier New"/>
          <w:sz w:val="18"/>
          <w:szCs w:val="18"/>
          <w:color w:val="auto"/>
        </w:rPr>
      </w:pPr>
    </w:p>
    <w:p>
      <w:pPr>
        <w:ind w:right="3079"/>
        <w:spacing w:after="0" w:line="476"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 ) A church plan that is excluded from the definition of an investment company under Section 3(c) (4) of the Investment Company Act of 1940.</w:t>
      </w:r>
    </w:p>
    <w:p>
      <w:pPr>
        <w:spacing w:after="0" w:line="1" w:lineRule="exact"/>
        <w:rPr>
          <w:rFonts w:ascii="Courier New" w:cs="Courier New" w:eastAsia="Courier New" w:hAnsi="Courier New"/>
          <w:sz w:val="18"/>
          <w:szCs w:val="18"/>
          <w:color w:val="auto"/>
        </w:rPr>
      </w:pPr>
    </w:p>
    <w:p>
      <w:pPr>
        <w:ind w:right="3079"/>
        <w:spacing w:after="0" w:line="68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(j)( ) Group, in accordance with Section 240.13d-1(b) (1) (ii) (J). If this statement is filed pursuant to Section 240.13d-1(c), check</w:t>
      </w:r>
    </w:p>
    <w:p>
      <w:pPr>
        <w:sectPr>
          <w:pgSz w:w="11900" w:h="16942" w:orient="portrait"/>
          <w:cols w:equalWidth="0" w:num="1">
            <w:col w:w="10139"/>
          </w:cols>
          <w:pgMar w:left="320" w:top="312" w:right="1440" w:bottom="0" w:gutter="0" w:footer="0" w:header="0"/>
        </w:sectPr>
      </w:pPr>
    </w:p>
    <w:bookmarkStart w:id="2" w:name="page3"/>
    <w:bookmarkEnd w:id="2"/>
    <w:p>
      <w:pPr>
        <w:spacing w:after="0"/>
        <w:rPr>
          <w:sz w:val="20"/>
          <w:szCs w:val="20"/>
          <w:color w:val="auto"/>
        </w:rPr>
      </w:pPr>
      <w:r>
        <w:rPr>
          <w:rFonts w:ascii="Courier New" w:cs="Courier New" w:eastAsia="Courier New" w:hAnsi="Courier New"/>
          <w:sz w:val="18"/>
          <w:szCs w:val="18"/>
          <w:color w:val="auto"/>
        </w:rPr>
        <w:t>this box. ( )</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0"/>
          <w:szCs w:val="20"/>
          <w:color w:val="auto"/>
        </w:rPr>
      </w:pPr>
    </w:p>
    <w:p>
      <w:pPr>
        <w:ind w:right="3179"/>
        <w:spacing w:after="0" w:line="476" w:lineRule="auto"/>
        <w:rPr>
          <w:sz w:val="20"/>
          <w:szCs w:val="20"/>
          <w:color w:val="auto"/>
        </w:rPr>
      </w:pPr>
      <w:r>
        <w:rPr>
          <w:rFonts w:ascii="Courier New" w:cs="Courier New" w:eastAsia="Courier New" w:hAnsi="Courier New"/>
          <w:sz w:val="18"/>
          <w:szCs w:val="18"/>
          <w:color w:val="auto"/>
        </w:rPr>
        <w:t>Provide the following information regarding the aggregate number and percentage of the class of securities of the issuer identified in Item 1.</w:t>
      </w:r>
    </w:p>
    <w:p>
      <w:pPr>
        <w:spacing w:after="0" w:line="2" w:lineRule="exact"/>
        <w:rPr>
          <w:sz w:val="20"/>
          <w:szCs w:val="20"/>
          <w:color w:val="auto"/>
        </w:rPr>
      </w:pPr>
    </w:p>
    <w:p>
      <w:pPr>
        <w:ind w:left="420" w:hanging="412"/>
        <w:spacing w:after="0"/>
        <w:tabs>
          <w:tab w:leader="none" w:pos="42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Beneficially Owned: 3,102,024 shares</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4.2%</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the person has:</w:t>
      </w:r>
    </w:p>
    <w:p>
      <w:pPr>
        <w:spacing w:after="0" w:line="201" w:lineRule="exact"/>
        <w:rPr>
          <w:sz w:val="20"/>
          <w:szCs w:val="20"/>
          <w:color w:val="auto"/>
        </w:rPr>
      </w:pPr>
    </w:p>
    <w:p>
      <w:pPr>
        <w:ind w:left="420" w:hanging="412"/>
        <w:spacing w:after="0"/>
        <w:tabs>
          <w:tab w:leader="none" w:pos="42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 or to direct the vote: 3,102,024 shares</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 direct the vote: 0 shares</w:t>
      </w:r>
    </w:p>
    <w:p>
      <w:pPr>
        <w:spacing w:after="0" w:line="201" w:lineRule="exact"/>
        <w:rPr>
          <w:rFonts w:ascii="Courier New" w:cs="Courier New" w:eastAsia="Courier New" w:hAnsi="Courier New"/>
          <w:sz w:val="18"/>
          <w:szCs w:val="18"/>
          <w:color w:val="auto"/>
        </w:rPr>
      </w:pPr>
    </w:p>
    <w:p>
      <w:pPr>
        <w:ind w:left="640" w:hanging="632"/>
        <w:spacing w:after="0"/>
        <w:tabs>
          <w:tab w:leader="none" w:pos="64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 direct the disposition of: 0 shares</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shared power to dispose or to direct the disposition of: 3,102,024 shares</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right="4859"/>
        <w:spacing w:after="0" w:line="536" w:lineRule="auto"/>
        <w:rPr>
          <w:sz w:val="20"/>
          <w:szCs w:val="20"/>
          <w:color w:val="auto"/>
        </w:rPr>
      </w:pPr>
      <w:r>
        <w:rPr>
          <w:rFonts w:ascii="Courier New" w:cs="Courier New" w:eastAsia="Courier New" w:hAnsi="Courier New"/>
          <w:sz w:val="16"/>
          <w:szCs w:val="16"/>
          <w:color w:val="auto"/>
        </w:rPr>
        <w:t>Jennison Associates LLC ("Jennison") furnishes investment advice to several investment companies,</w:t>
      </w:r>
    </w:p>
    <w:p>
      <w:pPr>
        <w:ind w:right="3399"/>
        <w:spacing w:after="0" w:line="546" w:lineRule="auto"/>
        <w:rPr>
          <w:sz w:val="20"/>
          <w:szCs w:val="20"/>
          <w:color w:val="auto"/>
        </w:rPr>
      </w:pPr>
      <w:r>
        <w:rPr>
          <w:rFonts w:ascii="Courier New" w:cs="Courier New" w:eastAsia="Courier New" w:hAnsi="Courier New"/>
          <w:sz w:val="16"/>
          <w:szCs w:val="16"/>
          <w:color w:val="auto"/>
        </w:rPr>
        <w:t>insurance separate accounts, and institutional clients ("Managed Portfolios"). As a result of its role as investment adviser of the Managed Portfolios, Jennison may be deemed to be the beneficial owner of the shares of the Issuer's Common Stock held by such Managed Portfolios. Prudential Financial, Inc. ("Prudential") indirectly owns 100% of equity interests of Jennison. As a result, Prudential may be deemed to have the power to exercise or to direct the exercise of such voting and/or dispositive power that Jennison may have with respect to the Issuer's Common Stock held by the Managed Portfolios. Jennison does not file jointly with Prudential, as such, shares of the Issuer's Common Stock reported on Jennison's 13G may be included in the shares reported on the 13G filed by Prudential. These shares were acquired in the ordinary course of business, and not with the purpose or effect of changing or influencing control of the Issuer. The filing of this statement should not be construed as an admission that Jennison is, for the purposes of Sections 13 or 16 of the Securities Exchange Act of 1934, the beneficial owner of these shares.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296"/>
        </w:trPr>
        <w:tc>
          <w:tcPr>
            <w:tcW w:w="2060" w:type="dxa"/>
            <w:vAlign w:val="bottom"/>
          </w:tcPr>
          <w:p>
            <w:pPr>
              <w:spacing w:after="0"/>
              <w:rPr>
                <w:sz w:val="20"/>
                <w:szCs w:val="20"/>
                <w:color w:val="auto"/>
              </w:rPr>
            </w:pPr>
            <w:r>
              <w:rPr>
                <w:rFonts w:ascii="Courier New" w:cs="Courier New" w:eastAsia="Courier New" w:hAnsi="Courier New"/>
                <w:sz w:val="18"/>
                <w:szCs w:val="18"/>
                <w:color w:val="auto"/>
                <w:w w:val="99"/>
              </w:rPr>
              <w:t>Item 5 Ownership of</w:t>
            </w:r>
          </w:p>
        </w:tc>
        <w:tc>
          <w:tcPr>
            <w:tcW w:w="1680" w:type="dxa"/>
            <w:vAlign w:val="bottom"/>
          </w:tcPr>
          <w:p>
            <w:pPr>
              <w:ind w:left="60"/>
              <w:spacing w:after="0"/>
              <w:rPr>
                <w:sz w:val="20"/>
                <w:szCs w:val="20"/>
                <w:color w:val="auto"/>
              </w:rPr>
            </w:pPr>
            <w:r>
              <w:rPr>
                <w:rFonts w:ascii="Courier New" w:cs="Courier New" w:eastAsia="Courier New" w:hAnsi="Courier New"/>
                <w:sz w:val="18"/>
                <w:szCs w:val="18"/>
                <w:color w:val="auto"/>
                <w:w w:val="98"/>
              </w:rPr>
              <w:t>Five Percent or</w:t>
            </w:r>
          </w:p>
        </w:tc>
        <w:tc>
          <w:tcPr>
            <w:tcW w:w="1060" w:type="dxa"/>
            <w:vAlign w:val="bottom"/>
          </w:tcPr>
          <w:p>
            <w:pPr>
              <w:ind w:left="60"/>
              <w:spacing w:after="0"/>
              <w:rPr>
                <w:sz w:val="20"/>
                <w:szCs w:val="20"/>
                <w:color w:val="auto"/>
              </w:rPr>
            </w:pPr>
            <w:r>
              <w:rPr>
                <w:rFonts w:ascii="Courier New" w:cs="Courier New" w:eastAsia="Courier New" w:hAnsi="Courier New"/>
                <w:sz w:val="18"/>
                <w:szCs w:val="18"/>
                <w:color w:val="auto"/>
              </w:rPr>
              <w:t>Less of a</w:t>
            </w:r>
          </w:p>
        </w:tc>
        <w:tc>
          <w:tcPr>
            <w:tcW w:w="1740" w:type="dxa"/>
            <w:vAlign w:val="bottom"/>
          </w:tcPr>
          <w:p>
            <w:pPr>
              <w:ind w:left="60"/>
              <w:spacing w:after="0"/>
              <w:rPr>
                <w:sz w:val="20"/>
                <w:szCs w:val="20"/>
                <w:color w:val="auto"/>
              </w:rPr>
            </w:pPr>
            <w:r>
              <w:rPr>
                <w:rFonts w:ascii="Courier New" w:cs="Courier New" w:eastAsia="Courier New" w:hAnsi="Courier New"/>
                <w:sz w:val="18"/>
                <w:szCs w:val="18"/>
                <w:color w:val="auto"/>
              </w:rPr>
              <w:t>Class:</w:t>
            </w:r>
          </w:p>
        </w:tc>
      </w:tr>
      <w:tr>
        <w:trPr>
          <w:trHeight w:val="405"/>
        </w:trPr>
        <w:tc>
          <w:tcPr>
            <w:tcW w:w="3740" w:type="dxa"/>
            <w:vAlign w:val="bottom"/>
            <w:gridSpan w:val="2"/>
          </w:tcPr>
          <w:p>
            <w:pPr>
              <w:spacing w:after="0"/>
              <w:rPr>
                <w:sz w:val="20"/>
                <w:szCs w:val="20"/>
                <w:color w:val="auto"/>
              </w:rPr>
            </w:pPr>
            <w:r>
              <w:rPr>
                <w:rFonts w:ascii="Courier New" w:cs="Courier New" w:eastAsia="Courier New" w:hAnsi="Courier New"/>
                <w:sz w:val="18"/>
                <w:szCs w:val="18"/>
                <w:color w:val="auto"/>
                <w:w w:val="98"/>
              </w:rPr>
              <w:t>If this statement is being filed to</w:t>
            </w:r>
          </w:p>
        </w:tc>
        <w:tc>
          <w:tcPr>
            <w:tcW w:w="2800" w:type="dxa"/>
            <w:vAlign w:val="bottom"/>
            <w:gridSpan w:val="2"/>
          </w:tcPr>
          <w:p>
            <w:pPr>
              <w:ind w:left="60"/>
              <w:spacing w:after="0"/>
              <w:rPr>
                <w:sz w:val="20"/>
                <w:szCs w:val="20"/>
                <w:color w:val="auto"/>
              </w:rPr>
            </w:pPr>
            <w:r>
              <w:rPr>
                <w:rFonts w:ascii="Courier New" w:cs="Courier New" w:eastAsia="Courier New" w:hAnsi="Courier New"/>
                <w:sz w:val="18"/>
                <w:szCs w:val="18"/>
                <w:color w:val="auto"/>
                <w:w w:val="96"/>
              </w:rPr>
              <w:t>report the fact that as of</w:t>
            </w:r>
          </w:p>
        </w:tc>
      </w:tr>
      <w:tr>
        <w:trPr>
          <w:trHeight w:val="405"/>
        </w:trPr>
        <w:tc>
          <w:tcPr>
            <w:tcW w:w="2060" w:type="dxa"/>
            <w:vAlign w:val="bottom"/>
          </w:tcPr>
          <w:p>
            <w:pPr>
              <w:spacing w:after="0"/>
              <w:rPr>
                <w:sz w:val="20"/>
                <w:szCs w:val="20"/>
                <w:color w:val="auto"/>
              </w:rPr>
            </w:pPr>
            <w:r>
              <w:rPr>
                <w:rFonts w:ascii="Courier New" w:cs="Courier New" w:eastAsia="Courier New" w:hAnsi="Courier New"/>
                <w:sz w:val="18"/>
                <w:szCs w:val="18"/>
                <w:color w:val="auto"/>
                <w:w w:val="99"/>
              </w:rPr>
              <w:t>the date hereof the</w:t>
            </w:r>
          </w:p>
        </w:tc>
        <w:tc>
          <w:tcPr>
            <w:tcW w:w="4480" w:type="dxa"/>
            <w:vAlign w:val="bottom"/>
            <w:gridSpan w:val="3"/>
          </w:tcPr>
          <w:p>
            <w:pPr>
              <w:ind w:left="60"/>
              <w:spacing w:after="0"/>
              <w:rPr>
                <w:sz w:val="20"/>
                <w:szCs w:val="20"/>
                <w:color w:val="auto"/>
              </w:rPr>
            </w:pPr>
            <w:r>
              <w:rPr>
                <w:rFonts w:ascii="Courier New" w:cs="Courier New" w:eastAsia="Courier New" w:hAnsi="Courier New"/>
                <w:sz w:val="18"/>
                <w:szCs w:val="18"/>
                <w:color w:val="auto"/>
              </w:rPr>
              <w:t>reporting person has ceased to be the</w:t>
            </w:r>
          </w:p>
        </w:tc>
      </w:tr>
      <w:tr>
        <w:trPr>
          <w:trHeight w:val="405"/>
        </w:trPr>
        <w:tc>
          <w:tcPr>
            <w:tcW w:w="2060" w:type="dxa"/>
            <w:vAlign w:val="bottom"/>
          </w:tcPr>
          <w:p>
            <w:pPr>
              <w:spacing w:after="0"/>
              <w:rPr>
                <w:sz w:val="20"/>
                <w:szCs w:val="20"/>
                <w:color w:val="auto"/>
              </w:rPr>
            </w:pPr>
            <w:r>
              <w:rPr>
                <w:rFonts w:ascii="Courier New" w:cs="Courier New" w:eastAsia="Courier New" w:hAnsi="Courier New"/>
                <w:sz w:val="18"/>
                <w:szCs w:val="18"/>
                <w:color w:val="auto"/>
                <w:w w:val="99"/>
              </w:rPr>
              <w:t>beneficial owner of</w:t>
            </w:r>
          </w:p>
        </w:tc>
        <w:tc>
          <w:tcPr>
            <w:tcW w:w="2740" w:type="dxa"/>
            <w:vAlign w:val="bottom"/>
            <w:gridSpan w:val="2"/>
          </w:tcPr>
          <w:p>
            <w:pPr>
              <w:ind w:left="60"/>
              <w:spacing w:after="0"/>
              <w:rPr>
                <w:sz w:val="20"/>
                <w:szCs w:val="20"/>
                <w:color w:val="auto"/>
              </w:rPr>
            </w:pPr>
            <w:r>
              <w:rPr>
                <w:rFonts w:ascii="Courier New" w:cs="Courier New" w:eastAsia="Courier New" w:hAnsi="Courier New"/>
                <w:sz w:val="18"/>
                <w:szCs w:val="18"/>
                <w:color w:val="auto"/>
                <w:w w:val="98"/>
              </w:rPr>
              <w:t>more than five percent of</w:t>
            </w:r>
          </w:p>
        </w:tc>
        <w:tc>
          <w:tcPr>
            <w:tcW w:w="1740" w:type="dxa"/>
            <w:vAlign w:val="bottom"/>
          </w:tcPr>
          <w:p>
            <w:pPr>
              <w:ind w:left="60"/>
              <w:spacing w:after="0"/>
              <w:rPr>
                <w:sz w:val="20"/>
                <w:szCs w:val="20"/>
                <w:color w:val="auto"/>
              </w:rPr>
            </w:pPr>
            <w:r>
              <w:rPr>
                <w:rFonts w:ascii="Courier New" w:cs="Courier New" w:eastAsia="Courier New" w:hAnsi="Courier New"/>
                <w:sz w:val="18"/>
                <w:szCs w:val="18"/>
                <w:color w:val="auto"/>
              </w:rPr>
              <w:t>the securities,</w:t>
            </w:r>
          </w:p>
        </w:tc>
      </w:tr>
      <w:tr>
        <w:trPr>
          <w:trHeight w:val="405"/>
        </w:trPr>
        <w:tc>
          <w:tcPr>
            <w:tcW w:w="2060" w:type="dxa"/>
            <w:vAlign w:val="bottom"/>
          </w:tcPr>
          <w:p>
            <w:pPr>
              <w:spacing w:after="0"/>
              <w:rPr>
                <w:sz w:val="20"/>
                <w:szCs w:val="20"/>
                <w:color w:val="auto"/>
              </w:rPr>
            </w:pPr>
            <w:r>
              <w:rPr>
                <w:rFonts w:ascii="Courier New" w:cs="Courier New" w:eastAsia="Courier New" w:hAnsi="Courier New"/>
                <w:sz w:val="18"/>
                <w:szCs w:val="18"/>
                <w:color w:val="auto"/>
                <w:w w:val="99"/>
              </w:rPr>
              <w:t>check the following</w:t>
            </w:r>
          </w:p>
        </w:tc>
        <w:tc>
          <w:tcPr>
            <w:tcW w:w="1680" w:type="dxa"/>
            <w:vAlign w:val="bottom"/>
          </w:tcPr>
          <w:p>
            <w:pPr>
              <w:ind w:left="60"/>
              <w:spacing w:after="0"/>
              <w:rPr>
                <w:sz w:val="20"/>
                <w:szCs w:val="20"/>
                <w:color w:val="auto"/>
              </w:rPr>
            </w:pPr>
            <w:r>
              <w:rPr>
                <w:rFonts w:ascii="Courier New" w:cs="Courier New" w:eastAsia="Courier New" w:hAnsi="Courier New"/>
                <w:sz w:val="18"/>
                <w:szCs w:val="18"/>
                <w:color w:val="auto"/>
              </w:rPr>
              <w:t>( X ).</w:t>
            </w:r>
          </w:p>
        </w:tc>
        <w:tc>
          <w:tcPr>
            <w:tcW w:w="1060" w:type="dxa"/>
            <w:vAlign w:val="bottom"/>
          </w:tcPr>
          <w:p>
            <w:pPr>
              <w:spacing w:after="0"/>
              <w:rPr>
                <w:sz w:val="24"/>
                <w:szCs w:val="24"/>
                <w:color w:val="auto"/>
              </w:rPr>
            </w:pPr>
          </w:p>
        </w:tc>
        <w:tc>
          <w:tcPr>
            <w:tcW w:w="1740" w:type="dxa"/>
            <w:vAlign w:val="bottom"/>
          </w:tcPr>
          <w:p>
            <w:pPr>
              <w:spacing w:after="0"/>
              <w:rPr>
                <w:sz w:val="24"/>
                <w:szCs w:val="24"/>
                <w:color w:val="auto"/>
              </w:rPr>
            </w:pPr>
          </w:p>
        </w:tc>
      </w:tr>
    </w:tbl>
    <w:p>
      <w:pPr>
        <w:sectPr>
          <w:pgSz w:w="11900" w:h="16838" w:orient="portrait"/>
          <w:cols w:equalWidth="0" w:num="1">
            <w:col w:w="10139"/>
          </w:cols>
          <w:pgMar w:left="320" w:top="110" w:right="1440" w:bottom="72" w:gutter="0" w:footer="0" w:header="0"/>
        </w:sectPr>
      </w:pPr>
    </w:p>
    <w:bookmarkStart w:id="3" w:name="page4"/>
    <w:bookmarkEnd w:id="3"/>
    <w:p>
      <w:pPr>
        <w:spacing w:after="0"/>
        <w:rPr>
          <w:sz w:val="20"/>
          <w:szCs w:val="20"/>
          <w:color w:val="auto"/>
        </w:rPr>
      </w:pPr>
      <w:r>
        <w:rPr>
          <w:rFonts w:ascii="Courier New" w:cs="Courier New" w:eastAsia="Courier New" w:hAnsi="Courier New"/>
          <w:sz w:val="18"/>
          <w:szCs w:val="18"/>
          <w:color w:val="auto"/>
        </w:rPr>
        <w:t>Item 6 Ownership of More than Five Percent on Behalf of</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Another Person:</w:t>
      </w:r>
    </w:p>
    <w:p>
      <w:pPr>
        <w:spacing w:after="0" w:line="201" w:lineRule="exact"/>
        <w:rPr>
          <w:sz w:val="20"/>
          <w:szCs w:val="20"/>
          <w:color w:val="auto"/>
        </w:rPr>
      </w:pPr>
    </w:p>
    <w:p>
      <w:pPr>
        <w:jc w:val="both"/>
        <w:ind w:right="3699"/>
        <w:spacing w:after="0" w:line="512" w:lineRule="auto"/>
        <w:rPr>
          <w:sz w:val="20"/>
          <w:szCs w:val="20"/>
          <w:color w:val="auto"/>
        </w:rPr>
      </w:pPr>
      <w:r>
        <w:rPr>
          <w:rFonts w:ascii="Courier New" w:cs="Courier New" w:eastAsia="Courier New" w:hAnsi="Courier New"/>
          <w:sz w:val="18"/>
          <w:szCs w:val="18"/>
          <w:color w:val="auto"/>
        </w:rPr>
        <w:t>Our clients have the right to receive or the power to direct the receipt of dividends or the profits from the sale of such securities. No one client owns more than 5% of such security class.</w:t>
      </w:r>
    </w:p>
    <w:p>
      <w:pPr>
        <w:spacing w:after="0" w:line="82" w:lineRule="exact"/>
        <w:rPr>
          <w:sz w:val="20"/>
          <w:szCs w:val="20"/>
          <w:color w:val="auto"/>
        </w:rPr>
      </w:pPr>
    </w:p>
    <w:p>
      <w:pPr>
        <w:jc w:val="both"/>
        <w:ind w:right="3919"/>
        <w:spacing w:after="0" w:line="530"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 Not Applicable</w:t>
      </w:r>
    </w:p>
    <w:p>
      <w:pPr>
        <w:spacing w:after="0" w:line="67" w:lineRule="exact"/>
        <w:rPr>
          <w:sz w:val="20"/>
          <w:szCs w:val="20"/>
          <w:color w:val="auto"/>
        </w:rPr>
      </w:pPr>
    </w:p>
    <w:p>
      <w:pPr>
        <w:ind w:right="4019"/>
        <w:spacing w:after="0" w:line="585" w:lineRule="auto"/>
        <w:rPr>
          <w:sz w:val="20"/>
          <w:szCs w:val="20"/>
          <w:color w:val="auto"/>
        </w:rPr>
      </w:pPr>
      <w:r>
        <w:rPr>
          <w:rFonts w:ascii="Courier New" w:cs="Courier New" w:eastAsia="Courier New" w:hAnsi="Courier New"/>
          <w:sz w:val="18"/>
          <w:szCs w:val="18"/>
          <w:color w:val="auto"/>
        </w:rPr>
        <w:t>Item 8 Identification and Classification of Members of the Group: Not Applicable</w:t>
      </w:r>
    </w:p>
    <w:p>
      <w:pPr>
        <w:spacing w:after="0" w:line="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 Not Applicable</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signing below I certify that, to the best of my knowledge</w:t>
      </w:r>
    </w:p>
    <w:p>
      <w:pPr>
        <w:spacing w:after="0" w:line="201" w:lineRule="exact"/>
        <w:rPr>
          <w:sz w:val="20"/>
          <w:szCs w:val="20"/>
          <w:color w:val="auto"/>
        </w:rPr>
      </w:pPr>
    </w:p>
    <w:p>
      <w:pPr>
        <w:ind w:right="3079"/>
        <w:spacing w:after="0" w:line="536" w:lineRule="auto"/>
        <w:rPr>
          <w:sz w:val="20"/>
          <w:szCs w:val="20"/>
          <w:color w:val="auto"/>
        </w:rPr>
      </w:pPr>
      <w:r>
        <w:rPr>
          <w:rFonts w:ascii="Courier New" w:cs="Courier New" w:eastAsia="Courier New" w:hAnsi="Courier New"/>
          <w:sz w:val="16"/>
          <w:szCs w:val="16"/>
          <w:color w:val="auto"/>
        </w:rPr>
        <w:t>and belief, the securities referred to above were acquired and are in held the ordinary course of business and were not acquired and are not held for the purpose of and do not have the effect of changing or influencing the control of the issuer of the securities and were not acquired and are not held in connection with or as a participant in any transaction having that purpose or effect.</w:t>
      </w:r>
    </w:p>
    <w:p>
      <w:pPr>
        <w:spacing w:after="0" w:line="1" w:lineRule="exact"/>
        <w:rPr>
          <w:sz w:val="20"/>
          <w:szCs w:val="20"/>
          <w:color w:val="auto"/>
        </w:rPr>
      </w:pPr>
    </w:p>
    <w:p>
      <w:pPr>
        <w:ind w:right="3819"/>
        <w:spacing w:after="0" w:line="530"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correct information set forth in this statement is true, complete and correct.</w:t>
      </w:r>
    </w:p>
    <w:p>
      <w:pPr>
        <w:spacing w:after="0" w:line="2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November 12,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Beata Markowicz</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Beata Markowicz</w:t>
      </w:r>
    </w:p>
    <w:p>
      <w:pPr>
        <w:spacing w:after="0"/>
        <w:rPr>
          <w:sz w:val="20"/>
          <w:szCs w:val="20"/>
          <w:color w:val="auto"/>
        </w:rPr>
      </w:pPr>
      <w:r>
        <w:rPr>
          <w:rFonts w:ascii="Courier New" w:cs="Courier New" w:eastAsia="Courier New" w:hAnsi="Courier New"/>
          <w:sz w:val="18"/>
          <w:szCs w:val="18"/>
          <w:color w:val="auto"/>
        </w:rPr>
        <w:t>Vice President</w:t>
      </w:r>
    </w:p>
    <w:sectPr>
      <w:pgSz w:w="11900" w:h="16838" w:orient="portrait"/>
      <w:cols w:equalWidth="0" w:num="1">
        <w:col w:w="10139"/>
      </w:cols>
      <w:pgMar w:left="320" w:top="11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38E1F29"/>
    <w:multiLevelType w:val="hybridMultilevel"/>
    <w:lvl w:ilvl="0">
      <w:lvlJc w:val="left"/>
      <w:lvlText w:val="(%1)"/>
      <w:numFmt w:val="upperLetter"/>
      <w:start w:val="24"/>
    </w:lvl>
  </w:abstractNum>
  <w:abstractNum w:abstractNumId="1">
    <w:nsid w:val="46E87CCD"/>
    <w:multiLevelType w:val="hybridMultilevel"/>
    <w:lvl w:ilvl="0">
      <w:lvlJc w:val="left"/>
      <w:lvlText w:val="%1."/>
      <w:numFmt w:val="decimal"/>
      <w:start w:val="1"/>
    </w:lvl>
  </w:abstractNum>
  <w:abstractNum w:abstractNumId="2">
    <w:nsid w:val="3D1B58BA"/>
    <w:multiLevelType w:val="hybridMultilevel"/>
    <w:lvl w:ilvl="0">
      <w:lvlJc w:val="left"/>
      <w:lvlText w:val="%1."/>
      <w:numFmt w:val="decimal"/>
      <w:start w:val="5"/>
    </w:lvl>
  </w:abstractNum>
  <w:abstractNum w:abstractNumId="3">
    <w:nsid w:val="507ED7AB"/>
    <w:multiLevelType w:val="hybridMultilevel"/>
    <w:lvl w:ilvl="0">
      <w:lvlJc w:val="left"/>
      <w:lvlText w:val="%1."/>
      <w:numFmt w:val="decimal"/>
      <w:start w:val="9"/>
    </w:lvl>
  </w:abstractNum>
  <w:abstractNum w:abstractNumId="4">
    <w:nsid w:val="2EB141F2"/>
    <w:multiLevelType w:val="hybridMultilevel"/>
    <w:lvl w:ilvl="0">
      <w:lvlJc w:val="left"/>
      <w:lvlText w:val="(%1)"/>
      <w:numFmt w:val="lowerLetter"/>
      <w:start w:val="1"/>
    </w:lvl>
  </w:abstractNum>
  <w:abstractNum w:abstractNumId="5">
    <w:nsid w:val="41B71EFB"/>
    <w:multiLevelType w:val="hybridMultilevel"/>
    <w:lvl w:ilvl="0">
      <w:lvlJc w:val="left"/>
      <w:lvlText w:val="(%1)"/>
      <w:numFmt w:val="lowerLetter"/>
      <w:start w:val="6"/>
    </w:lvl>
  </w:abstractNum>
  <w:abstractNum w:abstractNumId="6">
    <w:nsid w:val="79E2A9E3"/>
    <w:multiLevelType w:val="hybridMultilevel"/>
    <w:lvl w:ilvl="0">
      <w:lvlJc w:val="left"/>
      <w:lvlText w:val="(%1)"/>
      <w:numFmt w:val="lowerLetter"/>
      <w:start w:val="1"/>
    </w:lvl>
  </w:abstractNum>
  <w:abstractNum w:abstractNumId="7">
    <w:nsid w:val="7545E146"/>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2024-11-12T09:28:54Z</dcterms:created>
  <dcterms:modified xsi:type="dcterms:W3CDTF">2024-11-12T09:28:54Z</dcterms:modified>
</cp:coreProperties>
</file>