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2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0"/>
          <w:szCs w:val="20"/>
          <w:color w:val="auto"/>
        </w:rPr>
      </w:pPr>
    </w:p>
    <w:p>
      <w:pPr>
        <w:jc w:val="center"/>
        <w:ind w:right="12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3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0"/>
          <w:szCs w:val="20"/>
          <w:color w:val="auto"/>
        </w:rPr>
      </w:pPr>
    </w:p>
    <w:p>
      <w:pPr>
        <w:jc w:val="center"/>
        <w:ind w:right="1139"/>
        <w:spacing w:after="0"/>
        <w:rPr>
          <w:sz w:val="20"/>
          <w:szCs w:val="20"/>
          <w:color w:val="auto"/>
        </w:rPr>
      </w:pPr>
      <w:r>
        <w:rPr>
          <w:rFonts w:ascii="Arial" w:cs="Arial" w:eastAsia="Arial" w:hAnsi="Arial"/>
          <w:sz w:val="22"/>
          <w:szCs w:val="22"/>
          <w:b w:val="1"/>
          <w:bCs w:val="1"/>
          <w:color w:val="auto"/>
        </w:rPr>
        <w:t>SCHEDULE 13G</w:t>
      </w:r>
    </w:p>
    <w:p>
      <w:pPr>
        <w:spacing w:after="0" w:line="206" w:lineRule="exact"/>
        <w:rPr>
          <w:sz w:val="20"/>
          <w:szCs w:val="20"/>
          <w:color w:val="auto"/>
        </w:rPr>
      </w:pPr>
    </w:p>
    <w:p>
      <w:pPr>
        <w:jc w:val="center"/>
        <w:ind w:right="1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MongoDB,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7461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(Name of Issuer)</w:t>
      </w:r>
    </w:p>
    <w:p>
      <w:pPr>
        <w:spacing w:after="0" w:line="175" w:lineRule="exact"/>
        <w:rPr>
          <w:sz w:val="20"/>
          <w:szCs w:val="20"/>
          <w:color w:val="auto"/>
        </w:rPr>
      </w:pPr>
    </w:p>
    <w:p>
      <w:pPr>
        <w:jc w:val="center"/>
        <w:ind w:right="1139"/>
        <w:spacing w:after="0"/>
        <w:rPr>
          <w:sz w:val="20"/>
          <w:szCs w:val="20"/>
          <w:color w:val="auto"/>
        </w:rPr>
      </w:pPr>
      <w:r>
        <w:rPr>
          <w:rFonts w:ascii="Arial" w:cs="Arial" w:eastAsia="Arial" w:hAnsi="Arial"/>
          <w:sz w:val="22"/>
          <w:szCs w:val="22"/>
          <w:color w:val="auto"/>
        </w:rPr>
        <w:t>Class A Common Stock, $0.001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74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2" w:lineRule="exact"/>
        <w:rPr>
          <w:sz w:val="20"/>
          <w:szCs w:val="20"/>
          <w:color w:val="auto"/>
        </w:rPr>
      </w:pPr>
    </w:p>
    <w:p>
      <w:pPr>
        <w:jc w:val="center"/>
        <w:ind w:right="1139"/>
        <w:spacing w:after="0"/>
        <w:rPr>
          <w:sz w:val="20"/>
          <w:szCs w:val="20"/>
          <w:color w:val="auto"/>
        </w:rPr>
      </w:pPr>
      <w:r>
        <w:rPr>
          <w:rFonts w:ascii="Arial" w:cs="Arial" w:eastAsia="Arial" w:hAnsi="Arial"/>
          <w:sz w:val="22"/>
          <w:szCs w:val="22"/>
          <w:color w:val="auto"/>
        </w:rPr>
        <w:t>(Title of Class of Securities)</w:t>
      </w:r>
    </w:p>
    <w:p>
      <w:pPr>
        <w:spacing w:after="0" w:line="175" w:lineRule="exact"/>
        <w:rPr>
          <w:sz w:val="20"/>
          <w:szCs w:val="20"/>
          <w:color w:val="auto"/>
        </w:rPr>
      </w:pPr>
    </w:p>
    <w:p>
      <w:pPr>
        <w:jc w:val="center"/>
        <w:ind w:right="1139"/>
        <w:spacing w:after="0"/>
        <w:rPr>
          <w:sz w:val="20"/>
          <w:szCs w:val="20"/>
          <w:color w:val="auto"/>
        </w:rPr>
      </w:pPr>
      <w:r>
        <w:rPr>
          <w:rFonts w:ascii="Arial" w:cs="Arial" w:eastAsia="Arial" w:hAnsi="Arial"/>
          <w:sz w:val="22"/>
          <w:szCs w:val="22"/>
          <w:color w:val="auto"/>
        </w:rPr>
        <w:t>60937P106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74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2" w:lineRule="exact"/>
        <w:rPr>
          <w:sz w:val="20"/>
          <w:szCs w:val="20"/>
          <w:color w:val="auto"/>
        </w:rPr>
      </w:pPr>
    </w:p>
    <w:p>
      <w:pPr>
        <w:jc w:val="center"/>
        <w:ind w:right="1139"/>
        <w:spacing w:after="0"/>
        <w:rPr>
          <w:sz w:val="20"/>
          <w:szCs w:val="20"/>
          <w:color w:val="auto"/>
        </w:rPr>
      </w:pPr>
      <w:r>
        <w:rPr>
          <w:rFonts w:ascii="Arial" w:cs="Arial" w:eastAsia="Arial" w:hAnsi="Arial"/>
          <w:sz w:val="22"/>
          <w:szCs w:val="22"/>
          <w:color w:val="auto"/>
        </w:rPr>
        <w:t>(CUSIP Number)</w:t>
      </w:r>
    </w:p>
    <w:p>
      <w:pPr>
        <w:spacing w:after="0" w:line="175"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Whale Rock Capital Management LLC</w:t>
      </w:r>
    </w:p>
    <w:p>
      <w:pPr>
        <w:ind w:left="3140"/>
        <w:spacing w:after="0" w:line="238" w:lineRule="auto"/>
        <w:rPr>
          <w:sz w:val="20"/>
          <w:szCs w:val="20"/>
          <w:color w:val="auto"/>
        </w:rPr>
      </w:pPr>
      <w:r>
        <w:rPr>
          <w:rFonts w:ascii="Arial" w:cs="Arial" w:eastAsia="Arial" w:hAnsi="Arial"/>
          <w:sz w:val="22"/>
          <w:szCs w:val="22"/>
          <w:color w:val="auto"/>
        </w:rPr>
        <w:t>2 International Place, 24th Floor</w:t>
      </w:r>
    </w:p>
    <w:p>
      <w:pPr>
        <w:ind w:left="3700"/>
        <w:spacing w:after="0" w:line="230" w:lineRule="auto"/>
        <w:rPr>
          <w:sz w:val="20"/>
          <w:szCs w:val="20"/>
          <w:color w:val="auto"/>
        </w:rPr>
      </w:pPr>
      <w:r>
        <w:rPr>
          <w:rFonts w:ascii="Arial" w:cs="Arial" w:eastAsia="Arial" w:hAnsi="Arial"/>
          <w:sz w:val="22"/>
          <w:szCs w:val="22"/>
          <w:color w:val="auto"/>
        </w:rPr>
        <w:t>Boston MA 02110</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(617) 502-9909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7461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jc w:val="center"/>
        <w:ind w:right="1139"/>
        <w:spacing w:after="0" w:line="234" w:lineRule="auto"/>
        <w:rPr>
          <w:sz w:val="20"/>
          <w:szCs w:val="20"/>
          <w:color w:val="auto"/>
        </w:rPr>
      </w:pPr>
      <w:r>
        <w:rPr>
          <w:rFonts w:ascii="Arial" w:cs="Arial" w:eastAsia="Arial" w:hAnsi="Arial"/>
          <w:sz w:val="22"/>
          <w:szCs w:val="22"/>
          <w:color w:val="auto"/>
        </w:rPr>
        <w:t>(Name, Address and Telephone Number of Person</w:t>
      </w:r>
    </w:p>
    <w:p>
      <w:pPr>
        <w:jc w:val="center"/>
        <w:ind w:right="1139"/>
        <w:spacing w:after="0"/>
        <w:rPr>
          <w:sz w:val="20"/>
          <w:szCs w:val="20"/>
          <w:color w:val="auto"/>
        </w:rPr>
      </w:pPr>
      <w:r>
        <w:rPr>
          <w:rFonts w:ascii="Arial" w:cs="Arial" w:eastAsia="Arial" w:hAnsi="Arial"/>
          <w:sz w:val="22"/>
          <w:szCs w:val="22"/>
          <w:color w:val="auto"/>
        </w:rPr>
        <w:t>Authorized to Receive Notices and Communications)</w:t>
      </w:r>
    </w:p>
    <w:p>
      <w:pPr>
        <w:spacing w:after="0" w:line="175" w:lineRule="exact"/>
        <w:rPr>
          <w:sz w:val="20"/>
          <w:szCs w:val="20"/>
          <w:color w:val="auto"/>
        </w:rPr>
      </w:pPr>
    </w:p>
    <w:p>
      <w:pPr>
        <w:jc w:val="center"/>
        <w:ind w:right="1139"/>
        <w:spacing w:after="0"/>
        <w:rPr>
          <w:sz w:val="20"/>
          <w:szCs w:val="20"/>
          <w:color w:val="auto"/>
        </w:rPr>
      </w:pPr>
      <w:r>
        <w:rPr>
          <w:rFonts w:ascii="Arial" w:cs="Arial" w:eastAsia="Arial" w:hAnsi="Arial"/>
          <w:sz w:val="22"/>
          <w:szCs w:val="22"/>
          <w:color w:val="auto"/>
        </w:rPr>
        <w:t>April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7461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2" w:lineRule="exact"/>
        <w:rPr>
          <w:sz w:val="20"/>
          <w:szCs w:val="20"/>
          <w:color w:val="auto"/>
        </w:rPr>
      </w:pPr>
    </w:p>
    <w:p>
      <w:pPr>
        <w:jc w:val="center"/>
        <w:ind w:right="1139"/>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8" w:lineRule="exact"/>
        <w:rPr>
          <w:sz w:val="20"/>
          <w:szCs w:val="20"/>
          <w:color w:val="auto"/>
        </w:rPr>
      </w:pPr>
    </w:p>
    <w:p>
      <w:pPr>
        <w:ind w:right="8719" w:firstLine="8"/>
        <w:spacing w:after="0" w:line="253" w:lineRule="auto"/>
        <w:tabs>
          <w:tab w:leader="none" w:pos="270" w:val="left"/>
        </w:tabs>
        <w:numPr>
          <w:ilvl w:val="0"/>
          <w:numId w:val="1"/>
        </w:numPr>
        <w:rPr>
          <w:rFonts w:ascii="MS PGothic" w:cs="MS PGothic" w:eastAsia="MS PGothic" w:hAnsi="MS PGothic"/>
          <w:sz w:val="16"/>
          <w:szCs w:val="16"/>
          <w:color w:val="auto"/>
        </w:rPr>
      </w:pPr>
      <w:r>
        <w:rPr>
          <w:rFonts w:ascii="Arial" w:cs="Arial" w:eastAsia="Arial" w:hAnsi="Arial"/>
          <w:sz w:val="20"/>
          <w:szCs w:val="20"/>
          <w:color w:val="auto"/>
        </w:rPr>
        <w:t xml:space="preserve">Rule 13d-1(b) </w:t>
      </w:r>
      <w:r>
        <w:rPr>
          <w:rFonts w:ascii="Arial" w:cs="Arial" w:eastAsia="Arial" w:hAnsi="Arial"/>
          <w:sz w:val="15"/>
          <w:szCs w:val="15"/>
          <w:color w:val="auto"/>
        </w:rPr>
        <w:t xml:space="preserve">x </w:t>
      </w:r>
      <w:r>
        <w:rPr>
          <w:rFonts w:ascii="Arial" w:cs="Arial" w:eastAsia="Arial" w:hAnsi="Arial"/>
          <w:sz w:val="19"/>
          <w:szCs w:val="19"/>
          <w:color w:val="auto"/>
        </w:rPr>
        <w:t>Rule 13d-1(c)</w:t>
      </w:r>
    </w:p>
    <w:p>
      <w:pPr>
        <w:spacing w:after="0" w:line="1" w:lineRule="exact"/>
        <w:rPr>
          <w:rFonts w:ascii="MS PGothic" w:cs="MS PGothic" w:eastAsia="MS PGothic" w:hAnsi="MS PGothic"/>
          <w:sz w:val="16"/>
          <w:szCs w:val="16"/>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22"/>
          <w:szCs w:val="22"/>
          <w:color w:val="auto"/>
        </w:rPr>
        <w:t>Rule 13d-1(d)</w:t>
      </w:r>
    </w:p>
    <w:p>
      <w:pPr>
        <w:spacing w:after="0" w:line="242" w:lineRule="exact"/>
        <w:rPr>
          <w:sz w:val="20"/>
          <w:szCs w:val="20"/>
          <w:color w:val="auto"/>
        </w:rPr>
      </w:pPr>
    </w:p>
    <w:p>
      <w:pPr>
        <w:ind w:right="1159" w:firstLine="8"/>
        <w:spacing w:after="0" w:line="198" w:lineRule="auto"/>
        <w:tabs>
          <w:tab w:leader="none" w:pos="144" w:val="left"/>
        </w:tabs>
        <w:numPr>
          <w:ilvl w:val="0"/>
          <w:numId w:val="2"/>
        </w:numPr>
        <w:rPr>
          <w:rFonts w:ascii="Arial" w:cs="Arial" w:eastAsia="Arial" w:hAnsi="Arial"/>
          <w:sz w:val="36"/>
          <w:szCs w:val="36"/>
          <w:color w:val="auto"/>
          <w:vertAlign w:val="superscript"/>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0"/>
          <w:szCs w:val="20"/>
          <w:color w:val="auto"/>
        </w:rPr>
      </w:pPr>
    </w:p>
    <w:p>
      <w:pPr>
        <w:ind w:right="1379"/>
        <w:spacing w:after="0" w:line="238" w:lineRule="auto"/>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25" w:right="1440" w:bottom="1440" w:gutter="0" w:footer="0" w:header="0"/>
        </w:sectPr>
      </w:pPr>
    </w:p>
    <w:bookmarkStart w:id="2" w:name="page3"/>
    <w:bookmarkEnd w:id="2"/>
    <w:p>
      <w:pPr>
        <w:spacing w:after="0"/>
        <w:tabs>
          <w:tab w:leader="none" w:pos="4480" w:val="left"/>
          <w:tab w:leader="none" w:pos="788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277495</wp:posOffset>
            </wp:positionV>
            <wp:extent cx="574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46115" cy="17145"/>
                    </a:xfrm>
                    <a:prstGeom prst="rect">
                      <a:avLst/>
                    </a:prstGeom>
                    <a:noFill/>
                  </pic:spPr>
                </pic:pic>
              </a:graphicData>
            </a:graphic>
          </wp:anchor>
        </w:drawing>
        <w:t>CUSIP No. 60937P106</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2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574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377" w:lineRule="exact"/>
        <w:rPr>
          <w:sz w:val="20"/>
          <w:szCs w:val="20"/>
          <w:color w:val="auto"/>
        </w:rPr>
      </w:pPr>
    </w:p>
    <w:p>
      <w:pPr>
        <w:jc w:val="both"/>
        <w:ind w:left="580" w:right="7099" w:hanging="410"/>
        <w:spacing w:after="0" w:line="463"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NAMES OF REPORTING PERSONS Whale Rock Capital Management LLC</w:t>
      </w:r>
    </w:p>
    <w:p>
      <w:pPr>
        <w:ind w:left="580" w:right="5159" w:hanging="410"/>
        <w:spacing w:after="0" w:line="266"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920" w:hanging="345"/>
        <w:spacing w:after="0" w:line="189" w:lineRule="exact"/>
        <w:tabs>
          <w:tab w:leader="none" w:pos="920" w:val="left"/>
        </w:tabs>
        <w:numPr>
          <w:ilvl w:val="1"/>
          <w:numId w:val="3"/>
        </w:numPr>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51" w:lineRule="exact"/>
        <w:rPr>
          <w:rFonts w:ascii="Arial" w:cs="Arial" w:eastAsia="Arial" w:hAnsi="Arial"/>
          <w:sz w:val="16"/>
          <w:szCs w:val="16"/>
          <w:color w:val="auto"/>
        </w:rPr>
      </w:pPr>
    </w:p>
    <w:p>
      <w:pPr>
        <w:ind w:left="920" w:hanging="345"/>
        <w:spacing w:after="0" w:line="189" w:lineRule="exact"/>
        <w:tabs>
          <w:tab w:leader="none" w:pos="920" w:val="left"/>
        </w:tabs>
        <w:numPr>
          <w:ilvl w:val="1"/>
          <w:numId w:val="3"/>
        </w:numPr>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6"/>
          <w:szCs w:val="16"/>
          <w:color w:val="auto"/>
        </w:rPr>
      </w:pPr>
    </w:p>
    <w:p>
      <w:pPr>
        <w:ind w:left="580" w:hanging="410"/>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20" w:lineRule="exact"/>
        <w:rPr>
          <w:rFonts w:ascii="Arial" w:cs="Arial" w:eastAsia="Arial" w:hAnsi="Arial"/>
          <w:sz w:val="16"/>
          <w:szCs w:val="16"/>
          <w:color w:val="auto"/>
        </w:rPr>
      </w:pPr>
    </w:p>
    <w:p>
      <w:pPr>
        <w:ind w:left="580" w:right="6339" w:hanging="410"/>
        <w:spacing w:after="0" w:line="405"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ind w:left="2000" w:hanging="385"/>
        <w:spacing w:after="0"/>
        <w:tabs>
          <w:tab w:leader="none" w:pos="2000" w:val="left"/>
        </w:tabs>
        <w:numPr>
          <w:ilvl w:val="2"/>
          <w:numId w:val="3"/>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-1318895</wp:posOffset>
            </wp:positionV>
            <wp:extent cx="574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-779145</wp:posOffset>
            </wp:positionV>
            <wp:extent cx="574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-513080</wp:posOffset>
            </wp:positionV>
            <wp:extent cx="5746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574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w w:val="97"/>
              </w:rPr>
              <w:t>NUMBER OF</w:t>
            </w:r>
          </w:p>
        </w:tc>
        <w:tc>
          <w:tcPr>
            <w:tcW w:w="320" w:type="dxa"/>
            <w:vAlign w:val="bottom"/>
            <w:tcBorders>
              <w:bottom w:val="single" w:sz="8" w:color="auto"/>
            </w:tcBorders>
          </w:tcPr>
          <w:p>
            <w:pPr>
              <w:spacing w:after="0"/>
              <w:rPr>
                <w:sz w:val="18"/>
                <w:szCs w:val="18"/>
                <w:color w:val="auto"/>
              </w:rPr>
            </w:pPr>
          </w:p>
        </w:tc>
        <w:tc>
          <w:tcPr>
            <w:tcW w:w="71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00,000</w:t>
            </w:r>
          </w:p>
        </w:tc>
        <w:tc>
          <w:tcPr>
            <w:tcW w:w="0" w:type="dxa"/>
            <w:vAlign w:val="bottom"/>
          </w:tcPr>
          <w:p>
            <w:pPr>
              <w:spacing w:after="0"/>
              <w:rPr>
                <w:sz w:val="1"/>
                <w:szCs w:val="1"/>
                <w:color w:val="auto"/>
              </w:rPr>
            </w:pPr>
          </w:p>
        </w:tc>
      </w:tr>
      <w:tr>
        <w:trPr>
          <w:trHeight w:val="95"/>
        </w:trPr>
        <w:tc>
          <w:tcPr>
            <w:tcW w:w="1480" w:type="dxa"/>
            <w:vAlign w:val="bottom"/>
            <w:vMerge w:val="continue"/>
          </w:tcPr>
          <w:p>
            <w:pPr>
              <w:spacing w:after="0"/>
              <w:rPr>
                <w:sz w:val="8"/>
                <w:szCs w:val="8"/>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6.</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08"/>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w w:val="94"/>
              </w:rPr>
              <w:t>SHARES</w:t>
            </w:r>
          </w:p>
        </w:tc>
        <w:tc>
          <w:tcPr>
            <w:tcW w:w="320" w:type="dxa"/>
            <w:vAlign w:val="bottom"/>
            <w:vMerge w:val="continue"/>
          </w:tcPr>
          <w:p>
            <w:pPr>
              <w:spacing w:after="0"/>
              <w:rPr>
                <w:sz w:val="9"/>
                <w:szCs w:val="9"/>
                <w:color w:val="auto"/>
              </w:rPr>
            </w:pPr>
          </w:p>
        </w:tc>
        <w:tc>
          <w:tcPr>
            <w:tcW w:w="7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259"/>
              <w:spacing w:after="0"/>
              <w:rPr>
                <w:sz w:val="20"/>
                <w:szCs w:val="20"/>
                <w:color w:val="auto"/>
              </w:rPr>
            </w:pPr>
            <w:r>
              <w:rPr>
                <w:rFonts w:ascii="Arial" w:cs="Arial" w:eastAsia="Arial" w:hAnsi="Arial"/>
                <w:sz w:val="16"/>
                <w:szCs w:val="16"/>
                <w:color w:val="auto"/>
              </w:rPr>
              <w:t>BENEFICIALLY</w:t>
            </w:r>
          </w:p>
        </w:tc>
        <w:tc>
          <w:tcPr>
            <w:tcW w:w="320" w:type="dxa"/>
            <w:vAlign w:val="bottom"/>
          </w:tcPr>
          <w:p>
            <w:pPr>
              <w:spacing w:after="0"/>
              <w:rPr>
                <w:sz w:val="17"/>
                <w:szCs w:val="17"/>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2,165,421</w:t>
            </w:r>
          </w:p>
        </w:tc>
        <w:tc>
          <w:tcPr>
            <w:tcW w:w="0" w:type="dxa"/>
            <w:vAlign w:val="bottom"/>
          </w:tcPr>
          <w:p>
            <w:pPr>
              <w:spacing w:after="0"/>
              <w:rPr>
                <w:sz w:val="1"/>
                <w:szCs w:val="1"/>
                <w:color w:val="auto"/>
              </w:rPr>
            </w:pPr>
          </w:p>
        </w:tc>
      </w:tr>
      <w:tr>
        <w:trPr>
          <w:trHeight w:val="101"/>
        </w:trPr>
        <w:tc>
          <w:tcPr>
            <w:tcW w:w="1480" w:type="dxa"/>
            <w:vAlign w:val="bottom"/>
            <w:vMerge w:val="restart"/>
          </w:tcPr>
          <w:p>
            <w:pPr>
              <w:jc w:val="center"/>
              <w:ind w:right="279"/>
              <w:spacing w:after="0"/>
              <w:rPr>
                <w:sz w:val="20"/>
                <w:szCs w:val="20"/>
                <w:color w:val="auto"/>
              </w:rPr>
            </w:pPr>
            <w:r>
              <w:rPr>
                <w:rFonts w:ascii="Arial" w:cs="Arial" w:eastAsia="Arial" w:hAnsi="Arial"/>
                <w:sz w:val="16"/>
                <w:szCs w:val="16"/>
                <w:color w:val="auto"/>
              </w:rPr>
              <w:t>OWNED BY</w:t>
            </w:r>
          </w:p>
        </w:tc>
        <w:tc>
          <w:tcPr>
            <w:tcW w:w="320" w:type="dxa"/>
            <w:vAlign w:val="bottom"/>
            <w:tcBorders>
              <w:bottom w:val="single" w:sz="8" w:color="auto"/>
            </w:tcBorders>
          </w:tcPr>
          <w:p>
            <w:pPr>
              <w:spacing w:after="0"/>
              <w:rPr>
                <w:sz w:val="8"/>
                <w:szCs w:val="8"/>
                <w:color w:val="auto"/>
              </w:rPr>
            </w:pPr>
          </w:p>
        </w:tc>
        <w:tc>
          <w:tcPr>
            <w:tcW w:w="7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7.</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480" w:type="dxa"/>
            <w:vAlign w:val="bottom"/>
            <w:vMerge w:val="restart"/>
          </w:tcPr>
          <w:p>
            <w:pPr>
              <w:jc w:val="center"/>
              <w:ind w:right="279"/>
              <w:spacing w:after="0"/>
              <w:rPr>
                <w:sz w:val="20"/>
                <w:szCs w:val="20"/>
                <w:color w:val="auto"/>
              </w:rPr>
            </w:pPr>
            <w:r>
              <w:rPr>
                <w:rFonts w:ascii="Arial" w:cs="Arial" w:eastAsia="Arial" w:hAnsi="Arial"/>
                <w:sz w:val="16"/>
                <w:szCs w:val="16"/>
                <w:color w:val="auto"/>
                <w:w w:val="98"/>
              </w:rPr>
              <w:t>EACH</w:t>
            </w:r>
          </w:p>
        </w:tc>
        <w:tc>
          <w:tcPr>
            <w:tcW w:w="320" w:type="dxa"/>
            <w:vAlign w:val="bottom"/>
            <w:vMerge w:val="continue"/>
          </w:tcPr>
          <w:p>
            <w:pPr>
              <w:spacing w:after="0"/>
              <w:rPr>
                <w:sz w:val="10"/>
                <w:szCs w:val="10"/>
                <w:color w:val="auto"/>
              </w:rPr>
            </w:pPr>
          </w:p>
        </w:tc>
        <w:tc>
          <w:tcPr>
            <w:tcW w:w="7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259"/>
              <w:spacing w:after="0"/>
              <w:rPr>
                <w:sz w:val="20"/>
                <w:szCs w:val="20"/>
                <w:color w:val="auto"/>
              </w:rPr>
            </w:pPr>
            <w:r>
              <w:rPr>
                <w:rFonts w:ascii="Arial" w:cs="Arial" w:eastAsia="Arial" w:hAnsi="Arial"/>
                <w:sz w:val="16"/>
                <w:szCs w:val="16"/>
                <w:color w:val="auto"/>
                <w:w w:val="94"/>
              </w:rPr>
              <w:t>REPORTING</w:t>
            </w:r>
          </w:p>
        </w:tc>
        <w:tc>
          <w:tcPr>
            <w:tcW w:w="320" w:type="dxa"/>
            <w:vAlign w:val="bottom"/>
          </w:tcPr>
          <w:p>
            <w:pPr>
              <w:spacing w:after="0"/>
              <w:rPr>
                <w:sz w:val="17"/>
                <w:szCs w:val="17"/>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00,000</w:t>
            </w:r>
          </w:p>
        </w:tc>
        <w:tc>
          <w:tcPr>
            <w:tcW w:w="0" w:type="dxa"/>
            <w:vAlign w:val="bottom"/>
          </w:tcPr>
          <w:p>
            <w:pPr>
              <w:spacing w:after="0"/>
              <w:rPr>
                <w:sz w:val="1"/>
                <w:szCs w:val="1"/>
                <w:color w:val="auto"/>
              </w:rPr>
            </w:pPr>
          </w:p>
        </w:tc>
      </w:tr>
      <w:tr>
        <w:trPr>
          <w:trHeight w:val="115"/>
        </w:trPr>
        <w:tc>
          <w:tcPr>
            <w:tcW w:w="1480" w:type="dxa"/>
            <w:vAlign w:val="bottom"/>
            <w:vMerge w:val="restart"/>
          </w:tcPr>
          <w:p>
            <w:pPr>
              <w:jc w:val="center"/>
              <w:ind w:right="279"/>
              <w:spacing w:after="0"/>
              <w:rPr>
                <w:sz w:val="20"/>
                <w:szCs w:val="20"/>
                <w:color w:val="auto"/>
              </w:rPr>
            </w:pPr>
            <w:r>
              <w:rPr>
                <w:rFonts w:ascii="Arial" w:cs="Arial" w:eastAsia="Arial" w:hAnsi="Arial"/>
                <w:sz w:val="16"/>
                <w:szCs w:val="16"/>
                <w:color w:val="auto"/>
                <w:w w:val="95"/>
              </w:rPr>
              <w:t>PERSON WITH</w:t>
            </w:r>
          </w:p>
        </w:tc>
        <w:tc>
          <w:tcPr>
            <w:tcW w:w="320" w:type="dxa"/>
            <w:vAlign w:val="bottom"/>
            <w:tcBorders>
              <w:bottom w:val="single" w:sz="8" w:color="auto"/>
            </w:tcBorders>
          </w:tcPr>
          <w:p>
            <w:pPr>
              <w:spacing w:after="0"/>
              <w:rPr>
                <w:sz w:val="9"/>
                <w:szCs w:val="9"/>
                <w:color w:val="auto"/>
              </w:rPr>
            </w:pPr>
          </w:p>
        </w:tc>
        <w:tc>
          <w:tcPr>
            <w:tcW w:w="71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480" w:type="dxa"/>
            <w:vAlign w:val="bottom"/>
            <w:vMerge w:val="continue"/>
          </w:tcPr>
          <w:p>
            <w:pPr>
              <w:spacing w:after="0"/>
              <w:rPr>
                <w:sz w:val="6"/>
                <w:szCs w:val="6"/>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8.</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31"/>
        </w:trPr>
        <w:tc>
          <w:tcPr>
            <w:tcW w:w="14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7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2,165,421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74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12" w:lineRule="exact"/>
        <w:rPr>
          <w:sz w:val="20"/>
          <w:szCs w:val="20"/>
          <w:color w:val="auto"/>
        </w:rPr>
      </w:pPr>
    </w:p>
    <w:p>
      <w:pPr>
        <w:ind w:left="180"/>
        <w:spacing w:after="0"/>
        <w:tabs>
          <w:tab w:leader="none" w:pos="560" w:val="left"/>
        </w:tabs>
        <w:rPr>
          <w:sz w:val="20"/>
          <w:szCs w:val="20"/>
          <w:color w:val="auto"/>
        </w:rPr>
      </w:pPr>
      <w:r>
        <w:rPr>
          <w:rFonts w:ascii="Arial" w:cs="Arial" w:eastAsia="Arial" w:hAnsi="Arial"/>
          <w:sz w:val="16"/>
          <w:szCs w:val="16"/>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2,165,421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74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12"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IF THE AGGREGATE AMOUNT IN ROW (9) EXCLUDES CERTAIN SHARES</w:t>
      </w:r>
    </w:p>
    <w:p>
      <w:pPr>
        <w:spacing w:after="0" w:line="190" w:lineRule="exact"/>
        <w:rPr>
          <w:sz w:val="20"/>
          <w:szCs w:val="20"/>
          <w:color w:val="auto"/>
        </w:rPr>
      </w:pPr>
    </w:p>
    <w:p>
      <w:pPr>
        <w:ind w:left="580"/>
        <w:spacing w:after="0" w:line="184" w:lineRule="exact"/>
        <w:tabs>
          <w:tab w:leader="none" w:pos="1820" w:val="left"/>
        </w:tabs>
        <w:rPr>
          <w:sz w:val="20"/>
          <w:szCs w:val="20"/>
          <w:color w:val="auto"/>
        </w:rPr>
      </w:pPr>
      <w:r>
        <w:rPr>
          <w:rFonts w:ascii="Arial" w:cs="Arial" w:eastAsia="Arial" w:hAnsi="Arial"/>
          <w:sz w:val="16"/>
          <w:szCs w:val="16"/>
          <w:color w:val="auto"/>
        </w:rPr>
        <w:t>(see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57461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259"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PERCENT OF CLASS REPRESENTED BY AMOUNT IN ROW (9)</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7461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12"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TYPE OF REPORTING PERSON (see instructions)</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7461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57461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 NAMES OF REPORTING PERSONS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Alexander Sacerdote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7461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 CHECK THE APPROPRIATE BOX IF A MEMBER OF A GROUP</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(see instructions)</w:t>
      </w:r>
    </w:p>
    <w:p>
      <w:pPr>
        <w:spacing w:after="0" w:line="19" w:lineRule="exact"/>
        <w:rPr>
          <w:sz w:val="20"/>
          <w:szCs w:val="20"/>
          <w:color w:val="auto"/>
        </w:rPr>
      </w:pPr>
    </w:p>
    <w:p>
      <w:pPr>
        <w:ind w:left="300"/>
        <w:spacing w:after="0" w:line="184" w:lineRule="exact"/>
        <w:tabs>
          <w:tab w:leader="none" w:pos="620" w:val="left"/>
        </w:tabs>
        <w:rPr>
          <w:sz w:val="20"/>
          <w:szCs w:val="20"/>
          <w:color w:val="auto"/>
        </w:rPr>
      </w:pPr>
      <w:r>
        <w:rPr>
          <w:rFonts w:ascii="Arial" w:cs="Arial" w:eastAsia="Arial" w:hAnsi="Arial"/>
          <w:sz w:val="16"/>
          <w:szCs w:val="16"/>
          <w:color w:val="auto"/>
        </w:rPr>
        <w:t>(a)</w:t>
      </w:r>
      <w:r>
        <w:rPr>
          <w:sz w:val="20"/>
          <w:szCs w:val="20"/>
          <w:color w:val="auto"/>
        </w:rPr>
        <w:tab/>
      </w:r>
      <w:r>
        <w:rPr>
          <w:rFonts w:ascii="MS PGothic" w:cs="MS PGothic" w:eastAsia="MS PGothic" w:hAnsi="MS PGothic"/>
          <w:sz w:val="16"/>
          <w:szCs w:val="16"/>
          <w:color w:val="auto"/>
        </w:rPr>
        <w:t>☐</w:t>
      </w:r>
    </w:p>
    <w:p>
      <w:pPr>
        <w:spacing w:after="0" w:line="37" w:lineRule="exact"/>
        <w:rPr>
          <w:sz w:val="20"/>
          <w:szCs w:val="20"/>
          <w:color w:val="auto"/>
        </w:rPr>
      </w:pPr>
    </w:p>
    <w:p>
      <w:pPr>
        <w:ind w:left="300"/>
        <w:spacing w:after="0" w:line="184" w:lineRule="exact"/>
        <w:tabs>
          <w:tab w:leader="none" w:pos="640" w:val="left"/>
        </w:tabs>
        <w:rPr>
          <w:sz w:val="20"/>
          <w:szCs w:val="20"/>
          <w:color w:val="auto"/>
        </w:rPr>
      </w:pPr>
      <w:r>
        <w:rPr>
          <w:rFonts w:ascii="Arial" w:cs="Arial" w:eastAsia="Arial" w:hAnsi="Arial"/>
          <w:sz w:val="16"/>
          <w:szCs w:val="16"/>
          <w:color w:val="auto"/>
        </w:rPr>
        <w:t>(b)</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7461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 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57461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 CITIZENSHIP OR PLACE OF ORGANIZATION</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United States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5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w:t>
            </w:r>
          </w:p>
        </w:tc>
        <w:tc>
          <w:tcPr>
            <w:tcW w:w="71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98"/>
        </w:trPr>
        <w:tc>
          <w:tcPr>
            <w:tcW w:w="1560" w:type="dxa"/>
            <w:vAlign w:val="bottom"/>
            <w:vMerge w:val="restart"/>
          </w:tcPr>
          <w:p>
            <w:pPr>
              <w:jc w:val="center"/>
              <w:ind w:right="179"/>
              <w:spacing w:after="0"/>
              <w:rPr>
                <w:sz w:val="20"/>
                <w:szCs w:val="20"/>
                <w:color w:val="auto"/>
              </w:rPr>
            </w:pPr>
            <w:r>
              <w:rPr>
                <w:rFonts w:ascii="Arial" w:cs="Arial" w:eastAsia="Arial" w:hAnsi="Arial"/>
                <w:sz w:val="16"/>
                <w:szCs w:val="16"/>
                <w:color w:val="auto"/>
                <w:w w:val="97"/>
              </w:rPr>
              <w:t>NUMBER OF</w:t>
            </w:r>
          </w:p>
        </w:tc>
        <w:tc>
          <w:tcPr>
            <w:tcW w:w="3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00,000</w:t>
            </w:r>
          </w:p>
        </w:tc>
        <w:tc>
          <w:tcPr>
            <w:tcW w:w="0" w:type="dxa"/>
            <w:vAlign w:val="bottom"/>
          </w:tcPr>
          <w:p>
            <w:pPr>
              <w:spacing w:after="0"/>
              <w:rPr>
                <w:sz w:val="1"/>
                <w:szCs w:val="1"/>
                <w:color w:val="auto"/>
              </w:rPr>
            </w:pPr>
          </w:p>
        </w:tc>
      </w:tr>
      <w:tr>
        <w:trPr>
          <w:trHeight w:val="95"/>
        </w:trPr>
        <w:tc>
          <w:tcPr>
            <w:tcW w:w="1560" w:type="dxa"/>
            <w:vAlign w:val="bottom"/>
            <w:vMerge w:val="continue"/>
          </w:tcPr>
          <w:p>
            <w:pPr>
              <w:spacing w:after="0"/>
              <w:rPr>
                <w:sz w:val="8"/>
                <w:szCs w:val="8"/>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6.</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08"/>
        </w:trPr>
        <w:tc>
          <w:tcPr>
            <w:tcW w:w="1560" w:type="dxa"/>
            <w:vAlign w:val="bottom"/>
            <w:vMerge w:val="restart"/>
          </w:tcPr>
          <w:p>
            <w:pPr>
              <w:jc w:val="center"/>
              <w:ind w:right="179"/>
              <w:spacing w:after="0"/>
              <w:rPr>
                <w:sz w:val="20"/>
                <w:szCs w:val="20"/>
                <w:color w:val="auto"/>
              </w:rPr>
            </w:pPr>
            <w:r>
              <w:rPr>
                <w:rFonts w:ascii="Arial" w:cs="Arial" w:eastAsia="Arial" w:hAnsi="Arial"/>
                <w:sz w:val="16"/>
                <w:szCs w:val="16"/>
                <w:color w:val="auto"/>
                <w:w w:val="94"/>
              </w:rPr>
              <w:t>SHARES</w:t>
            </w:r>
          </w:p>
        </w:tc>
        <w:tc>
          <w:tcPr>
            <w:tcW w:w="320" w:type="dxa"/>
            <w:vAlign w:val="bottom"/>
            <w:vMerge w:val="continue"/>
          </w:tcPr>
          <w:p>
            <w:pPr>
              <w:spacing w:after="0"/>
              <w:rPr>
                <w:sz w:val="9"/>
                <w:szCs w:val="9"/>
                <w:color w:val="auto"/>
              </w:rPr>
            </w:pPr>
          </w:p>
        </w:tc>
        <w:tc>
          <w:tcPr>
            <w:tcW w:w="7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560" w:type="dxa"/>
            <w:vAlign w:val="bottom"/>
          </w:tcPr>
          <w:p>
            <w:pPr>
              <w:jc w:val="center"/>
              <w:ind w:right="179"/>
              <w:spacing w:after="0"/>
              <w:rPr>
                <w:sz w:val="20"/>
                <w:szCs w:val="20"/>
                <w:color w:val="auto"/>
              </w:rPr>
            </w:pPr>
            <w:r>
              <w:rPr>
                <w:rFonts w:ascii="Arial" w:cs="Arial" w:eastAsia="Arial" w:hAnsi="Arial"/>
                <w:sz w:val="16"/>
                <w:szCs w:val="16"/>
                <w:color w:val="auto"/>
              </w:rPr>
              <w:t>BENEFICIALLY</w:t>
            </w:r>
          </w:p>
        </w:tc>
        <w:tc>
          <w:tcPr>
            <w:tcW w:w="320" w:type="dxa"/>
            <w:vAlign w:val="bottom"/>
          </w:tcPr>
          <w:p>
            <w:pPr>
              <w:spacing w:after="0"/>
              <w:rPr>
                <w:sz w:val="17"/>
                <w:szCs w:val="17"/>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2,165,421</w:t>
            </w:r>
          </w:p>
        </w:tc>
        <w:tc>
          <w:tcPr>
            <w:tcW w:w="0" w:type="dxa"/>
            <w:vAlign w:val="bottom"/>
          </w:tcPr>
          <w:p>
            <w:pPr>
              <w:spacing w:after="0"/>
              <w:rPr>
                <w:sz w:val="1"/>
                <w:szCs w:val="1"/>
                <w:color w:val="auto"/>
              </w:rPr>
            </w:pPr>
          </w:p>
        </w:tc>
      </w:tr>
      <w:tr>
        <w:trPr>
          <w:trHeight w:val="101"/>
        </w:trPr>
        <w:tc>
          <w:tcPr>
            <w:tcW w:w="1560" w:type="dxa"/>
            <w:vAlign w:val="bottom"/>
            <w:vMerge w:val="restart"/>
          </w:tcPr>
          <w:p>
            <w:pPr>
              <w:jc w:val="center"/>
              <w:ind w:right="199"/>
              <w:spacing w:after="0"/>
              <w:rPr>
                <w:sz w:val="20"/>
                <w:szCs w:val="20"/>
                <w:color w:val="auto"/>
              </w:rPr>
            </w:pPr>
            <w:r>
              <w:rPr>
                <w:rFonts w:ascii="Arial" w:cs="Arial" w:eastAsia="Arial" w:hAnsi="Arial"/>
                <w:sz w:val="16"/>
                <w:szCs w:val="16"/>
                <w:color w:val="auto"/>
              </w:rPr>
              <w:t>OWNED BY</w:t>
            </w:r>
          </w:p>
        </w:tc>
        <w:tc>
          <w:tcPr>
            <w:tcW w:w="320" w:type="dxa"/>
            <w:vAlign w:val="bottom"/>
            <w:tcBorders>
              <w:bottom w:val="single" w:sz="8" w:color="auto"/>
            </w:tcBorders>
          </w:tcPr>
          <w:p>
            <w:pPr>
              <w:spacing w:after="0"/>
              <w:rPr>
                <w:sz w:val="8"/>
                <w:szCs w:val="8"/>
                <w:color w:val="auto"/>
              </w:rPr>
            </w:pPr>
          </w:p>
        </w:tc>
        <w:tc>
          <w:tcPr>
            <w:tcW w:w="7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560" w:type="dxa"/>
            <w:vAlign w:val="bottom"/>
            <w:vMerge w:val="continue"/>
          </w:tcPr>
          <w:p>
            <w:pPr>
              <w:spacing w:after="0"/>
              <w:rPr>
                <w:sz w:val="7"/>
                <w:szCs w:val="7"/>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7.</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560" w:type="dxa"/>
            <w:vAlign w:val="bottom"/>
            <w:vMerge w:val="restart"/>
          </w:tcPr>
          <w:p>
            <w:pPr>
              <w:jc w:val="center"/>
              <w:ind w:right="199"/>
              <w:spacing w:after="0"/>
              <w:rPr>
                <w:sz w:val="20"/>
                <w:szCs w:val="20"/>
                <w:color w:val="auto"/>
              </w:rPr>
            </w:pPr>
            <w:r>
              <w:rPr>
                <w:rFonts w:ascii="Arial" w:cs="Arial" w:eastAsia="Arial" w:hAnsi="Arial"/>
                <w:sz w:val="16"/>
                <w:szCs w:val="16"/>
                <w:color w:val="auto"/>
                <w:w w:val="98"/>
              </w:rPr>
              <w:t>EACH</w:t>
            </w:r>
          </w:p>
        </w:tc>
        <w:tc>
          <w:tcPr>
            <w:tcW w:w="320" w:type="dxa"/>
            <w:vAlign w:val="bottom"/>
            <w:vMerge w:val="continue"/>
          </w:tcPr>
          <w:p>
            <w:pPr>
              <w:spacing w:after="0"/>
              <w:rPr>
                <w:sz w:val="10"/>
                <w:szCs w:val="10"/>
                <w:color w:val="auto"/>
              </w:rPr>
            </w:pPr>
          </w:p>
        </w:tc>
        <w:tc>
          <w:tcPr>
            <w:tcW w:w="7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560" w:type="dxa"/>
            <w:vAlign w:val="bottom"/>
          </w:tcPr>
          <w:p>
            <w:pPr>
              <w:jc w:val="center"/>
              <w:ind w:right="179"/>
              <w:spacing w:after="0"/>
              <w:rPr>
                <w:sz w:val="20"/>
                <w:szCs w:val="20"/>
                <w:color w:val="auto"/>
              </w:rPr>
            </w:pPr>
            <w:r>
              <w:rPr>
                <w:rFonts w:ascii="Arial" w:cs="Arial" w:eastAsia="Arial" w:hAnsi="Arial"/>
                <w:sz w:val="16"/>
                <w:szCs w:val="16"/>
                <w:color w:val="auto"/>
                <w:w w:val="94"/>
              </w:rPr>
              <w:t>REPORTING</w:t>
            </w:r>
          </w:p>
        </w:tc>
        <w:tc>
          <w:tcPr>
            <w:tcW w:w="320" w:type="dxa"/>
            <w:vAlign w:val="bottom"/>
          </w:tcPr>
          <w:p>
            <w:pPr>
              <w:spacing w:after="0"/>
              <w:rPr>
                <w:sz w:val="17"/>
                <w:szCs w:val="17"/>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00,000</w:t>
            </w:r>
          </w:p>
        </w:tc>
        <w:tc>
          <w:tcPr>
            <w:tcW w:w="0" w:type="dxa"/>
            <w:vAlign w:val="bottom"/>
          </w:tcPr>
          <w:p>
            <w:pPr>
              <w:spacing w:after="0"/>
              <w:rPr>
                <w:sz w:val="1"/>
                <w:szCs w:val="1"/>
                <w:color w:val="auto"/>
              </w:rPr>
            </w:pPr>
          </w:p>
        </w:tc>
      </w:tr>
      <w:tr>
        <w:trPr>
          <w:trHeight w:val="115"/>
        </w:trPr>
        <w:tc>
          <w:tcPr>
            <w:tcW w:w="1560" w:type="dxa"/>
            <w:vAlign w:val="bottom"/>
            <w:vMerge w:val="restart"/>
          </w:tcPr>
          <w:p>
            <w:pPr>
              <w:jc w:val="center"/>
              <w:ind w:right="199"/>
              <w:spacing w:after="0"/>
              <w:rPr>
                <w:sz w:val="20"/>
                <w:szCs w:val="20"/>
                <w:color w:val="auto"/>
              </w:rPr>
            </w:pPr>
            <w:r>
              <w:rPr>
                <w:rFonts w:ascii="Arial" w:cs="Arial" w:eastAsia="Arial" w:hAnsi="Arial"/>
                <w:sz w:val="16"/>
                <w:szCs w:val="16"/>
                <w:color w:val="auto"/>
                <w:w w:val="95"/>
              </w:rPr>
              <w:t>PERSON WITH</w:t>
            </w:r>
          </w:p>
        </w:tc>
        <w:tc>
          <w:tcPr>
            <w:tcW w:w="320" w:type="dxa"/>
            <w:vAlign w:val="bottom"/>
            <w:tcBorders>
              <w:bottom w:val="single" w:sz="8" w:color="auto"/>
            </w:tcBorders>
          </w:tcPr>
          <w:p>
            <w:pPr>
              <w:spacing w:after="0"/>
              <w:rPr>
                <w:sz w:val="9"/>
                <w:szCs w:val="9"/>
                <w:color w:val="auto"/>
              </w:rPr>
            </w:pPr>
          </w:p>
        </w:tc>
        <w:tc>
          <w:tcPr>
            <w:tcW w:w="71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560" w:type="dxa"/>
            <w:vAlign w:val="bottom"/>
            <w:vMerge w:val="continue"/>
          </w:tcPr>
          <w:p>
            <w:pPr>
              <w:spacing w:after="0"/>
              <w:rPr>
                <w:sz w:val="6"/>
                <w:szCs w:val="6"/>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8.</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31"/>
        </w:trPr>
        <w:tc>
          <w:tcPr>
            <w:tcW w:w="156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7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2,165,421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7461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12" w:lineRule="exact"/>
        <w:rPr>
          <w:sz w:val="20"/>
          <w:szCs w:val="20"/>
          <w:color w:val="auto"/>
        </w:rPr>
      </w:pPr>
    </w:p>
    <w:p>
      <w:pPr>
        <w:ind w:left="180"/>
        <w:spacing w:after="0"/>
        <w:tabs>
          <w:tab w:leader="none" w:pos="560" w:val="left"/>
        </w:tabs>
        <w:rPr>
          <w:sz w:val="20"/>
          <w:szCs w:val="20"/>
          <w:color w:val="auto"/>
        </w:rPr>
      </w:pPr>
      <w:r>
        <w:rPr>
          <w:rFonts w:ascii="Arial" w:cs="Arial" w:eastAsia="Arial" w:hAnsi="Arial"/>
          <w:sz w:val="16"/>
          <w:szCs w:val="16"/>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2,165,421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7461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12"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IF THE AGGREGATE AMOUNT IN ROW (9) EXCLUDES CERTAIN SHARES</w:t>
      </w:r>
    </w:p>
    <w:p>
      <w:pPr>
        <w:spacing w:after="0" w:line="190" w:lineRule="exact"/>
        <w:rPr>
          <w:sz w:val="20"/>
          <w:szCs w:val="20"/>
          <w:color w:val="auto"/>
        </w:rPr>
      </w:pPr>
    </w:p>
    <w:p>
      <w:pPr>
        <w:ind w:left="580"/>
        <w:spacing w:after="0" w:line="184" w:lineRule="exact"/>
        <w:tabs>
          <w:tab w:leader="none" w:pos="1820" w:val="left"/>
        </w:tabs>
        <w:rPr>
          <w:sz w:val="20"/>
          <w:szCs w:val="20"/>
          <w:color w:val="auto"/>
        </w:rPr>
      </w:pPr>
      <w:r>
        <w:rPr>
          <w:rFonts w:ascii="Arial" w:cs="Arial" w:eastAsia="Arial" w:hAnsi="Arial"/>
          <w:sz w:val="16"/>
          <w:szCs w:val="16"/>
          <w:color w:val="auto"/>
        </w:rPr>
        <w:t>(see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57461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259"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PERCENT OF CLASS REPRESENTED BY AMOUNT IN ROW (9)</w:t>
      </w:r>
    </w:p>
    <w:p>
      <w:pPr>
        <w:sectPr>
          <w:pgSz w:w="11900" w:h="16838" w:orient="portrait"/>
          <w:cols w:equalWidth="0" w:num="1">
            <w:col w:w="10219"/>
          </w:cols>
          <w:pgMar w:left="240" w:top="967" w:right="1440" w:bottom="0" w:gutter="0" w:footer="0" w:header="0"/>
        </w:sectPr>
      </w:pPr>
    </w:p>
    <w:bookmarkStart w:id="3" w:name="page4"/>
    <w:bookmarkEnd w:id="3"/>
    <w:p>
      <w:pPr>
        <w:ind w:left="491"/>
        <w:spacing w:after="0"/>
        <w:rPr>
          <w:sz w:val="20"/>
          <w:szCs w:val="20"/>
          <w:color w:val="auto"/>
        </w:rPr>
      </w:pPr>
      <w:r>
        <w:rPr>
          <w:rFonts w:ascii="Arial" w:cs="Arial" w:eastAsia="Arial" w:hAnsi="Arial"/>
          <w:sz w:val="16"/>
          <w:szCs w:val="16"/>
          <w:color w:val="auto"/>
        </w:rPr>
        <w:t>16.25%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17780</wp:posOffset>
            </wp:positionV>
            <wp:extent cx="57461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12" w:lineRule="exact"/>
        <w:rPr>
          <w:sz w:val="20"/>
          <w:szCs w:val="20"/>
          <w:color w:val="auto"/>
        </w:rPr>
      </w:pPr>
    </w:p>
    <w:p>
      <w:pPr>
        <w:ind w:left="491" w:hanging="491"/>
        <w:spacing w:after="0"/>
        <w:tabs>
          <w:tab w:leader="none" w:pos="491" w:val="left"/>
        </w:tabs>
        <w:numPr>
          <w:ilvl w:val="0"/>
          <w:numId w:val="4"/>
        </w:numPr>
        <w:rPr>
          <w:rFonts w:ascii="Arial" w:cs="Arial" w:eastAsia="Arial" w:hAnsi="Arial"/>
          <w:sz w:val="14"/>
          <w:szCs w:val="14"/>
          <w:color w:val="auto"/>
        </w:rPr>
      </w:pPr>
      <w:r>
        <w:rPr>
          <w:rFonts w:ascii="Arial" w:cs="Arial" w:eastAsia="Arial" w:hAnsi="Arial"/>
          <w:sz w:val="14"/>
          <w:szCs w:val="14"/>
          <w:color w:val="auto"/>
        </w:rPr>
        <w:t>TYPE OF REPORTING PERSON (see instructions)</w:t>
      </w:r>
    </w:p>
    <w:p>
      <w:pPr>
        <w:spacing w:after="0" w:line="244" w:lineRule="exact"/>
        <w:rPr>
          <w:rFonts w:ascii="Arial" w:cs="Arial" w:eastAsia="Arial" w:hAnsi="Arial"/>
          <w:sz w:val="14"/>
          <w:szCs w:val="14"/>
          <w:color w:val="auto"/>
        </w:rPr>
      </w:pPr>
    </w:p>
    <w:p>
      <w:pPr>
        <w:ind w:left="491"/>
        <w:spacing w:after="0"/>
        <w:rPr>
          <w:rFonts w:ascii="Arial" w:cs="Arial" w:eastAsia="Arial" w:hAnsi="Arial"/>
          <w:sz w:val="14"/>
          <w:szCs w:val="14"/>
          <w:color w:val="auto"/>
        </w:rPr>
      </w:pPr>
      <w:r>
        <w:rPr>
          <w:rFonts w:ascii="Arial" w:cs="Arial" w:eastAsia="Arial" w:hAnsi="Arial"/>
          <w:sz w:val="16"/>
          <w:szCs w:val="16"/>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17780</wp:posOffset>
            </wp:positionV>
            <wp:extent cx="57461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292735</wp:posOffset>
            </wp:positionV>
            <wp:extent cx="57461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46115" cy="17145"/>
                    </a:xfrm>
                    <a:prstGeom prst="rect">
                      <a:avLst/>
                    </a:prstGeom>
                    <a:noFill/>
                  </pic:spPr>
                </pic:pic>
              </a:graphicData>
            </a:graphic>
          </wp:anchor>
        </w:drawing>
      </w:r>
    </w:p>
    <w:p>
      <w:pPr>
        <w:sectPr>
          <w:pgSz w:w="11900" w:h="16838" w:orient="portrait"/>
          <w:cols w:equalWidth="0" w:num="1">
            <w:col w:w="10130"/>
          </w:cols>
          <w:pgMar w:left="329" w:top="130" w:right="1440" w:bottom="1440" w:gutter="0" w:footer="0" w:header="0"/>
        </w:sectPr>
      </w:pPr>
    </w:p>
    <w:bookmarkStart w:id="4" w:name="page5"/>
    <w:bookmarkEnd w:id="4"/>
    <w:p>
      <w:pPr>
        <w:spacing w:after="0"/>
        <w:tabs>
          <w:tab w:leader="none" w:pos="4480" w:val="left"/>
          <w:tab w:leader="none" w:pos="788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277495</wp:posOffset>
            </wp:positionV>
            <wp:extent cx="57461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46115" cy="17145"/>
                    </a:xfrm>
                    <a:prstGeom prst="rect">
                      <a:avLst/>
                    </a:prstGeom>
                    <a:noFill/>
                  </pic:spPr>
                </pic:pic>
              </a:graphicData>
            </a:graphic>
          </wp:anchor>
        </w:drawing>
        <w:t>CUSIP No. 60937P106</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3 of 4 Pages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24" w:lineRule="exact"/>
        <w:rPr>
          <w:sz w:val="20"/>
          <w:szCs w:val="20"/>
          <w:color w:val="auto"/>
        </w:rPr>
      </w:pPr>
    </w:p>
    <w:p>
      <w:pPr>
        <w:jc w:val="both"/>
        <w:ind w:left="740" w:right="8459" w:hanging="367"/>
        <w:spacing w:after="0" w:line="329" w:lineRule="auto"/>
        <w:tabs>
          <w:tab w:leader="none" w:pos="740" w:val="left"/>
        </w:tabs>
        <w:numPr>
          <w:ilvl w:val="0"/>
          <w:numId w:val="5"/>
        </w:numPr>
        <w:rPr>
          <w:rFonts w:ascii="Arial" w:cs="Arial" w:eastAsia="Arial" w:hAnsi="Arial"/>
          <w:sz w:val="15"/>
          <w:szCs w:val="15"/>
          <w:color w:val="auto"/>
        </w:rPr>
      </w:pPr>
      <w:r>
        <w:rPr>
          <w:rFonts w:ascii="Arial" w:cs="Arial" w:eastAsia="Arial" w:hAnsi="Arial"/>
          <w:sz w:val="15"/>
          <w:szCs w:val="15"/>
          <w:color w:val="auto"/>
        </w:rPr>
        <w:t>Name of Issuer MongoDB, Inc.</w:t>
      </w:r>
    </w:p>
    <w:p>
      <w:pPr>
        <w:spacing w:after="0" w:line="53" w:lineRule="exact"/>
        <w:rPr>
          <w:rFonts w:ascii="Arial" w:cs="Arial" w:eastAsia="Arial" w:hAnsi="Arial"/>
          <w:sz w:val="15"/>
          <w:szCs w:val="15"/>
          <w:color w:val="auto"/>
        </w:rPr>
      </w:pPr>
    </w:p>
    <w:p>
      <w:pPr>
        <w:ind w:left="740" w:hanging="367"/>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w:t>
      </w:r>
    </w:p>
    <w:p>
      <w:pPr>
        <w:spacing w:after="0" w:line="22"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6"/>
          <w:szCs w:val="16"/>
          <w:color w:val="auto"/>
        </w:rPr>
        <w:t>229 W. 43rd Street, 5th Floor New York, New York</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24" w:lineRule="exact"/>
        <w:rPr>
          <w:sz w:val="20"/>
          <w:szCs w:val="20"/>
          <w:color w:val="auto"/>
        </w:rPr>
      </w:pPr>
    </w:p>
    <w:p>
      <w:pPr>
        <w:ind w:left="740" w:hanging="367"/>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Person Filing</w:t>
      </w:r>
    </w:p>
    <w:p>
      <w:pPr>
        <w:spacing w:after="0" w:line="22" w:lineRule="exact"/>
        <w:rPr>
          <w:rFonts w:ascii="Arial" w:cs="Arial" w:eastAsia="Arial" w:hAnsi="Arial"/>
          <w:sz w:val="16"/>
          <w:szCs w:val="16"/>
          <w:color w:val="auto"/>
        </w:rPr>
      </w:pPr>
    </w:p>
    <w:p>
      <w:pPr>
        <w:ind w:left="740" w:right="6939"/>
        <w:spacing w:after="0" w:line="288" w:lineRule="auto"/>
        <w:rPr>
          <w:rFonts w:ascii="Arial" w:cs="Arial" w:eastAsia="Arial" w:hAnsi="Arial"/>
          <w:sz w:val="16"/>
          <w:szCs w:val="16"/>
          <w:color w:val="auto"/>
        </w:rPr>
      </w:pPr>
      <w:r>
        <w:rPr>
          <w:rFonts w:ascii="Arial" w:cs="Arial" w:eastAsia="Arial" w:hAnsi="Arial"/>
          <w:sz w:val="16"/>
          <w:szCs w:val="16"/>
          <w:color w:val="auto"/>
        </w:rPr>
        <w:t>Whale Rock Capital Management LLC Alexander Sacerdote</w:t>
      </w:r>
    </w:p>
    <w:p>
      <w:pPr>
        <w:spacing w:after="0" w:line="81" w:lineRule="exact"/>
        <w:rPr>
          <w:rFonts w:ascii="Arial" w:cs="Arial" w:eastAsia="Arial" w:hAnsi="Arial"/>
          <w:sz w:val="16"/>
          <w:szCs w:val="16"/>
          <w:color w:val="auto"/>
        </w:rPr>
      </w:pPr>
    </w:p>
    <w:p>
      <w:pPr>
        <w:jc w:val="both"/>
        <w:ind w:left="740" w:right="6059" w:hanging="367"/>
        <w:spacing w:after="0" w:line="369" w:lineRule="auto"/>
        <w:tabs>
          <w:tab w:leader="none" w:pos="7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Address of the Principal Office or, if none, residence 2 International Place, 24th Floor Boston, MA 02110</w:t>
      </w:r>
    </w:p>
    <w:p>
      <w:pPr>
        <w:spacing w:after="0" w:line="31" w:lineRule="exact"/>
        <w:rPr>
          <w:rFonts w:ascii="Arial" w:cs="Arial" w:eastAsia="Arial" w:hAnsi="Arial"/>
          <w:sz w:val="14"/>
          <w:szCs w:val="14"/>
          <w:color w:val="auto"/>
        </w:rPr>
      </w:pPr>
    </w:p>
    <w:p>
      <w:pPr>
        <w:ind w:left="740" w:right="8739" w:hanging="367"/>
        <w:spacing w:after="0" w:line="284" w:lineRule="auto"/>
        <w:tabs>
          <w:tab w:leader="none" w:pos="740" w:val="left"/>
        </w:tabs>
        <w:numPr>
          <w:ilvl w:val="0"/>
          <w:numId w:val="6"/>
        </w:numPr>
        <w:rPr>
          <w:rFonts w:ascii="Arial" w:cs="Arial" w:eastAsia="Arial" w:hAnsi="Arial"/>
          <w:sz w:val="15"/>
          <w:szCs w:val="15"/>
          <w:color w:val="auto"/>
        </w:rPr>
      </w:pPr>
      <w:r>
        <w:rPr>
          <w:rFonts w:ascii="Arial" w:cs="Arial" w:eastAsia="Arial" w:hAnsi="Arial"/>
          <w:sz w:val="15"/>
          <w:szCs w:val="15"/>
          <w:color w:val="auto"/>
        </w:rPr>
        <w:t>Citizenship Delaware</w:t>
      </w:r>
    </w:p>
    <w:p>
      <w:pPr>
        <w:ind w:left="740"/>
        <w:spacing w:after="0"/>
        <w:rPr>
          <w:rFonts w:ascii="Arial" w:cs="Arial" w:eastAsia="Arial" w:hAnsi="Arial"/>
          <w:sz w:val="15"/>
          <w:szCs w:val="15"/>
          <w:color w:val="auto"/>
        </w:rPr>
      </w:pPr>
      <w:r>
        <w:rPr>
          <w:rFonts w:ascii="Arial" w:cs="Arial" w:eastAsia="Arial" w:hAnsi="Arial"/>
          <w:sz w:val="16"/>
          <w:szCs w:val="16"/>
          <w:color w:val="auto"/>
        </w:rPr>
        <w:t>USA</w:t>
      </w:r>
    </w:p>
    <w:p>
      <w:pPr>
        <w:spacing w:after="0" w:line="136" w:lineRule="exact"/>
        <w:rPr>
          <w:rFonts w:ascii="Arial" w:cs="Arial" w:eastAsia="Arial" w:hAnsi="Arial"/>
          <w:sz w:val="15"/>
          <w:szCs w:val="15"/>
          <w:color w:val="auto"/>
        </w:rPr>
      </w:pPr>
    </w:p>
    <w:p>
      <w:pPr>
        <w:ind w:left="740" w:hanging="367"/>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Title of Class of Securities</w:t>
      </w:r>
    </w:p>
    <w:p>
      <w:pPr>
        <w:spacing w:after="0" w:line="22"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6"/>
          <w:szCs w:val="16"/>
          <w:color w:val="auto"/>
        </w:rPr>
        <w:t>Class A Common Stock, $0.001 par value</w:t>
      </w:r>
    </w:p>
    <w:p>
      <w:pPr>
        <w:spacing w:after="0" w:line="136" w:lineRule="exact"/>
        <w:rPr>
          <w:rFonts w:ascii="Arial" w:cs="Arial" w:eastAsia="Arial" w:hAnsi="Arial"/>
          <w:sz w:val="16"/>
          <w:szCs w:val="16"/>
          <w:color w:val="auto"/>
        </w:rPr>
      </w:pPr>
    </w:p>
    <w:p>
      <w:pPr>
        <w:ind w:left="740" w:right="8459" w:hanging="367"/>
        <w:spacing w:after="0" w:line="369" w:lineRule="auto"/>
        <w:tabs>
          <w:tab w:leader="none" w:pos="7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CUSIP Number 60937P106</w:t>
      </w:r>
    </w:p>
    <w:p>
      <w:pPr>
        <w:spacing w:after="0" w:line="230" w:lineRule="exact"/>
        <w:rPr>
          <w:sz w:val="20"/>
          <w:szCs w:val="20"/>
          <w:color w:val="auto"/>
        </w:rPr>
      </w:pPr>
    </w:p>
    <w:p>
      <w:pPr>
        <w:ind w:right="1259"/>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149" w:lineRule="exact"/>
        <w:rPr>
          <w:sz w:val="20"/>
          <w:szCs w:val="20"/>
          <w:color w:val="auto"/>
        </w:rPr>
      </w:pPr>
    </w:p>
    <w:p>
      <w:pPr>
        <w:ind w:left="740" w:hanging="367"/>
        <w:spacing w:after="0" w:line="196" w:lineRule="exact"/>
        <w:tabs>
          <w:tab w:leader="none" w:pos="740" w:val="left"/>
        </w:tabs>
        <w:numPr>
          <w:ilvl w:val="0"/>
          <w:numId w:val="7"/>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Broker or dealer registered under section 15 of the Act (15 U.S.C. 78o).</w:t>
      </w:r>
    </w:p>
    <w:p>
      <w:pPr>
        <w:spacing w:after="0" w:line="142" w:lineRule="exact"/>
        <w:rPr>
          <w:rFonts w:ascii="Arial" w:cs="Arial" w:eastAsia="Arial" w:hAnsi="Arial"/>
          <w:sz w:val="16"/>
          <w:szCs w:val="16"/>
          <w:color w:val="auto"/>
        </w:rPr>
      </w:pPr>
    </w:p>
    <w:p>
      <w:pPr>
        <w:ind w:left="740" w:hanging="367"/>
        <w:spacing w:after="0" w:line="196" w:lineRule="exact"/>
        <w:tabs>
          <w:tab w:leader="none" w:pos="740" w:val="left"/>
        </w:tabs>
        <w:numPr>
          <w:ilvl w:val="0"/>
          <w:numId w:val="7"/>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Bank as defined in section 3(a)(6) of the Act (15 U.S.C. 78c).</w:t>
      </w:r>
    </w:p>
    <w:p>
      <w:pPr>
        <w:spacing w:after="0" w:line="142" w:lineRule="exact"/>
        <w:rPr>
          <w:rFonts w:ascii="Arial" w:cs="Arial" w:eastAsia="Arial" w:hAnsi="Arial"/>
          <w:sz w:val="16"/>
          <w:szCs w:val="16"/>
          <w:color w:val="auto"/>
        </w:rPr>
      </w:pPr>
    </w:p>
    <w:p>
      <w:pPr>
        <w:ind w:left="740" w:hanging="367"/>
        <w:spacing w:after="0" w:line="196" w:lineRule="exact"/>
        <w:tabs>
          <w:tab w:leader="none" w:pos="740" w:val="left"/>
        </w:tabs>
        <w:numPr>
          <w:ilvl w:val="0"/>
          <w:numId w:val="7"/>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Insurance company as defined in section 3(a)(19) of the Act (15 U.S.C. 78c).</w:t>
      </w:r>
    </w:p>
    <w:p>
      <w:pPr>
        <w:spacing w:after="0" w:line="142" w:lineRule="exact"/>
        <w:rPr>
          <w:rFonts w:ascii="Arial" w:cs="Arial" w:eastAsia="Arial" w:hAnsi="Arial"/>
          <w:sz w:val="16"/>
          <w:szCs w:val="16"/>
          <w:color w:val="auto"/>
        </w:rPr>
      </w:pPr>
    </w:p>
    <w:p>
      <w:pPr>
        <w:ind w:left="740" w:hanging="367"/>
        <w:spacing w:after="0" w:line="196" w:lineRule="exact"/>
        <w:tabs>
          <w:tab w:leader="none" w:pos="740" w:val="left"/>
        </w:tabs>
        <w:numPr>
          <w:ilvl w:val="0"/>
          <w:numId w:val="7"/>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142" w:lineRule="exact"/>
        <w:rPr>
          <w:rFonts w:ascii="Arial" w:cs="Arial" w:eastAsia="Arial" w:hAnsi="Arial"/>
          <w:sz w:val="16"/>
          <w:szCs w:val="16"/>
          <w:color w:val="auto"/>
        </w:rPr>
      </w:pPr>
    </w:p>
    <w:p>
      <w:pPr>
        <w:ind w:left="740" w:hanging="367"/>
        <w:spacing w:after="0" w:line="196" w:lineRule="exact"/>
        <w:tabs>
          <w:tab w:leader="none" w:pos="740" w:val="left"/>
        </w:tabs>
        <w:numPr>
          <w:ilvl w:val="0"/>
          <w:numId w:val="7"/>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An investment adviser in accordance with §240.13d-1(b)(1)(ii)(E);</w:t>
      </w:r>
    </w:p>
    <w:p>
      <w:pPr>
        <w:spacing w:after="0" w:line="142" w:lineRule="exact"/>
        <w:rPr>
          <w:rFonts w:ascii="Arial" w:cs="Arial" w:eastAsia="Arial" w:hAnsi="Arial"/>
          <w:sz w:val="16"/>
          <w:szCs w:val="16"/>
          <w:color w:val="auto"/>
        </w:rPr>
      </w:pPr>
    </w:p>
    <w:p>
      <w:pPr>
        <w:ind w:left="740" w:hanging="367"/>
        <w:spacing w:after="0" w:line="196" w:lineRule="exact"/>
        <w:tabs>
          <w:tab w:leader="none" w:pos="740" w:val="left"/>
        </w:tabs>
        <w:numPr>
          <w:ilvl w:val="0"/>
          <w:numId w:val="7"/>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An employee benefit plan or endowment fund in accordance with §240.13d-1(b)(1)(ii)(F);</w:t>
      </w:r>
    </w:p>
    <w:p>
      <w:pPr>
        <w:spacing w:after="0" w:line="142" w:lineRule="exact"/>
        <w:rPr>
          <w:rFonts w:ascii="Arial" w:cs="Arial" w:eastAsia="Arial" w:hAnsi="Arial"/>
          <w:sz w:val="16"/>
          <w:szCs w:val="16"/>
          <w:color w:val="auto"/>
        </w:rPr>
      </w:pPr>
    </w:p>
    <w:p>
      <w:pPr>
        <w:ind w:left="740" w:hanging="367"/>
        <w:spacing w:after="0" w:line="196" w:lineRule="exact"/>
        <w:tabs>
          <w:tab w:leader="none" w:pos="740" w:val="left"/>
        </w:tabs>
        <w:numPr>
          <w:ilvl w:val="0"/>
          <w:numId w:val="7"/>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A parent holding company or control person in accordance with §240.13d-1(b)(1)(ii)(G);</w:t>
      </w:r>
    </w:p>
    <w:p>
      <w:pPr>
        <w:spacing w:after="0" w:line="142" w:lineRule="exact"/>
        <w:rPr>
          <w:rFonts w:ascii="Arial" w:cs="Arial" w:eastAsia="Arial" w:hAnsi="Arial"/>
          <w:sz w:val="16"/>
          <w:szCs w:val="16"/>
          <w:color w:val="auto"/>
        </w:rPr>
      </w:pPr>
    </w:p>
    <w:p>
      <w:pPr>
        <w:ind w:left="740" w:hanging="367"/>
        <w:spacing w:after="0" w:line="196" w:lineRule="exact"/>
        <w:tabs>
          <w:tab w:leader="none" w:pos="740" w:val="left"/>
        </w:tabs>
        <w:numPr>
          <w:ilvl w:val="0"/>
          <w:numId w:val="7"/>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A savings associations as defined in Section 3(b) of the Federal Deposit Insurance Act (12 U.S.C. 1813);</w:t>
      </w:r>
    </w:p>
    <w:p>
      <w:pPr>
        <w:spacing w:after="0" w:line="142" w:lineRule="exact"/>
        <w:rPr>
          <w:rFonts w:ascii="Arial" w:cs="Arial" w:eastAsia="Arial" w:hAnsi="Arial"/>
          <w:sz w:val="16"/>
          <w:szCs w:val="16"/>
          <w:color w:val="auto"/>
        </w:rPr>
      </w:pPr>
    </w:p>
    <w:p>
      <w:pPr>
        <w:ind w:left="1100" w:right="1459" w:hanging="727"/>
        <w:spacing w:after="0" w:line="220" w:lineRule="exact"/>
        <w:tabs>
          <w:tab w:leader="none" w:pos="735" w:val="left"/>
        </w:tabs>
        <w:numPr>
          <w:ilvl w:val="0"/>
          <w:numId w:val="7"/>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 of 1940 (15 U.S.C. 80a-3);</w:t>
      </w:r>
    </w:p>
    <w:p>
      <w:pPr>
        <w:spacing w:after="0" w:line="87" w:lineRule="exact"/>
        <w:rPr>
          <w:rFonts w:ascii="Arial" w:cs="Arial" w:eastAsia="Arial" w:hAnsi="Arial"/>
          <w:sz w:val="16"/>
          <w:szCs w:val="16"/>
          <w:color w:val="auto"/>
        </w:rPr>
      </w:pPr>
    </w:p>
    <w:p>
      <w:pPr>
        <w:ind w:left="740" w:hanging="367"/>
        <w:spacing w:after="0" w:line="196" w:lineRule="exact"/>
        <w:tabs>
          <w:tab w:leader="none" w:pos="740" w:val="left"/>
        </w:tabs>
        <w:numPr>
          <w:ilvl w:val="0"/>
          <w:numId w:val="7"/>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Group, in accordance with §240.13d-1(b)(1)(ii)(J).</w:t>
      </w: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12" w:lineRule="exact"/>
        <w:rPr>
          <w:sz w:val="20"/>
          <w:szCs w:val="20"/>
          <w:color w:val="auto"/>
        </w:rPr>
      </w:pPr>
    </w:p>
    <w:p>
      <w:pPr>
        <w:ind w:right="1339"/>
        <w:spacing w:after="0" w:line="275" w:lineRule="auto"/>
        <w:rPr>
          <w:sz w:val="20"/>
          <w:szCs w:val="20"/>
          <w:color w:val="auto"/>
        </w:rPr>
      </w:pPr>
      <w:r>
        <w:rPr>
          <w:rFonts w:ascii="Arial" w:cs="Arial" w:eastAsia="Arial" w:hAnsi="Arial"/>
          <w:sz w:val="19"/>
          <w:szCs w:val="19"/>
          <w:color w:val="auto"/>
        </w:rPr>
        <w:t>Reference is hereby made to Items 5-9 and 11 of this Schedule, which Items are incorporated by reference herein. The securities to which this Schedule relates (the “Securities”) are owned by certain investment limited partnerships for which Whale Rock serves as general partner and investment manager. Whale Rock, as those investment limited partnerships’ general partner and investment manager, and Alexander Sacerdote, as managing member and owner of Whale Rock, may therefore be deemed to beneficially own Securities owned by such investment limited partnerships for the purposes of Rule 13d-3 of the Securities Exchange Act of 1934, as amended (the “Act”), insofar as they may be deemed to have the power to direct the voting or disposition of those Securities.</w:t>
      </w:r>
    </w:p>
    <w:p>
      <w:pPr>
        <w:spacing w:after="0" w:line="158" w:lineRule="exact"/>
        <w:rPr>
          <w:sz w:val="20"/>
          <w:szCs w:val="20"/>
          <w:color w:val="auto"/>
        </w:rPr>
      </w:pPr>
    </w:p>
    <w:p>
      <w:pPr>
        <w:ind w:right="1179"/>
        <w:spacing w:after="0" w:line="287" w:lineRule="auto"/>
        <w:rPr>
          <w:sz w:val="20"/>
          <w:szCs w:val="20"/>
          <w:color w:val="auto"/>
        </w:rPr>
      </w:pPr>
      <w:r>
        <w:rPr>
          <w:rFonts w:ascii="Arial" w:cs="Arial" w:eastAsia="Arial" w:hAnsi="Arial"/>
          <w:sz w:val="19"/>
          <w:szCs w:val="19"/>
          <w:color w:val="auto"/>
        </w:rPr>
        <w:t>Neither the filing of this Schedule nor any of its contents shall be deemed to constitute an admission that Whale Rock or Alexander Sacerdote is, for any other purpose, the beneficial owner of any of the Securities, and each of Whale Rock and Alexander Sacerdote disclaims beneficial ownership as to the Securities, except to the extent of his or its pecuniary interests therein.</w:t>
      </w:r>
    </w:p>
    <w:p>
      <w:pPr>
        <w:spacing w:after="0" w:line="143" w:lineRule="exact"/>
        <w:rPr>
          <w:sz w:val="20"/>
          <w:szCs w:val="20"/>
          <w:color w:val="auto"/>
        </w:rPr>
      </w:pPr>
    </w:p>
    <w:p>
      <w:pPr>
        <w:ind w:right="1299"/>
        <w:spacing w:after="0" w:line="287" w:lineRule="auto"/>
        <w:rPr>
          <w:sz w:val="20"/>
          <w:szCs w:val="20"/>
          <w:color w:val="auto"/>
        </w:rPr>
      </w:pPr>
      <w:r>
        <w:rPr>
          <w:rFonts w:ascii="Arial" w:cs="Arial" w:eastAsia="Arial" w:hAnsi="Arial"/>
          <w:sz w:val="19"/>
          <w:szCs w:val="19"/>
          <w:color w:val="auto"/>
        </w:rPr>
        <w:t>Under the definition of “beneficial ownership” in Rule 13d-3 under the Act, it is also possible that the individual general partners, executive officers, and members of the foregoing entities might be deemed the “beneficial owners” of some or all of the Securities insofar as they may be deemed to share the power to direct the voting or disposition of the Securities. Neither the filing of this Schedule nor any of</w:t>
      </w:r>
    </w:p>
    <w:p>
      <w:pPr>
        <w:sectPr>
          <w:pgSz w:w="11900" w:h="16838" w:orient="portrait"/>
          <w:cols w:equalWidth="0" w:num="1">
            <w:col w:w="10219"/>
          </w:cols>
          <w:pgMar w:left="240" w:top="967" w:right="1440" w:bottom="0" w:gutter="0" w:footer="0" w:header="0"/>
        </w:sectPr>
      </w:pPr>
    </w:p>
    <w:bookmarkStart w:id="5" w:name="page6"/>
    <w:bookmarkEnd w:id="5"/>
    <w:p>
      <w:pPr>
        <w:ind w:right="1319"/>
        <w:spacing w:after="0" w:line="329" w:lineRule="auto"/>
        <w:rPr>
          <w:sz w:val="20"/>
          <w:szCs w:val="20"/>
          <w:color w:val="auto"/>
        </w:rPr>
      </w:pPr>
      <w:r>
        <w:rPr>
          <w:rFonts w:ascii="Arial" w:cs="Arial" w:eastAsia="Arial" w:hAnsi="Arial"/>
          <w:sz w:val="19"/>
          <w:szCs w:val="19"/>
          <w:color w:val="auto"/>
        </w:rPr>
        <w:t>its contents shall be deemed to constitute an admission that any of such individuals is, for any purpose, the beneficial owner of any of the Securities, and such beneficial ownership is expressly disclaimed.</w:t>
      </w:r>
    </w:p>
    <w:p>
      <w:pPr>
        <w:spacing w:after="0" w:line="104" w:lineRule="exact"/>
        <w:rPr>
          <w:sz w:val="20"/>
          <w:szCs w:val="20"/>
          <w:color w:val="auto"/>
        </w:rPr>
      </w:pPr>
    </w:p>
    <w:p>
      <w:pPr>
        <w:ind w:right="1179"/>
        <w:spacing w:after="0" w:line="236" w:lineRule="auto"/>
        <w:rPr>
          <w:sz w:val="20"/>
          <w:szCs w:val="20"/>
          <w:color w:val="auto"/>
        </w:rPr>
      </w:pPr>
      <w:r>
        <w:rPr>
          <w:rFonts w:ascii="Arial" w:cs="Arial" w:eastAsia="Arial" w:hAnsi="Arial"/>
          <w:sz w:val="22"/>
          <w:szCs w:val="22"/>
          <w:color w:val="auto"/>
        </w:rPr>
        <w:t>The calculation of percentage of beneficial ownership in item 11 was derived from the Issuer’s Annual Report on Form 10-K filed with the Securities and Exchange Commission on March 30, 2018, in which the Issuer stated that the number of Class A common stock shares outstanding as of March 26, 2018 was 13,325,834. Information reported herein as to the beneficial ownership of Securities is as of April 26, 2018.</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Ownership of Five Percent or Less of a Class.</w:t>
      </w:r>
    </w:p>
    <w:p>
      <w:pPr>
        <w:spacing w:after="0" w:line="212" w:lineRule="exact"/>
        <w:rPr>
          <w:sz w:val="20"/>
          <w:szCs w:val="20"/>
          <w:color w:val="auto"/>
        </w:rPr>
      </w:pPr>
    </w:p>
    <w:p>
      <w:pPr>
        <w:ind w:right="1199"/>
        <w:spacing w:after="0" w:line="259" w:lineRule="exact"/>
        <w:rPr>
          <w:sz w:val="20"/>
          <w:szCs w:val="20"/>
          <w:color w:val="auto"/>
        </w:rPr>
      </w:pPr>
      <w:r>
        <w:rPr>
          <w:rFonts w:ascii="Arial" w:cs="Arial" w:eastAsia="Arial" w:hAnsi="Arial"/>
          <w:sz w:val="19"/>
          <w:szCs w:val="19"/>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2"/>
          <w:szCs w:val="12"/>
          <w:color w:val="auto"/>
        </w:rPr>
        <w:t>☐</w:t>
      </w:r>
      <w:r>
        <w:rPr>
          <w:rFonts w:ascii="Arial" w:cs="Arial" w:eastAsia="Arial" w:hAnsi="Arial"/>
          <w:sz w:val="19"/>
          <w:szCs w:val="19"/>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Ownership of More than Five Percent on Behalf of Another Person.</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Whale Rock Flagship Master Fund LP</w:t>
      </w:r>
    </w:p>
    <w:p>
      <w:pPr>
        <w:spacing w:after="0" w:line="192" w:lineRule="exact"/>
        <w:rPr>
          <w:sz w:val="20"/>
          <w:szCs w:val="20"/>
          <w:color w:val="auto"/>
        </w:rPr>
      </w:pPr>
    </w:p>
    <w:p>
      <w:pPr>
        <w:ind w:right="1539"/>
        <w:spacing w:after="0" w:line="256" w:lineRule="auto"/>
        <w:rPr>
          <w:sz w:val="20"/>
          <w:szCs w:val="20"/>
          <w:color w:val="auto"/>
        </w:rPr>
      </w:pPr>
      <w:r>
        <w:rPr>
          <w:rFonts w:ascii="Arial" w:cs="Arial" w:eastAsia="Arial" w:hAnsi="Arial"/>
          <w:sz w:val="22"/>
          <w:szCs w:val="22"/>
          <w:b w:val="1"/>
          <w:bCs w:val="1"/>
          <w:color w:val="auto"/>
        </w:rPr>
        <w:t>Item 7. Identification and Classification of the Subsidiary Which Acquired the Security Being Reported on By the Parent Holding Company.</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Not applicable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Identification and Classification of Members of the Group.</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Not applicable.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Notice of Dissolution of Group.</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Not applicable.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12" w:lineRule="exact"/>
        <w:rPr>
          <w:sz w:val="20"/>
          <w:szCs w:val="20"/>
          <w:color w:val="auto"/>
        </w:rPr>
      </w:pPr>
    </w:p>
    <w:p>
      <w:pPr>
        <w:ind w:right="1379"/>
        <w:spacing w:after="0" w:line="249" w:lineRule="auto"/>
        <w:rPr>
          <w:sz w:val="20"/>
          <w:szCs w:val="20"/>
          <w:color w:val="auto"/>
        </w:rPr>
      </w:pPr>
      <w:r>
        <w:rPr>
          <w:rFonts w:ascii="Arial" w:cs="Arial" w:eastAsia="Arial" w:hAnsi="Arial"/>
          <w:sz w:val="21"/>
          <w:szCs w:val="21"/>
          <w:color w:val="auto"/>
        </w:rPr>
        <w:t>The following certification shall be included if the statement is filed pursuant to §240.13d-1(c):By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118" w:right="1440" w:bottom="1440" w:gutter="0" w:footer="0" w:header="0"/>
        </w:sectPr>
      </w:pPr>
    </w:p>
    <w:bookmarkStart w:id="6" w:name="page7"/>
    <w:bookmarkEnd w:id="6"/>
    <w:p>
      <w:pPr>
        <w:spacing w:after="0"/>
        <w:tabs>
          <w:tab w:leader="none" w:pos="4480" w:val="left"/>
          <w:tab w:leader="none" w:pos="788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277495</wp:posOffset>
            </wp:positionV>
            <wp:extent cx="57461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46115" cy="17145"/>
                    </a:xfrm>
                    <a:prstGeom prst="rect">
                      <a:avLst/>
                    </a:prstGeom>
                    <a:noFill/>
                  </pic:spPr>
                </pic:pic>
              </a:graphicData>
            </a:graphic>
          </wp:anchor>
        </w:drawing>
        <w:t>CUSIP No. 60937P106</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4 of 4 Pages</w:t>
      </w:r>
    </w:p>
    <w:p>
      <w:pPr>
        <w:spacing w:after="0" w:line="200" w:lineRule="exact"/>
        <w:rPr>
          <w:sz w:val="20"/>
          <w:szCs w:val="20"/>
          <w:color w:val="auto"/>
        </w:rPr>
      </w:pPr>
    </w:p>
    <w:p>
      <w:pPr>
        <w:spacing w:after="0" w:line="357" w:lineRule="exact"/>
        <w:rPr>
          <w:sz w:val="20"/>
          <w:szCs w:val="20"/>
          <w:color w:val="auto"/>
        </w:rPr>
      </w:pPr>
    </w:p>
    <w:p>
      <w:pPr>
        <w:ind w:right="1239" w:firstLine="243"/>
        <w:spacing w:after="0" w:line="260" w:lineRule="auto"/>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46" w:lineRule="exact"/>
        <w:rPr>
          <w:sz w:val="20"/>
          <w:szCs w:val="20"/>
          <w:color w:val="auto"/>
        </w:rPr>
      </w:pPr>
    </w:p>
    <w:p>
      <w:pPr>
        <w:jc w:val="center"/>
        <w:ind w:left="3080"/>
        <w:spacing w:after="0"/>
        <w:rPr>
          <w:sz w:val="20"/>
          <w:szCs w:val="20"/>
          <w:color w:val="auto"/>
        </w:rPr>
      </w:pPr>
      <w:r>
        <w:rPr>
          <w:rFonts w:ascii="Arial" w:cs="Arial" w:eastAsia="Arial" w:hAnsi="Arial"/>
          <w:sz w:val="16"/>
          <w:szCs w:val="16"/>
          <w:color w:val="auto"/>
        </w:rPr>
        <w:t>04/27/2018</w:t>
      </w:r>
    </w:p>
    <w:p>
      <w:pPr>
        <w:spacing w:after="0" w:line="22" w:lineRule="exact"/>
        <w:rPr>
          <w:sz w:val="20"/>
          <w:szCs w:val="20"/>
          <w:color w:val="auto"/>
        </w:rPr>
      </w:pPr>
    </w:p>
    <w:p>
      <w:pPr>
        <w:jc w:val="center"/>
        <w:ind w:left="3080"/>
        <w:spacing w:after="0"/>
        <w:rPr>
          <w:sz w:val="20"/>
          <w:szCs w:val="20"/>
          <w:color w:val="auto"/>
        </w:rPr>
      </w:pPr>
      <w:r>
        <w:rPr>
          <w:rFonts w:ascii="Arial" w:cs="Arial" w:eastAsia="Arial" w:hAnsi="Arial"/>
          <w:sz w:val="16"/>
          <w:szCs w:val="16"/>
          <w:color w:val="auto"/>
        </w:rPr>
        <w:t>Date</w:t>
      </w:r>
    </w:p>
    <w:p>
      <w:pPr>
        <w:spacing w:after="0" w:line="244" w:lineRule="exact"/>
        <w:rPr>
          <w:sz w:val="20"/>
          <w:szCs w:val="20"/>
          <w:color w:val="auto"/>
        </w:rPr>
      </w:pPr>
    </w:p>
    <w:p>
      <w:pPr>
        <w:jc w:val="center"/>
        <w:ind w:left="3080"/>
        <w:spacing w:after="0"/>
        <w:rPr>
          <w:sz w:val="20"/>
          <w:szCs w:val="20"/>
          <w:color w:val="auto"/>
        </w:rPr>
      </w:pPr>
      <w:r>
        <w:rPr>
          <w:rFonts w:ascii="Arial" w:cs="Arial" w:eastAsia="Arial" w:hAnsi="Arial"/>
          <w:sz w:val="16"/>
          <w:szCs w:val="16"/>
          <w:color w:val="auto"/>
        </w:rPr>
        <w:t>/s/ Alexander Sacerdote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17780</wp:posOffset>
            </wp:positionV>
            <wp:extent cx="22980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2" w:lineRule="exact"/>
        <w:rPr>
          <w:sz w:val="20"/>
          <w:szCs w:val="20"/>
          <w:color w:val="auto"/>
        </w:rPr>
      </w:pPr>
    </w:p>
    <w:p>
      <w:pPr>
        <w:jc w:val="center"/>
        <w:ind w:left="3080"/>
        <w:spacing w:after="0"/>
        <w:rPr>
          <w:sz w:val="20"/>
          <w:szCs w:val="20"/>
          <w:color w:val="auto"/>
        </w:rPr>
      </w:pPr>
      <w:r>
        <w:rPr>
          <w:rFonts w:ascii="Arial" w:cs="Arial" w:eastAsia="Arial" w:hAnsi="Arial"/>
          <w:sz w:val="16"/>
          <w:szCs w:val="16"/>
          <w:color w:val="auto"/>
        </w:rPr>
        <w:t>Signature</w:t>
      </w:r>
    </w:p>
    <w:p>
      <w:pPr>
        <w:spacing w:after="0" w:line="248" w:lineRule="exact"/>
        <w:rPr>
          <w:sz w:val="20"/>
          <w:szCs w:val="20"/>
          <w:color w:val="auto"/>
        </w:rPr>
      </w:pPr>
    </w:p>
    <w:p>
      <w:pPr>
        <w:jc w:val="center"/>
        <w:ind w:left="3080"/>
        <w:spacing w:after="0"/>
        <w:rPr>
          <w:sz w:val="20"/>
          <w:szCs w:val="20"/>
          <w:color w:val="auto"/>
        </w:rPr>
      </w:pPr>
      <w:r>
        <w:rPr>
          <w:rFonts w:ascii="Arial" w:cs="Arial" w:eastAsia="Arial" w:hAnsi="Arial"/>
          <w:sz w:val="16"/>
          <w:szCs w:val="16"/>
          <w:color w:val="auto"/>
        </w:rPr>
        <w:t>Managing Member</w:t>
      </w:r>
    </w:p>
    <w:p>
      <w:pPr>
        <w:spacing w:after="0" w:line="22" w:lineRule="exact"/>
        <w:rPr>
          <w:sz w:val="20"/>
          <w:szCs w:val="20"/>
          <w:color w:val="auto"/>
        </w:rPr>
      </w:pPr>
    </w:p>
    <w:p>
      <w:pPr>
        <w:jc w:val="center"/>
        <w:ind w:left="3080"/>
        <w:spacing w:after="0"/>
        <w:rPr>
          <w:sz w:val="20"/>
          <w:szCs w:val="20"/>
          <w:color w:val="auto"/>
        </w:rPr>
      </w:pPr>
      <w:r>
        <w:rPr>
          <w:rFonts w:ascii="Arial" w:cs="Arial" w:eastAsia="Arial" w:hAnsi="Arial"/>
          <w:sz w:val="16"/>
          <w:szCs w:val="16"/>
          <w:color w:val="auto"/>
        </w:rPr>
        <w:t>Name/Title</w:t>
      </w:r>
    </w:p>
    <w:sectPr>
      <w:pgSz w:w="11900" w:h="16838" w:orient="portrait"/>
      <w:cols w:equalWidth="0" w:num="1">
        <w:col w:w="10219"/>
      </w:cols>
      <w:pgMar w:left="240" w:top="9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3D1B58BA"/>
    <w:multiLevelType w:val="hybridMultilevel"/>
    <w:lvl w:ilvl="0">
      <w:lvlJc w:val="left"/>
      <w:lvlText w:val="%1."/>
      <w:numFmt w:val="decimal"/>
      <w:start w:val="12"/>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2019-12-21T03:26:50Z</dcterms:created>
  <dcterms:modified xsi:type="dcterms:W3CDTF">2019-12-21T03:26:50Z</dcterms:modified>
</cp:coreProperties>
</file>