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ind w:left="4860"/>
        <w:spacing w:after="0"/>
        <w:rPr>
          <w:sz w:val="20"/>
          <w:szCs w:val="20"/>
          <w:color w:val="auto"/>
        </w:rPr>
      </w:pPr>
      <w:r>
        <w:rPr>
          <w:rFonts w:ascii="Arial" w:cs="Arial" w:eastAsia="Arial" w:hAnsi="Arial"/>
          <w:sz w:val="14"/>
          <w:szCs w:val="14"/>
          <w:color w:val="auto"/>
        </w:rPr>
        <w:t>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1060" w:hanging="404"/>
        <w:spacing w:after="0"/>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4" w:lineRule="exact"/>
        <w:rPr>
          <w:rFonts w:ascii="MS PGothic" w:cs="MS PGothic" w:eastAsia="MS PGothic" w:hAnsi="MS PGothic"/>
          <w:sz w:val="22"/>
          <w:szCs w:val="22"/>
          <w:color w:val="auto"/>
        </w:rPr>
      </w:pPr>
    </w:p>
    <w:p>
      <w:pPr>
        <w:ind w:left="4100"/>
        <w:spacing w:after="0"/>
        <w:rPr>
          <w:rFonts w:ascii="MS PGothic" w:cs="MS PGothic" w:eastAsia="MS PGothic" w:hAnsi="MS PGothic"/>
          <w:sz w:val="22"/>
          <w:szCs w:val="22"/>
          <w:color w:val="auto"/>
        </w:rPr>
      </w:pPr>
      <w:r>
        <w:rPr>
          <w:rFonts w:ascii="Arial" w:cs="Arial" w:eastAsia="Arial" w:hAnsi="Arial"/>
          <w:sz w:val="18"/>
          <w:szCs w:val="18"/>
          <w:color w:val="auto"/>
        </w:rPr>
        <w:t>For the fiscal year ended January 31, 2021</w:t>
      </w:r>
    </w:p>
    <w:p>
      <w:pPr>
        <w:spacing w:after="0" w:line="117" w:lineRule="exact"/>
        <w:rPr>
          <w:rFonts w:ascii="MS PGothic" w:cs="MS PGothic" w:eastAsia="MS PGothic" w:hAnsi="MS PGothic"/>
          <w:sz w:val="22"/>
          <w:szCs w:val="22"/>
          <w:color w:val="auto"/>
        </w:rPr>
      </w:pPr>
    </w:p>
    <w:p>
      <w:pPr>
        <w:ind w:left="5500"/>
        <w:spacing w:after="0"/>
        <w:rPr>
          <w:rFonts w:ascii="MS PGothic" w:cs="MS PGothic" w:eastAsia="MS PGothic" w:hAnsi="MS PGothic"/>
          <w:sz w:val="22"/>
          <w:szCs w:val="22"/>
          <w:color w:val="auto"/>
        </w:rPr>
      </w:pPr>
      <w:r>
        <w:rPr>
          <w:rFonts w:ascii="Arial" w:cs="Arial" w:eastAsia="Arial" w:hAnsi="Arial"/>
          <w:sz w:val="18"/>
          <w:szCs w:val="18"/>
          <w:color w:val="auto"/>
        </w:rPr>
        <w:t>OR</w:t>
      </w:r>
    </w:p>
    <w:p>
      <w:pPr>
        <w:spacing w:after="0" w:line="136" w:lineRule="exact"/>
        <w:rPr>
          <w:sz w:val="24"/>
          <w:szCs w:val="24"/>
          <w:color w:val="auto"/>
        </w:rPr>
      </w:pPr>
    </w:p>
    <w:p>
      <w:pPr>
        <w:ind w:left="1040" w:hanging="384"/>
        <w:spacing w:after="0"/>
        <w:tabs>
          <w:tab w:leader="none" w:pos="10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40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3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to</w:t>
            </w:r>
          </w:p>
        </w:tc>
        <w:tc>
          <w:tcPr>
            <w:tcW w:w="360" w:type="dxa"/>
            <w:vAlign w:val="bottom"/>
            <w:tcBorders>
              <w:bottom w:val="single" w:sz="8" w:color="auto"/>
            </w:tcBorders>
          </w:tcPr>
          <w:p>
            <w:pPr>
              <w:spacing w:after="0"/>
              <w:rPr>
                <w:sz w:val="17"/>
                <w:szCs w:val="17"/>
                <w:color w:val="auto"/>
              </w:rPr>
            </w:pPr>
          </w:p>
        </w:tc>
      </w:tr>
      <w:tr>
        <w:trPr>
          <w:trHeight w:val="345"/>
        </w:trPr>
        <w:tc>
          <w:tcPr>
            <w:tcW w:w="3140" w:type="dxa"/>
            <w:vAlign w:val="bottom"/>
            <w:gridSpan w:val="4"/>
          </w:tcPr>
          <w:p>
            <w:pPr>
              <w:jc w:val="center"/>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001-38240</w:t>
            </w:r>
          </w:p>
        </w:tc>
      </w:tr>
      <w:tr>
        <w:trPr>
          <w:trHeight w:val="270"/>
        </w:trPr>
        <w:tc>
          <w:tcPr>
            <w:tcW w:w="2540" w:type="dxa"/>
            <w:vAlign w:val="bottom"/>
            <w:gridSpan w:val="2"/>
          </w:tcPr>
          <w:p>
            <w:pPr>
              <w:jc w:val="right"/>
              <w:ind w:right="220"/>
              <w:spacing w:after="0"/>
              <w:rPr>
                <w:sz w:val="20"/>
                <w:szCs w:val="20"/>
                <w:color w:val="auto"/>
              </w:rPr>
            </w:pPr>
            <w:r>
              <w:rPr>
                <w:rFonts w:ascii="Arial" w:cs="Arial" w:eastAsia="Arial" w:hAnsi="Arial"/>
                <w:sz w:val="14"/>
                <w:szCs w:val="14"/>
                <w:color w:val="auto"/>
              </w:rPr>
              <w:t>_____________________</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1" w:lineRule="exact"/>
        <w:rPr>
          <w:sz w:val="24"/>
          <w:szCs w:val="24"/>
          <w:color w:val="auto"/>
        </w:rPr>
      </w:pPr>
    </w:p>
    <w:tbl>
      <w:tblPr>
        <w:tblLayout w:type="fixed"/>
        <w:tblInd w:w="1740" w:type="dxa"/>
        <w:tblCellMar>
          <w:top w:w="0" w:type="dxa"/>
          <w:left w:w="0" w:type="dxa"/>
          <w:bottom w:w="0" w:type="dxa"/>
          <w:right w:w="0" w:type="dxa"/>
        </w:tblCellMar>
      </w:tblPr>
      <w:tr>
        <w:trPr>
          <w:trHeight w:val="319"/>
        </w:trPr>
        <w:tc>
          <w:tcPr>
            <w:tcW w:w="5680" w:type="dxa"/>
            <w:vAlign w:val="bottom"/>
          </w:tcPr>
          <w:p>
            <w:pPr>
              <w:jc w:val="center"/>
              <w:ind w:left="2014"/>
              <w:spacing w:after="0" w:line="319" w:lineRule="exact"/>
              <w:rPr>
                <w:sz w:val="20"/>
                <w:szCs w:val="20"/>
                <w:color w:val="auto"/>
              </w:rPr>
            </w:pPr>
            <w:r>
              <w:rPr>
                <w:rFonts w:ascii="Arial" w:cs="Arial" w:eastAsia="Arial" w:hAnsi="Arial"/>
                <w:sz w:val="29"/>
                <w:szCs w:val="29"/>
                <w:b w:val="1"/>
                <w:bCs w:val="1"/>
                <w:color w:val="auto"/>
              </w:rPr>
              <w:t>MONGODB, INC.</w:t>
            </w:r>
          </w:p>
        </w:tc>
        <w:tc>
          <w:tcPr>
            <w:tcW w:w="1440" w:type="dxa"/>
            <w:vAlign w:val="bottom"/>
          </w:tcPr>
          <w:p>
            <w:pPr>
              <w:spacing w:after="0"/>
              <w:rPr>
                <w:sz w:val="24"/>
                <w:szCs w:val="24"/>
                <w:color w:val="auto"/>
              </w:rPr>
            </w:pPr>
          </w:p>
        </w:tc>
      </w:tr>
      <w:tr>
        <w:trPr>
          <w:trHeight w:val="162"/>
        </w:trPr>
        <w:tc>
          <w:tcPr>
            <w:tcW w:w="5680" w:type="dxa"/>
            <w:vAlign w:val="bottom"/>
          </w:tcPr>
          <w:p>
            <w:pPr>
              <w:jc w:val="center"/>
              <w:ind w:left="2014"/>
              <w:spacing w:after="0"/>
              <w:rPr>
                <w:sz w:val="20"/>
                <w:szCs w:val="20"/>
                <w:color w:val="auto"/>
              </w:rPr>
            </w:pPr>
            <w:r>
              <w:rPr>
                <w:rFonts w:ascii="Arial" w:cs="Arial" w:eastAsia="Arial" w:hAnsi="Arial"/>
                <w:sz w:val="14"/>
                <w:szCs w:val="14"/>
                <w:color w:val="auto"/>
                <w:w w:val="93"/>
              </w:rPr>
              <w:t>(Exact name of registrant as specified in its charter)</w:t>
            </w:r>
          </w:p>
        </w:tc>
        <w:tc>
          <w:tcPr>
            <w:tcW w:w="1440" w:type="dxa"/>
            <w:vAlign w:val="bottom"/>
          </w:tcPr>
          <w:p>
            <w:pPr>
              <w:spacing w:after="0"/>
              <w:rPr>
                <w:sz w:val="14"/>
                <w:szCs w:val="14"/>
                <w:color w:val="auto"/>
              </w:rPr>
            </w:pPr>
          </w:p>
        </w:tc>
      </w:tr>
      <w:tr>
        <w:trPr>
          <w:trHeight w:val="182"/>
        </w:trPr>
        <w:tc>
          <w:tcPr>
            <w:tcW w:w="5680" w:type="dxa"/>
            <w:vAlign w:val="bottom"/>
          </w:tcPr>
          <w:p>
            <w:pPr>
              <w:jc w:val="center"/>
              <w:ind w:left="1994"/>
              <w:spacing w:after="0"/>
              <w:rPr>
                <w:sz w:val="20"/>
                <w:szCs w:val="20"/>
                <w:color w:val="auto"/>
              </w:rPr>
            </w:pPr>
            <w:r>
              <w:rPr>
                <w:rFonts w:ascii="Arial" w:cs="Arial" w:eastAsia="Arial" w:hAnsi="Arial"/>
                <w:sz w:val="14"/>
                <w:szCs w:val="14"/>
                <w:color w:val="auto"/>
                <w:w w:val="92"/>
              </w:rPr>
              <w:t>_____________________</w:t>
            </w:r>
          </w:p>
        </w:tc>
        <w:tc>
          <w:tcPr>
            <w:tcW w:w="1440" w:type="dxa"/>
            <w:vAlign w:val="bottom"/>
          </w:tcPr>
          <w:p>
            <w:pPr>
              <w:spacing w:after="0"/>
              <w:rPr>
                <w:sz w:val="15"/>
                <w:szCs w:val="15"/>
                <w:color w:val="auto"/>
              </w:rPr>
            </w:pPr>
          </w:p>
        </w:tc>
      </w:tr>
      <w:tr>
        <w:trPr>
          <w:trHeight w:val="354"/>
        </w:trPr>
        <w:tc>
          <w:tcPr>
            <w:tcW w:w="5680" w:type="dxa"/>
            <w:vAlign w:val="bottom"/>
          </w:tcPr>
          <w:p>
            <w:pPr>
              <w:jc w:val="center"/>
              <w:ind w:right="3154"/>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26-1463205</w:t>
            </w:r>
          </w:p>
        </w:tc>
      </w:tr>
      <w:tr>
        <w:trPr>
          <w:trHeight w:val="144"/>
        </w:trPr>
        <w:tc>
          <w:tcPr>
            <w:tcW w:w="5680" w:type="dxa"/>
            <w:vAlign w:val="bottom"/>
          </w:tcPr>
          <w:p>
            <w:pPr>
              <w:jc w:val="center"/>
              <w:ind w:right="319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0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80" w:type="dxa"/>
            <w:vAlign w:val="bottom"/>
          </w:tcPr>
          <w:p>
            <w:pPr>
              <w:jc w:val="center"/>
              <w:ind w:right="3154"/>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246"/>
        </w:trPr>
        <w:tc>
          <w:tcPr>
            <w:tcW w:w="5680" w:type="dxa"/>
            <w:vAlign w:val="bottom"/>
          </w:tcPr>
          <w:p>
            <w:pPr>
              <w:spacing w:after="0"/>
              <w:rPr>
                <w:sz w:val="20"/>
                <w:szCs w:val="20"/>
                <w:color w:val="auto"/>
              </w:rPr>
            </w:pPr>
            <w:r>
              <w:rPr>
                <w:rFonts w:ascii="Arial" w:cs="Arial" w:eastAsia="Arial" w:hAnsi="Arial"/>
                <w:sz w:val="18"/>
                <w:szCs w:val="18"/>
                <w:b w:val="1"/>
                <w:bCs w:val="1"/>
                <w:color w:val="auto"/>
              </w:rPr>
              <w:t>1633 Broadway 38th Floor</w:t>
            </w:r>
          </w:p>
        </w:tc>
        <w:tc>
          <w:tcPr>
            <w:tcW w:w="1440" w:type="dxa"/>
            <w:vAlign w:val="bottom"/>
          </w:tcPr>
          <w:p>
            <w:pPr>
              <w:spacing w:after="0"/>
              <w:rPr>
                <w:sz w:val="21"/>
                <w:szCs w:val="21"/>
                <w:color w:val="auto"/>
              </w:rPr>
            </w:pPr>
          </w:p>
        </w:tc>
      </w:tr>
      <w:tr>
        <w:trPr>
          <w:trHeight w:val="288"/>
        </w:trPr>
        <w:tc>
          <w:tcPr>
            <w:tcW w:w="5680" w:type="dxa"/>
            <w:vAlign w:val="bottom"/>
          </w:tcPr>
          <w:p>
            <w:pPr>
              <w:ind w:left="440"/>
              <w:spacing w:after="0"/>
              <w:rPr>
                <w:sz w:val="20"/>
                <w:szCs w:val="20"/>
                <w:color w:val="auto"/>
              </w:rPr>
            </w:pPr>
            <w:r>
              <w:rPr>
                <w:rFonts w:ascii="Arial" w:cs="Arial" w:eastAsia="Arial" w:hAnsi="Arial"/>
                <w:sz w:val="18"/>
                <w:szCs w:val="18"/>
                <w:b w:val="1"/>
                <w:bCs w:val="1"/>
                <w:color w:val="auto"/>
              </w:rPr>
              <w:t>New York NY</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10019</w:t>
            </w:r>
          </w:p>
        </w:tc>
      </w:tr>
      <w:tr>
        <w:trPr>
          <w:trHeight w:val="186"/>
        </w:trPr>
        <w:tc>
          <w:tcPr>
            <w:tcW w:w="5680" w:type="dxa"/>
            <w:vAlign w:val="bottom"/>
          </w:tcPr>
          <w:p>
            <w:pPr>
              <w:jc w:val="center"/>
              <w:ind w:right="317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646-727-4092</w:t>
      </w:r>
    </w:p>
    <w:p>
      <w:pPr>
        <w:spacing w:after="0" w:line="63"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w:t>
      </w:r>
    </w:p>
    <w:p>
      <w:pPr>
        <w:spacing w:after="0" w:line="11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69"/>
        </w:trPr>
        <w:tc>
          <w:tcPr>
            <w:tcW w:w="3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Class A Common Stock, par value $0.001</w:t>
            </w:r>
          </w:p>
        </w:tc>
        <w:tc>
          <w:tcPr>
            <w:tcW w:w="120" w:type="dxa"/>
            <w:vAlign w:val="bottom"/>
          </w:tcPr>
          <w:p>
            <w:pPr>
              <w:spacing w:after="0"/>
              <w:rPr>
                <w:sz w:val="14"/>
                <w:szCs w:val="14"/>
                <w:color w:val="auto"/>
              </w:rPr>
            </w:pPr>
          </w:p>
        </w:tc>
        <w:tc>
          <w:tcPr>
            <w:tcW w:w="3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MDB</w:t>
            </w:r>
          </w:p>
        </w:tc>
        <w:tc>
          <w:tcPr>
            <w:tcW w:w="100" w:type="dxa"/>
            <w:vAlign w:val="bottom"/>
          </w:tcPr>
          <w:p>
            <w:pPr>
              <w:spacing w:after="0"/>
              <w:rPr>
                <w:sz w:val="14"/>
                <w:szCs w:val="14"/>
                <w:color w:val="auto"/>
              </w:rPr>
            </w:pPr>
          </w:p>
        </w:tc>
        <w:tc>
          <w:tcPr>
            <w:tcW w:w="3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The Nasdaq Stock Market LLC</w:t>
            </w:r>
          </w:p>
        </w:tc>
      </w:tr>
      <w:tr>
        <w:trPr>
          <w:trHeight w:val="284"/>
        </w:trPr>
        <w:tc>
          <w:tcPr>
            <w:tcW w:w="34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per share</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3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69" w:lineRule="exact"/>
        <w:rPr>
          <w:sz w:val="24"/>
          <w:szCs w:val="24"/>
          <w:color w:val="auto"/>
        </w:rPr>
      </w:pPr>
    </w:p>
    <w:p>
      <w:pPr>
        <w:ind w:right="1240"/>
        <w:spacing w:after="0" w:line="35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60"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62"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515620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6" w:right="459" w:bottom="1440" w:gutter="0" w:footer="0" w:header="0"/>
        </w:sectPr>
      </w:pPr>
    </w:p>
    <w:bookmarkStart w:id="1" w:name="page2"/>
    <w:bookmarkEnd w:id="1"/>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338"/>
        </w:trPr>
        <w:tc>
          <w:tcPr>
            <w:tcW w:w="234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4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288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87"/>
        </w:trPr>
        <w:tc>
          <w:tcPr>
            <w:tcW w:w="2340" w:type="dxa"/>
            <w:vAlign w:val="bottom"/>
            <w:vMerge w:val="continue"/>
          </w:tcPr>
          <w:p>
            <w:pPr>
              <w:spacing w:after="0"/>
              <w:rPr>
                <w:sz w:val="7"/>
                <w:szCs w:val="7"/>
                <w:color w:val="auto"/>
              </w:rPr>
            </w:pPr>
          </w:p>
        </w:tc>
        <w:tc>
          <w:tcPr>
            <w:tcW w:w="4400" w:type="dxa"/>
            <w:vAlign w:val="bottom"/>
            <w:vMerge w:val="restart"/>
          </w:tcPr>
          <w:p>
            <w:pPr>
              <w:ind w:left="2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(Do not check if a small reporting company)</w:t>
            </w:r>
          </w:p>
        </w:tc>
        <w:tc>
          <w:tcPr>
            <w:tcW w:w="2880" w:type="dxa"/>
            <w:vAlign w:val="bottom"/>
            <w:vMerge w:val="continue"/>
          </w:tcPr>
          <w:p>
            <w:pPr>
              <w:spacing w:after="0"/>
              <w:rPr>
                <w:sz w:val="7"/>
                <w:szCs w:val="7"/>
                <w:color w:val="auto"/>
              </w:rPr>
            </w:pPr>
          </w:p>
        </w:tc>
        <w:tc>
          <w:tcPr>
            <w:tcW w:w="540" w:type="dxa"/>
            <w:vAlign w:val="bottom"/>
            <w:vMerge w:val="restart"/>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91"/>
        </w:trPr>
        <w:tc>
          <w:tcPr>
            <w:tcW w:w="234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400" w:type="dxa"/>
            <w:vAlign w:val="bottom"/>
            <w:vMerge w:val="continue"/>
          </w:tcPr>
          <w:p>
            <w:pPr>
              <w:spacing w:after="0"/>
              <w:rPr>
                <w:sz w:val="24"/>
                <w:szCs w:val="24"/>
                <w:color w:val="auto"/>
              </w:rPr>
            </w:pPr>
          </w:p>
        </w:tc>
        <w:tc>
          <w:tcPr>
            <w:tcW w:w="2880" w:type="dxa"/>
            <w:vAlign w:val="bottom"/>
            <w:vMerge w:val="restart"/>
          </w:tcPr>
          <w:p>
            <w:pPr>
              <w:ind w:left="600"/>
              <w:spacing w:after="0"/>
              <w:rPr>
                <w:sz w:val="20"/>
                <w:szCs w:val="20"/>
                <w:color w:val="auto"/>
              </w:rPr>
            </w:pPr>
            <w:r>
              <w:rPr>
                <w:rFonts w:ascii="Arial" w:cs="Arial" w:eastAsia="Arial" w:hAnsi="Arial"/>
                <w:sz w:val="18"/>
                <w:szCs w:val="18"/>
                <w:color w:val="auto"/>
              </w:rPr>
              <w:t>Small Reporting Company</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40" w:type="dxa"/>
            <w:vAlign w:val="bottom"/>
            <w:vMerge w:val="continue"/>
          </w:tcPr>
          <w:p>
            <w:pPr>
              <w:spacing w:after="0"/>
              <w:rPr>
                <w:sz w:val="7"/>
                <w:szCs w:val="7"/>
                <w:color w:val="auto"/>
              </w:rPr>
            </w:pPr>
          </w:p>
        </w:tc>
        <w:tc>
          <w:tcPr>
            <w:tcW w:w="440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28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340" w:type="dxa"/>
            <w:vAlign w:val="bottom"/>
            <w:vMerge w:val="restart"/>
          </w:tcPr>
          <w:p>
            <w:pPr>
              <w:spacing w:after="0"/>
              <w:rPr>
                <w:sz w:val="20"/>
                <w:szCs w:val="20"/>
                <w:color w:val="auto"/>
              </w:rPr>
            </w:pPr>
            <w:r>
              <w:rPr>
                <w:rFonts w:ascii="Arial" w:cs="Arial" w:eastAsia="Arial" w:hAnsi="Arial"/>
                <w:sz w:val="18"/>
                <w:szCs w:val="18"/>
                <w:color w:val="auto"/>
              </w:rPr>
              <w:t>Emerging Growth Company</w:t>
            </w:r>
          </w:p>
        </w:tc>
        <w:tc>
          <w:tcPr>
            <w:tcW w:w="44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40" w:type="dxa"/>
            <w:vAlign w:val="bottom"/>
            <w:vMerge w:val="continue"/>
          </w:tcPr>
          <w:p>
            <w:pPr>
              <w:spacing w:after="0"/>
              <w:rPr>
                <w:sz w:val="7"/>
                <w:szCs w:val="7"/>
                <w:color w:val="auto"/>
              </w:rPr>
            </w:pPr>
          </w:p>
        </w:tc>
        <w:tc>
          <w:tcPr>
            <w:tcW w:w="44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42"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21"/>
          <w:szCs w:val="21"/>
          <w:color w:val="auto"/>
        </w:rPr>
        <w:t>☑</w:t>
      </w:r>
    </w:p>
    <w:p>
      <w:pPr>
        <w:spacing w:after="0" w:line="60" w:lineRule="exact"/>
        <w:rPr>
          <w:sz w:val="20"/>
          <w:szCs w:val="20"/>
          <w:color w:val="auto"/>
        </w:rPr>
      </w:pPr>
    </w:p>
    <w:p>
      <w:pPr>
        <w:spacing w:after="0" w:line="242" w:lineRule="exact"/>
        <w:tabs>
          <w:tab w:leader="none" w:pos="89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registrant’s shares of Class A common stock as reported by The Nasdaq Global Market on July 31, 2020 (the last business day of the registrant’s second fiscal quarter), was approximately $14.1 billion.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March 16, 2021, there were 61,186,431 shares of the registrant’s Class A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2021 annual meeting of shareholders (the “2021 Proxy Statement”) are incorporated by reference into Part III of this Annual Report on Form 10-K where indicated. The 2021 Proxy Statement will be filed with the U.S. Securities and Exchange Commission within 120 days after the end of the registrant’s fiscal year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p>
      <w:pPr>
        <w:spacing w:after="0" w:line="117" w:lineRule="exact"/>
        <w:rPr>
          <w:sz w:val="20"/>
          <w:szCs w:val="20"/>
          <w:color w:val="auto"/>
        </w:rPr>
      </w:pPr>
    </w:p>
    <w:p>
      <w:pPr>
        <w:spacing w:after="0"/>
        <w:rPr>
          <w:rFonts w:ascii="Arial" w:cs="Arial" w:eastAsia="Arial" w:hAnsi="Arial"/>
          <w:sz w:val="17"/>
          <w:szCs w:val="17"/>
          <w:u w:val="single" w:color="auto"/>
          <w:color w:val="0000FF"/>
        </w:rPr>
      </w:pPr>
      <w:hyperlink w:anchor="page16">
        <w:r>
          <w:rPr>
            <w:rFonts w:ascii="Arial" w:cs="Arial" w:eastAsia="Arial" w:hAnsi="Arial"/>
            <w:sz w:val="17"/>
            <w:szCs w:val="17"/>
            <w:u w:val="single" w:color="auto"/>
            <w:color w:val="0000FF"/>
          </w:rPr>
          <w:t>Item 1A.</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47">
        <w:r>
          <w:rPr>
            <w:rFonts w:ascii="Arial" w:cs="Arial" w:eastAsia="Arial" w:hAnsi="Arial"/>
            <w:sz w:val="17"/>
            <w:szCs w:val="17"/>
            <w:u w:val="single" w:color="auto"/>
            <w:color w:val="0000FF"/>
          </w:rPr>
          <w:t>Item 1B.</w:t>
        </w:r>
      </w:hyperlink>
    </w:p>
    <w:p>
      <w:pPr>
        <w:spacing w:after="0" w:line="129" w:lineRule="exact"/>
        <w:rPr>
          <w:sz w:val="20"/>
          <w:szCs w:val="20"/>
          <w:color w:val="auto"/>
        </w:rPr>
      </w:pP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2.</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3.</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4.</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5.</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6.</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7.</w:t>
        </w:r>
      </w:hyperlink>
    </w:p>
    <w:p>
      <w:pPr>
        <w:spacing w:after="0" w:line="117" w:lineRule="exact"/>
        <w:rPr>
          <w:sz w:val="20"/>
          <w:szCs w:val="20"/>
          <w:color w:val="auto"/>
        </w:rPr>
      </w:pPr>
    </w:p>
    <w:p>
      <w:pPr>
        <w:spacing w:after="0"/>
        <w:rPr>
          <w:rFonts w:ascii="Arial" w:cs="Arial" w:eastAsia="Arial" w:hAnsi="Arial"/>
          <w:sz w:val="17"/>
          <w:szCs w:val="17"/>
          <w:u w:val="single" w:color="auto"/>
          <w:color w:val="0000FF"/>
        </w:rPr>
      </w:pPr>
      <w:hyperlink w:anchor="page64">
        <w:r>
          <w:rPr>
            <w:rFonts w:ascii="Arial" w:cs="Arial" w:eastAsia="Arial" w:hAnsi="Arial"/>
            <w:sz w:val="17"/>
            <w:szCs w:val="17"/>
            <w:u w:val="single" w:color="auto"/>
            <w:color w:val="0000FF"/>
          </w:rPr>
          <w:t>Item 7A.</w:t>
        </w:r>
      </w:hyperlink>
    </w:p>
    <w:p>
      <w:pPr>
        <w:spacing w:after="0" w:line="129" w:lineRule="exact"/>
        <w:rPr>
          <w:sz w:val="20"/>
          <w:szCs w:val="20"/>
          <w:color w:val="auto"/>
        </w:rPr>
      </w:pPr>
    </w:p>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8.</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Item 9.</w:t>
        </w:r>
      </w:hyperlink>
    </w:p>
    <w:p>
      <w:pPr>
        <w:spacing w:after="0" w:line="117" w:lineRule="exact"/>
        <w:rPr>
          <w:sz w:val="20"/>
          <w:szCs w:val="20"/>
          <w:color w:val="auto"/>
        </w:rPr>
      </w:pPr>
    </w:p>
    <w:p>
      <w:pPr>
        <w:spacing w:after="0"/>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Item 9A.</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9B.</w:t>
        </w:r>
      </w:hyperlink>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10.</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11.</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12.</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13.</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14.</w:t>
        </w:r>
      </w:hyperlink>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Item 15.</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hyperlink w:anchor="page113">
        <w:r>
          <w:rPr>
            <w:rFonts w:ascii="Arial" w:cs="Arial" w:eastAsia="Arial" w:hAnsi="Arial"/>
            <w:sz w:val="17"/>
            <w:szCs w:val="17"/>
            <w:u w:val="single" w:color="auto"/>
            <w:color w:val="0000FF"/>
          </w:rPr>
          <w:t>Item 16.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20" w:type="dxa"/>
            <w:vAlign w:val="bottom"/>
            <w:gridSpan w:val="16"/>
          </w:tcPr>
          <w:p>
            <w:pPr>
              <w:jc w:val="center"/>
              <w:ind w:right="4160"/>
              <w:spacing w:after="0"/>
              <w:rPr>
                <w:sz w:val="20"/>
                <w:szCs w:val="20"/>
                <w:color w:val="auto"/>
              </w:rPr>
            </w:pPr>
            <w:r>
              <w:rPr>
                <w:rFonts w:ascii="Arial" w:cs="Arial" w:eastAsia="Arial" w:hAnsi="Arial"/>
                <w:sz w:val="18"/>
                <w:szCs w:val="18"/>
                <w:b w:val="1"/>
                <w:bCs w:val="1"/>
                <w:color w:val="auto"/>
                <w:w w:val="93"/>
              </w:rPr>
              <w:t>MongoDB, Inc.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20" w:type="dxa"/>
            <w:vAlign w:val="bottom"/>
            <w:gridSpan w:val="16"/>
          </w:tcPr>
          <w:p>
            <w:pPr>
              <w:jc w:val="center"/>
              <w:ind w:right="4160"/>
              <w:spacing w:after="0"/>
              <w:rPr>
                <w:sz w:val="20"/>
                <w:szCs w:val="20"/>
                <w:color w:val="auto"/>
              </w:rPr>
            </w:pPr>
            <w:r>
              <w:rPr>
                <w:rFonts w:ascii="Arial" w:cs="Arial" w:eastAsia="Arial" w:hAnsi="Arial"/>
                <w:sz w:val="18"/>
                <w:szCs w:val="18"/>
                <w:b w:val="1"/>
                <w:bCs w:val="1"/>
                <w:color w:val="auto"/>
                <w:w w:val="96"/>
              </w:rPr>
              <w:t>Form 10-K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00" w:type="dxa"/>
            <w:vAlign w:val="bottom"/>
            <w:gridSpan w:val="19"/>
          </w:tcPr>
          <w:p>
            <w:pPr>
              <w:jc w:val="center"/>
              <w:ind w:right="2900"/>
              <w:spacing w:after="0"/>
              <w:rPr>
                <w:sz w:val="20"/>
                <w:szCs w:val="20"/>
                <w:color w:val="auto"/>
              </w:rPr>
            </w:pPr>
            <w:r>
              <w:rPr>
                <w:rFonts w:ascii="Arial" w:cs="Arial" w:eastAsia="Arial" w:hAnsi="Arial"/>
                <w:sz w:val="18"/>
                <w:szCs w:val="18"/>
                <w:b w:val="1"/>
                <w:bCs w:val="1"/>
                <w:color w:val="auto"/>
                <w:w w:val="90"/>
              </w:rPr>
              <w:t>For the Fiscal Year Ended January 31, 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8"/>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gridSpan w:val="17"/>
          </w:tcPr>
          <w:p>
            <w:pPr>
              <w:jc w:val="center"/>
              <w:ind w:right="3760"/>
              <w:spacing w:after="0"/>
              <w:rPr>
                <w:sz w:val="20"/>
                <w:szCs w:val="20"/>
                <w:color w:val="auto"/>
              </w:rPr>
            </w:pPr>
            <w:r>
              <w:rPr>
                <w:rFonts w:ascii="Arial" w:cs="Arial" w:eastAsia="Arial" w:hAnsi="Arial"/>
                <w:sz w:val="22"/>
                <w:szCs w:val="22"/>
                <w:b w:val="1"/>
                <w:bCs w:val="1"/>
                <w:color w:val="auto"/>
                <w:w w:val="97"/>
              </w:rPr>
              <w:t>TABLE OF CONTENTS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75"/>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3"/>
          </w:tcPr>
          <w:p>
            <w:pPr>
              <w:jc w:val="center"/>
              <w:ind w:right="4820"/>
              <w:spacing w:after="0" w:line="176" w:lineRule="exact"/>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640" w:type="dxa"/>
            <w:vAlign w:val="bottom"/>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3260" w:type="dxa"/>
            <w:vAlign w:val="bottom"/>
            <w:gridSpan w:val="15"/>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860" w:type="dxa"/>
            <w:vAlign w:val="bottom"/>
            <w:gridSpan w:val="9"/>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340" w:type="dxa"/>
            <w:vAlign w:val="bottom"/>
            <w:gridSpan w:val="2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50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20" w:type="dxa"/>
            <w:vAlign w:val="bottom"/>
          </w:tcPr>
          <w:p>
            <w:pPr>
              <w:spacing w:after="0"/>
              <w:rPr>
                <w:sz w:val="24"/>
                <w:szCs w:val="24"/>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340" w:type="dxa"/>
            <w:vAlign w:val="bottom"/>
            <w:gridSpan w:val="2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Unresolved Staff Comments</w:t>
              </w:r>
            </w:hyperlink>
          </w:p>
        </w:tc>
        <w:tc>
          <w:tcPr>
            <w:tcW w:w="50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04"/>
        </w:trPr>
        <w:tc>
          <w:tcPr>
            <w:tcW w:w="2040" w:type="dxa"/>
            <w:vAlign w:val="bottom"/>
            <w:tcBorders>
              <w:top w:val="single" w:sz="8" w:color="0000FF"/>
            </w:tcBorders>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Properties</w:t>
              </w:r>
            </w:hyperlink>
          </w:p>
        </w:tc>
        <w:tc>
          <w:tcPr>
            <w:tcW w:w="7300" w:type="dxa"/>
            <w:vAlign w:val="bottom"/>
            <w:gridSpan w:val="19"/>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8000" w:type="dxa"/>
            <w:vAlign w:val="bottom"/>
            <w:gridSpan w:val="23"/>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9340" w:type="dxa"/>
            <w:vAlign w:val="bottom"/>
            <w:gridSpan w:val="2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50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264"/>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w:t>
              </w:r>
            </w:hyperlink>
          </w:p>
        </w:tc>
        <w:tc>
          <w:tcPr>
            <w:tcW w:w="4820" w:type="dxa"/>
            <w:vAlign w:val="bottom"/>
            <w:gridSpan w:val="8"/>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344"/>
        </w:trPr>
        <w:tc>
          <w:tcPr>
            <w:tcW w:w="9340" w:type="dxa"/>
            <w:vAlign w:val="bottom"/>
            <w:gridSpan w:val="2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Market for Registrant’s Common Equity, Related Stockholder Matters and Issuer Purchases of Equity Securities</w:t>
              </w:r>
            </w:hyperlink>
          </w:p>
        </w:tc>
        <w:tc>
          <w:tcPr>
            <w:tcW w:w="50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24"/>
                <w:szCs w:val="24"/>
                <w:color w:val="auto"/>
              </w:rPr>
            </w:pPr>
          </w:p>
        </w:tc>
      </w:tr>
      <w:tr>
        <w:trPr>
          <w:trHeight w:val="304"/>
        </w:trPr>
        <w:tc>
          <w:tcPr>
            <w:tcW w:w="8060" w:type="dxa"/>
            <w:vAlign w:val="bottom"/>
            <w:tcBorders>
              <w:top w:val="single" w:sz="8" w:color="0000FF"/>
            </w:tcBorders>
            <w:gridSpan w:val="2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Selected Financial Data</w:t>
              </w:r>
            </w:hyperlink>
          </w:p>
        </w:tc>
        <w:tc>
          <w:tcPr>
            <w:tcW w:w="12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46</w:t>
              </w:r>
            </w:hyperlink>
          </w:p>
        </w:tc>
        <w:tc>
          <w:tcPr>
            <w:tcW w:w="20" w:type="dxa"/>
            <w:vAlign w:val="bottom"/>
          </w:tcPr>
          <w:p>
            <w:pPr>
              <w:spacing w:after="0"/>
              <w:rPr>
                <w:sz w:val="24"/>
                <w:szCs w:val="24"/>
                <w:color w:val="auto"/>
              </w:rPr>
            </w:pP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47</w:t>
              </w:r>
            </w:hyperlink>
          </w:p>
        </w:tc>
        <w:tc>
          <w:tcPr>
            <w:tcW w:w="20" w:type="dxa"/>
            <w:vAlign w:val="bottom"/>
          </w:tcPr>
          <w:p>
            <w:pPr>
              <w:spacing w:after="0"/>
              <w:rPr>
                <w:sz w:val="24"/>
                <w:szCs w:val="24"/>
                <w:color w:val="auto"/>
              </w:rPr>
            </w:pPr>
          </w:p>
        </w:tc>
      </w:tr>
      <w:tr>
        <w:trPr>
          <w:trHeight w:val="304"/>
        </w:trPr>
        <w:tc>
          <w:tcPr>
            <w:tcW w:w="436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Quantitative and Qualitative Disclosures About Market Risk</w:t>
              </w:r>
            </w:hyperlink>
          </w:p>
        </w:tc>
        <w:tc>
          <w:tcPr>
            <w:tcW w:w="4980" w:type="dxa"/>
            <w:vAlign w:val="bottom"/>
            <w:gridSpan w:val="10"/>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61</w:t>
              </w:r>
            </w:hyperlink>
          </w:p>
        </w:tc>
        <w:tc>
          <w:tcPr>
            <w:tcW w:w="20" w:type="dxa"/>
            <w:vAlign w:val="bottom"/>
          </w:tcPr>
          <w:p>
            <w:pPr>
              <w:spacing w:after="0"/>
              <w:rPr>
                <w:sz w:val="24"/>
                <w:szCs w:val="24"/>
                <w:color w:val="auto"/>
              </w:rPr>
            </w:pPr>
          </w:p>
        </w:tc>
      </w:tr>
      <w:tr>
        <w:trPr>
          <w:trHeight w:val="304"/>
        </w:trPr>
        <w:tc>
          <w:tcPr>
            <w:tcW w:w="9340" w:type="dxa"/>
            <w:vAlign w:val="bottom"/>
            <w:gridSpan w:val="2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Financial Statements and Supplementary Data</w:t>
              </w:r>
            </w:hyperlink>
          </w:p>
        </w:tc>
        <w:tc>
          <w:tcPr>
            <w:tcW w:w="500" w:type="dxa"/>
            <w:vAlign w:val="bottom"/>
            <w:gridSpan w:val="4"/>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20" w:type="dxa"/>
            <w:vAlign w:val="bottom"/>
          </w:tcPr>
          <w:p>
            <w:pPr>
              <w:spacing w:after="0"/>
              <w:rPr>
                <w:sz w:val="24"/>
                <w:szCs w:val="24"/>
                <w:color w:val="auto"/>
              </w:rPr>
            </w:pP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80" w:type="dxa"/>
            <w:vAlign w:val="bottom"/>
            <w:gridSpan w:val="25"/>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Changes in and Disagreements with Accountants on Accounting and Financial Disclosure</w:t>
              </w:r>
            </w:hyperlink>
          </w:p>
        </w:tc>
        <w:tc>
          <w:tcPr>
            <w:tcW w:w="2860" w:type="dxa"/>
            <w:vAlign w:val="bottom"/>
            <w:gridSpan w:val="3"/>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104</w:t>
              </w:r>
            </w:hyperlink>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80" w:type="dxa"/>
            <w:vAlign w:val="bottom"/>
            <w:gridSpan w:val="2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Controls and Procedures</w:t>
              </w:r>
            </w:hyperlink>
          </w:p>
        </w:tc>
        <w:tc>
          <w:tcPr>
            <w:tcW w:w="2860" w:type="dxa"/>
            <w:vAlign w:val="bottom"/>
            <w:gridSpan w:val="3"/>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104</w:t>
              </w:r>
            </w:hyperlink>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760" w:type="dxa"/>
            <w:vAlign w:val="bottom"/>
            <w:gridSpan w:val="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Other Information</w:t>
              </w:r>
            </w:hyperlink>
          </w:p>
        </w:tc>
        <w:tc>
          <w:tcPr>
            <w:tcW w:w="7580" w:type="dxa"/>
            <w:vAlign w:val="bottom"/>
            <w:gridSpan w:val="20"/>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105</w:t>
              </w:r>
            </w:hyperlink>
          </w:p>
        </w:tc>
      </w:tr>
      <w:tr>
        <w:trPr>
          <w:trHeight w:val="263"/>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Borders>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PART III</w:t>
              </w:r>
            </w:hyperlink>
          </w:p>
        </w:tc>
        <w:tc>
          <w:tcPr>
            <w:tcW w:w="4780" w:type="dxa"/>
            <w:vAlign w:val="bottom"/>
            <w:gridSpan w:val="6"/>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345"/>
        </w:trPr>
        <w:tc>
          <w:tcPr>
            <w:tcW w:w="9340" w:type="dxa"/>
            <w:vAlign w:val="bottom"/>
            <w:gridSpan w:val="2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Directors, Executive Officers and Corporate Governance</w:t>
              </w:r>
            </w:hyperlink>
          </w:p>
        </w:tc>
        <w:tc>
          <w:tcPr>
            <w:tcW w:w="5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760" w:type="dxa"/>
            <w:vAlign w:val="bottom"/>
            <w:gridSpan w:val="8"/>
          </w:tcPr>
          <w:p>
            <w:pPr>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Executive Compensation</w:t>
              </w:r>
            </w:hyperlink>
          </w:p>
        </w:tc>
        <w:tc>
          <w:tcPr>
            <w:tcW w:w="2320" w:type="dxa"/>
            <w:vAlign w:val="bottom"/>
            <w:gridSpan w:val="9"/>
          </w:tcPr>
          <w:p>
            <w:pPr>
              <w:spacing w:after="0"/>
              <w:rPr>
                <w:sz w:val="24"/>
                <w:szCs w:val="24"/>
                <w:color w:val="auto"/>
              </w:rPr>
            </w:pPr>
          </w:p>
        </w:tc>
        <w:tc>
          <w:tcPr>
            <w:tcW w:w="5260" w:type="dxa"/>
            <w:vAlign w:val="bottom"/>
            <w:gridSpan w:val="11"/>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340" w:type="dxa"/>
            <w:vAlign w:val="bottom"/>
            <w:gridSpan w:val="2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Security Ownership of Certain Beneficial Owners and Management and Related Stockholder Matters</w:t>
              </w:r>
            </w:hyperlink>
          </w:p>
        </w:tc>
        <w:tc>
          <w:tcPr>
            <w:tcW w:w="5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80" w:type="dxa"/>
            <w:vAlign w:val="bottom"/>
            <w:gridSpan w:val="26"/>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Certain Relationships and Related Transactions and Director Independence</w:t>
              </w:r>
            </w:hyperlink>
          </w:p>
        </w:tc>
        <w:tc>
          <w:tcPr>
            <w:tcW w:w="2060" w:type="dxa"/>
            <w:vAlign w:val="bottom"/>
            <w:gridSpan w:val="2"/>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0" w:type="dxa"/>
            <w:vAlign w:val="bottom"/>
            <w:gridSpan w:val="23"/>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Principal Accounting Fees and Services</w:t>
              </w:r>
            </w:hyperlink>
          </w:p>
        </w:tc>
        <w:tc>
          <w:tcPr>
            <w:tcW w:w="3940" w:type="dxa"/>
            <w:vAlign w:val="bottom"/>
            <w:gridSpan w:val="5"/>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63"/>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00" w:type="dxa"/>
            <w:vAlign w:val="bottom"/>
            <w:gridSpan w:val="14"/>
          </w:tcPr>
          <w:p>
            <w:pPr>
              <w:jc w:val="center"/>
              <w:ind w:right="4800"/>
              <w:spacing w:after="0"/>
              <w:rPr>
                <w:rFonts w:ascii="Arial" w:cs="Arial" w:eastAsia="Arial" w:hAnsi="Arial"/>
                <w:sz w:val="18"/>
                <w:szCs w:val="18"/>
                <w:b w:val="1"/>
                <w:bCs w:val="1"/>
                <w:color w:val="0000FF"/>
                <w:w w:val="98"/>
              </w:rPr>
            </w:pPr>
            <w:hyperlink w:anchor="page109">
              <w:r>
                <w:rPr>
                  <w:rFonts w:ascii="Arial" w:cs="Arial" w:eastAsia="Arial" w:hAnsi="Arial"/>
                  <w:sz w:val="18"/>
                  <w:szCs w:val="18"/>
                  <w:b w:val="1"/>
                  <w:bCs w:val="1"/>
                  <w:color w:val="0000FF"/>
                  <w:w w:val="98"/>
                </w:rPr>
                <w:t>PART IV</w:t>
              </w:r>
            </w:hyperlink>
          </w:p>
        </w:tc>
        <w:tc>
          <w:tcPr>
            <w:tcW w:w="2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345"/>
        </w:trPr>
        <w:tc>
          <w:tcPr>
            <w:tcW w:w="2900" w:type="dxa"/>
            <w:vAlign w:val="bottom"/>
            <w:gridSpan w:val="11"/>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Exhibits, Financial Statement Schedules</w:t>
              </w:r>
            </w:hyperlink>
          </w:p>
        </w:tc>
        <w:tc>
          <w:tcPr>
            <w:tcW w:w="940" w:type="dxa"/>
            <w:vAlign w:val="bottom"/>
            <w:gridSpan w:val="3"/>
          </w:tcPr>
          <w:p>
            <w:pPr>
              <w:spacing w:after="0"/>
              <w:rPr>
                <w:sz w:val="24"/>
                <w:szCs w:val="24"/>
                <w:color w:val="auto"/>
              </w:rPr>
            </w:pPr>
          </w:p>
        </w:tc>
        <w:tc>
          <w:tcPr>
            <w:tcW w:w="700" w:type="dxa"/>
            <w:vAlign w:val="bottom"/>
            <w:tcBorders>
              <w:top w:val="single" w:sz="8" w:color="0000FF"/>
            </w:tcBorders>
            <w:gridSpan w:val="7"/>
          </w:tcPr>
          <w:p>
            <w:pPr>
              <w:spacing w:after="0"/>
              <w:rPr>
                <w:sz w:val="24"/>
                <w:szCs w:val="24"/>
                <w:color w:val="auto"/>
              </w:rPr>
            </w:pPr>
          </w:p>
        </w:tc>
        <w:tc>
          <w:tcPr>
            <w:tcW w:w="4800" w:type="dxa"/>
            <w:vAlign w:val="bottom"/>
            <w:gridSpan w:val="7"/>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107</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40" w:type="dxa"/>
            <w:vAlign w:val="bottom"/>
            <w:gridSpan w:val="1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900" w:type="dxa"/>
            <w:vAlign w:val="bottom"/>
            <w:gridSpan w:val="11"/>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Form 10-K Summary</w:t>
              </w:r>
            </w:hyperlink>
          </w:p>
        </w:tc>
        <w:tc>
          <w:tcPr>
            <w:tcW w:w="6440" w:type="dxa"/>
            <w:vAlign w:val="bottom"/>
            <w:gridSpan w:val="17"/>
          </w:tcPr>
          <w:p>
            <w:pPr>
              <w:spacing w:after="0"/>
              <w:rPr>
                <w:sz w:val="22"/>
                <w:szCs w:val="22"/>
                <w:color w:val="auto"/>
              </w:rPr>
            </w:pPr>
          </w:p>
        </w:tc>
        <w:tc>
          <w:tcPr>
            <w:tcW w:w="520" w:type="dxa"/>
            <w:vAlign w:val="bottom"/>
            <w:gridSpan w:val="5"/>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110</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40" w:space="720"/>
            <w:col w:w="9860"/>
          </w:cols>
          <w:pgMar w:left="340" w:top="1255"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future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32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17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1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4"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22" w:lineRule="exact"/>
        <w:rPr>
          <w:sz w:val="20"/>
          <w:szCs w:val="20"/>
          <w:color w:val="auto"/>
        </w:rPr>
      </w:pPr>
    </w:p>
    <w:p>
      <w:pPr>
        <w:jc w:val="both"/>
        <w:ind w:right="280" w:firstLine="486"/>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of all sizes and industries and across geographies have significantly increased investment in developers with the strategic goal of improving the organization’s pace of innovation and competitive position.</w:t>
      </w:r>
    </w:p>
    <w:p>
      <w:pPr>
        <w:spacing w:after="0" w:line="138"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A database is at the heart of every software application.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w:t>
      </w:r>
    </w:p>
    <w:p>
      <w:pPr>
        <w:spacing w:after="0" w:line="27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is a highly strategic decision that directly affects developer productivity, application performance and organizational competitiveness.</w:t>
      </w:r>
    </w:p>
    <w:p>
      <w:pPr>
        <w:spacing w:after="0" w:line="17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Legacy 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When we refer to a modern database, we are referring to a database that was originally commercialized after the year 2000 and that is designed for globally distributed deployments.</w:t>
      </w:r>
    </w:p>
    <w:p>
      <w:pPr>
        <w:spacing w:after="0" w:line="11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unique platform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the pace of innovation within an organization. Customers can run our platform in any environment, depending on their operational requirements: fully managed as a service or self-managed in the cloud, on-premise or in a hybrid environment.</w:t>
      </w:r>
    </w:p>
    <w:p>
      <w:pPr>
        <w:spacing w:after="0" w:line="138"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The database market is one of the largest in the software industry. According to IDC, the worldwide database software market, which it refers to as the data management software market, was forecast to be $68 billion in 2020 growing to approximately $106 billion in 2024, representing a 12%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 free-to-download version of our database that is analogous to a “freemium” offering. This allows developers to evaluate our platform in a frictionless manner, which we believe has contributed to our platform's popularity among developers and driven enterprise adoption of our subscription offering. Prior to October 2018, we offered Community Server under the GNU Affero General Public License version 3 (the “AGPL”). In October 2018, we issued a new software license, the Server Side Public License (the “SSPL”), for all versions of Community Server released after that date. Both the SSPL and the AGPL grant licensees broad freedom to view, use, copy, modify and redistribute the source code of Community Server provided certain conditions are met. The SSPL is based on the AGPL but includes an explicit condition that any organization using Community Server to offer MongoDB as a third-party service must open source the software that it uses to offer such service.</w:t>
      </w:r>
    </w:p>
    <w:p>
      <w:pPr>
        <w:spacing w:after="0" w:line="13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economic attractiveness of our subscription-based model is driven by customer renewals and increasing existing customer subscriptions over time, referred to as land-and-expand. 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differentiators of our platform include: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Our Platform for Developers.</w:t>
      </w:r>
    </w:p>
    <w:p>
      <w:pPr>
        <w:spacing w:after="0" w:line="17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w:t>
      </w: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database structure. We also develop and maintain drivers in all leading programming languages, allowing developers to interact with our platform using the programming language of their choice, further increasing developer productivity. According to the Stack Overflow Annual Developer Survey, in 2017, 2018, 2019 and 2020, more developers wanted to work with MongoDB than any other database.</w:t>
      </w:r>
    </w:p>
    <w:p>
      <w:pPr>
        <w:spacing w:after="0" w:line="130"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Customers of MongoDB Atlas, our multi-cloud offering, enjoy the benefits of consuming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operating system configuration, upgrades and more. As a result, MongoDB Atlas unlocks higher levels of developer productivity, allowing organizations to innovate more quickly to better serve their own customers and to capitalize on new business opportunities.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a Modern Platform for Applications.</w:t>
      </w:r>
    </w:p>
    <w:p>
      <w:pPr>
        <w:spacing w:after="0" w:line="17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Our founders were frustrated by the challenges of working with legacy database offerings. Our platform was built to address these challenges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 quarter of our new business related to MongoDB Enterprise Advanced, our proprietary commercial database offering, resulted from applications that were migrated from legacy relational databases. Core features and capabilities of our platform include:</w:t>
      </w:r>
    </w:p>
    <w:p>
      <w:pPr>
        <w:spacing w:after="0" w:line="103" w:lineRule="exact"/>
        <w:rPr>
          <w:sz w:val="20"/>
          <w:szCs w:val="20"/>
          <w:color w:val="auto"/>
        </w:rPr>
      </w:pPr>
    </w:p>
    <w:p>
      <w:pPr>
        <w:ind w:left="660" w:right="4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 leverage modern</w:t>
      </w:r>
      <w:r>
        <w:rPr>
          <w:rFonts w:ascii="Arial" w:cs="Arial" w:eastAsia="Arial" w:hAnsi="Arial"/>
          <w:sz w:val="18"/>
          <w:szCs w:val="18"/>
          <w:b w:val="1"/>
          <w:bCs w:val="1"/>
          <w:color w:val="auto"/>
        </w:rPr>
        <w:t xml:space="preserve"> </w:t>
      </w:r>
      <w:r>
        <w:rPr>
          <w:rFonts w:ascii="Arial" w:cs="Arial" w:eastAsia="Arial" w:hAnsi="Arial"/>
          <w:sz w:val="18"/>
          <w:szCs w:val="18"/>
          <w:color w:val="auto"/>
        </w:rPr>
        <w:t>server architectures, delivering millions of operations per second.</w:t>
      </w:r>
    </w:p>
    <w:p>
      <w:pPr>
        <w:spacing w:after="0" w:line="107" w:lineRule="exact"/>
        <w:rPr>
          <w:rFonts w:ascii="Arial" w:cs="Arial" w:eastAsia="Arial" w:hAnsi="Arial"/>
          <w:sz w:val="18"/>
          <w:szCs w:val="18"/>
          <w:color w:val="auto"/>
        </w:rPr>
      </w:pPr>
    </w:p>
    <w:p>
      <w:pPr>
        <w:ind w:left="660" w:right="440" w:hanging="328"/>
        <w:spacing w:after="0" w:line="31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distributed environment. It is easy to add capacity to our platform in a modular, predictable and cost-efficient manner.</w:t>
      </w:r>
    </w:p>
    <w:p>
      <w:pPr>
        <w:spacing w:after="0" w:line="85" w:lineRule="exact"/>
        <w:rPr>
          <w:rFonts w:ascii="Arial" w:cs="Arial" w:eastAsia="Arial" w:hAnsi="Arial"/>
          <w:sz w:val="17"/>
          <w:szCs w:val="17"/>
          <w:color w:val="auto"/>
        </w:rPr>
      </w:pPr>
    </w:p>
    <w:p>
      <w:pPr>
        <w:ind w:left="660" w:right="2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Flexibility and Control. </w:t>
      </w:r>
      <w:r>
        <w:rPr>
          <w:rFonts w:ascii="Arial" w:cs="Arial" w:eastAsia="Arial" w:hAnsi="Arial"/>
          <w:sz w:val="18"/>
          <w:szCs w:val="18"/>
          <w:color w:val="auto"/>
        </w:rPr>
        <w:t>MongoDB's intelligent distributed systems architecture enables users to easily place data where their applications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users need it. MongoDB can be run within and across geographically distributed data centers and cloud regions, providing levels of scalability, workload isolation and data locality to meet today's modern application requirements.</w:t>
      </w:r>
    </w:p>
    <w:p>
      <w:pPr>
        <w:spacing w:after="0" w:line="121" w:lineRule="exact"/>
        <w:rPr>
          <w:rFonts w:ascii="Arial" w:cs="Arial" w:eastAsia="Arial" w:hAnsi="Arial"/>
          <w:sz w:val="18"/>
          <w:szCs w:val="18"/>
          <w:color w:val="auto"/>
        </w:rPr>
      </w:pPr>
    </w:p>
    <w:p>
      <w:pPr>
        <w:ind w:left="660" w:right="12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 operate in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distributed environment for “always-on” applications.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Allow Customers to Run Any Application Anywhere.</w:t>
      </w:r>
    </w:p>
    <w:p>
      <w:pPr>
        <w:spacing w:after="0" w:line="17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a general purpose database,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 or in a hybrid environment. Customers can deploy our platform in any of the major public cloud alternatives, providing them with increased flexibility and cost-optimization opportunities by preventing public cloud vendor lock-in. Customers have a consistent experience regardless of infrastructure, providing optionality, flexibility and efficiency.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167" w:lineRule="exact"/>
        <w:rPr>
          <w:sz w:val="20"/>
          <w:szCs w:val="20"/>
          <w:color w:val="auto"/>
        </w:rPr>
      </w:pPr>
    </w:p>
    <w:p>
      <w:pPr>
        <w:ind w:left="660" w:hanging="328"/>
        <w:spacing w:after="0" w:line="28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Maximize Competitive Advantage through Software and Data. </w:t>
      </w:r>
      <w:r>
        <w:rPr>
          <w:rFonts w:ascii="Arial" w:cs="Arial" w:eastAsia="Arial" w:hAnsi="Arial"/>
          <w:sz w:val="17"/>
          <w:szCs w:val="17"/>
          <w:color w:val="auto"/>
        </w:rPr>
        <w:t>Our platform is built to support modern applications, allowing organizations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10" w:lineRule="exact"/>
        <w:rPr>
          <w:rFonts w:ascii="Arial" w:cs="Arial" w:eastAsia="Arial" w:hAnsi="Arial"/>
          <w:sz w:val="17"/>
          <w:szCs w:val="17"/>
          <w:color w:val="auto"/>
        </w:rPr>
      </w:pPr>
    </w:p>
    <w:p>
      <w:pPr>
        <w:ind w:left="660" w:right="34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Increase Developer Productivity. </w:t>
      </w:r>
      <w:r>
        <w:rPr>
          <w:rFonts w:ascii="Arial" w:cs="Arial" w:eastAsia="Arial" w:hAnsi="Arial"/>
          <w:sz w:val="18"/>
          <w:szCs w:val="18"/>
          <w:color w:val="auto"/>
        </w:rPr>
        <w:t>By empowering developers to build and modernize applications quickly and cost-efficiently, we enable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developers’ agility, accelerating the time-to-revenue for new products. Our platform’s document-based architecture and intuitive drivers make developing and iterating on applications very efficient on</w:t>
      </w:r>
    </w:p>
    <w:p>
      <w:pPr>
        <w:spacing w:after="0" w:line="27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color w:val="auto"/>
        </w:rPr>
        <w:t>our platform, increasing developer productivity. MongoDB Atlas allows developers to focus on how their applications use the database, application performance and end-user experience, rather than the database infrastructure management including provisioning, operating system configuration, upgrades, monitoring and backups.</w:t>
      </w:r>
    </w:p>
    <w:p>
      <w:pPr>
        <w:spacing w:after="0" w:line="126" w:lineRule="exact"/>
        <w:rPr>
          <w:sz w:val="20"/>
          <w:szCs w:val="20"/>
          <w:color w:val="auto"/>
        </w:rPr>
      </w:pPr>
    </w:p>
    <w:p>
      <w:pPr>
        <w:jc w:val="both"/>
        <w:ind w:left="660" w:right="24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121" w:lineRule="exact"/>
        <w:rPr>
          <w:rFonts w:ascii="Arial" w:cs="Arial" w:eastAsia="Arial" w:hAnsi="Arial"/>
          <w:sz w:val="18"/>
          <w:szCs w:val="18"/>
          <w:color w:val="auto"/>
        </w:rPr>
      </w:pPr>
    </w:p>
    <w:p>
      <w:pPr>
        <w:ind w:left="660" w:right="160" w:hanging="328"/>
        <w:spacing w:after="0" w:line="298"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 By allowing customers to remove themselves from the complexity of managing the database and related underlying infrastructure, MongoDB Atlas can further reduce total cost of ownership.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167" w:lineRule="exact"/>
        <w:rPr>
          <w:sz w:val="20"/>
          <w:szCs w:val="20"/>
          <w:color w:val="auto"/>
        </w:rPr>
      </w:pPr>
    </w:p>
    <w:p>
      <w:pPr>
        <w:ind w:left="660" w:hanging="328"/>
        <w:spacing w:after="0" w:line="273"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Acquiring New Customers. </w:t>
      </w:r>
      <w:r>
        <w:rPr>
          <w:rFonts w:ascii="Arial" w:cs="Arial" w:eastAsia="Arial" w:hAnsi="Arial"/>
          <w:sz w:val="17"/>
          <w:szCs w:val="17"/>
          <w:color w:val="auto"/>
        </w:rPr>
        <w:t>We believe there is a substantial opportunity to continue to grow our customer base. We benefit from word-of-mouth</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and frictionless experimentation by the developer community through our Community Server and MongoDB Atlas free tier offerings.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17" w:lineRule="exact"/>
        <w:rPr>
          <w:rFonts w:ascii="Arial" w:cs="Arial" w:eastAsia="Arial" w:hAnsi="Arial"/>
          <w:sz w:val="17"/>
          <w:szCs w:val="17"/>
          <w:color w:val="auto"/>
        </w:rPr>
      </w:pPr>
    </w:p>
    <w:p>
      <w:pPr>
        <w:ind w:left="660" w:right="60" w:hanging="328"/>
        <w:spacing w:after="0" w:line="270"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Expanding Sales Within Our Customer Base. </w:t>
      </w:r>
      <w:r>
        <w:rPr>
          <w:rFonts w:ascii="Arial" w:cs="Arial" w:eastAsia="Arial" w:hAnsi="Arial"/>
          <w:sz w:val="17"/>
          <w:szCs w:val="17"/>
          <w:color w:val="auto"/>
        </w:rPr>
        <w:t>We seek to grow our sales with our customers in several ways. As an application grows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additional capacity, our customers increase their spending on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consistently been over 120%, demonstrates our ability to expand within existing customers. See Part II, Item 7, Management’s Discussion and Analysis of Financial Condition and Results of Operations of this Form 10-K for a description of ARR and a discussion of our net ARR expansion rate.</w:t>
      </w:r>
    </w:p>
    <w:p>
      <w:pPr>
        <w:spacing w:after="0" w:line="122" w:lineRule="exact"/>
        <w:rPr>
          <w:rFonts w:ascii="Arial" w:cs="Arial" w:eastAsia="Arial" w:hAnsi="Arial"/>
          <w:sz w:val="17"/>
          <w:szCs w:val="17"/>
          <w:color w:val="auto"/>
        </w:rPr>
      </w:pPr>
    </w:p>
    <w:p>
      <w:pPr>
        <w:ind w:left="660" w:right="20" w:hanging="328"/>
        <w:spacing w:after="0" w:line="270"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Driving Usage of MongoDB Atlas. </w:t>
      </w:r>
      <w:r>
        <w:rPr>
          <w:rFonts w:ascii="Arial" w:cs="Arial" w:eastAsia="Arial" w:hAnsi="Arial"/>
          <w:sz w:val="17"/>
          <w:szCs w:val="17"/>
          <w:color w:val="auto"/>
        </w:rPr>
        <w:t>MongoDB Atlas, our hosted multi-cloud offering, is an important part of our run-anywhere strategy. With</w:t>
      </w:r>
      <w:r>
        <w:rPr>
          <w:rFonts w:ascii="Arial" w:cs="Arial" w:eastAsia="Arial" w:hAnsi="Arial"/>
          <w:sz w:val="17"/>
          <w:szCs w:val="17"/>
          <w:b w:val="1"/>
          <w:bCs w:val="1"/>
          <w:color w:val="auto"/>
        </w:rPr>
        <w:t xml:space="preserve"> </w:t>
      </w:r>
      <w:r>
        <w:rPr>
          <w:rFonts w:ascii="Arial" w:cs="Arial" w:eastAsia="Arial" w:hAnsi="Arial"/>
          <w:sz w:val="17"/>
          <w:szCs w:val="17"/>
          <w:color w:val="auto"/>
        </w:rPr>
        <w:t>MongoDB Atlas, customers can enjoy the benefits of consuming MongoDB as a service in the public cloud, enabling customers to remove themselves from the complexity of managing the database and related underlying infrastructure. We initially launched MongoDB Atlas in 2016 and generated revenue by migrating existing users of our Community Server. We offer tools to easily migrate existing users of our Community Server offering to MongoDB Atlas. During 2018, we expanded the functionality available in MongoDB Atlas beyond that of our Community Server offering, including adding advanced security features, enterprise-standard authentication and database auditing to MongoDB Atlas to allow MongoDB Atlas to support mission-critical enterprise workloads. We continued to enhance the functionality of MongoDB Atlas during 2019 and in 2020, we introduced a number of additional features and products to drive accelerated MongoDB Atlas adoption and consumption. In addition, we also announced the general availability of multi-cloud clusters on MongoDB Atlas, which allows customers to run their applications across multiple public clouds simultaneously. MongoDB Atlas is</w:t>
      </w:r>
    </w:p>
    <w:p>
      <w:pPr>
        <w:spacing w:after="0" w:line="27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available on all three major cloud providers (Amazon Web Services (‘‘AWS’’), Google Cloud Platform (‘‘GCP’’) and Microsoft Azure) in North America, Europe and Asia Pacific. We offer a free tier on AWS, GCP and Microsoft Azure, which provides limited processing power and storage, in order to drive trial and adoption of MongoDB Atlas among developers.</w:t>
      </w:r>
    </w:p>
    <w:p>
      <w:pPr>
        <w:spacing w:after="0" w:line="126" w:lineRule="exact"/>
        <w:rPr>
          <w:sz w:val="20"/>
          <w:szCs w:val="20"/>
          <w:color w:val="auto"/>
        </w:rPr>
      </w:pPr>
    </w:p>
    <w:p>
      <w:pPr>
        <w:ind w:left="660" w:right="40" w:hanging="328"/>
        <w:spacing w:after="0" w:line="289"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Extending Product Leadership and Introducing New Products. </w:t>
      </w:r>
      <w:r>
        <w:rPr>
          <w:rFonts w:ascii="Arial" w:cs="Arial" w:eastAsia="Arial" w:hAnsi="Arial"/>
          <w:sz w:val="16"/>
          <w:szCs w:val="16"/>
          <w:color w:val="auto"/>
        </w:rPr>
        <w:t>We intend to continue to invest in our product offerings with the goal of</w:t>
      </w:r>
      <w:r>
        <w:rPr>
          <w:rFonts w:ascii="Arial" w:cs="Arial" w:eastAsia="Arial" w:hAnsi="Arial"/>
          <w:sz w:val="16"/>
          <w:szCs w:val="16"/>
          <w:b w:val="1"/>
          <w:bCs w:val="1"/>
          <w:color w:val="auto"/>
        </w:rPr>
        <w:t xml:space="preserve"> </w:t>
      </w:r>
      <w:r>
        <w:rPr>
          <w:rFonts w:ascii="Arial" w:cs="Arial" w:eastAsia="Arial" w:hAnsi="Arial"/>
          <w:sz w:val="16"/>
          <w:szCs w:val="16"/>
          <w:color w:val="auto"/>
        </w:rPr>
        <w:t>expanding the functionality and adoption of our platform. For example, in 2020, we released MongoDB 4.4, which included significant updates to the query language to enhance analytics capabilities and to provide increased flexibility of data distribution in order to further improve resiliency and performance. For MongoDB Atlas, we introduced a number of additional features and products including the general availability of MongoDB Atlas Search, which integrates full-text search capabilities with our operational database, reducing implementation complexity for developers and eliminating the need to maintain multiple technologies. We also announced the general availability of MongoDB Atlas Data Lake and MongoDB Atlas Online Archive, which allow customers to store data more cost effectively on our platform and make that data readily available to their applications running on MongoDB Atlas. Finally, we fully integrated Realm, the leading mobile application database we acquired in 2019, with MongoDB Atlas allowing developers to build highly performant mobile applications with seamless data synchronization. The guiding principle of our product innovation is to help developers solve more of their data challenges by utilizing our platform.</w:t>
      </w:r>
    </w:p>
    <w:p>
      <w:pPr>
        <w:spacing w:after="0" w:line="106" w:lineRule="exact"/>
        <w:rPr>
          <w:rFonts w:ascii="Arial" w:cs="Arial" w:eastAsia="Arial" w:hAnsi="Arial"/>
          <w:sz w:val="16"/>
          <w:szCs w:val="16"/>
          <w:color w:val="auto"/>
        </w:rPr>
      </w:pPr>
    </w:p>
    <w:p>
      <w:pPr>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Fostering the MongoDB Developer Community. </w:t>
      </w:r>
      <w:r>
        <w:rPr>
          <w:rFonts w:ascii="Arial" w:cs="Arial" w:eastAsia="Arial" w:hAnsi="Arial"/>
          <w:sz w:val="17"/>
          <w:szCs w:val="17"/>
          <w:color w:val="auto"/>
        </w:rPr>
        <w:t>We have attracted a large and growing community of highly engaged developers, who have</w:t>
      </w:r>
      <w:r>
        <w:rPr>
          <w:rFonts w:ascii="Arial" w:cs="Arial" w:eastAsia="Arial" w:hAnsi="Arial"/>
          <w:sz w:val="17"/>
          <w:szCs w:val="17"/>
          <w:b w:val="1"/>
          <w:bCs w:val="1"/>
          <w:color w:val="auto"/>
        </w:rPr>
        <w:t xml:space="preserve"> </w:t>
      </w:r>
      <w:r>
        <w:rPr>
          <w:rFonts w:ascii="Arial" w:cs="Arial" w:eastAsia="Arial" w:hAnsi="Arial"/>
          <w:sz w:val="17"/>
          <w:szCs w:val="17"/>
          <w:color w:val="auto"/>
        </w:rPr>
        <w:t>downloaded our Community Server offering over 155 million times from our website since February 2009 and over 65 million times in the last 12 months alone.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annual MongoDB World user conference, MongoDB University and other community-centered events. As of January 31, 2021, there were over one million MongoDB University registrations. We intend to continue to invest in the MongoDB developer community.</w:t>
      </w:r>
    </w:p>
    <w:p>
      <w:pPr>
        <w:spacing w:after="0" w:line="117" w:lineRule="exact"/>
        <w:rPr>
          <w:rFonts w:ascii="Arial" w:cs="Arial" w:eastAsia="Arial" w:hAnsi="Arial"/>
          <w:sz w:val="17"/>
          <w:szCs w:val="17"/>
          <w:color w:val="auto"/>
        </w:rPr>
      </w:pPr>
    </w:p>
    <w:p>
      <w:pPr>
        <w:ind w:left="660" w:right="20" w:hanging="328"/>
        <w:spacing w:after="0" w:line="26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Growing and Cultivating Our Partner Ecosystem. </w:t>
      </w:r>
      <w:r>
        <w:rPr>
          <w:rFonts w:ascii="Arial" w:cs="Arial" w:eastAsia="Arial" w:hAnsi="Arial"/>
          <w:sz w:val="17"/>
          <w:szCs w:val="17"/>
          <w:color w:val="auto"/>
        </w:rPr>
        <w:t>We have built a partner ecosystem of independent software vendors, systems integrators,</w:t>
      </w:r>
      <w:r>
        <w:rPr>
          <w:rFonts w:ascii="Arial" w:cs="Arial" w:eastAsia="Arial" w:hAnsi="Arial"/>
          <w:sz w:val="17"/>
          <w:szCs w:val="17"/>
          <w:b w:val="1"/>
          <w:bCs w:val="1"/>
          <w:color w:val="auto"/>
        </w:rPr>
        <w:t xml:space="preserve"> </w:t>
      </w:r>
      <w:r>
        <w:rPr>
          <w:rFonts w:ascii="Arial" w:cs="Arial" w:eastAsia="Arial" w:hAnsi="Arial"/>
          <w:sz w:val="17"/>
          <w:szCs w:val="17"/>
          <w:color w:val="auto"/>
        </w:rPr>
        <w:t>value added resellers, cloud and technology partners. For example, in 2019, we expanded our global partner ecosystem with the announcement of a new partnership with Alibaba Cloud to offer an authorized MongoDB-as-a-Service solution to users in China for the first time. We expanded our reach in China in February 2021 when we announced the launch of a global partnership with Tencent Cloud that allows customers to easily adopt and use MongoDB-as-a-Service across Tencent’s global cloud infrastructure. We have also expanded our business partnerships with all three major cloud providers (AWS, GCP and Microsoft Azure). In addition, our technology partnerships with companies such as Informatica have provided our customers with tools to help them modernize from legacy relational databases to MongoDB which, along with our other technology partnerships, provide us with significant benefits, including lead generation, new customer acquisition, marketplace fulfillment, accelerated deployment and additional customer support. We have also expanded our current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We intend to continue to expand and enhance our partner relationships to grow our market presence and drive greater sales efficiency.</w:t>
      </w:r>
    </w:p>
    <w:p>
      <w:pPr>
        <w:spacing w:after="0" w:line="121" w:lineRule="exact"/>
        <w:rPr>
          <w:rFonts w:ascii="Arial" w:cs="Arial" w:eastAsia="Arial" w:hAnsi="Arial"/>
          <w:sz w:val="17"/>
          <w:szCs w:val="17"/>
          <w:color w:val="auto"/>
        </w:rPr>
      </w:pPr>
    </w:p>
    <w:p>
      <w:pPr>
        <w:ind w:left="660" w:right="160" w:hanging="328"/>
        <w:spacing w:after="0" w:line="28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Internationally. </w:t>
      </w:r>
      <w:r>
        <w:rPr>
          <w:rFonts w:ascii="Arial" w:cs="Arial" w:eastAsia="Arial" w:hAnsi="Arial"/>
          <w:sz w:val="17"/>
          <w:szCs w:val="17"/>
          <w:color w:val="auto"/>
        </w:rPr>
        <w:t>We believe there is significant opportunity to continue to expand the use of our platform outside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fiscal years ended January 31, 2021, 2020 and 2019, revenue generated outside of the United States was 44%, 41% and 39% of our total revenue. We intend to continue to expand our sales and drive adoption of our platform globally.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believe that our employees and the culture we have established are critically important to our success. In order to continue to compete and succeed in our highly competitive and rapidly evolving market, it is crucial that we continue to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spacing w:after="0" w:line="13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of January 31, 2021, we had a total of 2,539 employees, including 1,102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Culture</w:t>
      </w:r>
    </w:p>
    <w:p>
      <w:pPr>
        <w:spacing w:after="0" w:line="158"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126" w:lineRule="exact"/>
        <w:rPr>
          <w:sz w:val="20"/>
          <w:szCs w:val="20"/>
          <w:color w:val="auto"/>
        </w:rPr>
      </w:pPr>
    </w:p>
    <w:p>
      <w:pPr>
        <w:ind w:left="660" w:right="12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07"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107" w:lineRule="exact"/>
        <w:rPr>
          <w:rFonts w:ascii="Arial" w:cs="Arial" w:eastAsia="Arial" w:hAnsi="Arial"/>
          <w:sz w:val="18"/>
          <w:szCs w:val="18"/>
          <w:color w:val="auto"/>
        </w:rPr>
      </w:pPr>
    </w:p>
    <w:p>
      <w:pPr>
        <w:ind w:left="660" w:right="80" w:hanging="328"/>
        <w:spacing w:after="0" w:line="303"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Embrace the Power of Differences. </w:t>
      </w:r>
      <w:r>
        <w:rPr>
          <w:rFonts w:ascii="Arial" w:cs="Arial" w:eastAsia="Arial" w:hAnsi="Arial"/>
          <w:sz w:val="16"/>
          <w:szCs w:val="16"/>
          <w:color w:val="auto"/>
        </w:rPr>
        <w:t>We commit to creating a culture of inclusion by seeking and valuing employees from different backgrounds</w:t>
      </w:r>
      <w:r>
        <w:rPr>
          <w:rFonts w:ascii="Arial" w:cs="Arial" w:eastAsia="Arial" w:hAnsi="Arial"/>
          <w:sz w:val="16"/>
          <w:szCs w:val="16"/>
          <w:b w:val="1"/>
          <w:bCs w:val="1"/>
          <w:color w:val="auto"/>
        </w:rPr>
        <w:t xml:space="preserve"> </w:t>
      </w:r>
      <w:r>
        <w:rPr>
          <w:rFonts w:ascii="Arial" w:cs="Arial" w:eastAsia="Arial" w:hAnsi="Arial"/>
          <w:sz w:val="16"/>
          <w:szCs w:val="16"/>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96" w:lineRule="exact"/>
        <w:rPr>
          <w:rFonts w:ascii="Arial" w:cs="Arial" w:eastAsia="Arial" w:hAnsi="Arial"/>
          <w:sz w:val="16"/>
          <w:szCs w:val="16"/>
          <w:color w:val="auto"/>
        </w:rPr>
      </w:pPr>
    </w:p>
    <w:p>
      <w:pPr>
        <w:ind w:left="6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pacing w:after="0" w:line="121" w:lineRule="exact"/>
        <w:rPr>
          <w:rFonts w:ascii="Arial" w:cs="Arial" w:eastAsia="Arial" w:hAnsi="Arial"/>
          <w:sz w:val="18"/>
          <w:szCs w:val="18"/>
          <w:color w:val="auto"/>
        </w:rPr>
      </w:pPr>
    </w:p>
    <w:p>
      <w:pPr>
        <w:ind w:left="660" w:right="30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07"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Compensation and Benefits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provide competitive compensation and benefits for our employees globally. Our compensation package may include base salary, commission or semi-annual bonuses, and long-term equity awards. We generally offer full-time employees equity at the time of hire and through annual equity grants, and provide employees the opportunity to participate in an employee stock purchase plan, to foster a strong sense of ownership and align our employees’ interests with our long-term success.</w:t>
      </w:r>
    </w:p>
    <w:p>
      <w:pPr>
        <w:spacing w:after="0" w:line="13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addition to cash and equity compensation, we also offer employees a wide array of benefits designed to be aligned with local reward practices and competitive with those offered by companies that we compete with for talent. In the United States, these include health (medical, dental and vision) insurance, paid time off, retirement benefits and additional resources to support employees' overall well-being. We also have a global parental leave program pursuant to which we provide 20 weeks of paid parental leave for all new parents. While the philosophy around our benefits is the same worldwide, specific benefits may vary in other countries due to local regulations and preferences.</w:t>
      </w: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Health, Safety and Well-Being</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believe the health, safety and well-being of our employees is vital to our success. We have prioritized employee safety during the ongoing COVID-19 pandemic and continue to do so, ensuring all employees are set up to work remotely and providing clarity on office closures and evolving guidelines. In addition, in response to the ongoing COVID-19 pandemic, we introduced caregiving leaves and promoted new and existing resources related to mental health. We also implemented a number of additional measures to support our employees, such as additional company-wide days off and wellness checks. We continue to evolve our programs to meet our employees’ health and wellness needs.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Diversity, Inclusion and Equity</w:t>
      </w:r>
    </w:p>
    <w:p>
      <w:pPr>
        <w:spacing w:after="0" w:line="171"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MongoDB is committed to building a diverse workforce and a culture that reflects our value of embracing the power of differences. We believe that a diverse and inclusive workforce brings a diversity of perspectives, which in turn fosters innovation and helps drive better business outcomes.</w:t>
      </w:r>
    </w:p>
    <w:p>
      <w:pPr>
        <w:spacing w:after="0" w:line="9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have launched multiple initiatives to further our goal of being more diverse and inclusive, including expanding our efforts to recruit underrepresented groups through referrals and key external partnerships, developing diverse high potential talent within the Company and increasing discussions on diversity and inclusion-related topics at employee town hall meetings. Additionally, our employee affinity groups, such as The Underrepresented People of Color (TUPOC) Network, Underrepresented Genders in Tech, Queeries and MDBWomen, offer our employees support, mentoring and networking opportunities and help to foster a welcoming and diverse workplace. As part of our commitment to gender diversity, we have also pledged our commitment to the Corporate Parity Pledge, which includes a commitment to interview at least one qualified female candidate for every open role at the vice president level and above.</w:t>
      </w:r>
    </w:p>
    <w:p>
      <w:pPr>
        <w:spacing w:after="0" w:line="141"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MongoDB is committed to pay equity, regardless of gender, ethnicity or other personal characteristics. To deliver on that commitment, we benchmark and set pay ranges based on market data and consider factors such as an employee’s role and experience, the location of their job, and their performance. In addition, to reduce the risk of bias and help ensure consistent pay practices, we use a third-party tool to conduct annual pay parity checks.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Engagement</w:t>
      </w:r>
    </w:p>
    <w:p>
      <w:pPr>
        <w:spacing w:after="0" w:line="17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We conduct anonymous engagement surveys regularly to help us understand the employee experience, identify areas of strength and development opportunities among teams, and measure the effectiveness of our people and culture initiatives, including relating to the ongoing COVID-19 pandemic. These surveys are managed by a third-party vendor to encourage candor. The results are reviewed by senior management, who analyzes areas of progress or deterioration and works with their teams to determine which actions to take based on survey results.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Talent Development</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Talent development is a key aspect of the attraction and retention of our talent. We believe that employee growth is essential, and provide a number of resources and programs to support that commitment. Semi-annually, we facilitate employee self-reflection cycles where employees have development conversations with their managers. In addition, we provide new manager programming, both live and online, to better equip managers to support their teams. We also offer a variety of online courses, including Interview Training; live courses in topics that require discussion and practice, such as Communication Fundamentals; and team-based sessions, such as Crucial Conversations. Additionally, each business unit receives a budget to invest in skill development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built MongoDB to be a modern, general purpose database platform. We believe that organizations should be able to run our platform anywhere: from a developer’s laptop, to an enterprise data center, in the public cloud or in a hybrid environment. Our core offerings are MongoDB Atlas and MongoDB Enterprise Advanced. MongoDB Atlas is our hosted multi-cloud database-as-a-service (“DBaaS”) offering that includes comprehensive infrastructure and management of our database. MongoDB Enterprise Advanced is our proprietary commercial database server offering for enterprise customers that can run in the cloud, on-premise or in a hybrid environment.</w:t>
      </w:r>
    </w:p>
    <w:p>
      <w:pPr>
        <w:spacing w:after="0" w:line="13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model. Our goal is to convert Community Server users to paying customers of our commercial subscription offerings such as MongoDB Atlas or MongoDB Enterprise Advanced. Our Community Server has been downloaded over 155 million times from our website alone since February 2009. Our free tier of MongoDB Atlas provides access to our hosted database solution with limited processing power and storage, as well as certain operational limitations.</w:t>
      </w:r>
    </w:p>
    <w:p>
      <w:pPr>
        <w:spacing w:after="0" w:line="13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To support our database platform and increase customer retention, we provide professional services to our customers with the goal of making customers’ applications on our platform successful.</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Atlas</w:t>
      </w:r>
    </w:p>
    <w:p>
      <w:pPr>
        <w:spacing w:after="0" w:line="17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w:t>
      </w:r>
    </w:p>
    <w:p>
      <w:pPr>
        <w:spacing w:after="0" w:line="10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2018, we introduced additional enterprise functionality, such as advanced security, auditing and compliance, to MongoDB Atlas to allow Atlas to support mission-critical enterprise workloads. We continued to enhance the functionality of MongoDB Atlas during 2019 including improving security, privacy and compliance capabilities. In 2020, we introduced new features and products that are intended to accelerate adoption of MongoDB Atlas. For example, we announced the general availability of MongoDB Atlas Search, MongoDB Atlas Data Lake and MongoDB Atlas Online Archive, as well as the full integration of Realm, the leading mobile application database we acquired in 2019, with MongoDB Atlas.</w:t>
      </w:r>
    </w:p>
    <w:p>
      <w:pPr>
        <w:spacing w:after="0" w:line="122"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MongoDB Atlas is available on all three major cloud providers (AWS, GCP and Microsoft Azure) in North America, Europe and Asia Pacific, providing customers broad geographic coverage across more than 65 regions globally, enabling them to leverage the benefits of different cloud platforms for different use cases and helping them avoid infrastructure vendor lock-in. In 2020, we announced the general availability of multi-cloud clusters on MongoDB Atlas, which allows organizations to deploy a fully managed, distributed database across multiple cloud providers simultaneously without the added operational complexity of managing data replication and migration across clouds. To drive usage and experimentation by developers, our introductory offerings for MongoDB Atlas include a free tier, which provides limited processing power and storage.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MongoDB Atlas represented 46%, 39% and 23% of our total revenue for the fiscal years ended January 31, 2021, 2020 and 2019,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Enterprise Advanced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MongoDB Enterprise Advanced is our subscription package that includes a commercial license to our platform and the following:</w:t>
      </w:r>
    </w:p>
    <w:p>
      <w:pPr>
        <w:spacing w:after="0" w:line="171" w:lineRule="exact"/>
        <w:rPr>
          <w:sz w:val="20"/>
          <w:szCs w:val="20"/>
          <w:color w:val="auto"/>
        </w:rPr>
      </w:pPr>
    </w:p>
    <w:p>
      <w:pPr>
        <w:ind w:left="660" w:right="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 It stores, 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132"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access to Cloud Manager Premium and Ops Manager, our</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138"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Analytics Integrations. </w:t>
      </w:r>
      <w:r>
        <w:rPr>
          <w:rFonts w:ascii="Arial" w:cs="Arial" w:eastAsia="Arial" w:hAnsi="Arial"/>
          <w:sz w:val="18"/>
          <w:szCs w:val="18"/>
          <w:color w:val="auto"/>
        </w:rPr>
        <w:t>We provide integrations to allow data and business analysts to analyze data in applications running on our platform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existing business intelligence and analytics tools. For integration with business intelligence products like Tableau, analysts can use our MongoDB Connector for BI product, which includes our</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newly-released ODBC driver to support a connection with Microsoft Excel. We also provide open source connectors for Spark and Hadoop, which are often used for data analysis. Our analytics integrations ensure that enterprises can efficiently extract significant value from applications built on our platform.</w:t>
      </w:r>
    </w:p>
    <w:p>
      <w:pPr>
        <w:spacing w:after="0" w:line="130" w:lineRule="exact"/>
        <w:rPr>
          <w:sz w:val="20"/>
          <w:szCs w:val="20"/>
          <w:color w:val="auto"/>
        </w:rPr>
      </w:pPr>
    </w:p>
    <w:p>
      <w:pPr>
        <w:ind w:left="660" w:right="4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w:t>
      </w:r>
    </w:p>
    <w:p>
      <w:pPr>
        <w:spacing w:after="0" w:line="13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MongoDB Enterprise Advanced represented 43%, 47% and 56% of our total revenue for the fiscal years ended January 31, 2021, 2020 and 2019,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Professional Services</w:t>
      </w:r>
    </w:p>
    <w:p>
      <w:pPr>
        <w:spacing w:after="0" w:line="17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07" w:lineRule="exact"/>
        <w:rPr>
          <w:sz w:val="20"/>
          <w:szCs w:val="20"/>
          <w:color w:val="auto"/>
        </w:rPr>
      </w:pPr>
    </w:p>
    <w:p>
      <w:pPr>
        <w:ind w:right="400" w:firstLine="486"/>
        <w:spacing w:after="0" w:line="438" w:lineRule="auto"/>
        <w:rPr>
          <w:sz w:val="20"/>
          <w:szCs w:val="20"/>
          <w:color w:val="auto"/>
        </w:rPr>
      </w:pPr>
      <w:r>
        <w:rPr>
          <w:rFonts w:ascii="Arial" w:cs="Arial" w:eastAsia="Arial" w:hAnsi="Arial"/>
          <w:sz w:val="18"/>
          <w:szCs w:val="18"/>
          <w:color w:val="auto"/>
        </w:rPr>
        <w:t xml:space="preserve">Professional services represented 4%, 5% and 7% of our total revenue for the fiscal years ended January 31, 2021, 2020 and 2019, respectively. </w:t>
      </w:r>
      <w:r>
        <w:rPr>
          <w:rFonts w:ascii="Arial" w:cs="Arial" w:eastAsia="Arial" w:hAnsi="Arial"/>
          <w:sz w:val="18"/>
          <w:szCs w:val="18"/>
          <w:b w:val="1"/>
          <w:bCs w:val="1"/>
          <w:color w:val="auto"/>
        </w:rPr>
        <w:t>Our Customers</w:t>
      </w:r>
    </w:p>
    <w:p>
      <w:pPr>
        <w:spacing w:after="0" w:line="1"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As of January 31, 2021, we had over 24,800 customers spanning a wide range of industries in more than 100 countries around the world. All affiliated entities are counted as a single customer. No single customer represented more than 10% of our revenue in fiscal year 2021.</w:t>
      </w:r>
    </w:p>
    <w:p>
      <w:pPr>
        <w:spacing w:after="0" w:line="7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customer count as of January 31, 2021 includes customers acquired from ObjectLabs Corporation (“mLab”) and Tightdb, Inc. (“Realm”), which acquisitions closed on November 1, 2018 and May 7, 2019, respectively. Our definition of “customer” excludes (1) users of our free offerings, (2) users acquired from mLab who spend $20 or less per month with us and (3) self-serve users acquired from Realm. The excluded mLab and Realm users collectively represent an immaterial portion of the revenue associated with users acquired from those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spacing w:after="0" w:line="12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In order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w:t>
      </w:r>
    </w:p>
    <w:p>
      <w:pPr>
        <w:spacing w:after="0" w:line="27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of our self-serve customers and free-tier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spacing w:after="0" w:line="12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January 31, 2021, we had 1,171 employees in our sales and marketing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3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January 31, 2021, we had 638 employees in our research and development organization. We intend to continue to invest in our research and development capabilities to extend our platform.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flexible deployment options, including fully managed as a service or self-managed in the cloud, on-premise or in a hybrid environment;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17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primarily compete with established legacy database software providers such as IBM, Microsoft, Oracle and other similar companies. We also compete with public cloud providers such as AWS, GCP and Microsoft Azure that offer database functionality and non-relational database software providers.</w:t>
      </w:r>
    </w:p>
    <w:p>
      <w:pPr>
        <w:spacing w:after="0" w:line="13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w:t>
      </w:r>
    </w:p>
    <w:p>
      <w:pPr>
        <w:spacing w:after="0" w:line="25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2021, and as our existing markets see more market entry, we expect competition to intensify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 xml:space="preserve">We have in the past and expect in the future to experience seasonal fluctuations in our revenue and results from time to time. In addition, as a result of the adoption of Accounting Standards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we may experience greater variability and reduced comparability of our quarterly revenue and results with respect to the timing and nature of certain of our contracts, particularly multi-year contracts that contain a term license. Refer to Notes 2 and 11 for further information about our revenue recognition policy and results in our Notes to Consolidated Financial Statements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3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of January 31, 2021, in the United States, we had been issued 45 patents, which expire between 2030 and 2038 and had 36 patent applications pending, of which 5 are provisional applications. In addition, as of January 31, 2021, we had 16 registered trademarks in the United States and no pending trademark application in the United States.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Server Side Public License (the “SSPL”). Versions of Community Server released prior to October 16, 2018 are offered under the GNU Affero General Public License version 3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2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MongoDB, Inc. was incorporated under the laws of the State of Delaware in November 2007 under the name 10Gen, Inc. We changed our name to MongoDB, Inc. on August 27, 2013. In October 2017, we completed our initial public offering and our Class A common stock is listed on The Nasdaq Global Market (“Nasdaq”) under the symbol “MDB.” Our principal executive offices are located at 1633 Broadway, 38th Floor, New York, New York 10019 and our telephone number is (646) 727-4092.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w:t>
      </w:r>
    </w:p>
    <w:p>
      <w:pPr>
        <w:spacing w:after="0" w:line="27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Investing in our Class A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30" w:lineRule="exact"/>
        <w:rPr>
          <w:sz w:val="20"/>
          <w:szCs w:val="20"/>
          <w:color w:val="auto"/>
        </w:rPr>
      </w:pPr>
    </w:p>
    <w:p>
      <w:pPr>
        <w:ind w:left="660" w:right="4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ongoing COVID-19 pandemic, related economic downturn and measures taken in response to the pandemic could negatively impact our business, financial condition and results of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a history of losses and as our costs increase, we may not be able to generate sufficient revenue to achieve or sustain profitability.</w:t>
      </w:r>
    </w:p>
    <w:p>
      <w:pPr>
        <w:spacing w:after="0" w:line="128" w:lineRule="exact"/>
        <w:rPr>
          <w:rFonts w:ascii="Arial" w:cs="Arial" w:eastAsia="Arial" w:hAnsi="Arial"/>
          <w:sz w:val="17"/>
          <w:szCs w:val="17"/>
          <w:color w:val="auto"/>
        </w:rPr>
      </w:pPr>
    </w:p>
    <w:p>
      <w:pPr>
        <w:ind w:left="660" w:right="6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face significant competition and expect that intense competition will continue.</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decision to offer Community Server under a new license, the Server Side Public License, may harm adoption of Community Server.</w:t>
      </w:r>
    </w:p>
    <w:p>
      <w:pPr>
        <w:spacing w:after="0" w:line="128"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negatively impacted if the AGPL, the SSPL and other open source licenses under which some of our software is licensed are not enforceable.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licensing model for Community Server could negatively affect our ability to monetize and protect our intellectual property rights.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incur substantial costs in protecting or defending our intellectual property rights and any failure to protect our intellectual property rights could reduce the value of our software and brand.</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30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75" w:lineRule="exact"/>
        <w:rPr>
          <w:rFonts w:ascii="Arial" w:cs="Arial" w:eastAsia="Arial" w:hAnsi="Arial"/>
          <w:sz w:val="18"/>
          <w:szCs w:val="18"/>
          <w:color w:val="auto"/>
        </w:rPr>
      </w:pPr>
    </w:p>
    <w:p>
      <w:pPr>
        <w:jc w:val="both"/>
        <w:ind w:left="660" w:right="300" w:hanging="328"/>
        <w:spacing w:after="0" w:line="28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57"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especially among developers, our business and results of operations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ongoing COVID-19 pandemic, related economic downturn and measures taken in response to the pandemic could negatively impact our business, financial condition and results of operations.</w:t>
      </w:r>
    </w:p>
    <w:p>
      <w:pPr>
        <w:spacing w:after="0" w:line="116"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light of the uncertain and continually evolving situation relating to the spread of COVID-19 and in compliance with shelter-in-place orders and other government executive orders directing that all non-essential businesses close their physical operations, beginning March 2020, we took measures intended to help minimize the risk of the virus to our employees, our customers and the communities in which we participate, which could negatively impact our business. These measures included temporarily requiring all employees to work remotely, suspending all non-essential travel worldwide for our employees, canceling, postponing or holding virtually MongoDB-sponsored events and discouraging employee attendance at industry events and in-person work-related meetings. While we have a distributed workforce and our employees are accustomed to working remotely or working with other remote employees, our workforce has not historically been fully remote. Although shelter-in-place and similar orders are lifted in certain locations where we conduct operations, we have informed our employees that they may continue to elect to work remotely through September 1, 2021, even if their office reopens. Further, shelter-in-place and similar orders in some jurisdictions have been and may in the future be re-instituted as rates of infection increase in those locations. As the COVID-19 pandemic continues to spread, it is highly uncertain to what extent and when restrictions will be lifted in various jurisdictions. Prior to the COVID-19 pandemic, our employees traveled frequently to establish and maintain relationships with one another and with our customers, partners and investors, and some of our business processes assume that employees can review and sign documents in person. Although we continue to monitor the situation and may adjust our current policies as more information and guidance become available, suspending travel and doing business in-person on a long-term basis could negatively impact our marketing efforts, our ability to enter into customer contracts in a timely manner, our international expansion efforts, our ability to recruit employees across the organization and, in sales and marketing, in particular, which could have longer term effects on our sales pipeline, or create operational or other challenges as our workforce remains predominantly remote, any of which could harm our business. For example, remote work arrangements may result in decreased employee productivity and morale with increased regretted employee attrition.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ultimate impact to our results of operations will depend to a large extent on currently unknowable developments, including the length of time the disruption and uncertainty caused by COVID-19 will continue, which will, in turn, depend on, among other things, the actions taken by authorities and other entities to effect a widespread roll-out of the available vaccines or otherwise contain COVID-19 or treat its impact, including the impact of any reopening plans, additional closures and spikes or surges in COVID-19 infection, and individuals’ and companies’ risk tolerance regarding health matters going forward, all of which are beyond our control. Accordingly, these potential impacts, while uncertain, could harm our business and adversely affect our operating results. In addition, to the extent the ongoing COVID-19 pandemic adversely affects our business and results of operations, it may also have the effect of heightening many of the other risks and uncertainties described in this “Risk Factors” section which may materially and adversely affect our business and results of operations.</w:t>
      </w: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97"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international trade relations, political turmoil, natural catastrophes, regional or global outbreaks of contagious diseases, such as the ongoing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negatively affect the growth of our business.</w:t>
      </w:r>
    </w:p>
    <w:p>
      <w:pPr>
        <w:spacing w:after="0" w:line="138"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particular, the ongoing COVID-19 pandemic and the associated global economic uncertainty may prevent us or our employees, contractors, suppliers, customers and other business partners from conducting marketing and other business activities for an indefinite period of time, which could materially and adversely impact our business, financial results and results of operations. Further, in response to the ongoing COVID-19 pandemic, many state, local and foreign governments have from time to time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and those of our contractors, suppliers, customers and other business partners. We expect the ongoing COVID-19 pandemic and the associated global economic uncertainty will likely continue to impact our revenue. In addition, the ongoing COVID-19 pandemic could adversely affect workforces, customers, economies and financial markets globally, potentially leading to a sustained economic downturn. While it is not possible at this time to predict the duration and extent of the impact that the ongoing COVID-19 pandemic could have on worldwide economic activity and our business in particular, the continued spread of COVID-19, the measures taken by governments, businesses and other organizations in response to COVID-19 and the associated global economic uncertainty could materially and adversely impact our business, financial condition or results of operations.</w:t>
      </w:r>
    </w:p>
    <w:p>
      <w:pPr>
        <w:spacing w:after="0" w:line="12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9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incurred net losses in each period since our inception, including net losses of $266.9 million, $175.5 million and $99.0 million for the fiscal years ended January 31, 2021, 2020 and 2019, respectively. We had an accumulated deficit of $935.4 million as of January 31, 2021.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w:t>
      </w: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 and expect that intense competition will continue.</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42"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9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As we introduce new technologies, such as the ones we announced during fiscal year 2021,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14"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other opportunities more readily or develop and expand their offerings more quickly than we do. For all of these reasons, we may not be able to compete successfully against our current or future competitors.</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our sales and marketing organization, we may be unable to add new customers or increase sales to our existing customers.</w:t>
      </w:r>
    </w:p>
    <w:p>
      <w:pPr>
        <w:spacing w:after="0" w:line="11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ongoing COVID-19 pandemic and remote work arrangements,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1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decision to offer Community Server under a new license, the Server Side Public License, may harm adoption of Community Server.</w:t>
      </w:r>
    </w:p>
    <w:p>
      <w:pPr>
        <w:spacing w:after="0" w:line="26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October 16, 2018, we announced that we were changing the license for Community Server from the GNU Affero General Public License Version 3 (the “AGPL”) to a new software license, the Server Side Public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adoption of Community Server, which in turn could lead to reduced brand and product awareness, ultimately leading to a decline in paying customers and our ability to grow our business or achieve profitability may be harmed.</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16"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introduced MongoDB Atlas in June 2016. We have limited experience marketing, determining pricing for and selling MongoDB Atlas and we are continuing to refine our approach to selling, marketing, pricing and supporting adoption of this offering.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w:t>
      </w:r>
    </w:p>
    <w:p>
      <w:pPr>
        <w:spacing w:after="0" w:line="27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MongoDB Atlas, or if we do so in a way that is not profitable or fails to compete successfully against our current or future competitors, our business, results of operations and financial condition could be harmed.</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if the AGPL, the SSPL and other open source licenses under which some of our software is licensed are not enforceable.</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8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16"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10"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26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2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33" w:lineRule="exact"/>
        <w:rPr>
          <w:sz w:val="20"/>
          <w:szCs w:val="20"/>
          <w:color w:val="auto"/>
        </w:rPr>
      </w:pPr>
    </w:p>
    <w:p>
      <w:pPr>
        <w:ind w:left="5780" w:right="2660" w:hanging="5286"/>
        <w:spacing w:after="0" w:line="574" w:lineRule="auto"/>
        <w:tabs>
          <w:tab w:leader="none" w:pos="9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117" w:lineRule="exact"/>
        <w:rPr>
          <w:rFonts w:ascii="Arial" w:cs="Arial" w:eastAsia="Arial" w:hAnsi="Arial"/>
          <w:sz w:val="18"/>
          <w:szCs w:val="18"/>
          <w:color w:val="auto"/>
        </w:rPr>
      </w:pPr>
    </w:p>
    <w:p>
      <w:pPr>
        <w:jc w:val="both"/>
        <w:ind w:left="980" w:right="200" w:hanging="486"/>
        <w:spacing w:after="0" w:line="286"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57" w:lineRule="exact"/>
        <w:rPr>
          <w:rFonts w:ascii="Arial" w:cs="Arial" w:eastAsia="Arial" w:hAnsi="Arial"/>
          <w:sz w:val="17"/>
          <w:szCs w:val="17"/>
          <w:color w:val="auto"/>
        </w:rPr>
      </w:pPr>
    </w:p>
    <w:p>
      <w:pPr>
        <w:ind w:left="980" w:right="20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effectively expand our sales and marketing capabilities and teams;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shelter-in-place or similar orders, private travel limitation, or business disruption in regions affecting our operations, stemming from actual, imminent or perceived outbreak of contagious disease, including the ongoing COVID-19 pandemic;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enforce the AGPL or SSPL;</w:t>
      </w:r>
    </w:p>
    <w:p>
      <w:pPr>
        <w:spacing w:after="0" w:line="117" w:lineRule="exact"/>
        <w:rPr>
          <w:rFonts w:ascii="Arial" w:cs="Arial" w:eastAsia="Arial" w:hAnsi="Arial"/>
          <w:sz w:val="18"/>
          <w:szCs w:val="18"/>
          <w:color w:val="auto"/>
        </w:rPr>
      </w:pPr>
    </w:p>
    <w:p>
      <w:pPr>
        <w:ind w:left="980" w:right="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right="56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75" w:lineRule="exact"/>
        <w:rPr>
          <w:rFonts w:ascii="Arial" w:cs="Arial" w:eastAsia="Arial" w:hAnsi="Arial"/>
          <w:sz w:val="18"/>
          <w:szCs w:val="18"/>
          <w:color w:val="auto"/>
        </w:rPr>
      </w:pPr>
    </w:p>
    <w:p>
      <w:pPr>
        <w:ind w:left="980" w:right="180" w:hanging="486"/>
        <w:spacing w:after="0" w:line="250" w:lineRule="auto"/>
        <w:tabs>
          <w:tab w:leader="none" w:pos="968" w:val="left"/>
        </w:tabs>
        <w:numPr>
          <w:ilvl w:val="0"/>
          <w:numId w:val="17"/>
        </w:numPr>
        <w:rPr>
          <w:rFonts w:ascii="Arial" w:cs="Arial" w:eastAsia="Arial" w:hAnsi="Arial"/>
          <w:sz w:val="20"/>
          <w:szCs w:val="20"/>
          <w:color w:val="auto"/>
        </w:rPr>
      </w:pPr>
      <w:r>
        <w:rPr>
          <w:rFonts w:ascii="Arial" w:cs="Arial" w:eastAsia="Arial" w:hAnsi="Arial"/>
          <w:sz w:val="18"/>
          <w:szCs w:val="18"/>
          <w:color w:val="auto"/>
        </w:rPr>
        <w:t>changes in political and economic conditions, in domestic or international markets, including developments resulting from the recent United States presidential and congressional elections and change of administration in the United States;</w:t>
      </w:r>
    </w:p>
    <w:p>
      <w:pPr>
        <w:spacing w:after="0" w:line="84" w:lineRule="exact"/>
        <w:rPr>
          <w:rFonts w:ascii="Arial" w:cs="Arial" w:eastAsia="Arial" w:hAnsi="Arial"/>
          <w:sz w:val="20"/>
          <w:szCs w:val="20"/>
          <w:color w:val="auto"/>
        </w:rPr>
      </w:pPr>
    </w:p>
    <w:p>
      <w:pPr>
        <w:ind w:left="980" w:right="14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conditions related to the ongoing COVID-19 pandemic;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For example, the full impact of the ongoing COVID-19 pandemic is unknown at this time, but could result in material adverse changes in our results of operations for an unknown period of time as the virus and its related political, social and economic impacts spread. Moreover, fluctuations in our quarterly operating results and the price of our Class A</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common stock may be particularly pronounced in the current economic environment due to the uncertainty caused by and the unprecedented nature of the COVID-19 pandemic. We also intend to continue to invest significantly to grow our business in the near future rather than optimizing for profitability or cash flows.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3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We have recently experienced rapid growth in our business, operations and employee headcount. For fiscal years 2021, 2020 and 2019, our total revenue was $590.4 million, $421.7 million and $267.0 million, respectively, representing a 40% and 58% growth rate, respectively. We have also significantly increased the size of our customer base from over 3,200 customers as of January 31, 2017 to over 24,800 customers as of January 31, 2021 and we grew from 713 employees as of January 31, 2017 to 2,539 employees as of January 31, 2021. We expect to continue to expand our operations and employee headcount in the near term. Our success will depend in part on our ability to continue to grow and to manage this growth, domestically and internationally, effectively.</w:t>
      </w:r>
    </w:p>
    <w:p>
      <w:pPr>
        <w:spacing w:after="0" w:line="13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our security measures, or those of our service providers, are breached or unauthorized access to personal data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1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the ordinary course of our business, we collect, store and process personal data and other confidential information of our employees and our customers. We collect such information from individuals located both in the United States and abroad and may store or process such information outside of the country in which it was collected. We use third-party service providers and subprocessors to help us deliver services to our customers. These third-party service providers and subprocessors may store or process personal data and/or other confidential information of our employees and our customers. While we have taken steps to protect the security of the information that we handle, there can be no assurance that any security measures that we or our third-party service providers and subprocessors have implemented will be effective against current or future security threats. Our security measures or those of our third-party service providers and subprocessors could fail and result in unauthorized access to or use of our platform, systems or network, or unauthorized, accidental or unlawful access to, or disclosure, modification, misuse, loss or destruction of, our or our customers’ data, including personal data (a “Security Breach”). If our security measures are compromised now, or in the future, this could result in a material adverse effect, including without limitation, a material operational or service interruption, harm to our reputation, significant fines, penalties and liability, breach or triggering of data protection laws, privacy policies and contractual obligations, loss of customers or sales, or users curtailing or ceasing their use of our software and services.</w:t>
      </w:r>
    </w:p>
    <w:p>
      <w:pPr>
        <w:spacing w:after="0" w:line="11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Furthermore, applicable data protection laws, privacy policies and contractual obligations may require us to implement specific security measures or use industry-standard or reasonable security measures to protect against Security Breaches. We may be required to expend significant resources, fundamentally change our business activities and practices, or modify our platform, services, software, operations or information technology in an effort to protect against Security Breaches and to mitigate, detect, and remediate actual and potential vulnerabilities.</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addition, 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For example, industry publications have reported ransomware attacks on MongoDB instances. We believe these attacks were successful due to the failure by users of our Community Server offering to properly turn on the recommended security settings when running these instances.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Cyberattacks and other malicious internet-based activity continue to increase and the techniques used to obtain unauthorized access or sabotage systems change frequently and generally are not identified until they are launched against a target. Third parties may attempt to fraudulently induce our employees and contractors into disclosing sensitive information such as user names, passwords, or other information or otherwise compromise the security of our electronic systems, networks, and/or physical facilities in order to gain access to our data or the data of organizations on our platform. Security Breaches may arise out of malicious activity, exposure of access credentials, errors and omissions, system misuse, and inadvertent disclosures caused by or resulting from our employees or contractors. Such employees and contractors pose increased risk if they have access to sensitive systems, data and customer information. Additionally, due to the COVID-19 pandemic, nearly all of our employees are temporarily working remotely, which may pose additional data security risks. For example, we have seen an increase in phishing and spam emails as well as social engineering attempts from “hackers” hoping to use the ongoing COVID-19 pandemic to their advantage. In addition to traditional computer “hackers,” malicious code (such as malware, viruses, worms and ransomware), business email compromises, password spraying, employee theft or misuse and denial-of-service (“DoS”) attacks, we also face threats from sophisticated organized crime, nation-state and nation-state supported actors who engage in attacks (including advanced persistent threat intrusions, ransomware attacks, and supply-chain attacks) that add to the risks to us, our internal systems and our partners’ systems. We cannot guarantee that our security measures will be sufficient to protect against unauthorized access to or other compromise of the personal data and/or other confidential information of our employees or customers.</w:t>
      </w:r>
    </w:p>
    <w:p>
      <w:pPr>
        <w:spacing w:after="0" w:line="13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 techniques used to sabotage or to obtain unauthorized access to our platform, systems, networks and/or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In addition, security researchers and other individuals have in the past and will continue in the future to actively search for and exploit actual and potential vulnerabilities in our (or our third parties’) information technology, services, communications or software. We cannot be certain that we will be able to address any such vulnerabilities, in whole or part, and there may be delays in developing and deploying patches and other remedial measures to adequately address vulnerabilities. We expect similar issues to arise in the future as our services are more widely adopted, and as we continue to expand the features and functionality of existing services and introduce new services. Any actual or perceived failure to maintain the performance, reliability, confidentiality, integrity, and availability of our platform to the satisfaction of our customers may harm our reputation and our ability to retain existing customers and attract new customers.</w:t>
      </w:r>
    </w:p>
    <w:p>
      <w:pPr>
        <w:spacing w:after="0" w:line="11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Any Security Breach or other security incident could harm our reputation and lead to litigation, indemnity obligations, regulatory investigations and enforcement actions and other liabilities. Litigation with our customers could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There can be no assurance that the limitations of liability in our contracts would be enforceable or adequate or would otherwise protect us from liabilities or damages if we fail to comply with applicable data protection laws, privacy policies or contractual obligations related to Security Breaches.</w:t>
      </w:r>
    </w:p>
    <w:p>
      <w:pPr>
        <w:spacing w:after="0" w:line="13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Furthermore,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3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may also face regulatory investigations and actions and fines and penalties for violations of applicable data protection laws or regulations. These litigation and regulatory proceedings could force us to spend money in defense or settlement, divert management’s time and attention, increase our costs of doing business and adversely affect our reputation. We could be required to fundamentally change our business activities and practices or modify our products in response to such litigation, which could have an adverse effect on our business.</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42"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convert users of our free offerings to paying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This could impact the variability and comparability of our quarterly revenue results and may have an adverse effect on our business, results of operations and financial condition.</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16"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2021, 2020 and 2019, total sales and marketing expense represented 55%, 53% and 56%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2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1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subscription offerings are term-based and a majority of our subscription contracts were one year in duration in fiscal year 2020.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w:t>
      </w:r>
    </w:p>
    <w:p>
      <w:pPr>
        <w:spacing w:after="0" w:line="26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customers, retain existing customers or expand their use of our software, which would adversely affect our business, results of operations and financial condition.</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data, domestic and international privacy concerns could result in additional costs and liabilities to us or inhibit sales of our software.</w:t>
      </w:r>
    </w:p>
    <w:p>
      <w:pPr>
        <w:spacing w:after="0" w:line="11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Data privacy has become a significant issue in the United States, Europe and in many other countries and jurisdictions where we offer our software and services. Our software and services can be used to collect and store substantial amounts of personal data. We are subject to a variety of federal, state, local and foreign laws, directives, rules and regulations relating to the collection, use, storage, retention, security, disclosure, transfer, breach notification procedures and other processing of personal data. The regulatory framework for privacy issues is rapidly evolving and interpretation of these laws, rules and regulations and their application to our software and professional services in the United States and foreign jurisdictions is ongoing and cannot be fully determined at this time.</w:t>
      </w:r>
    </w:p>
    <w:p>
      <w:pPr>
        <w:spacing w:after="0" w:line="13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(“HIPAA”), the Gramm Leach Bliley Act and state laws relating to privacy, data security and data breaches. For example, California enacted the California Consumer Privacy Act (the “CCPA”) in 2018, which became effective on January 1, 2020, with implementing regulations that came into effect on August 14, 2020. The CCPA introduced new requirements regarding the handling of personal information of California consumers and households. The law gives individuals the right to request access to and deletion of their information and the right to opt out of sales of their personal information. The CCPA also authorizes private lawsuits to recover statutory damages for certain data breaches. In addition, a new California ballot initiative, the California Privacy Rights Act (the “CPRA”), was passed in November 2020. Effective January 1, 2023, the CPRA will impose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increase our compliance costs and potential liability with respect to personal information we collect about California residents. California and other states may enact further privacy and data security legislation in the coming years. In addition to government regulation, privacy advocates and industry groups may propose new and different self-regulatory standards that may apply to us.</w:t>
      </w:r>
    </w:p>
    <w:p>
      <w:pPr>
        <w:spacing w:after="0" w:line="13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Internationally, virtually every jurisdiction in which we operate has established its own data security and privacy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and Switzerland is subject to the General Data Protection Regulation (the “GDPR”), which came into effect in May 2018, and other European laws governing the processing of personal data. Data protection authorities in the E.E.A. and Switzerland. have the power to impose administrative fines for violations of the GDPR of up to a maximum of €20 million or 4% of the entity’s total worldwide global turnover for the preceding financial year, whichever is higher and violations of the GDPR may also lead to damages claims by data controllers and data subjects.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Countries outside Europe, including without limitation Brazil, which recently enacted the General Data Protection Law (</w:t>
      </w:r>
      <w:r>
        <w:rPr>
          <w:rFonts w:ascii="Arial" w:cs="Arial" w:eastAsia="Arial" w:hAnsi="Arial"/>
          <w:sz w:val="16"/>
          <w:szCs w:val="16"/>
          <w:i w:val="1"/>
          <w:iCs w:val="1"/>
          <w:color w:val="auto"/>
        </w:rPr>
        <w:t>Lei Geral Proteção de Dados Pessoais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LGPD) </w:t>
      </w:r>
      <w:r>
        <w:rPr>
          <w:rFonts w:ascii="Arial" w:cs="Arial" w:eastAsia="Arial" w:hAnsi="Arial"/>
          <w:sz w:val="16"/>
          <w:szCs w:val="16"/>
          <w:color w:val="auto"/>
        </w:rPr>
        <w:t>(Law No. 13,709/2018), are implementing significant limitations on the processing of personal data, similar to those in the GDPR. On June 5,</w:t>
      </w:r>
      <w:r>
        <w:rPr>
          <w:rFonts w:ascii="Arial" w:cs="Arial" w:eastAsia="Arial" w:hAnsi="Arial"/>
          <w:sz w:val="16"/>
          <w:szCs w:val="16"/>
          <w:i w:val="1"/>
          <w:iCs w:val="1"/>
          <w:color w:val="auto"/>
        </w:rPr>
        <w:t xml:space="preserve"> </w:t>
      </w:r>
      <w:r>
        <w:rPr>
          <w:rFonts w:ascii="Arial" w:cs="Arial" w:eastAsia="Arial" w:hAnsi="Arial"/>
          <w:sz w:val="16"/>
          <w:szCs w:val="16"/>
          <w:color w:val="auto"/>
        </w:rPr>
        <w:t>2020, Japan passed amendments to its Act on the Protection of Personal data, or APPI. Both laws broadly regulate the processing of personal data in a manner comparable to the GDPR, and violators of the LGPD and APPI face substantial penalties.</w:t>
      </w:r>
    </w:p>
    <w:p>
      <w:pPr>
        <w:spacing w:after="0" w:line="12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Some of the foreign data protection laws, including without limitation the GDPR, may restrict the cross-border transfer of personal data, such as transfers of data to the United States from the E.E.A and Switzerland. These laws may require data exporters and data importers - as a condition of cross-border data transfers - to implement specific safeguards to protect the transferred personal data.</w:t>
      </w:r>
    </w:p>
    <w:p>
      <w:pPr>
        <w:spacing w:after="0" w:line="13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GDPR prohibits the transfer of personal data from the E.E.A to the United States and most other countries unless an approved compliance mechanism has been implemented. On July 16, 2020, the Court of Justice of the European Union issued a decision invalidating the EU-US Privacy Shield framework, which companies had generally relied upon for the transfer of data from the European Union (“EU”) to the United States, on the grounds that the EU-US Privacy Shield failed to</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data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for comment and is expected to finalize and implement the new Standard Contractual Clauses in early 2021. Any inability to transfer personal data to the U.S. from the E.E.A., Switzerland or the U.K. in compliance with the GDPR and European data protection laws may impede our ability to attract and retain customers and adversely affect our business and financial position. We may also be required to incur significant costs and increase our foreign data processing capabilities in an effort to comply with these requirements, and there is no assurance they will be successful.</w:t>
      </w:r>
    </w:p>
    <w:p>
      <w:pPr>
        <w:spacing w:after="0" w:line="11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addition to the GDPR, the Privacy and Electronic Communications Directive 2002 (“e-Privacy Directive”) covers electronic marketing, the use of cookies (and similar technologies) and privacy and confidentiality in electronic communications that pertain to E.U. and U.K. residents. There are proposals to replace the e-Privacy Directive with an e-Privacy Regulation, currently in draft form. The draft e-Privacy Regulation seeks to improve individuals' privacy and updates the existing privacy and electronic communications regime to cover recent technological developments and bring it in line with the GDPR. Complying with foreign data protection laws like the GDPR, e-Privacy Directive and the e-Privacy Regulation (when it becomes effective) may cause us to incur substantial operational costs, require us to change our business practices, or increase our exposure to regulatory enforcement action. Despite our compliance efforts, we may not be successful in achieving compliance either due to internal or external factors such as resource allocation limitations or a lack of vendor cooperation. We may find it necessary to establish systems to maintain locally the personal data originating from the EU, or to protect a person's privacy, which may involve substantial expense and distraction from other aspects of our business.</w:t>
      </w:r>
    </w:p>
    <w:p>
      <w:pPr>
        <w:spacing w:after="0" w:line="12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Additionally, the U.K. implemented the Data Protection Act, effective May 2018 and statutorily amended in 2019, that contains provisions, including its own derogations, for how the GDPR is applied in the U.K. These developments could increase the risk of non-compliance and the costs of providing our products and services in a compliant manner. From the beginning of 2021 (when the transitional period following Brexit expired), we have to continue to comply with the GDPR and also the Data Protection Act. The relationship between the U.K. and the EU remains uncertain, for example how data transfers between the U.K. and the EU and other jurisdictions will be treated and the role of the U.K.’s supervisory authority. The EU is expected to either issue an adequacy decision for personal data transfers from the E.E.A to the U.K. in early 2021, or an adequacy mechanism, such as the Standard Contractual Clauses, will be required for transfer of personal data from the E.E.A. to the U.K. We may incur substantial expense in complying with any new obligations, and we may be required to make significant changes in our business operations, all of which may adversely affect our revenues and our business overall.</w:t>
      </w:r>
    </w:p>
    <w:p>
      <w:pPr>
        <w:spacing w:after="0" w:line="142"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In addition to Europe, countries that have enacted data protection laws, including Brazil, may issue regulations and other interpretations of such laws that may restrict cross-border transfers of personal data from those countries in a manner similar to the restrictions imposed by the GDPR.</w:t>
      </w:r>
    </w:p>
    <w:p>
      <w:pPr>
        <w:spacing w:after="0" w:line="9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Because the interpretation and application of privacy and data protection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2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In addition, because data security and privacy are critical competitive factors in our industry, we publish privacy policies and other documentation regarding our collection, processing, use and disclosure of personal data and/or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security and privacy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1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Market opportunity estimates and growth forecasts included in this Form 10-K are subject to significant uncertainty and are based on third-party assumptions and estimates that may not prove to be accurate. The market in which we compete may not meet the size estimates and may not achieve the growth forecast referenced in this Form 10-K. Even if the market in which we compete meets the size estimates and the growth forecast referenced in this Form 10-K, our business could fail to grow at similar rates, if at all, for a variety of reasons, which would adversely affect our results of operations.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1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and ability to compete depend in part upon our intellectual property rights. As of January 31, 2021, we had 45 issued patents and 36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27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The patent infringement allegations in the lawsuit relate to data compression, decompression, storage and retrieval. This action is currently stayed. See the section titled “Item 3. Legal Proceedings.”</w:t>
      </w:r>
    </w:p>
    <w:p>
      <w:pPr>
        <w:spacing w:after="0" w:line="112"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20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16"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w:t>
      </w:r>
    </w:p>
    <w:p>
      <w:pPr>
        <w:spacing w:after="0" w:line="2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41"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particularly our Chief Executive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departure of our executive officers and key employees. The majority of our senior management and key employees are employed on an at-will basis, which means that they could terminate their employment with us at any time. For example, our former Chief Technology Officer resigned effective July 10, 2020.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22"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70"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3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believe that our culture has been and will continue to be a key contributor to our success. From January 31, 2017 to January 31, 2021, we increased the size of our workforce by 1,826 employees and we expect to continue to hire aggressively as we expand, especially research and development and sales and marketing personnel. Such substantial headcount growth may result in a change to our corporate culture.</w:t>
      </w:r>
    </w:p>
    <w:p>
      <w:pPr>
        <w:spacing w:after="0" w:line="11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leadership team also plays a key role in our corporate culture. We recently hired a Chief Technology Officer, a Chief People Officer and a Chief Marketing Officer, and we may also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ongoing COVID-19 pandemic.</w:t>
      </w:r>
    </w:p>
    <w:p>
      <w:pPr>
        <w:spacing w:after="0" w:line="12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If we do not continue to maintain and develop our corporate culture, we may be unable to executive effectively and foster the innovation, creativity and entrepreneurial spirit we believe we need to support our growth, which could harm our business.</w:t>
      </w:r>
    </w:p>
    <w:p>
      <w:pPr>
        <w:spacing w:after="0" w:line="116"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9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2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1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In the fiscal years ended January 31, 2021, 2020 and 2019, total revenue generated from customers outside the United States was 44%, 41% and 39%,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23"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17" w:lineRule="exact"/>
        <w:rPr>
          <w:rFonts w:ascii="Arial" w:cs="Arial" w:eastAsia="Arial" w:hAnsi="Arial"/>
          <w:sz w:val="18"/>
          <w:szCs w:val="18"/>
          <w:color w:val="auto"/>
        </w:rPr>
      </w:pPr>
    </w:p>
    <w:p>
      <w:pPr>
        <w:ind w:left="980" w:right="20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shelter-in-place or similar orders, private travel limitation, or business disruption in regions affecting our operations, stemming from actual, imminent or perceived outbreak of contagious disease, including the ongoing COVID-19 pandemic;</w:t>
      </w:r>
    </w:p>
    <w:p>
      <w:pPr>
        <w:spacing w:after="0" w:line="62" w:lineRule="exact"/>
        <w:rPr>
          <w:rFonts w:ascii="Arial" w:cs="Arial" w:eastAsia="Arial" w:hAnsi="Arial"/>
          <w:sz w:val="18"/>
          <w:szCs w:val="18"/>
          <w:color w:val="auto"/>
        </w:rPr>
      </w:pPr>
    </w:p>
    <w:p>
      <w:pPr>
        <w:ind w:left="980" w:right="4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data, particularly in EMEA;</w:t>
      </w:r>
    </w:p>
    <w:p>
      <w:pPr>
        <w:spacing w:after="0" w:line="62" w:lineRule="exact"/>
        <w:rPr>
          <w:rFonts w:ascii="Arial" w:cs="Arial" w:eastAsia="Arial" w:hAnsi="Arial"/>
          <w:sz w:val="18"/>
          <w:szCs w:val="18"/>
          <w:color w:val="auto"/>
        </w:rPr>
      </w:pPr>
    </w:p>
    <w:p>
      <w:pPr>
        <w:ind w:left="980" w:right="14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980" w:right="66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980" w:right="1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international operations, including travel, real estate, infrastructure and legal compliance costs;</w:t>
      </w:r>
    </w:p>
    <w:p>
      <w:pPr>
        <w:spacing w:after="0" w:line="117" w:lineRule="exact"/>
        <w:rPr>
          <w:rFonts w:ascii="Arial" w:cs="Arial" w:eastAsia="Arial" w:hAnsi="Arial"/>
          <w:sz w:val="18"/>
          <w:szCs w:val="18"/>
          <w:color w:val="auto"/>
        </w:rPr>
      </w:pPr>
    </w:p>
    <w:p>
      <w:pPr>
        <w:ind w:left="980" w:right="56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devaluation;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right="60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17" w:lineRule="exact"/>
        <w:rPr>
          <w:rFonts w:ascii="Arial" w:cs="Arial" w:eastAsia="Arial" w:hAnsi="Arial"/>
          <w:sz w:val="18"/>
          <w:szCs w:val="18"/>
          <w:color w:val="auto"/>
        </w:rPr>
      </w:pPr>
    </w:p>
    <w:p>
      <w:pPr>
        <w:ind w:left="980" w:right="4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social unrest, terrorist activities, natural disasters or regional or global outbreaks of contagious diseases, such as the ongoing COVID-19 pandemic;</w:t>
      </w:r>
    </w:p>
    <w:p>
      <w:pPr>
        <w:spacing w:after="0" w:line="62" w:lineRule="exact"/>
        <w:rPr>
          <w:rFonts w:ascii="Arial" w:cs="Arial" w:eastAsia="Arial" w:hAnsi="Arial"/>
          <w:sz w:val="18"/>
          <w:szCs w:val="18"/>
          <w:color w:val="auto"/>
        </w:rPr>
      </w:pPr>
    </w:p>
    <w:p>
      <w:pPr>
        <w:ind w:left="980" w:right="10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3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70"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3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United Kingdom (the “U.K.”) formally left the E.U. on January 31, 2020, commonly referred to as Brexit. There was a transitional period, during which EU laws continued to apply in the U.K.; however this ended on December 31, 2020. The U.K. and E.U. have signed a E.U.-U.K. Trade and Cooperation Agreement, which became provisionally applicable on January 1, 2021 and will become formally applicable once ratified by both the U.K. and the E.U. This agreement provides details on how some aspects of the U.K. and E.U.’s relationship will operate, however there are still many uncertainties. Many of the regulations that now apply in the U.K. following the transition period, will likely be amended in the future as the UK determines its new approach, which may result in significant divergence from E.U. regulations.</w:t>
      </w:r>
    </w:p>
    <w:p>
      <w:pPr>
        <w:spacing w:after="0" w:line="12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uncertainty concerning the U.K.’s legal, political and economic relationships with the E.U. following Brexit may be a source of instability in the international markets, create significant currency fluctuations and otherwise adversely affect trading agreements or similar cross border co-operation arrangements (whether economic, tax, fiscal, legal, regulatory or otherwise). The long-term effects of Brexit will depend in part on how the EU-UK Trade and Cooperation Agreement, and any future agreements signed by the UK and the EU, take effect in practice.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the European single market and the wider commercial, legal and regulatory environment, will impact our U.K. operations and our customers located in the U.K. Further, if other E.U. Member States pursue withdrawal, barrier-free access between the U.K. and other E.U. Member States or among the European Economic Area overall could be diminished or eliminated.</w:t>
      </w:r>
    </w:p>
    <w:p>
      <w:pPr>
        <w:spacing w:after="0" w:line="13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ultimate effects of Brexit on us are difficult to predict; however, we currently conduct a significant part of our business in the U.K. and in the E.U., with customers located in the U.K. accounting for 10% of total revenue for each of the fiscal years ended January 31, 2021, 2020 and 2019. The U.K.’s withdrawal from the E.U. could cause disruptions and create uncertainty to our businesses, including affecting the business of and/or our relationships with our customers and suppliers, as altering the relationship among tariffs and currencies, including the value of the British pound and the Euro relative to the U.S. dollar and creating new regulatory costs and challenges. Any of these effects, among others, could adversely impact our financial position and results of operations.</w:t>
      </w:r>
    </w:p>
    <w:p>
      <w:pPr>
        <w:spacing w:after="0" w:line="28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2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7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w:t>
      </w:r>
    </w:p>
    <w:p>
      <w:pPr>
        <w:spacing w:after="0" w:line="2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technologies rather than through internal development. The identification of suitable acquisition candidates can be difficult, time-consuming and costly and we may not be able to successfully complete identified acquisitions.</w:t>
      </w:r>
    </w:p>
    <w:p>
      <w:pPr>
        <w:spacing w:after="0" w:line="11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On November 1, 2018, we acquired ObjectLabs Corporation (“mLab”), a privately held company, headquartered in San Francisco, California, that offers cloud database services. On May 7, 2019, we acquired Tightdb, Inc. (“Realm”), a privately held mobile database company. The risks we face in connection with these and any future acquisitions include:</w:t>
      </w:r>
    </w:p>
    <w:p>
      <w:pPr>
        <w:spacing w:after="0" w:line="130" w:lineRule="exact"/>
        <w:rPr>
          <w:sz w:val="20"/>
          <w:szCs w:val="20"/>
          <w:color w:val="auto"/>
        </w:rPr>
      </w:pPr>
    </w:p>
    <w:p>
      <w:pPr>
        <w:jc w:val="both"/>
        <w:ind w:left="980" w:right="140" w:hanging="486"/>
        <w:spacing w:after="0" w:line="259"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8" w:lineRule="exact"/>
        <w:rPr>
          <w:rFonts w:ascii="Arial" w:cs="Arial" w:eastAsia="Arial" w:hAnsi="Arial"/>
          <w:sz w:val="18"/>
          <w:szCs w:val="18"/>
          <w:color w:val="auto"/>
        </w:rPr>
      </w:pPr>
    </w:p>
    <w:p>
      <w:pPr>
        <w:ind w:left="980" w:right="20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17" w:lineRule="exact"/>
        <w:rPr>
          <w:rFonts w:ascii="Arial" w:cs="Arial" w:eastAsia="Arial" w:hAnsi="Arial"/>
          <w:sz w:val="18"/>
          <w:szCs w:val="18"/>
          <w:color w:val="auto"/>
        </w:rPr>
      </w:pPr>
    </w:p>
    <w:p>
      <w:pPr>
        <w:ind w:left="980" w:right="320" w:hanging="486"/>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17" w:lineRule="exact"/>
        <w:rPr>
          <w:rFonts w:ascii="Arial" w:cs="Arial" w:eastAsia="Arial" w:hAnsi="Arial"/>
          <w:sz w:val="18"/>
          <w:szCs w:val="18"/>
          <w:color w:val="auto"/>
        </w:rPr>
      </w:pPr>
    </w:p>
    <w:p>
      <w:pPr>
        <w:ind w:left="980" w:right="74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successfully sell any acquired products or increase adoption or usage of acquired products, or increase spend by acquired customers;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17"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62" w:lineRule="exact"/>
        <w:rPr>
          <w:rFonts w:ascii="Arial" w:cs="Arial" w:eastAsia="Arial" w:hAnsi="Arial"/>
          <w:sz w:val="18"/>
          <w:szCs w:val="18"/>
          <w:color w:val="auto"/>
        </w:rPr>
      </w:pPr>
    </w:p>
    <w:p>
      <w:pPr>
        <w:ind w:left="980" w:right="10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16"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9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record all fair value adjustments of our non-marketable securities through the consolidated statement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8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9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Consolidated Financial Statements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incremental borrowing rate related to the Company’s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spacing w:after="0" w:line="11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Class A common stock and we may be subject to investigation or sanctions by the SEC.</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1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addition, potential tax reform in the United States may result in significant changes to U.S. federal income taxation law, including changes to the U.S. federal income taxation of corporations (including the Company) and/or changes to the U.S. federal income taxation of stockholders in U.S. corporations, including investors in our Class A common stock. For example, the Tax Cuts and Jobs Act of 2017 was enacted on December 22, 2017 and significantly revised the U.S. corporate income tax law by, among other things, reducing the corporate income tax rate to 21% for tax years beginning in 2018, imposing additional limitations on the deductibility of interest, changing the utilization of future net operating loss carryforwards, allowing for the expensing of certain capital expenditures and implementing a modified territorial system. We are currently unable to predict whether any future changes will occur and, if so, the impact of such changes, including on the U.S. federal income tax considerations relating to the purchase, ownership and disposition of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January 31, 2021, the Company had net operating loss carryforwards for federal, state, Irish and U.K. income tax purposes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billion, $1.1 billion, $384.0 million and $22.1 million, respectively, which begin to expire in the year ending January 31, 2028 for federal purposes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31, 2021 for state purposes. Ireland, U.K. and the U.S. federal losses for years after January 31, 2018 allows net operating losses to be carried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 indefinitely. A lack of future taxable income would adversely affect our ability to utilize these net operating losses (“NOLs”) before they expire.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under Section 382 of the Code, a corporation that undergoes an “ownership change” (as defined under Section 382 of the Code and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Treasury Regulations) is subject to limitations on its ability to utilize its pre-change NOLs to offset future taxable income. We may experience a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 under Section 382 of the Code that could affect our ability to utilize the NOLs to offset our income. Furthermore, our ability to utilize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NOLs of companies that we have acquired or may acquire in the future may be subject to limitations. There is also a risk that due to regulatory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suspensions on the use of NOLs or other unforeseen reasons, our existing NOLs could expire or otherwise be unavailable to reduce future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liabilities, including for state tax purposes.</w:t>
      </w:r>
    </w:p>
    <w:p>
      <w:pPr>
        <w:spacing w:after="0" w:line="157"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7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28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33"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If we fail to comply with U.S.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3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Security Breaches or terrorism.</w:t>
      </w:r>
    </w:p>
    <w:p>
      <w:pPr>
        <w:spacing w:after="0" w:line="116"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As of January 31, 2021, we have customers in over 100 countries and employees in over 25 countries. A significant natural disaster or man-made problem, such as an earthquake, fire, flood, an act of terrorism, the regional or global outbreak of a contagious disease, such as the ongoing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extent to which the ongoing COVID-19 pandemic may continue to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1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is likely to continue to be volatile, which could cause the value of our Class A common stock to decline.</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116"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new products or technologies, commercial relationships, acquisitions or other events by us or our competitors;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16" w:lineRule="exact"/>
        <w:rPr>
          <w:sz w:val="20"/>
          <w:szCs w:val="20"/>
          <w:color w:val="auto"/>
        </w:rPr>
      </w:pPr>
    </w:p>
    <w:p>
      <w:pPr>
        <w:ind w:right="160" w:firstLine="486"/>
        <w:spacing w:after="0" w:line="288" w:lineRule="auto"/>
        <w:rPr>
          <w:sz w:val="20"/>
          <w:szCs w:val="20"/>
          <w:color w:val="auto"/>
        </w:rPr>
      </w:pPr>
      <w:r>
        <w:rPr>
          <w:rFonts w:ascii="Arial" w:cs="Arial" w:eastAsia="Arial" w:hAnsi="Arial"/>
          <w:sz w:val="16"/>
          <w:szCs w:val="16"/>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One of those key assumptions relates to the impact of the ongoing COVID-19 pandemic and the associated economic uncertainty on our business, which is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w:t>
      </w:r>
    </w:p>
    <w:p>
      <w:pPr>
        <w:spacing w:after="0" w:line="26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actual business results may vary significantly from such guidance or that consensus due to a number of factors, many of which are outside of our control, including due to the global economic uncertainty and financial market conditions caused by the ongoing COVID-19 pandemic, and which could adversely affect our business and future operating results. There are no comparable recent events that provide insights as to the probable effect of the ongoing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4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3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for the foreseeable future.</w:t>
      </w:r>
    </w:p>
    <w:p>
      <w:pPr>
        <w:spacing w:after="0" w:line="171"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16"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6"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980" w:right="72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16"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5" w:lineRule="exact"/>
        <w:rPr>
          <w:sz w:val="20"/>
          <w:szCs w:val="20"/>
          <w:color w:val="auto"/>
        </w:rPr>
      </w:pPr>
    </w:p>
    <w:p>
      <w:pPr>
        <w:ind w:left="980" w:right="14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jc w:val="both"/>
        <w:ind w:left="980" w:right="220" w:hanging="486"/>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980" w:right="380" w:hanging="486"/>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right="40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right="60" w:hanging="486"/>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ind w:left="980" w:hanging="486"/>
        <w:spacing w:after="0" w:line="259"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8" w:lineRule="exact"/>
        <w:rPr>
          <w:rFonts w:ascii="Arial" w:cs="Arial" w:eastAsia="Arial" w:hAnsi="Arial"/>
          <w:sz w:val="18"/>
          <w:szCs w:val="18"/>
          <w:color w:val="auto"/>
        </w:rPr>
      </w:pPr>
    </w:p>
    <w:p>
      <w:pPr>
        <w:ind w:left="980" w:right="280" w:hanging="486"/>
        <w:spacing w:after="0" w:line="342"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15" w:lineRule="exact"/>
        <w:rPr>
          <w:rFonts w:ascii="Arial" w:cs="Arial" w:eastAsia="Arial" w:hAnsi="Arial"/>
          <w:sz w:val="16"/>
          <w:szCs w:val="16"/>
          <w:color w:val="auto"/>
        </w:rPr>
      </w:pPr>
    </w:p>
    <w:p>
      <w:pPr>
        <w:ind w:left="980" w:right="40" w:hanging="486"/>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Notes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3" w:lineRule="exact"/>
        <w:rPr>
          <w:sz w:val="20"/>
          <w:szCs w:val="20"/>
          <w:color w:val="auto"/>
        </w:rPr>
      </w:pPr>
    </w:p>
    <w:p>
      <w:pPr>
        <w:ind w:right="140" w:firstLine="531"/>
        <w:spacing w:after="0" w:line="259" w:lineRule="auto"/>
        <w:rPr>
          <w:sz w:val="20"/>
          <w:szCs w:val="20"/>
          <w:color w:val="auto"/>
        </w:rPr>
      </w:pPr>
      <w:r>
        <w:rPr>
          <w:rFonts w:ascii="Arial" w:cs="Arial" w:eastAsia="Arial" w:hAnsi="Arial"/>
          <w:sz w:val="18"/>
          <w:szCs w:val="18"/>
          <w:color w:val="auto"/>
        </w:rPr>
        <w:t>In June and July 2018, we issued $300.0 million aggregate principal amount of 0.75% convertible senior notes due 2024 (the “2024 Notes”)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33"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14"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7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in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4"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Additionally, the conditional conversion feature of the 2024 Notes and 2026 Notes was triggered as of January 31, 2021, as the last reported sale price of the Company's Class A common stock was more than or equal to 130% of the conversion price for at least 20 trading days in the period of 30 consecutive trading days ending on January 31, 2021 (the last trading day of the fiscal quarter). Therefore, the 2024 Notes and 2026 Notes are currently convertible at the option of the holders thereof, in whole or in part, from February 1, 2020 through April 30, 2021. Whether the 2024 Notes or 2026 Notes will be convertible following such fiscal quarter will depend on the continued satisfaction of this condition or another conversion condition in the future. Upon conversion of the 2024 Notes and 2026 Notes, unless we elect to deliver solely shares of our Class A common stock to settle such conversion (other than paying cash in lieu of delivering any fractional share), we will be required to make cash payments in respect of the 2024 Notes and 2026 Notes being converted, which could adversely affect our liquidity.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16"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at the issuance date and the value of the equity component would be treated as debt discount for purposes of accounting for the debt component of the Notes. As a result, we have been required to record a greater amount of non-cash interest expense as a result of the amortization of the discounted carrying value of the Notes to their face amount over the term of the Notes. We have reported larger net losses (or lower net income) in our financial results because ASC 470-20 requires interest to include both the amortization of the debt discount and the instrument’s nonconvertible coupon interest rate, which could adversely affect our reported or future financial results, the trading price of our Class A common stock and the trading price of the Notes.</w:t>
      </w:r>
    </w:p>
    <w:p>
      <w:pPr>
        <w:spacing w:after="0" w:line="11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or otherwise elect not to use the treasury stock method in accounting for the shares issuable upon conversion of the Notes, then our diluted earnings per share could be adversely affected.</w:t>
      </w:r>
    </w:p>
    <w:p>
      <w:pPr>
        <w:spacing w:after="0" w:line="12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Further, in August 2020, the FASB issued ASU No. 2020-06, Accounting for Convertible Instruments in an Entity’s Own Equity, which simplifies the accounting for convertible instruments and contracts on an entity’s own equity. Among other changes, ASU No. 2020-06 simplifies the accounting for convertible instruments by eliminating the conversion option separation model for convertible debt that can be settled in cash and by eliminating the measurement model for beneficial conversion features. As a result, after adoption, entities will no longer separately present in equity an embedded conversion feature for such debt. Similarly, the embedded conversion feature will no longer be amortized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or lower net loss and result in a reclassification of certain balance sheet amounts from stockholders' equity to liabilities as it relates to the Notes. In addition, the new standard requires</w:t>
      </w:r>
    </w:p>
    <w:p>
      <w:pPr>
        <w:spacing w:after="0" w:line="26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entities to use the if-converted method for all convertible instruments that may be settled in cash or shares, except for certain liability-classified share-based payment awards. We plan to early adopt ASU 2020-06 as of February 1, 2021 using the modified retrospective transition method.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Class A common stock.</w:t>
      </w:r>
    </w:p>
    <w:p>
      <w:pPr>
        <w:spacing w:after="0" w:line="17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connection with the pricing of the Notes, we entered into privately negotiated capped call transactions with certain counterparties. The capped call transactions cover, subject to customary adjustments, the number of shares of our Class A common stock initially underlying the Notes. The capped call transactions are expected to offset the potential dilution to our Class A common stock upon any conversion of the Notes. In connection with establishing their initial hedges of the capped call transactions, the counterparties or their respective affiliates entered into various derivative transactions with respect to our Class A common stock concurrently with or shortly after the pricing of the Notes, including with certain investors in the Notes.</w:t>
      </w:r>
    </w:p>
    <w:p>
      <w:pPr>
        <w:spacing w:after="0" w:line="10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prior to the maturity of the Notes (and are likely to do so on each exercise date of the capped call transactions, which are scheduled to occur during the observation period relating to any conversion of the Notes on or after March 15, 2024, in the case of the 2024 Notes and on or after October 15, 2025, in the case of the 2026 Notes), or following any termination of any portion of the capped call transactions in connection with any repurchase, redemption or early conversions of the Notes or otherwise. This activity could also cause or avoid an increase or a decrease in the market price of our Class A common stock. We do not make any representation or prediction as to the direction or magnitude of any potential effect that the transactions described above may have on the price of shares of our Class A common stock.</w:t>
      </w:r>
    </w:p>
    <w:p>
      <w:pPr>
        <w:spacing w:after="0" w:line="120" w:lineRule="exact"/>
        <w:rPr>
          <w:sz w:val="20"/>
          <w:szCs w:val="20"/>
          <w:color w:val="auto"/>
        </w:rPr>
      </w:pPr>
    </w:p>
    <w:p>
      <w:pPr>
        <w:jc w:val="center"/>
        <w:ind w:right="8360"/>
        <w:spacing w:after="0"/>
        <w:rPr>
          <w:sz w:val="20"/>
          <w:szCs w:val="20"/>
          <w:color w:val="auto"/>
        </w:rPr>
      </w:pPr>
      <w:r>
        <w:rPr>
          <w:rFonts w:ascii="Arial" w:cs="Arial" w:eastAsia="Arial" w:hAnsi="Arial"/>
          <w:sz w:val="16"/>
          <w:szCs w:val="16"/>
          <w:b w:val="1"/>
          <w:bCs w:val="1"/>
          <w:color w:val="auto"/>
        </w:rPr>
        <w:t>Item 1B. Unresolved Staff Comments</w:t>
      </w:r>
    </w:p>
    <w:p>
      <w:pPr>
        <w:spacing w:after="0" w:line="198" w:lineRule="exact"/>
        <w:rPr>
          <w:sz w:val="20"/>
          <w:szCs w:val="20"/>
          <w:color w:val="auto"/>
        </w:rPr>
      </w:pPr>
    </w:p>
    <w:p>
      <w:pPr>
        <w:jc w:val="center"/>
        <w:ind w:right="98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Item 2. Properties</w:t>
      </w:r>
    </w:p>
    <w:p>
      <w:pPr>
        <w:spacing w:after="0" w:line="19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current principal executive office is located in New York, New York and, as of January 31, 2021, consists of approximately 106,230 square feet of space under a lease that expires in December 2029.</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lease 23 other offices around the world for our employees, including in Dublin, Palo Alto, Sydney, Gurgaon and Austin.</w:t>
      </w:r>
    </w:p>
    <w:p>
      <w:pPr>
        <w:spacing w:after="0" w:line="17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 xml:space="preserve">The information required to be set forth under this Item 3 is incorporated by reference to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Consolidated Financial Statements included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194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 xml:space="preserve">Our Class A common stock is traded on The Nasdaq Global Market (the “Nasdaq”) under the symbol “MDB.” Prior to June 11, 2020, the Company had two classes of common stock, Class A and Class B. Our Class B Common Stock was not listed or traded on any exchange, but each share of Class B common stock was convertible at any time at the option of the holder into one share of Class A common stock. On June 11, 2020, all outstanding shares of the Company’s Class B common stock, par value $0.001 per share, automatically converted into the same number of shares of Class A common stock, par value $0.001 per share, pursuant to the terms of the Company’s Amended and Restated Certificate of Incorporation. No additional shares of Class B common stock will be issued following such conversion. Refer to Note 9, </w:t>
      </w:r>
      <w:r>
        <w:rPr>
          <w:rFonts w:ascii="Arial" w:cs="Arial" w:eastAsia="Arial" w:hAnsi="Arial"/>
          <w:sz w:val="16"/>
          <w:szCs w:val="16"/>
          <w:i w:val="1"/>
          <w:iCs w:val="1"/>
          <w:color w:val="auto"/>
        </w:rPr>
        <w:t>Stockholders’ Equity (Deficit)</w:t>
      </w:r>
      <w:r>
        <w:rPr>
          <w:rFonts w:ascii="Arial" w:cs="Arial" w:eastAsia="Arial" w:hAnsi="Arial"/>
          <w:sz w:val="16"/>
          <w:szCs w:val="16"/>
          <w:color w:val="auto"/>
        </w:rPr>
        <w:t>, in the Notes to Consolidated Financial Statements included in Part II, Item 8, Financial Statements, of this Form 10-K for a discussion of our conversion of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ind w:right="440" w:firstLine="486"/>
        <w:spacing w:after="0" w:line="286" w:lineRule="auto"/>
        <w:rPr>
          <w:sz w:val="20"/>
          <w:szCs w:val="20"/>
          <w:color w:val="auto"/>
        </w:rPr>
      </w:pPr>
      <w:r>
        <w:rPr>
          <w:rFonts w:ascii="Arial" w:cs="Arial" w:eastAsia="Arial" w:hAnsi="Arial"/>
          <w:sz w:val="17"/>
          <w:szCs w:val="17"/>
          <w:color w:val="auto"/>
        </w:rPr>
        <w:t>As of March 16, 2021, there were 99 stockholders of record of our Class A common stock and the closing price of our Class A common stock was $318.83 per share as reported on the Nasdaq. Because many of our shares of Class A common stock are held by brokers and other institutions on behalf of stockholders, we are unable to estimate the total number of stockholders represented by these record 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repurchases of shares of our Class A common stock during the three months ended January 31,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graph below shows a comparison, from October 19, 2017 (the date our Class A common stock commenced trading on the Nasdaq)</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through January 31, 2021, of the cumulative total return to stockholders of our Class A common stock relative to the Nasdaq Composite Index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Composite”) and the Nasdaq Computer Index (“Nasdaq Computer”).</w:t>
      </w:r>
    </w:p>
    <w:p>
      <w:pPr>
        <w:spacing w:after="0" w:line="157"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The graph assumes that $100 was invested in each of our Class A common stock, the Nasdaq Composite and the Nasdaq Computer at their respective closing prices on October 19, 2017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760720" cy="3240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Part II, Item 6 is no longer required as the Company has elected to early adopt the changes to Item 301 of Regulation S-K contained in SEC Release No. 33-10890.</w:t>
      </w:r>
    </w:p>
    <w:p>
      <w:pPr>
        <w:spacing w:after="0" w:line="26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the consolidated financial statements and notes thereto included in Part II, Item 8,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Form 10-K. All information presented herein is based on our fiscal calendar.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stated, references to particular years, quarters, months or periods refer to our fiscal years ended January 31 and the associated quarters, months and periods of those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1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generate revenue primarily from sales of subscriptions, which accounted for 96%, 95% and 93% of our total revenue for the years ended January 31, 2021, 2020 and 2019, respectively.</w:t>
      </w:r>
    </w:p>
    <w:p>
      <w:pPr>
        <w:spacing w:after="0" w:line="11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MongoDB Atlas is our hosted multi-cloud database-as-a-service (“DBaaS”) offering that includes comprehensive infrastructure and management, which we run and manage in the cloud. During the year ended January 31, 2021, MongoDB Atlas revenue represented 46% of our total revenue, as compared to 39% in the prior year, reflecting the continued growth of MongoDB Atlas since its introduction in June 2016. We have experienced strong growth in self-serve customers of MongoDB Atlas. These customers are charged monthly based on their usage. In addition, we have also seen growth in MongoDB Atlas customers sold by our sales force. These customers typically sign annual contracts and pay in advance or are invoiced monthly in arrears based on usage.</w:t>
      </w:r>
    </w:p>
    <w:p>
      <w:pPr>
        <w:spacing w:after="0" w:line="13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MongoDB Enterprise Advanced is our proprietary commercial database server offering for enterprise customers that can run in the cloud, on-premise or in a hybrid environment. MongoDB Enterprise Advanced revenue represented 44%, 50% and 60% of our subscription revenue for the years ended January 31, 2021, 2020 and 2019, respectively. 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134"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155 million times since February 2009 and over 65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1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4%, 5% and 7% of our total revenue for the years ended January 31, 2021, 2020 and 2019,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believe the market for our offerings is large and growing.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Ongoing COVID-19 Pandemic</w:t>
      </w:r>
    </w:p>
    <w:p>
      <w:pPr>
        <w:spacing w:after="0" w:line="17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ongoing COVID-19 pandemic has continued to impact the U.S. and the world. As a result, authorities have implemented numerous measures to contain the virus, including travel bans and restrictions, quarantines, shelter-in-place orders, and business limitations and shutdowns. Although some jurisdictions previously relaxed such restrictions, in many cases these restrictions have been or may in the future be re-instituted, and other jurisdictions are imposing restrictions for the first time. As the COVID-19 pandemic continues to spread, it is highly uncertain to what extent and when restrictions will be lifted in various jurisdictions. The full extent of the impact of the ongoing COVID-19 pandemic on our future operational and financial performance will depend on certain developments, including the duration and spread of the pandemic; the public health measures taken by authorities and other entities to contain and treat COVID-19; the actions taken to effect a widespread roll-out of the available vaccines; and the impact of the COVID-19 pandemic on the global economy and on our current and prospective customers, employees, vendors and other parties with whom we do business, all of which are uncertain and cannot be predicted.</w:t>
      </w:r>
    </w:p>
    <w:p>
      <w:pPr>
        <w:spacing w:after="0" w:line="127"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We adopted several measures in response to the COVID-19 pandemic, including temporarily requiring employees to work remotely, suspending non-essential travel by our employees, and replacing in-person marketing events (including our annual developer conference) with virtual events. We have informed our employees that they may continue to elect to work remotely until September 1, 2021, even if their office reopens.</w:t>
      </w:r>
    </w:p>
    <w:p>
      <w:pPr>
        <w:spacing w:after="0" w:line="95"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While the broader implications of the ongoing COVID-19 pandemic on our results of operations and overall financial performance remain uncertain, we currently expect our revenue to continue to be negatively impacted by the slowdown in activity associated with the COVID-19 pandemic and global uncertainty in the near term. In addition, we recorded a higher allowance for doubtful accounts during the year ended January 31, 2021 due to the potential adverse impact the ongoing COVID-19 pandemic may have on factors that affect our estimate of current expected credit losses, including possible financial difficulties faced by a portion of our customers, in accordance with the recently adopted accounting standard for credit losses.</w:t>
      </w:r>
    </w:p>
    <w:p>
      <w:pPr>
        <w:spacing w:after="0" w:line="10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During the year ended January 31, 2021, we experienced a decrease in our travel costs due to global travel restrictions and stay-at-home or similar orders in effect as a result of the ongoing COVID-19 pandemic. We expect those lower travel costs to continue in the near-term. We have invested and intend to continue to invest a portion of these savings in additional marketing program spend and research and development headcount.</w:t>
      </w:r>
    </w:p>
    <w:p>
      <w:pPr>
        <w:spacing w:after="0" w:line="9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will continue to evaluate the nature and extent of the impact of COVID-19 on our business. For further discussion of the potential impacts of the ongoing COVID-19 pandemic on our business, operating results, and financial condition, see the section titled “Risk Factors” included in Part I, Item 1A of this Form 10-K. Other factors affecting our performance are discussed below, although we caution you that the ongoing COVID-19 pandemic may also further impact these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Extending Product Leadership and Maintaining Developer Mindshare</w:t>
      </w:r>
    </w:p>
    <w:p>
      <w:pPr>
        <w:spacing w:after="0" w:line="17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introduced MongoDB Atlas in 2016, an important part of our run-anywhere solution, to capitalize on the existing demand for a managed version of our Community Server offering which many companies currently self-deploy and manage in the cloud. In 2017, we introduced cross-region replication for MongoDB Atlas, which helps ensure that an application remains operational even if an entire cloud region goes down, as well as allowing MongoDB customers to locate data closer to their users for performance or compliance reasons. During 2018, we expanded functionality available in MongoDB Atlas to support mission-critical enterprise workloads and we released MongoDB 4.0, which extended ACID support to multi-document transactions. Most recently, during 2020, we released MongoDB 4.4, which included significant updates to the query language to enhance analytics capabilities and to provide increased flexibility of data distribution in order to further improve resiliency and performance. In addition, we introduced a number of additional features and products within MongoDB Atlas including the general availability of MongoDB Atlas Search, which integrates full-text search capabilities with our operational database, reducing implementation complexity for developers and eliminating the need to maintain multiple technologies. We also announced the general availability of MongoDB Atlas Data Lake and MongoDB Atlas Online Archive, which allow customers to store data more cost effectively on our platform and make that data readily available to their applications running on MongoDB Atlas. Finally, we fully integrated Realm, the leading mobile application database we acquired in 2019, with MongoDB Atlas allowing developers to build highly performant mobile applications with seamless data synchronization. We intend to continue to invest in our</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engineering capabilities and marketing activities to maintain our strong position in the developer community. We have spent $674.2 million on research and development since our inception. Our results of operations may fluctuate as we make these investments to drive increased customer adoption and usage.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 and Expanding Our Global Reach</w:t>
      </w:r>
    </w:p>
    <w:p>
      <w:pPr>
        <w:spacing w:after="0" w:line="17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 which are critical to driving customer acquisition. As of January 31, 2021, we had over 24,800 customers across a wide range of industries and in over 100 countries, compared to over 17,000 customers and over 13,400 customers as of January 31, 2020 and 2019, respectively. All affiliated entities are counted as a single customer.</w:t>
      </w:r>
    </w:p>
    <w:p>
      <w:pPr>
        <w:spacing w:after="0" w:line="13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customer count as of January 31, 2021 includes customers acquired from ObjectLabs Corporation (“mLab”) and Tightdb, Inc. (“Realm”), which acquisitions closed on November 1, 2018 and May 7, 2019, respectively. Our definition of “customer” excludes (1) users of our free offerings, (2) users acquired from mLab who spend $20 or less per month with us and (3) self-serve users acquired from Realm. The excluded mLab and Realm users collectively represent an immaterial portion of the revenue associated with users acquired from those acquisitions.</w:t>
      </w:r>
    </w:p>
    <w:p>
      <w:pPr>
        <w:spacing w:after="0" w:line="11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of January 31, 2021, we had over 3,000 customers that were sold through our direct sales force and channel partners, as compared to over 2,000 and over 1,750 such customers as of January 31, 2020 and 2019, respectively. These customers, which we refer to as our Direct Sales Customers, accounted for 82%, 78% and 85% of our subscription revenue for the years ended January 31, 2021, 2020 and 2019, respectively. The percentage of our subscription revenue from Direct 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After launching in June 2016, we had over 23,300 MongoDB Atlas customers as of January 31, 2021. The growth in MongoDB Atlas customers included customers from mLab and Realm, as described above, as well as new customers to MongoDB and existing MongoDB Enterprise Advanced customers adding incremental MongoDB Atlas workloads.</w:t>
      </w:r>
    </w:p>
    <w:p>
      <w:pPr>
        <w:spacing w:after="0" w:line="11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an effort to expand our global reach, in October 2019, we announced a partnership with Alibaba Cloud to offer an authorized MongoDB-as-a-service solution allowing customers of Alibaba Cloud to use this managed offering from their data centers globally. We expanded our reach in China in February 2021 when we announced the launch of a global partnership with Tencent Cloud that allows customers to easily adopt and use MongoDB-as-a-Service across Tencent’s global cloud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MongoDB Atlas, our hosted multi-cloud offering, is an important part of our run-anywhere strategy.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now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Our business partnership with GCP provides deeper product integration and unified billing for GCP customers who are also MongoDB Atlas customers and offers GCP customers a seamless integration between MongoDB Atlas and GCP. The availability of MongoDB Atlas on the Microsoft Azure Marketplace offers unified billing for joint customers of MongoDB Atlas and Microsoft and makes it easier for established Azure customers to purchase and use MongoDB Atlas. In addition, MongoDB is part of Microsoft’s strategic partner program.</w:t>
      </w:r>
    </w:p>
    <w:p>
      <w:pPr>
        <w:spacing w:after="0" w:line="13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adoption of MongoDB Atlas is a key component of our growth strategy.</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Over time, the subscription amount for our typical Direct Sales Customer has increased.</w:t>
      </w:r>
    </w:p>
    <w:p>
      <w:pPr>
        <w:spacing w:after="0" w:line="12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The number of customers with $100,000 or greater in ARR and annualized MRR was 975, 751 and 557 as of January 31, 2021, 2020 and 2019, respectively. Prior to January 31, 2020, ARR related to Direct Sales Customers of MongoDB Atlas was based on their contractual commitments, regardless of their actual consumption. To better reflect actual customer behavior, we modified our ARR calculation related to Direct Sales Customers of MongoDB Atlas to incorporate their prior 90 days of actual consumption. The impact of this change on prior reported periods is immaterial.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1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w:t>
      </w:r>
    </w:p>
    <w:p>
      <w:pPr>
        <w:spacing w:after="0" w:line="138"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in Growth and Scaling Our Business</w:t>
      </w:r>
    </w:p>
    <w:p>
      <w:pPr>
        <w:spacing w:after="0" w:line="17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1,171 employees as of January 31, 2021 from 789 employees and 466 employees as of January 31, 2020 and 2019,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Our subscription revenue is comprised of term licenses and hosted as-a-service solutions. Subscriptions to term licenses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technical support and access to new software versions on a when-and-if available basis. Revenue from our term licenses is recognized upfront for the license component and ratably for the technical support and when-and-if available update components. Revenue from term licenses is typically billed annually in advance. Revenue from our hosted as-a-service solutions is primarily generated on a usage basis and is billed either in arrears or paid up front. The majority of our subscription contracts are one year in duration and are invoiced upfront. Our subscription contracts are</w:t>
      </w:r>
    </w:p>
    <w:p>
      <w:pPr>
        <w:spacing w:after="0" w:line="2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generally non-cancelable and non-refundable. When we enter into multi-year subscriptions, we typically invoice the customer on an annual basis.</w:t>
      </w:r>
    </w:p>
    <w:p>
      <w:pPr>
        <w:spacing w:after="0" w:line="18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w:t>
      </w:r>
    </w:p>
    <w:p>
      <w:pPr>
        <w:spacing w:after="0" w:line="116"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the proportion of term license contracts that commence within the period, the rate of customer renewals and expansions, delivery of professional services, the impact of significant transactions and seasonality of or fluctuations in usage for our consumption-based customers. Further, we currently expect our revenue to be negatively impacted by the slowdown in activity associated with the COVID-19 pandemic in fiscal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personnel costs, including salaries, bonuses and benefits and stock-based compensation, for employees associated with our subscription arrangements principally related to technical support and allocated shared costs, as well as depreciation and amortization. Our cost of subscription revenue for our hosted as-a-service solutions also includes third-party cloud infrastructure expenses. We expect our cost of subscription revenue to increase in absolute dollars as our subscription revenue increases and, depending on the results of MongoDB Atlas, our cost of subscription revenue may increase as a percentage of subscription revenue as well.</w:t>
      </w:r>
    </w:p>
    <w:p>
      <w:pPr>
        <w:spacing w:after="0" w:line="107"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i w:val="1"/>
          <w:iCs w:val="1"/>
          <w:color w:val="auto"/>
        </w:rPr>
        <w:t xml:space="preserve">Cost of Services Revenue. </w:t>
      </w:r>
      <w:r>
        <w:rPr>
          <w:rFonts w:ascii="Arial" w:cs="Arial" w:eastAsia="Arial" w:hAnsi="Arial"/>
          <w:sz w:val="17"/>
          <w:szCs w:val="17"/>
          <w:color w:val="auto"/>
        </w:rPr>
        <w:t>Cost of services revenue primarily includes personnel costs, including salaries, bonuses and benefits,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3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34"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9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incur the costs of compliance associated with being a publicly traded company.</w:t>
      </w: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Other income (expense), net consists primarily of interest income, interest expense and gains and losses from foreign currency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(Benefit from) Income Taxes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Provision for income taxes consists primarily of state income taxes in the United States and income taxes in certain foreign jurisdictions in which we conduct business. As of January 31, 2021, we had net operating loss (“NOL”) carryforwards for federal, state, Irish and U.K. income tax purposes of approximately $1.2 billion, $1.1 billion, $384.0 million and $22.1 million, respectively, which begin to expire in the year ending January 31, 2028 for federal purposes and January 31, 2021 for state purposes. Ireland, U.K. and the U.S. federal losses for the years after January 31, 2018 allows NOLs to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The Company also has federal and state research credit carryforwards of $52.9 million and $4.1 million, respectively, which begin to expire in the year ending January 31, 2029 for federal purposes and January 31, 2025 for state purposes. Utilization of the federal NOL carryforwards and credits may be subject to a substantial annual limitation due to the ownership change limitations provided by the Code,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Years Ended January 31, 2021, 2020 and 2019</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the years ended January 31, 2021, 2020 and 2019, our total revenue was $590.4 million, $421.7 million and $267.0 million, respectively. Our net loss was $266.9 million, $175.5 million and $99.0 million for the years ended January 31, 2021, 2020 and 2019, respectively. Our operating cash flow was $(42.7) million, $(29.5) million and $(42.0) million for the years ended January 31, 2021, 2020 and 2019, respectively. Our free cash flow was $(59.1) million, $(35.0) million and $(48.8) million for the years ended January 31, 2021, 2020 and 2019, respectively. See the section titled “Liquidity and Capital Resources—Non-GAAP Free Cash Flow” below.</w:t>
      </w:r>
    </w:p>
    <w:p>
      <w:pPr>
        <w:spacing w:after="0" w:line="28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in dollars and as a percentage of our total revenue. Percentage of revenue figures are rounded and therefore may not subtotal exactly.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Years Ended January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2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286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Statements of Operations Data: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565,349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248,391</w:t>
            </w:r>
          </w:p>
        </w:tc>
      </w:tr>
      <w:tr>
        <w:trPr>
          <w:trHeight w:val="283"/>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18,625</w:t>
            </w:r>
          </w:p>
        </w:tc>
      </w:tr>
      <w:tr>
        <w:trPr>
          <w:trHeight w:val="250"/>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590,380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267,016</w:t>
            </w:r>
          </w:p>
        </w:tc>
      </w:tr>
      <w:tr>
        <w:trPr>
          <w:trHeight w:val="223"/>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56,255</w:t>
            </w:r>
          </w:p>
        </w:tc>
      </w:tr>
      <w:tr>
        <w:trPr>
          <w:trHeight w:val="283"/>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Services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17,313</w:t>
            </w:r>
          </w:p>
        </w:tc>
      </w:tr>
      <w:tr>
        <w:trPr>
          <w:trHeight w:val="263"/>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73,568</w:t>
            </w:r>
          </w:p>
        </w:tc>
      </w:tr>
      <w:tr>
        <w:trPr>
          <w:trHeight w:val="250"/>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413,304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193,448</w:t>
            </w:r>
          </w:p>
        </w:tc>
      </w:tr>
      <w:tr>
        <w:trPr>
          <w:trHeight w:val="230"/>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223,893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148,296</w:t>
            </w:r>
          </w:p>
        </w:tc>
      </w:tr>
      <w:tr>
        <w:trPr>
          <w:trHeight w:val="27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89,854</w:t>
            </w:r>
          </w:p>
        </w:tc>
      </w:tr>
      <w:tr>
        <w:trPr>
          <w:trHeight w:val="283"/>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53,063</w:t>
            </w:r>
          </w:p>
        </w:tc>
      </w:tr>
      <w:tr>
        <w:trPr>
          <w:trHeight w:val="263"/>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622,608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444,230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291,213</w:t>
            </w:r>
          </w:p>
        </w:tc>
      </w:tr>
      <w:tr>
        <w:trPr>
          <w:trHeight w:val="250"/>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(209,304)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(97,765)</w:t>
            </w:r>
          </w:p>
        </w:tc>
      </w:tr>
      <w:tr>
        <w:trPr>
          <w:trHeight w:val="283"/>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(53,389)</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r>
      <w:tr>
        <w:trPr>
          <w:trHeight w:val="250"/>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Loss before provision for (benefit from) income taxes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(176,178)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(102,329)</w:t>
            </w:r>
          </w:p>
        </w:tc>
      </w:tr>
      <w:tr>
        <w:trPr>
          <w:trHeight w:val="283"/>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64"/>
        </w:trPr>
        <w:tc>
          <w:tcPr>
            <w:tcW w:w="6360" w:type="dxa"/>
            <w:vAlign w:val="bottom"/>
            <w:gridSpan w:val="2"/>
          </w:tcPr>
          <w:p>
            <w:pPr>
              <w:ind w:left="6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(266,944)</w:t>
            </w:r>
          </w:p>
        </w:tc>
        <w:tc>
          <w:tcPr>
            <w:tcW w:w="10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(99,011)</w:t>
            </w:r>
          </w:p>
        </w:tc>
      </w:tr>
      <w:tr>
        <w:trPr>
          <w:trHeight w:val="20"/>
        </w:trPr>
        <w:tc>
          <w:tcPr>
            <w:tcW w:w="2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2860" w:type="dxa"/>
            <w:vAlign w:val="bottom"/>
            <w:tcBorders>
              <w:bottom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8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stock-based compensation expense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Years Ended January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97"/>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Cost of revenue—subscription</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r>
      <w:tr>
        <w:trPr>
          <w:trHeight w:val="210"/>
        </w:trPr>
        <w:tc>
          <w:tcPr>
            <w:tcW w:w="6320" w:type="dxa"/>
            <w:vAlign w:val="bottom"/>
          </w:tcPr>
          <w:p>
            <w:pPr>
              <w:ind w:left="60"/>
              <w:spacing w:after="0"/>
              <w:rPr>
                <w:sz w:val="20"/>
                <w:szCs w:val="20"/>
                <w:color w:val="auto"/>
              </w:rPr>
            </w:pPr>
            <w:r>
              <w:rPr>
                <w:rFonts w:ascii="Arial" w:cs="Arial" w:eastAsia="Arial" w:hAnsi="Arial"/>
                <w:sz w:val="14"/>
                <w:szCs w:val="14"/>
                <w:color w:val="auto"/>
              </w:rPr>
              <w:t>Cost of revenue—services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4,953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1,239</w:t>
            </w:r>
          </w:p>
        </w:tc>
      </w:tr>
      <w:tr>
        <w:trPr>
          <w:trHeight w:val="222"/>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Sales and marketing</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11,059</w:t>
            </w:r>
          </w:p>
        </w:tc>
      </w:tr>
      <w:tr>
        <w:trPr>
          <w:trHeight w:val="210"/>
        </w:trPr>
        <w:tc>
          <w:tcPr>
            <w:tcW w:w="6320" w:type="dxa"/>
            <w:vAlign w:val="bottom"/>
          </w:tcPr>
          <w:p>
            <w:pPr>
              <w:ind w:left="6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57,611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11,687</w:t>
            </w:r>
          </w:p>
        </w:tc>
      </w:tr>
      <w:tr>
        <w:trPr>
          <w:trHeight w:val="235"/>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General and administrative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11,371</w:t>
            </w:r>
          </w:p>
        </w:tc>
      </w:tr>
      <w:tr>
        <w:trPr>
          <w:trHeight w:val="203"/>
        </w:trPr>
        <w:tc>
          <w:tcPr>
            <w:tcW w:w="6320" w:type="dxa"/>
            <w:vAlign w:val="bottom"/>
          </w:tcPr>
          <w:p>
            <w:pPr>
              <w:ind w:left="260"/>
              <w:spacing w:after="0"/>
              <w:rPr>
                <w:sz w:val="20"/>
                <w:szCs w:val="20"/>
                <w:color w:val="auto"/>
              </w:rPr>
            </w:pPr>
            <w:r>
              <w:rPr>
                <w:rFonts w:ascii="Arial" w:cs="Arial" w:eastAsia="Arial" w:hAnsi="Arial"/>
                <w:sz w:val="14"/>
                <w:szCs w:val="14"/>
                <w:color w:val="auto"/>
              </w:rPr>
              <w:t>Total stock-based compensation expense</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149,313</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37,403</w:t>
            </w:r>
          </w:p>
        </w:tc>
      </w:tr>
      <w:tr>
        <w:trPr>
          <w:trHeight w:val="27"/>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Percentage of Revenue Data:</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60"/>
              <w:spacing w:after="0"/>
              <w:rPr>
                <w:sz w:val="20"/>
                <w:szCs w:val="20"/>
                <w:color w:val="auto"/>
              </w:rPr>
            </w:pPr>
            <w:r>
              <w:rPr>
                <w:rFonts w:ascii="Arial" w:cs="Arial" w:eastAsia="Arial" w:hAnsi="Arial"/>
                <w:sz w:val="18"/>
                <w:szCs w:val="18"/>
                <w:color w:val="auto"/>
              </w:rPr>
              <w:t>Revenue: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00" w:type="dxa"/>
            <w:vAlign w:val="bottom"/>
            <w:gridSpan w:val="2"/>
          </w:tcPr>
          <w:p>
            <w:pPr>
              <w:ind w:left="60"/>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cost of revenue</w:t>
            </w:r>
          </w:p>
        </w:tc>
        <w:tc>
          <w:tcPr>
            <w:tcW w:w="10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Arial" w:cs="Arial" w:eastAsia="Arial" w:hAnsi="Arial"/>
                <w:sz w:val="18"/>
                <w:szCs w:val="18"/>
                <w:color w:val="auto"/>
              </w:rPr>
              <w:t>Loss before provision for (benefit from) income taxes</w:t>
            </w:r>
          </w:p>
        </w:tc>
        <w:tc>
          <w:tcPr>
            <w:tcW w:w="10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5780"/>
              <w:spacing w:after="0"/>
              <w:rPr>
                <w:sz w:val="20"/>
                <w:szCs w:val="20"/>
                <w:color w:val="auto"/>
              </w:rPr>
            </w:pPr>
            <w:r>
              <w:rPr>
                <w:rFonts w:ascii="Arial" w:cs="Arial" w:eastAsia="Arial" w:hAnsi="Arial"/>
                <w:sz w:val="18"/>
                <w:szCs w:val="18"/>
                <w:color w:val="auto"/>
              </w:rPr>
              <w:t>54</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6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January 31,</w:t>
            </w:r>
          </w:p>
        </w:tc>
        <w:tc>
          <w:tcPr>
            <w:tcW w:w="780" w:type="dxa"/>
            <w:vAlign w:val="bottom"/>
          </w:tcPr>
          <w:p>
            <w:pPr>
              <w:spacing w:after="0"/>
              <w:rPr>
                <w:sz w:val="16"/>
                <w:szCs w:val="16"/>
                <w:color w:val="auto"/>
              </w:rPr>
            </w:pPr>
          </w:p>
        </w:tc>
        <w:tc>
          <w:tcPr>
            <w:tcW w:w="126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Subscription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399,826</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165,523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83"/>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590,380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168,660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$165.5 million primarily from additional sales to existing customers, which was estimated to have been $122.1 million. The remainder of the estimated $43.4 million increase in subscription revenue resulted from sales to new customers. The increase in services revenue was driven primarily by an increase in sales of professional services to new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January 31,</w:t>
            </w:r>
          </w:p>
        </w:tc>
        <w:tc>
          <w:tcPr>
            <w:tcW w:w="76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145,280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101,691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31,796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23,665</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177,076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125,356</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413,304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296,364</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116,940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Arial" w:cs="Arial" w:eastAsia="Arial" w:hAnsi="Arial"/>
                <w:sz w:val="18"/>
                <w:szCs w:val="18"/>
                <w:color w:val="auto"/>
              </w:rPr>
              <w:t>Gross margin</w:t>
            </w:r>
          </w:p>
        </w:tc>
        <w:tc>
          <w:tcPr>
            <w:tcW w:w="3480" w:type="dxa"/>
            <w:vAlign w:val="bottom"/>
          </w:tcPr>
          <w:p>
            <w:pPr>
              <w:jc w:val="right"/>
              <w:ind w:right="550"/>
              <w:spacing w:after="0"/>
              <w:rPr>
                <w:sz w:val="20"/>
                <w:szCs w:val="20"/>
                <w:color w:val="auto"/>
              </w:rPr>
            </w:pPr>
            <w:r>
              <w:rPr>
                <w:rFonts w:ascii="Arial" w:cs="Arial" w:eastAsia="Arial" w:hAnsi="Arial"/>
                <w:sz w:val="18"/>
                <w:szCs w:val="18"/>
                <w:color w:val="auto"/>
              </w:rPr>
              <w:t>70 %</w:t>
            </w:r>
          </w:p>
        </w:tc>
        <w:tc>
          <w:tcPr>
            <w:tcW w:w="4200" w:type="dxa"/>
            <w:vAlign w:val="bottom"/>
          </w:tcPr>
          <w:p>
            <w:pPr>
              <w:jc w:val="right"/>
              <w:ind w:right="3090"/>
              <w:spacing w:after="0"/>
              <w:rPr>
                <w:sz w:val="20"/>
                <w:szCs w:val="20"/>
                <w:color w:val="auto"/>
              </w:rPr>
            </w:pPr>
            <w:r>
              <w:rPr>
                <w:rFonts w:ascii="Arial" w:cs="Arial" w:eastAsia="Arial" w:hAnsi="Arial"/>
                <w:sz w:val="18"/>
                <w:szCs w:val="18"/>
                <w:color w:val="auto"/>
              </w:rPr>
              <w:t>70 %</w:t>
            </w:r>
          </w:p>
        </w:tc>
      </w:tr>
      <w:tr>
        <w:trPr>
          <w:trHeight w:val="270"/>
        </w:trPr>
        <w:tc>
          <w:tcPr>
            <w:tcW w:w="356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480" w:type="dxa"/>
            <w:vAlign w:val="bottom"/>
          </w:tcPr>
          <w:p>
            <w:pPr>
              <w:jc w:val="right"/>
              <w:ind w:right="550"/>
              <w:spacing w:after="0"/>
              <w:rPr>
                <w:sz w:val="20"/>
                <w:szCs w:val="20"/>
                <w:color w:val="auto"/>
              </w:rPr>
            </w:pPr>
            <w:r>
              <w:rPr>
                <w:rFonts w:ascii="Arial" w:cs="Arial" w:eastAsia="Arial" w:hAnsi="Arial"/>
                <w:sz w:val="18"/>
                <w:szCs w:val="18"/>
                <w:color w:val="auto"/>
              </w:rPr>
              <w:t>74 %</w:t>
            </w:r>
          </w:p>
        </w:tc>
        <w:tc>
          <w:tcPr>
            <w:tcW w:w="4200" w:type="dxa"/>
            <w:vAlign w:val="bottom"/>
          </w:tcPr>
          <w:p>
            <w:pPr>
              <w:jc w:val="right"/>
              <w:ind w:right="3090"/>
              <w:spacing w:after="0"/>
              <w:rPr>
                <w:sz w:val="20"/>
                <w:szCs w:val="20"/>
                <w:color w:val="auto"/>
              </w:rPr>
            </w:pPr>
            <w:r>
              <w:rPr>
                <w:rFonts w:ascii="Arial" w:cs="Arial" w:eastAsia="Arial" w:hAnsi="Arial"/>
                <w:sz w:val="18"/>
                <w:szCs w:val="18"/>
                <w:color w:val="auto"/>
              </w:rPr>
              <w:t>75 %</w:t>
            </w:r>
          </w:p>
        </w:tc>
      </w:tr>
      <w:tr>
        <w:trPr>
          <w:trHeight w:val="270"/>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w:t>
            </w:r>
          </w:p>
        </w:tc>
        <w:tc>
          <w:tcPr>
            <w:tcW w:w="42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(8)%</w:t>
            </w:r>
          </w:p>
        </w:tc>
      </w:tr>
    </w:tbl>
    <w:p>
      <w:pPr>
        <w:spacing w:after="0" w:line="148"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increase in subscription cost of revenue was primarily due to a $31.5 million increase in third-party cloud infrastructure costs, including costs associated with the growth of MongoDB Atlas, as well as a $9.7 million increase in personnel costs and stock-based compensation associated with increased headcount in our support organization. The increase in services cost of revenue was primarily due to higher compensation costs from increased headcount in our services organization and higher expense associated with our China Stock Appreciation Rights Plan, partially offset by lower travel costs resulting from global travel restrictions and stay-at-home or similar orders in effect due to the ongoing COVID-19 pandemic. Total headcount in our support and services organizations increased 28% from January 31, 2020 to January 31, 2021.</w:t>
      </w:r>
    </w:p>
    <w:p>
      <w:pPr>
        <w:spacing w:after="0" w:line="11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overall gross margin remained flat. Our subscription gross margin declined due to the increase in subscription revenue from MongoDB Atlas as a percentage of our overall revenue. This change in revenue mix caused gross margin to decline due to the increase in third-party cloud infrastructure costs associated with MongoDB Atlas. In addition, our cost of revenue included higher personnel costs and stock-based compensation. Our services gross margin was impacted by higher compensation costs combined with lower utilization of our services personnel due to impacts of the ongoing COVID-19 pandemic and is subject to fluctuations as a result of timing of sales of standalone consulting and training services.</w:t>
      </w:r>
    </w:p>
    <w:p>
      <w:pPr>
        <w:spacing w:after="0" w:line="27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5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223,893</w:t>
            </w:r>
          </w:p>
        </w:tc>
        <w:tc>
          <w:tcPr>
            <w:tcW w:w="88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101,207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increase in sales and marketing expense included $88.0 million from higher personnel costs and stock-based compensation, driven by an increase in our sales and marketing headcount to 1,171 as of January 31, 2021 from 789 as of January 31, 2020, which includes non-quota-carrying hires in sales operations, customer success and marketing. In addition, we experienced increased payroll taxes associated with employee stock option exercises and restricted stock unit vesting as a result of our higher average stock price as compared to the prior year. Sales and marketing expense also increased $20.4 million from costs associated with our higher headcount, including higher commissions expense and higher facilities and computer hardware and software expenses. In addition, expenses increased $6.8 million due to higher spend on marketing programs. These increases were partially offset by lower travel costs resulting from global travel restrictions and stay-at-home or similar orders in effect due to the ongoing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205,161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149,033</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56,128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The increase in research and development expense was primarily driven by a $63.0 million increase in personnel costs and stock-based compensation as we increased our research and development headcount by 34% to 638 as of January 31, 2021 from 476 as of January 31, 2020. The increase in personnel costs was impacted by higher payroll taxes associated with employee stock option exercises and restricted stock unit vesting as a result of our higher average stock price as compared to the prior-year period. These increases were partially offset by the full amortization of previously acquired developed technology intangible assets and the full amortization of the founder holdback associated with our acquisition of mLab and by lower travel costs resulting from global travel restrictions and stay-at-home or similar orders in effect due to the ongoing COVID-19 pandemic.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Years Ended January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92,347</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71,304</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21,043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$26.0 million of higher personnel costs and stock-based compensation. A portion of the increased personnel costs was from higher payroll taxes associated with employee stock option exercises and restricted stock unit vesting as a result of our higher average stock price as compared to the prior year. These higher costs were partially offset by lower travel costs resulting from global travel restrictions and stay-at-home or similar orders in effect due to the ongoing COVID-19 pandemic. The prior-year period included $0.6 million of costs associated with our acquisition of Realm, with no comparable costs for the year ended January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5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88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(25,077)</w:t>
            </w: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increase in other expense, net for the January 31, 2021 was primarily due to the amortization of debt discount and issuance costs, as well as interest expense, associated with our 0.25% convertible senior notes due 2026, which we issued in January 2020.</w:t>
      </w:r>
    </w:p>
    <w:p>
      <w:pPr>
        <w:spacing w:after="0" w:line="2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5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Years Ended January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5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4,251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9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provision for income taxes during the year ended January 31, 2021 was primarily due to an increase in foreign taxes as we continued our global expansion. The benefit for income taxes for the year ended January 31, 2020 was primarily due to a non-recurring tax benefit associated with the acquisition of Realm intangible assets, which reduced our deferred tax asset and the related valuation allowance.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2020 and 2019</w:t>
      </w:r>
    </w:p>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 xml:space="preserve">For a discussion of our results of operations for the year ended January 31, 2020 as compared to the year ended January 31, 2019,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our Annual Report on Form 10-K filed with the SEC on March 27,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As of January 31, 2021, we had cash, cash equivalents, short-term investments and restricted cash totaling $958.3 million.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January 2020, we issued $1.15 billion aggregate principal amount of 0.25% convertible senior notes due 2026 in a private placement (the “2026 Notes”). In June 2018, we issued $250.0 million aggregate principal amount of 0.75% convertible senior notes due 2024 in a private placement and, in July 2018, we issued an additional $50.0 million aggregate principal amount of convertible senior notes pursuant to the exercise in full of the initial purchasers’ option to purchase additional convertible senior notes (collectively, the “2024 Notes”). The total net proceeds from the issuance of the 2026 Notes and 2024 Notes, after deducting initial purchase discounts and estimated debt issuance costs, were approximately $1.13 billion and $291.1 million, respectively. In connection with the pricing of the 2026 Notes and 2024 Notes, we entered into privately negotiated capped call transactions with certain counterparties (the “Capped Calls”). The Capped Calls are expected to partially offset the potential dilution to our Class A common stock upon any conversion of the 2026 Notes and 2024 Notes, with such offset subject to a cap based on the cap price. We used $92.9 million of the proceeds from the 2026 Notes and $37.1 million of the proceeds from the 2024 Notes to purchase the Capped Calls, which was recorded as a reduction to additional paid-in capital.</w:t>
      </w:r>
    </w:p>
    <w:p>
      <w:pPr>
        <w:spacing w:after="0" w:line="112"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 xml:space="preserve">On January 14, 2020, in connection with the issuance of the 2026 Notes, we used a portion of the net proceeds to repurchase $210.0 million aggregate principal amount of the 2024 Notes (“2024 Notes Partial Repurchase”) leaving $90.0 million aggregate principal outstanding on the 2024 Notes as of January 31, 2020. The 2024 Notes Partial Repurchase were not pursuant to a redemption notice and were individually privately negotiated transactions for aggregate cash consideration of $479.2 million. For further discussion on the 2024 Notes and 2026 Notes, please refer to Note 6,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xml:space="preserve">,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Form 10-K.</w:t>
      </w:r>
    </w:p>
    <w:p>
      <w:pPr>
        <w:spacing w:after="0" w:line="122" w:lineRule="exact"/>
        <w:rPr>
          <w:sz w:val="20"/>
          <w:szCs w:val="20"/>
          <w:color w:val="auto"/>
        </w:rPr>
      </w:pPr>
    </w:p>
    <w:p>
      <w:pPr>
        <w:ind w:right="180" w:firstLine="486"/>
        <w:spacing w:after="0" w:line="287"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consolidated statements of cash flows. As of January 31, 2021, we had an accumulated deficit of $935.4 million. We expect to continue to incur operating losses and negative cash flows from operations in the future and may require additional capital resources to execute strategic initiatives to grow our business. Our future capital requirements and adequacy of available funds will depend on many factors including our growth rate, the timing and extent of spending to support development efforts, the expansion of sales and marketing and international operation activities, the timing of new subscription introductions, the continuing market acceptance of our subscriptions and services and the impact of the ongoing COVID-19 pandemic on the global economy and our business, financial condition and results of operations. As the impact of the ongoing COVID-19 pandemic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6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3"/>
        </w:trPr>
        <w:tc>
          <w:tcPr>
            <w:tcW w:w="6020" w:type="dxa"/>
            <w:vAlign w:val="bottom"/>
          </w:tcPr>
          <w:p>
            <w:pPr>
              <w:ind w:left="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(41,989)</w:t>
            </w:r>
          </w:p>
        </w:tc>
      </w:tr>
      <w:tr>
        <w:trPr>
          <w:trHeight w:val="270"/>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(160,279)</w:t>
            </w:r>
          </w:p>
        </w:tc>
      </w:tr>
      <w:tr>
        <w:trPr>
          <w:trHeight w:val="270"/>
        </w:trPr>
        <w:tc>
          <w:tcPr>
            <w:tcW w:w="6020" w:type="dxa"/>
            <w:vAlign w:val="bottom"/>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589,238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288,236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71" w:lineRule="exact"/>
        <w:rPr>
          <w:sz w:val="20"/>
          <w:szCs w:val="20"/>
          <w:color w:val="auto"/>
        </w:rPr>
      </w:pPr>
    </w:p>
    <w:p>
      <w:pPr>
        <w:ind w:right="40" w:firstLine="486"/>
        <w:spacing w:after="0" w:line="219" w:lineRule="exact"/>
        <w:rPr>
          <w:sz w:val="20"/>
          <w:szCs w:val="20"/>
          <w:color w:val="auto"/>
        </w:rPr>
      </w:pPr>
      <w:r>
        <w:rPr>
          <w:rFonts w:ascii="Arial" w:cs="Arial" w:eastAsia="Arial" w:hAnsi="Arial"/>
          <w:sz w:val="18"/>
          <w:szCs w:val="18"/>
          <w:color w:val="auto"/>
        </w:rPr>
        <w:t>Cash used in operating activities during the year ended January 31, 2021 was $42.7 million primarily driven by our net loss of $266.9 million, which was partially offset by non</w:t>
      </w:r>
      <w:r>
        <w:rPr>
          <w:rFonts w:ascii="MS PGothic" w:cs="MS PGothic" w:eastAsia="MS PGothic" w:hAnsi="MS PGothic"/>
          <w:sz w:val="18"/>
          <w:szCs w:val="18"/>
          <w:color w:val="auto"/>
        </w:rPr>
        <w:t>‑</w:t>
      </w:r>
      <w:r>
        <w:rPr>
          <w:rFonts w:ascii="Arial" w:cs="Arial" w:eastAsia="Arial" w:hAnsi="Arial"/>
          <w:sz w:val="18"/>
          <w:szCs w:val="18"/>
          <w:color w:val="auto"/>
        </w:rPr>
        <w:t>cash charges of $149.3 million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$49.1 million for the amortization of our debt discount and issuance costs, $14.2 million for depreciation and amortization and $10.4 million for lease-related non-cash charges. In addition, our accrued and other liabilities increased $41.6 million, primarily from commissions, bonuses and related payroll taxes accrued as of January 31, 2021. The overall growth of our sales and our expanding customer base led to an increase in deferred revenue by $48.2 million, offset by an increase in accounts receivable of $47.6 million and an increase of $41.6 million in deferred commissions.</w:t>
      </w:r>
    </w:p>
    <w:p>
      <w:pPr>
        <w:spacing w:after="0" w:line="149" w:lineRule="exact"/>
        <w:rPr>
          <w:sz w:val="20"/>
          <w:szCs w:val="20"/>
          <w:color w:val="auto"/>
        </w:rPr>
      </w:pPr>
    </w:p>
    <w:p>
      <w:pPr>
        <w:ind w:right="40" w:firstLine="486"/>
        <w:spacing w:after="0" w:line="218" w:lineRule="exact"/>
        <w:rPr>
          <w:sz w:val="20"/>
          <w:szCs w:val="20"/>
          <w:color w:val="auto"/>
        </w:rPr>
      </w:pPr>
      <w:r>
        <w:rPr>
          <w:rFonts w:ascii="Arial" w:cs="Arial" w:eastAsia="Arial" w:hAnsi="Arial"/>
          <w:sz w:val="16"/>
          <w:szCs w:val="16"/>
          <w:color w:val="auto"/>
        </w:rPr>
        <w:t>Cash used in operating activities during the year ended January 31, 2020 was $29.5 million primarily driven by our net loss of $175.5 million and was 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$75.8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$14.8 million for the amortization of our debt discount and issuance costs, $14.5 million for the loss on early extinguishment of debt, $12.8 million for depreciation and amortization and $8.8 million for lease-related non-cash charges. In addition, we increased our deferred revenue by $53.1 million, partially offset by a decrease in accounts receivable of $12.7 million, reflecting the overall growth of our sales and our expanding customer base. Additionally, our accrued liabilities increased $20.4 million, primarily from commissions and bonuses accrued as of January 31, 2020. Partially offsetting these benefits to our operating cash flow were an increase of $28.4 million in deferred commissions, non-cash benefits of $3.3 million from the non-recurring tax benefit associated with the acquisition of Realm intangible assets, a non-cash benefit of $4.1 million associated with the discount on our short-term investments and a reduction of our prepaid expenses of $3.8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Cash used in investing activities during the year ended January 31, 2021 of $262.7 million resulted from the purchase of marketable securities, net of maturities, $11.8 million used to purchase property and equipment and $0.5 million of net cash used to purchase non-marketable securities.</w:t>
      </w:r>
    </w:p>
    <w:p>
      <w:pPr>
        <w:spacing w:after="0" w:line="9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2020 of $1.6 million resulted from the purchase of marketable securities, net of maturities, $38.6 million of net cash used to acquire Realm and $3.6 million used to purchase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Cash provided by financing activities during the year ended January 31, 2021 was $27.6 million, primarily due to $18.5 million of proceeds from the issuance of Class A common stock under the Employee Stock Purchase Plan and $17.0 million of proceeds from the exercises of stock options, partially offset by $4.6 million principal repayments of finance leases, as well as $4.2 million used for payments of issuance costs related to our January 2020 offering of 0.25% convertible senior notes due 2026 that had been accrued as of January 31, 2020.</w:t>
      </w:r>
    </w:p>
    <w:p>
      <w:pPr>
        <w:spacing w:after="0" w:line="117"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Cash provided by financing activities during the year ended January 31, 2020 was $589.2 million primarily due to $1.1 billion of proceeds from the issuance of the 2026 Notes, net of issuance costs and the Capped Calls, as well as the proceeds from the exercise of stock options and issuance of common stock under the Employee Stock Purchase Plan. These proceeds were partially offset by $479.1 million used for the 2024 Notes Partial Repurchase.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Non-GAAP Free Cash Flow</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(“GAAP”), we provide investors with the amount of free cash flow, which is a non-GAAP financial measure. Free cash flow represents net cash used in operating activities less capital expenditures, principal repayments of finance lease liabilities and capitalized software development costs, if any. For the fiscal years ended January 31, 2021, 2020 and 2019, we did not capitalize any software development costs. Free cash flow is</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measure used by management to understand and evaluate our liquidity and to generate future operating plans. The exclusion of capital expenditures, principal repayments of finance lease liabilities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2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used in operating activities, the most directly comparable GAAP measure, for each of the periods indicated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6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53"/>
        </w:trPr>
        <w:tc>
          <w:tcPr>
            <w:tcW w:w="6020" w:type="dxa"/>
            <w:vAlign w:val="bottom"/>
          </w:tcPr>
          <w:p>
            <w:pPr>
              <w:ind w:left="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(41,989)</w:t>
            </w:r>
          </w:p>
        </w:tc>
      </w:tr>
      <w:tr>
        <w:trPr>
          <w:trHeight w:val="270"/>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Principal repayments of finance leases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(59,079)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(48,837)</w:t>
            </w:r>
          </w:p>
        </w:tc>
      </w:tr>
      <w:tr>
        <w:trPr>
          <w:trHeight w:val="20"/>
        </w:trPr>
        <w:tc>
          <w:tcPr>
            <w:tcW w:w="6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January 31, 2021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1 to 3 Years</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to 5 Years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0.75% convertible senior notes due 2024</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0.25% convertible senior notes due 2026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1,155,750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16,432</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1,330,247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50,550</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principal contractual obligations and commitments consist of the principal and future interest payments related to our 2024 Notes and 2026 Notes, our purchase obligations under non-cancelable agreements for cloud infrastructure capacity commitments and subscription and marketing services and our finance and operating lease obligations under non-cancelable leases for office space expiring through 2029. In December 2020, we expanded our enterprise partnership arrangement with a cloud infrastructure provider that includes a non-cancelable commitment of $160.0 million over the next three years, which commenced during January 2021. Excluded in the contractual obligations and commitments table above are lease commitments for additional office space that commence after January 31, 2021.</w:t>
      </w:r>
    </w:p>
    <w:p>
      <w:pPr>
        <w:spacing w:after="0" w:line="138" w:lineRule="exact"/>
        <w:rPr>
          <w:sz w:val="20"/>
          <w:szCs w:val="20"/>
          <w:color w:val="auto"/>
        </w:rPr>
      </w:pPr>
    </w:p>
    <w:p>
      <w:pPr>
        <w:jc w:val="both"/>
        <w:ind w:right="500" w:firstLine="486"/>
        <w:spacing w:after="0" w:line="263" w:lineRule="auto"/>
        <w:rPr>
          <w:sz w:val="20"/>
          <w:szCs w:val="20"/>
          <w:color w:val="auto"/>
        </w:rPr>
      </w:pPr>
      <w:r>
        <w:rPr>
          <w:rFonts w:ascii="Arial" w:cs="Arial" w:eastAsia="Arial" w:hAnsi="Arial"/>
          <w:sz w:val="18"/>
          <w:szCs w:val="18"/>
          <w:color w:val="auto"/>
        </w:rPr>
        <w:t xml:space="preserve">For further details of our contractual obligations and lease agreements, refer to our Notes to Consolidated Financial Statements, within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Form 10-K, specifically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Commitments and Contingencies.</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derive our revenue from two sources: (1) sales of subscriptions, including term license and post-contract customer support (“PCS”) and consumption-based database-as-a-service offerings;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130" w:lineRule="exact"/>
        <w:rPr>
          <w:sz w:val="20"/>
          <w:szCs w:val="20"/>
          <w:color w:val="auto"/>
        </w:rPr>
      </w:pPr>
    </w:p>
    <w:p>
      <w:pPr>
        <w:ind w:left="660" w:right="60" w:hanging="328"/>
        <w:spacing w:after="0" w:line="291" w:lineRule="auto"/>
        <w:tabs>
          <w:tab w:leader="none" w:pos="647"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the contract, or contracts, with a customer. </w:t>
      </w:r>
      <w:r>
        <w:rPr>
          <w:rFonts w:ascii="Arial" w:cs="Arial" w:eastAsia="Arial" w:hAnsi="Arial"/>
          <w:sz w:val="16"/>
          <w:szCs w:val="16"/>
          <w:color w:val="auto"/>
        </w:rPr>
        <w:t>We contract with our customers through order forms, which are governed by</w:t>
      </w:r>
      <w:r>
        <w:rPr>
          <w:rFonts w:ascii="Arial" w:cs="Arial" w:eastAsia="Arial" w:hAnsi="Arial"/>
          <w:sz w:val="16"/>
          <w:szCs w:val="16"/>
          <w:b w:val="1"/>
          <w:bCs w:val="1"/>
          <w:color w:val="auto"/>
        </w:rPr>
        <w:t xml:space="preserve"> </w:t>
      </w:r>
      <w:r>
        <w:rPr>
          <w:rFonts w:ascii="Arial" w:cs="Arial" w:eastAsia="Arial" w:hAnsi="Arial"/>
          <w:sz w:val="16"/>
          <w:szCs w:val="16"/>
          <w:color w:val="auto"/>
        </w:rPr>
        <w:t>master 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spacing w:after="0" w:line="105" w:lineRule="exact"/>
        <w:rPr>
          <w:rFonts w:ascii="Arial" w:cs="Arial" w:eastAsia="Arial" w:hAnsi="Arial"/>
          <w:sz w:val="16"/>
          <w:szCs w:val="16"/>
          <w:color w:val="auto"/>
        </w:rPr>
      </w:pPr>
    </w:p>
    <w:p>
      <w:pPr>
        <w:ind w:left="660" w:right="20" w:hanging="328"/>
        <w:spacing w:after="0" w:line="255"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the performance obligations in the contract. </w:t>
      </w:r>
      <w:r>
        <w:rPr>
          <w:rFonts w:ascii="Arial" w:cs="Arial" w:eastAsia="Arial" w:hAnsi="Arial"/>
          <w:sz w:val="18"/>
          <w:szCs w:val="18"/>
          <w:color w:val="auto"/>
        </w:rPr>
        <w:t>Performance obligations promised in a contract are identified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4" w:lineRule="exact"/>
        <w:rPr>
          <w:rFonts w:ascii="Arial" w:cs="Arial" w:eastAsia="Arial" w:hAnsi="Arial"/>
          <w:sz w:val="18"/>
          <w:szCs w:val="18"/>
          <w:color w:val="auto"/>
        </w:rPr>
      </w:pPr>
    </w:p>
    <w:p>
      <w:pPr>
        <w:ind w:left="660" w:right="20" w:hanging="328"/>
        <w:spacing w:after="0" w:line="261"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The transaction price is determined based on the consideration to which we expect to be entitled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125" w:lineRule="exact"/>
        <w:rPr>
          <w:rFonts w:ascii="Arial" w:cs="Arial" w:eastAsia="Arial" w:hAnsi="Arial"/>
          <w:sz w:val="18"/>
          <w:szCs w:val="18"/>
          <w:color w:val="auto"/>
        </w:rPr>
      </w:pPr>
    </w:p>
    <w:p>
      <w:pPr>
        <w:ind w:left="660" w:hanging="328"/>
        <w:spacing w:after="0" w:line="272" w:lineRule="auto"/>
        <w:tabs>
          <w:tab w:leader="none" w:pos="644"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the transaction price to the performance obligations in the contract. </w:t>
      </w:r>
      <w:r>
        <w:rPr>
          <w:rFonts w:ascii="Arial" w:cs="Arial" w:eastAsia="Arial" w:hAnsi="Arial"/>
          <w:sz w:val="17"/>
          <w:szCs w:val="17"/>
          <w:color w:val="auto"/>
        </w:rPr>
        <w:t>If the contract contains a single performance obligation,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we utilize all observable data points including competitor pricing for a similar or identical product, market and industry data points and our pricing practices.</w:t>
      </w:r>
    </w:p>
    <w:p>
      <w:pPr>
        <w:spacing w:after="0" w:line="117" w:lineRule="exact"/>
        <w:rPr>
          <w:rFonts w:ascii="Arial" w:cs="Arial" w:eastAsia="Arial" w:hAnsi="Arial"/>
          <w:sz w:val="17"/>
          <w:szCs w:val="17"/>
          <w:color w:val="auto"/>
        </w:rPr>
      </w:pPr>
    </w:p>
    <w:p>
      <w:pPr>
        <w:ind w:left="660" w:right="40" w:hanging="328"/>
        <w:spacing w:after="0" w:line="282"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revenue when, or as, we satisfy a performance obligation. </w:t>
      </w:r>
      <w:r>
        <w:rPr>
          <w:rFonts w:ascii="Arial" w:cs="Arial" w:eastAsia="Arial" w:hAnsi="Arial"/>
          <w:sz w:val="18"/>
          <w:szCs w:val="18"/>
          <w:color w:val="auto"/>
        </w:rPr>
        <w:t>We recognize revenue at the time the related performance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satisfied when control of the services or products are transferred to the customers,</w:t>
      </w:r>
    </w:p>
    <w:p>
      <w:pPr>
        <w:spacing w:after="0" w:line="26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in an amount that reflects the consideration we expect to be entitled to in exchange for those services or products. We record our revenue net of any value added or sales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C2C2C"/>
        </w:rPr>
        <w:t>Business Combinations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use our best estimates and assumptions to assign fair value to the tangible and intangible assets acquired and liabilities assumed as of the acquisition date.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 for a discussion of recent accounting pronouncements, including our adoption of the new credit loss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Accounting Standards Codification 326.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 in the ordinary course of business. The uncertainty that exists with respect to the global economic impact of the ongoing COVID-19 pandemic has introduced significant volatility in the financial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cash and cash equivalents primarily consist of bank deposits and money market funds and our short-term investments consist of U.S. government treasury securities. As of January 31, 2021 and 2020, we had cash, cash equivalents, restricted cash and short-term investments of $958.3 million and $987.0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2021 and 2020.</w:t>
      </w:r>
    </w:p>
    <w:p>
      <w:pPr>
        <w:spacing w:after="0" w:line="11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June 2018, we issued $250.0 million aggregate principal amount of 0.75% convertible senior notes due 2024 in a private placement and, in July 2018, we issued an additional $50.0 million aggregate principal amount of 0.75% convertible senior notes pursuant to the exercise in full of the initial purchasers’ option to purchase additional convertible senior notes (collectively, the “2024 Notes”). In January 2020, we issued $1.15 billion aggregate principal amount of 0.25% convertible senior notes due 2026 in a private placement (the “2026 Notes”). Concurrently with the issuance of the 2026 Notes, we repurchased $210.0 million aggregate principal amount of the 2024 Notes leaving $90.0 million aggregate principal outstanding on the 2024 Notes immediately after the exchange. The fair values of the 2024 Notes and 2026 Notes are subject to interest rate risk, market risk and other factors due to the conversion feature. The fair value of the 2024 Notes and 2026 Notes will generally increase as our Class A common stock price increases and will generally decrease as our Class A common stock price declines. The interest and market value changes affect the fair value of the 2024 Notes and 2026 Notes, but do not impact our financial position, cash flows or results of operations due to the fixed nature of the debt obligation. Additionally, we carry the 2024 Notes and 2026 Notes at face value less unamortized discount on our balance sheet, and we present the fair value for required disclosure purposes only.</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2021 and 2020.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 Risk</w:t>
      </w:r>
    </w:p>
    <w:p>
      <w:pPr>
        <w:spacing w:after="0" w:line="17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Company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The Company’s non-marketable securities are subject to a risk of partial or total loss of invested capital. As of January 31, 2021, the total amount of non-marketable equity securities included in other assets on the Company’s balance sheets was $0.5 million. The Company did not have any such non-marketable securities in any prior periods.</w:t>
      </w:r>
    </w:p>
    <w:p>
      <w:pPr>
        <w:spacing w:after="0" w:line="27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10660" w:type="dxa"/>
            <w:vAlign w:val="bottom"/>
            <w:gridSpan w:val="9"/>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Report of Independent Registered Public Accounting Firm</w:t>
              </w:r>
            </w:hyperlink>
          </w:p>
        </w:tc>
        <w:tc>
          <w:tcPr>
            <w:tcW w:w="540" w:type="dxa"/>
            <w:vAlign w:val="bottom"/>
            <w:gridSpan w:val="2"/>
          </w:tcPr>
          <w:p>
            <w:pPr>
              <w:jc w:val="right"/>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c>
          <w:tcPr>
            <w:tcW w:w="20" w:type="dxa"/>
            <w:vAlign w:val="bottom"/>
          </w:tcPr>
          <w:p>
            <w:pPr>
              <w:spacing w:after="0"/>
              <w:rPr>
                <w:sz w:val="16"/>
                <w:szCs w:val="16"/>
                <w:color w:val="auto"/>
              </w:rPr>
            </w:pPr>
          </w:p>
        </w:tc>
      </w:tr>
      <w:tr>
        <w:trPr>
          <w:trHeight w:val="249"/>
        </w:trPr>
        <w:tc>
          <w:tcPr>
            <w:tcW w:w="20" w:type="dxa"/>
            <w:vAlign w:val="bottom"/>
          </w:tcPr>
          <w:p>
            <w:pPr>
              <w:spacing w:after="0"/>
              <w:rPr>
                <w:sz w:val="21"/>
                <w:szCs w:val="21"/>
                <w:color w:val="auto"/>
              </w:rPr>
            </w:pPr>
          </w:p>
        </w:tc>
        <w:tc>
          <w:tcPr>
            <w:tcW w:w="42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Financial Statements:</w:t>
            </w:r>
          </w:p>
        </w:tc>
        <w:tc>
          <w:tcPr>
            <w:tcW w:w="644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6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68">
              <w:r>
                <w:rPr>
                  <w:rFonts w:ascii="Arial" w:cs="Arial" w:eastAsia="Arial" w:hAnsi="Arial"/>
                  <w:sz w:val="18"/>
                  <w:szCs w:val="18"/>
                  <w:color w:val="0000FF"/>
                  <w:w w:val="88"/>
                </w:rPr>
                <w:t>Consolidated Balance Sheets as of January 31, 2021 and 2020</w:t>
              </w:r>
            </w:hyperlink>
          </w:p>
        </w:tc>
        <w:tc>
          <w:tcPr>
            <w:tcW w:w="598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Consolidated Statements of Operations for the years ended January 31, 2021, 2020 and 2019</w:t>
              </w:r>
            </w:hyperlink>
          </w:p>
        </w:tc>
        <w:tc>
          <w:tcPr>
            <w:tcW w:w="378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Comprehensive Loss for the years ended January 31, 2021, 2020 and 2019</w:t>
              </w:r>
            </w:hyperlink>
          </w:p>
        </w:tc>
        <w:tc>
          <w:tcPr>
            <w:tcW w:w="54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Consolidated Statements of Stockholders’ Equity (Deficit) for the years ended January 31, 2021, 2020 and 2019</w:t>
              </w:r>
            </w:hyperlink>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69</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Cash Flows for years ended January 31, 2021, 2020 and 2019</w:t>
              </w:r>
            </w:hyperlink>
          </w:p>
        </w:tc>
        <w:tc>
          <w:tcPr>
            <w:tcW w:w="540" w:type="dxa"/>
            <w:vAlign w:val="bottom"/>
            <w:gridSpan w:val="2"/>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40" w:type="dxa"/>
            <w:vAlign w:val="bottom"/>
            <w:tcBorders>
              <w:top w:val="single" w:sz="8" w:color="0000FF"/>
            </w:tcBorders>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Notes to Consolidated Financial Statements</w:t>
              </w:r>
            </w:hyperlink>
          </w:p>
        </w:tc>
        <w:tc>
          <w:tcPr>
            <w:tcW w:w="400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72</w:t>
              </w:r>
            </w:hyperlink>
          </w:p>
        </w:tc>
        <w:tc>
          <w:tcPr>
            <w:tcW w:w="20" w:type="dxa"/>
            <w:vAlign w:val="bottom"/>
          </w:tcPr>
          <w:p>
            <w:pPr>
              <w:spacing w:after="0"/>
              <w:rPr>
                <w:sz w:val="18"/>
                <w:szCs w:val="18"/>
                <w:color w:val="auto"/>
              </w:rPr>
            </w:pPr>
          </w:p>
        </w:tc>
      </w:tr>
      <w:tr>
        <w:trPr>
          <w:trHeight w:val="885"/>
        </w:trPr>
        <w:tc>
          <w:tcPr>
            <w:tcW w:w="240" w:type="dxa"/>
            <w:vAlign w:val="bottom"/>
            <w:gridSpan w:val="2"/>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300" w:type="dxa"/>
            <w:vAlign w:val="bottom"/>
            <w:gridSpan w:val="3"/>
          </w:tcPr>
          <w:p>
            <w:pPr>
              <w:jc w:val="right"/>
              <w:ind w:right="7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722"/>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MongoDB, Inc. and its subsidiaries (the “Company”) as of January 31, 2021 and 2020, and the related consolidated statements of operations, of comprehensive loss, of stockholders' equity (deficit) and of cash flows for each of the three years in the period ended January 31, 2021, including the related notes and schedule of valuation and qualifying accounts for each of the three years in the period ended January 31, 2021 appearing under Item 15(a)(2) (collectively referred to as the “consolidated financial statements”). We also have audited the Company's internal control over financial reporting as of January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2021 and 2020, and the results of its operations and its cash flows for each of the three years in the period ended January 31, 2021 in conformity with accounting principles generally accepted in the United States of America. Also in our opinion, the Company maintained, in all material respects, effective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5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Allocation of Transaction Price in Revenue Arrangements with Multiple Performance Obligations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2 and 10 to the consolidated financial statements, other subscription revenue was $294.5 million for the year ended January 31, 2021. Certain of the Company’s contracts with customers contain multiple performance obligations, such as the license portion of time-based software licenses, post-contract customer support, and services. For these contracts that contain multiple performance obligations, management allocates the transaction price to each performance obligation based on a relative standalone selling price. Management determines each standalone selling price based on multiple factors, including past history of selling such performance obligations as standalone products. Management estimates standalone selling price for performance obligations with no observable evidence using adjusted market, cost plus and residual methods to establish the standalone selling prices. In cases where directly observable standalone sales are not available, management utilizes all observable data points including competitor pricing for a similar or identical product, market and industry data points, and the Company’s pricing practices.</w:t>
      </w:r>
    </w:p>
    <w:p>
      <w:pPr>
        <w:spacing w:after="0" w:line="12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 allocation of transaction price in revenue arrangements with multiple performance obligations is a critical audit matter are (i) the significant judgment by management in estimating the standalone selling price for certain of the Company’s performance obligations and allocating the transaction price based on a relative allocation of standalone selling price to those individual performance obligations, which in turn led to (ii) significant auditor judgment, subjectivity and effort in performing procedures and evaluating management’s estimates of standalone selling price and the allocation of transaction price to the individual performance obligations.</w:t>
      </w:r>
    </w:p>
    <w:p>
      <w:pPr>
        <w:spacing w:after="0" w:line="1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estimation of the standalone selling price and the allocation of transaction price to the individual performance obligations. These procedures also included testing management’s process for estimating the standalone selling prices, which involved (i) evaluating the appropriateness of the methodologies used by management in establishing the standalone selling prices; (ii) assessing the reasonableness of the significant assumptions developed by management; and</w:t>
      </w:r>
    </w:p>
    <w:p>
      <w:pPr>
        <w:spacing w:after="0" w:line="2" w:lineRule="exact"/>
        <w:rPr>
          <w:sz w:val="20"/>
          <w:szCs w:val="20"/>
          <w:color w:val="auto"/>
        </w:rPr>
      </w:pPr>
    </w:p>
    <w:p>
      <w:pPr>
        <w:ind w:right="380" w:firstLine="8"/>
        <w:spacing w:after="0" w:line="260"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the source data utilized in management’s estimate calculations. These procedures also included testing the relative allocation of transaction price to individual performance obligations based on a sample of contracts.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7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340" w:type="dxa"/>
            <w:vAlign w:val="bottom"/>
          </w:tcPr>
          <w:p>
            <w:pPr>
              <w:jc w:val="center"/>
              <w:ind w:left="2662"/>
              <w:spacing w:after="0"/>
              <w:rPr>
                <w:sz w:val="20"/>
                <w:szCs w:val="20"/>
                <w:color w:val="auto"/>
              </w:rPr>
            </w:pPr>
            <w:r>
              <w:rPr>
                <w:rFonts w:ascii="Arial" w:cs="Arial" w:eastAsia="Arial" w:hAnsi="Arial"/>
                <w:sz w:val="18"/>
                <w:szCs w:val="18"/>
                <w:b w:val="1"/>
                <w:bCs w:val="1"/>
                <w:color w:val="auto"/>
              </w:rPr>
              <w:t>MONGODB, INC.</w:t>
            </w:r>
          </w:p>
        </w:tc>
        <w:tc>
          <w:tcPr>
            <w:tcW w:w="340" w:type="dxa"/>
            <w:vAlign w:val="bottom"/>
          </w:tcPr>
          <w:p>
            <w:pPr>
              <w:spacing w:after="0"/>
              <w:rPr>
                <w:sz w:val="18"/>
                <w:szCs w:val="18"/>
                <w:color w:val="auto"/>
              </w:rPr>
            </w:pPr>
          </w:p>
        </w:tc>
      </w:tr>
      <w:tr>
        <w:trPr>
          <w:trHeight w:val="220"/>
        </w:trPr>
        <w:tc>
          <w:tcPr>
            <w:tcW w:w="8340" w:type="dxa"/>
            <w:vAlign w:val="bottom"/>
          </w:tcPr>
          <w:p>
            <w:pPr>
              <w:jc w:val="center"/>
              <w:ind w:left="2662"/>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9"/>
                <w:szCs w:val="19"/>
                <w:color w:val="auto"/>
              </w:rPr>
            </w:pPr>
          </w:p>
        </w:tc>
      </w:tr>
      <w:tr>
        <w:trPr>
          <w:trHeight w:val="230"/>
        </w:trPr>
        <w:tc>
          <w:tcPr>
            <w:tcW w:w="8340" w:type="dxa"/>
            <w:vAlign w:val="bottom"/>
          </w:tcPr>
          <w:p>
            <w:pPr>
              <w:jc w:val="center"/>
              <w:ind w:left="2682"/>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340" w:type="dxa"/>
            <w:vAlign w:val="bottom"/>
          </w:tcPr>
          <w:p>
            <w:pPr>
              <w:spacing w:after="0"/>
              <w:rPr>
                <w:sz w:val="20"/>
                <w:szCs w:val="20"/>
                <w:color w:val="auto"/>
              </w:rPr>
            </w:pPr>
          </w:p>
        </w:tc>
      </w:tr>
      <w:tr>
        <w:trPr>
          <w:trHeight w:val="721"/>
        </w:trPr>
        <w:tc>
          <w:tcPr>
            <w:tcW w:w="83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24"/>
                <w:szCs w:val="24"/>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17"/>
                <w:szCs w:val="17"/>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8340" w:type="dxa"/>
            <w:vAlign w:val="bottom"/>
          </w:tcPr>
          <w:p>
            <w:pPr>
              <w:ind w:left="200"/>
              <w:spacing w:after="0"/>
              <w:rPr>
                <w:sz w:val="20"/>
                <w:szCs w:val="20"/>
                <w:color w:val="auto"/>
              </w:rPr>
            </w:pPr>
            <w:r>
              <w:rPr>
                <w:rFonts w:ascii="Arial" w:cs="Arial" w:eastAsia="Arial" w:hAnsi="Arial"/>
                <w:sz w:val="15"/>
                <w:szCs w:val="15"/>
                <w:color w:val="auto"/>
              </w:rPr>
              <w:t>Short-term investments</w:t>
            </w:r>
          </w:p>
        </w:tc>
        <w:tc>
          <w:tcPr>
            <w:tcW w:w="340" w:type="dxa"/>
            <w:vAlign w:val="bottom"/>
          </w:tcPr>
          <w:p>
            <w:pPr>
              <w:spacing w:after="0"/>
              <w:rPr>
                <w:sz w:val="18"/>
                <w:szCs w:val="18"/>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5"/>
                <w:szCs w:val="15"/>
                <w:color w:val="auto"/>
                <w:w w:val="95"/>
              </w:rPr>
              <w:t>Accounts receivable, net of allowance for doubtful accounts of $6,024 and $2,515 as of January 31, 2021 and 2020, respectively</w:t>
            </w:r>
          </w:p>
        </w:tc>
        <w:tc>
          <w:tcPr>
            <w:tcW w:w="340" w:type="dxa"/>
            <w:vAlign w:val="bottom"/>
          </w:tcPr>
          <w:p>
            <w:pPr>
              <w:spacing w:after="0"/>
              <w:rPr>
                <w:sz w:val="19"/>
                <w:szCs w:val="19"/>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Deferred commissions</w:t>
            </w:r>
          </w:p>
        </w:tc>
        <w:tc>
          <w:tcPr>
            <w:tcW w:w="340" w:type="dxa"/>
            <w:vAlign w:val="bottom"/>
          </w:tcPr>
          <w:p>
            <w:pPr>
              <w:spacing w:after="0"/>
              <w:rPr>
                <w:sz w:val="19"/>
                <w:szCs w:val="19"/>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19"/>
                <w:szCs w:val="19"/>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5"/>
                <w:szCs w:val="15"/>
                <w:color w:val="auto"/>
              </w:rPr>
              <w:t>Total current assets</w:t>
            </w:r>
          </w:p>
        </w:tc>
        <w:tc>
          <w:tcPr>
            <w:tcW w:w="340" w:type="dxa"/>
            <w:vAlign w:val="bottom"/>
          </w:tcPr>
          <w:p>
            <w:pPr>
              <w:spacing w:after="0"/>
              <w:rPr>
                <w:sz w:val="21"/>
                <w:szCs w:val="21"/>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340" w:type="dxa"/>
            <w:vAlign w:val="bottom"/>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340" w:type="dxa"/>
            <w:vAlign w:val="bottom"/>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5"/>
                <w:szCs w:val="15"/>
                <w:color w:val="auto"/>
              </w:rPr>
              <w:t>Goodwill</w:t>
            </w:r>
          </w:p>
        </w:tc>
        <w:tc>
          <w:tcPr>
            <w:tcW w:w="340" w:type="dxa"/>
            <w:vAlign w:val="bottom"/>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5"/>
                <w:szCs w:val="15"/>
                <w:color w:val="auto"/>
              </w:rPr>
              <w:t>Acquired intangible assets, net</w:t>
            </w:r>
          </w:p>
        </w:tc>
        <w:tc>
          <w:tcPr>
            <w:tcW w:w="340" w:type="dxa"/>
            <w:vAlign w:val="bottom"/>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5"/>
                <w:szCs w:val="15"/>
                <w:color w:val="auto"/>
              </w:rPr>
              <w:t>Deferred tax assets</w:t>
            </w:r>
          </w:p>
        </w:tc>
        <w:tc>
          <w:tcPr>
            <w:tcW w:w="340" w:type="dxa"/>
            <w:vAlign w:val="bottom"/>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9"/>
                <w:szCs w:val="19"/>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5"/>
                <w:szCs w:val="15"/>
                <w:color w:val="auto"/>
              </w:rPr>
              <w:t>Total assets</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834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 (Deficit)</w:t>
            </w:r>
          </w:p>
        </w:tc>
        <w:tc>
          <w:tcPr>
            <w:tcW w:w="340" w:type="dxa"/>
            <w:vAlign w:val="bottom"/>
          </w:tcPr>
          <w:p>
            <w:pPr>
              <w:spacing w:after="0"/>
              <w:rPr>
                <w:sz w:val="19"/>
                <w:szCs w:val="19"/>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5"/>
                <w:szCs w:val="15"/>
                <w:color w:val="auto"/>
              </w:rPr>
              <w:t>Current liabilities:</w:t>
            </w:r>
          </w:p>
        </w:tc>
        <w:tc>
          <w:tcPr>
            <w:tcW w:w="340" w:type="dxa"/>
            <w:vAlign w:val="bottom"/>
          </w:tcPr>
          <w:p>
            <w:pPr>
              <w:spacing w:after="0"/>
              <w:rPr>
                <w:sz w:val="17"/>
                <w:szCs w:val="17"/>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8340" w:type="dxa"/>
            <w:vAlign w:val="bottom"/>
          </w:tcPr>
          <w:p>
            <w:pPr>
              <w:ind w:left="200"/>
              <w:spacing w:after="0"/>
              <w:rPr>
                <w:sz w:val="20"/>
                <w:szCs w:val="20"/>
                <w:color w:val="auto"/>
              </w:rPr>
            </w:pPr>
            <w:r>
              <w:rPr>
                <w:rFonts w:ascii="Arial" w:cs="Arial" w:eastAsia="Arial" w:hAnsi="Arial"/>
                <w:sz w:val="15"/>
                <w:szCs w:val="15"/>
                <w:color w:val="auto"/>
              </w:rPr>
              <w:t>Accrued compensation and benefits</w:t>
            </w:r>
          </w:p>
        </w:tc>
        <w:tc>
          <w:tcPr>
            <w:tcW w:w="340" w:type="dxa"/>
            <w:vAlign w:val="bottom"/>
          </w:tcPr>
          <w:p>
            <w:pPr>
              <w:spacing w:after="0"/>
              <w:rPr>
                <w:sz w:val="18"/>
                <w:szCs w:val="18"/>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Operating lease liabilities</w:t>
            </w:r>
          </w:p>
        </w:tc>
        <w:tc>
          <w:tcPr>
            <w:tcW w:w="340" w:type="dxa"/>
            <w:vAlign w:val="bottom"/>
          </w:tcPr>
          <w:p>
            <w:pPr>
              <w:spacing w:after="0"/>
              <w:rPr>
                <w:sz w:val="19"/>
                <w:szCs w:val="19"/>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Other accrued liabilities</w:t>
            </w:r>
          </w:p>
        </w:tc>
        <w:tc>
          <w:tcPr>
            <w:tcW w:w="340" w:type="dxa"/>
            <w:vAlign w:val="bottom"/>
          </w:tcPr>
          <w:p>
            <w:pPr>
              <w:spacing w:after="0"/>
              <w:rPr>
                <w:sz w:val="19"/>
                <w:szCs w:val="19"/>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9"/>
                <w:szCs w:val="19"/>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340" w:type="dxa"/>
            <w:vAlign w:val="bottom"/>
          </w:tcPr>
          <w:p>
            <w:pPr>
              <w:spacing w:after="0"/>
              <w:rPr>
                <w:sz w:val="21"/>
                <w:szCs w:val="2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5"/>
                <w:szCs w:val="15"/>
                <w:color w:val="auto"/>
              </w:rPr>
              <w:t>Deferred tax liability, non-current</w:t>
            </w:r>
          </w:p>
        </w:tc>
        <w:tc>
          <w:tcPr>
            <w:tcW w:w="340" w:type="dxa"/>
            <w:vAlign w:val="bottom"/>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5"/>
                <w:szCs w:val="15"/>
                <w:color w:val="auto"/>
              </w:rPr>
              <w:t>Operating lease liabilities, non-current</w:t>
            </w:r>
          </w:p>
        </w:tc>
        <w:tc>
          <w:tcPr>
            <w:tcW w:w="340" w:type="dxa"/>
            <w:vAlign w:val="bottom"/>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340" w:type="dxa"/>
            <w:vAlign w:val="bottom"/>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5"/>
                <w:szCs w:val="15"/>
                <w:color w:val="auto"/>
              </w:rPr>
              <w:t>Convertible senior notes, net</w:t>
            </w:r>
          </w:p>
        </w:tc>
        <w:tc>
          <w:tcPr>
            <w:tcW w:w="340" w:type="dxa"/>
            <w:vAlign w:val="bottom"/>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5"/>
                <w:szCs w:val="15"/>
                <w:color w:val="auto"/>
              </w:rPr>
              <w:t>Other liabilities, non-current</w:t>
            </w:r>
          </w:p>
        </w:tc>
        <w:tc>
          <w:tcPr>
            <w:tcW w:w="340" w:type="dxa"/>
            <w:vAlign w:val="bottom"/>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21"/>
                <w:szCs w:val="2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5"/>
                <w:szCs w:val="15"/>
                <w:color w:val="auto"/>
              </w:rPr>
              <w:t>Commitments and contingencies (Note 8)</w:t>
            </w:r>
          </w:p>
        </w:tc>
        <w:tc>
          <w:tcPr>
            <w:tcW w:w="340" w:type="dxa"/>
            <w:vAlign w:val="bottom"/>
          </w:tcPr>
          <w:p>
            <w:pPr>
              <w:spacing w:after="0"/>
              <w:rPr>
                <w:sz w:val="19"/>
                <w:szCs w:val="19"/>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5"/>
                <w:szCs w:val="15"/>
                <w:color w:val="auto"/>
              </w:rPr>
              <w:t>Temporary equity, convertible senior notes</w:t>
            </w:r>
          </w:p>
        </w:tc>
        <w:tc>
          <w:tcPr>
            <w:tcW w:w="340" w:type="dxa"/>
            <w:vAlign w:val="bottom"/>
          </w:tcPr>
          <w:p>
            <w:pPr>
              <w:spacing w:after="0"/>
              <w:rPr>
                <w:sz w:val="17"/>
                <w:szCs w:val="17"/>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-4503420</wp:posOffset>
            </wp:positionV>
            <wp:extent cx="711517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-4229100</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-3937635</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-3345815</wp:posOffset>
            </wp:positionV>
            <wp:extent cx="711517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-3054350</wp:posOffset>
            </wp:positionV>
            <wp:extent cx="711517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-2763520</wp:posOffset>
            </wp:positionV>
            <wp:extent cx="711517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-2179955</wp:posOffset>
            </wp:positionV>
            <wp:extent cx="711517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-1888490</wp:posOffset>
            </wp:positionV>
            <wp:extent cx="71151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-1597025</wp:posOffset>
            </wp:positionV>
            <wp:extent cx="711517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-1297305</wp:posOffset>
            </wp:positionV>
            <wp:extent cx="711517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-996950</wp:posOffset>
            </wp:positionV>
            <wp:extent cx="711517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-688340</wp:posOffset>
            </wp:positionV>
            <wp:extent cx="711517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-123190</wp:posOffset>
            </wp:positionV>
            <wp:extent cx="711517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-380365</wp:posOffset>
            </wp:positionV>
            <wp:extent cx="711517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-2437130</wp:posOffset>
            </wp:positionV>
            <wp:extent cx="711517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-3637280</wp:posOffset>
            </wp:positionV>
            <wp:extent cx="71151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 w:lineRule="exact"/>
        <w:rPr>
          <w:sz w:val="20"/>
          <w:szCs w:val="20"/>
          <w:color w:val="auto"/>
        </w:rPr>
      </w:pPr>
    </w:p>
    <w:p>
      <w:pPr>
        <w:jc w:val="both"/>
        <w:ind w:left="400" w:right="220"/>
        <w:spacing w:after="0" w:line="259" w:lineRule="auto"/>
        <w:rPr>
          <w:sz w:val="20"/>
          <w:szCs w:val="20"/>
          <w:color w:val="auto"/>
        </w:rPr>
      </w:pPr>
      <w:r>
        <w:rPr>
          <w:rFonts w:ascii="Arial" w:cs="Arial" w:eastAsia="Arial" w:hAnsi="Arial"/>
          <w:sz w:val="15"/>
          <w:szCs w:val="15"/>
          <w:color w:val="auto"/>
        </w:rPr>
        <w:t>Class A common stock, par value of $0.001 per share; 1,000,000,000 shares authorized as of January 31, 2021 and 2020; 60,997,822 shares issued and 60,898,451 shares outstanding as of January 31, 2021 and 48,512,090 shares issued and outstanding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7115175" cy="368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spacing w:after="0" w:line="2" w:lineRule="exact"/>
        <w:rPr>
          <w:sz w:val="20"/>
          <w:szCs w:val="20"/>
          <w:color w:val="auto"/>
        </w:rPr>
      </w:pPr>
    </w:p>
    <w:p>
      <w:pPr>
        <w:jc w:val="both"/>
        <w:ind w:left="400" w:right="160"/>
        <w:spacing w:after="0" w:line="259" w:lineRule="auto"/>
        <w:rPr>
          <w:sz w:val="20"/>
          <w:szCs w:val="20"/>
          <w:color w:val="auto"/>
        </w:rPr>
      </w:pPr>
      <w:r>
        <w:rPr>
          <w:rFonts w:ascii="Arial" w:cs="Arial" w:eastAsia="Arial" w:hAnsi="Arial"/>
          <w:sz w:val="15"/>
          <w:szCs w:val="15"/>
          <w:color w:val="auto"/>
        </w:rPr>
        <w:t>Class B common stock, par value of $0.001 per share; no shares and 100,000,000 shares authorized as of January 31, 2021 and 2020, respectively; no shares issued and outstanding as of January 31, 2021; 8,969,824 shares issued and 8,870,453 shares outstanding as of January 31, 2020</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7115175"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Treasury stock, 99,371 shares (repurchased at an average of $13.27 per share) as of January 31, 2021 and 2020</w:t>
      </w:r>
    </w:p>
    <w:p>
      <w:pPr>
        <w:spacing w:after="0" w:line="30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711517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Accumulated deficit</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5"/>
          <w:szCs w:val="15"/>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71151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8" w:lineRule="exact"/>
        <w:rPr>
          <w:sz w:val="20"/>
          <w:szCs w:val="20"/>
          <w:color w:val="auto"/>
        </w:rPr>
      </w:pPr>
    </w:p>
    <w:p>
      <w:pPr>
        <w:ind w:left="80"/>
        <w:spacing w:after="0"/>
        <w:tabs>
          <w:tab w:leader="none" w:pos="8660" w:val="left"/>
        </w:tabs>
        <w:rPr>
          <w:sz w:val="20"/>
          <w:szCs w:val="20"/>
          <w:color w:val="auto"/>
        </w:rPr>
      </w:pPr>
      <w:r>
        <w:rPr>
          <w:rFonts w:ascii="Arial" w:cs="Arial" w:eastAsia="Arial" w:hAnsi="Arial"/>
          <w:sz w:val="15"/>
          <w:szCs w:val="15"/>
          <w:color w:val="auto"/>
        </w:rPr>
        <w:t>Total liabilities, temporary equity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32385</wp:posOffset>
            </wp:positionV>
            <wp:extent cx="16287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23495</wp:posOffset>
            </wp:positionV>
            <wp:extent cx="1628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429,697</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706,192</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528,045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280,326</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135,176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85,554</w:t>
            </w:r>
          </w:p>
        </w:tc>
      </w:tr>
      <w:tr>
        <w:trPr>
          <w:trHeight w:val="230"/>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36,619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24,219</w:t>
            </w:r>
          </w:p>
        </w:tc>
      </w:tr>
      <w:tr>
        <w:trPr>
          <w:trHeight w:val="247"/>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12,350</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16,905</w:t>
            </w:r>
          </w:p>
        </w:tc>
      </w:tr>
      <w:tr>
        <w:trPr>
          <w:trHeight w:val="206"/>
        </w:trPr>
        <w:tc>
          <w:tcPr>
            <w:tcW w:w="780" w:type="dxa"/>
            <w:vAlign w:val="bottom"/>
          </w:tcPr>
          <w:p>
            <w:pPr>
              <w:jc w:val="right"/>
              <w:ind w:right="104"/>
              <w:spacing w:after="0"/>
              <w:rPr>
                <w:sz w:val="20"/>
                <w:szCs w:val="20"/>
                <w:color w:val="auto"/>
              </w:rPr>
            </w:pPr>
            <w:r>
              <w:rPr>
                <w:rFonts w:ascii="Arial" w:cs="Arial" w:eastAsia="Arial" w:hAnsi="Arial"/>
                <w:sz w:val="15"/>
                <w:szCs w:val="15"/>
                <w:color w:val="auto"/>
                <w:w w:val="86"/>
              </w:rPr>
              <w:t>1,141,887</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1,113,196</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62,364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58,316</w:t>
            </w:r>
          </w:p>
        </w:tc>
      </w:tr>
      <w:tr>
        <w:trPr>
          <w:trHeight w:val="230"/>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34,587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11,147</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55,830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55,830</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26,275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34,779</w:t>
            </w:r>
          </w:p>
        </w:tc>
      </w:tr>
    </w:tbl>
    <w:p>
      <w:pPr>
        <w:spacing w:after="0" w:line="35" w:lineRule="exact"/>
        <w:rPr>
          <w:sz w:val="20"/>
          <w:szCs w:val="20"/>
          <w:color w:val="auto"/>
        </w:rPr>
      </w:pPr>
    </w:p>
    <w:p>
      <w:pPr>
        <w:ind w:left="1800" w:hanging="1344"/>
        <w:spacing w:after="0"/>
        <w:tabs>
          <w:tab w:leader="none" w:pos="1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615</w:t>
      </w:r>
    </w:p>
    <w:p>
      <w:pPr>
        <w:spacing w:after="0" w:line="70"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5"/>
          <w:szCs w:val="15"/>
          <w:color w:val="auto"/>
        </w:rPr>
        <w:t>85,555</w:t>
      </w:r>
      <w:r>
        <w:rPr>
          <w:rFonts w:ascii="Arial" w:cs="Arial" w:eastAsia="Arial" w:hAnsi="Arial"/>
          <w:sz w:val="13"/>
          <w:szCs w:val="13"/>
          <w:color w:val="auto"/>
        </w:rPr>
        <w:t>54,684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19050</wp:posOffset>
            </wp:positionV>
            <wp:extent cx="16287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780" w:type="dxa"/>
            <w:vAlign w:val="bottom"/>
          </w:tcPr>
          <w:p>
            <w:pPr>
              <w:jc w:val="right"/>
              <w:ind w:right="104"/>
              <w:spacing w:after="0"/>
              <w:rPr>
                <w:sz w:val="20"/>
                <w:szCs w:val="20"/>
                <w:color w:val="auto"/>
              </w:rPr>
            </w:pPr>
            <w:r>
              <w:rPr>
                <w:rFonts w:ascii="Arial" w:cs="Arial" w:eastAsia="Arial" w:hAnsi="Arial"/>
                <w:sz w:val="15"/>
                <w:szCs w:val="15"/>
                <w:color w:val="auto"/>
                <w:w w:val="86"/>
              </w:rPr>
              <w:t>1,407,495</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1,328,567</w:t>
            </w:r>
          </w:p>
        </w:tc>
      </w:tr>
      <w:tr>
        <w:trPr>
          <w:trHeight w:val="24"/>
        </w:trPr>
        <w:tc>
          <w:tcPr>
            <w:tcW w:w="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93"/>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4,144</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2,849</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70,210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41,427</w:t>
            </w:r>
          </w:p>
        </w:tc>
      </w:tr>
      <w:tr>
        <w:trPr>
          <w:trHeight w:val="230"/>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2,343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3,750</w:t>
            </w:r>
          </w:p>
        </w:tc>
      </w:tr>
      <w:tr>
        <w:trPr>
          <w:trHeight w:val="229"/>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56,440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26,860</w:t>
            </w:r>
          </w:p>
        </w:tc>
      </w:tr>
      <w:tr>
        <w:trPr>
          <w:trHeight w:val="247"/>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221,404</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167,498</w:t>
            </w:r>
          </w:p>
        </w:tc>
      </w:tr>
      <w:tr>
        <w:trPr>
          <w:trHeight w:val="205"/>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354,541</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242,384</w:t>
            </w:r>
          </w:p>
        </w:tc>
      </w:tr>
      <w:tr>
        <w:trPr>
          <w:trHeight w:val="230"/>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773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821</w:t>
            </w:r>
          </w:p>
        </w:tc>
      </w:tr>
      <w:tr>
        <w:trPr>
          <w:trHeight w:val="243"/>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39,095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8,113</w:t>
            </w:r>
          </w:p>
        </w:tc>
      </w:tr>
      <w:tr>
        <w:trPr>
          <w:trHeight w:val="243"/>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16,547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23,281</w:t>
            </w:r>
          </w:p>
        </w:tc>
      </w:tr>
      <w:tr>
        <w:trPr>
          <w:trHeight w:val="243"/>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937,729</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911,075</w:t>
            </w:r>
          </w:p>
        </w:tc>
      </w:tr>
      <w:tr>
        <w:trPr>
          <w:trHeight w:val="247"/>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59,129</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60,035</w:t>
            </w:r>
          </w:p>
        </w:tc>
      </w:tr>
      <w:tr>
        <w:trPr>
          <w:trHeight w:val="223"/>
        </w:trPr>
        <w:tc>
          <w:tcPr>
            <w:tcW w:w="780" w:type="dxa"/>
            <w:vAlign w:val="bottom"/>
          </w:tcPr>
          <w:p>
            <w:pPr>
              <w:jc w:val="right"/>
              <w:ind w:right="104"/>
              <w:spacing w:after="0"/>
              <w:rPr>
                <w:sz w:val="20"/>
                <w:szCs w:val="20"/>
                <w:color w:val="auto"/>
              </w:rPr>
            </w:pPr>
            <w:r>
              <w:rPr>
                <w:rFonts w:ascii="Arial" w:cs="Arial" w:eastAsia="Arial" w:hAnsi="Arial"/>
                <w:sz w:val="15"/>
                <w:szCs w:val="15"/>
                <w:color w:val="auto"/>
                <w:w w:val="86"/>
              </w:rPr>
              <w:t>1,407,814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1,245,709</w:t>
            </w:r>
          </w:p>
        </w:tc>
      </w:tr>
      <w:tr>
        <w:trPr>
          <w:trHeight w:val="381"/>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4,714</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783"/>
        </w:trPr>
        <w:tc>
          <w:tcPr>
            <w:tcW w:w="780" w:type="dxa"/>
            <w:vAlign w:val="bottom"/>
          </w:tcPr>
          <w:p>
            <w:pPr>
              <w:jc w:val="right"/>
              <w:ind w:right="104"/>
              <w:spacing w:after="0"/>
              <w:rPr>
                <w:sz w:val="20"/>
                <w:szCs w:val="20"/>
                <w:color w:val="auto"/>
              </w:rPr>
            </w:pPr>
            <w:r>
              <w:rPr>
                <w:rFonts w:ascii="Arial" w:cs="Arial" w:eastAsia="Arial" w:hAnsi="Arial"/>
                <w:sz w:val="15"/>
                <w:szCs w:val="15"/>
                <w:color w:val="auto"/>
              </w:rPr>
              <w:t>61</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-902970</wp:posOffset>
            </wp:positionV>
            <wp:extent cx="7797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-1811655</wp:posOffset>
            </wp:positionV>
            <wp:extent cx="779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-2823210</wp:posOffset>
            </wp:positionV>
            <wp:extent cx="7797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9</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932,332</w:t>
      </w:r>
      <w:r>
        <w:rPr>
          <w:rFonts w:ascii="Arial" w:cs="Arial" w:eastAsia="Arial" w:hAnsi="Arial"/>
          <w:sz w:val="13"/>
          <w:szCs w:val="13"/>
          <w:color w:val="auto"/>
        </w:rPr>
        <w:t>752,127</w:t>
      </w:r>
    </w:p>
    <w:p>
      <w:pPr>
        <w:spacing w:after="0" w:line="300" w:lineRule="exact"/>
        <w:rPr>
          <w:sz w:val="20"/>
          <w:szCs w:val="20"/>
          <w:color w:val="auto"/>
        </w:rPr>
      </w:pPr>
    </w:p>
    <w:p>
      <w:pPr>
        <w:ind w:left="280"/>
        <w:spacing w:after="0"/>
        <w:tabs>
          <w:tab w:leader="none" w:pos="1600" w:val="left"/>
        </w:tabs>
        <w:rPr>
          <w:sz w:val="20"/>
          <w:szCs w:val="20"/>
          <w:color w:val="auto"/>
        </w:rPr>
      </w:pPr>
      <w:r>
        <w:rPr>
          <w:rFonts w:ascii="Arial" w:cs="Arial" w:eastAsia="Arial" w:hAnsi="Arial"/>
          <w:sz w:val="14"/>
          <w:szCs w:val="14"/>
          <w:color w:val="auto"/>
        </w:rPr>
        <w:t>(1,319)</w:t>
      </w:r>
      <w:r>
        <w:rPr>
          <w:sz w:val="20"/>
          <w:szCs w:val="20"/>
          <w:color w:val="auto"/>
        </w:rPr>
        <w:tab/>
      </w:r>
      <w:r>
        <w:rPr>
          <w:rFonts w:ascii="Arial" w:cs="Arial" w:eastAsia="Arial" w:hAnsi="Arial"/>
          <w:sz w:val="14"/>
          <w:szCs w:val="14"/>
          <w:color w:val="auto"/>
        </w:rPr>
        <w:t>(1,319)</w:t>
      </w:r>
    </w:p>
    <w:p>
      <w:pPr>
        <w:spacing w:after="0" w:line="69" w:lineRule="exact"/>
        <w:rPr>
          <w:sz w:val="20"/>
          <w:szCs w:val="20"/>
          <w:color w:val="auto"/>
        </w:rPr>
      </w:pPr>
    </w:p>
    <w:p>
      <w:pPr>
        <w:ind w:left="1800" w:hanging="1408"/>
        <w:spacing w:after="0"/>
        <w:tabs>
          <w:tab w:leader="none" w:pos="1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225</w:t>
      </w:r>
    </w:p>
    <w:p>
      <w:pPr>
        <w:spacing w:after="0" w:line="70"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(935,403)</w:t>
      </w:r>
      <w:r>
        <w:rPr>
          <w:rFonts w:ascii="Arial" w:cs="Arial" w:eastAsia="Arial" w:hAnsi="Arial"/>
          <w:sz w:val="14"/>
          <w:szCs w:val="14"/>
          <w:color w:val="auto"/>
        </w:rPr>
        <w:t>(668,232)</w:t>
      </w:r>
    </w:p>
    <w:p>
      <w:pPr>
        <w:spacing w:after="0" w:line="97"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(5,033)</w:t>
      </w:r>
      <w:r>
        <w:rPr>
          <w:rFonts w:ascii="Arial" w:cs="Arial" w:eastAsia="Arial" w:hAnsi="Arial"/>
          <w:sz w:val="13"/>
          <w:szCs w:val="13"/>
          <w:color w:val="auto"/>
        </w:rPr>
        <w:t>82,858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-151765</wp:posOffset>
            </wp:positionV>
            <wp:extent cx="162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51" w:lineRule="exact"/>
        <w:rPr>
          <w:sz w:val="20"/>
          <w:szCs w:val="20"/>
          <w:color w:val="auto"/>
        </w:rPr>
      </w:pPr>
    </w:p>
    <w:p>
      <w:pPr>
        <w:ind w:left="80"/>
        <w:spacing w:after="0"/>
        <w:tabs>
          <w:tab w:leader="none" w:pos="860" w:val="left"/>
          <w:tab w:leader="none" w:pos="1380" w:val="left"/>
        </w:tabs>
        <w:rPr>
          <w:sz w:val="20"/>
          <w:szCs w:val="20"/>
          <w:color w:val="auto"/>
        </w:rPr>
      </w:pPr>
      <w:r>
        <w:rPr>
          <w:rFonts w:ascii="Arial" w:cs="Arial" w:eastAsia="Arial" w:hAnsi="Arial"/>
          <w:sz w:val="15"/>
          <w:szCs w:val="15"/>
          <w:color w:val="auto"/>
        </w:rPr>
        <w:t>1,407,495</w:t>
        <w:tab/>
        <w:t>$</w:t>
      </w:r>
      <w:r>
        <w:rPr>
          <w:sz w:val="20"/>
          <w:szCs w:val="20"/>
          <w:color w:val="auto"/>
        </w:rPr>
        <w:tab/>
      </w:r>
      <w:r>
        <w:rPr>
          <w:rFonts w:ascii="Arial" w:cs="Arial" w:eastAsia="Arial" w:hAnsi="Arial"/>
          <w:sz w:val="13"/>
          <w:szCs w:val="13"/>
          <w:color w:val="auto"/>
        </w:rPr>
        <w:t>1,328,567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44450</wp:posOffset>
            </wp:positionV>
            <wp:extent cx="16287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380"/>
            <w:col w:w="2080"/>
          </w:cols>
          <w:pgMar w:left="320" w:top="122" w:right="35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20"/>
          </w:cols>
          <w:pgMar w:left="320" w:top="122" w:right="359" w:bottom="1440" w:gutter="0" w:footer="0" w:header="0"/>
          <w:type w:val="continuous"/>
        </w:sectPr>
      </w:pPr>
    </w:p>
    <w:p>
      <w:pPr>
        <w:spacing w:after="0" w:line="23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565,349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399,826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248,391</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267,016</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56,255</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125,356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73,568</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193,448</w:t>
            </w:r>
          </w:p>
        </w:tc>
        <w:tc>
          <w:tcPr>
            <w:tcW w:w="0" w:type="dxa"/>
            <w:vAlign w:val="bottom"/>
          </w:tcPr>
          <w:p>
            <w:pPr>
              <w:spacing w:after="0"/>
              <w:rPr>
                <w:sz w:val="1"/>
                <w:szCs w:val="1"/>
                <w:color w:val="auto"/>
              </w:rPr>
            </w:pPr>
          </w:p>
        </w:tc>
      </w:tr>
      <w:tr>
        <w:trPr>
          <w:trHeight w:val="229"/>
        </w:trPr>
        <w:tc>
          <w:tcPr>
            <w:tcW w:w="664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148,296</w:t>
            </w:r>
          </w:p>
        </w:tc>
        <w:tc>
          <w:tcPr>
            <w:tcW w:w="0" w:type="dxa"/>
            <w:vAlign w:val="bottom"/>
          </w:tcPr>
          <w:p>
            <w:pPr>
              <w:spacing w:after="0"/>
              <w:rPr>
                <w:sz w:val="1"/>
                <w:szCs w:val="1"/>
                <w:color w:val="auto"/>
              </w:rPr>
            </w:pPr>
          </w:p>
        </w:tc>
      </w:tr>
      <w:tr>
        <w:trPr>
          <w:trHeight w:val="270"/>
        </w:trPr>
        <w:tc>
          <w:tcPr>
            <w:tcW w:w="6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205,161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89,854</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92,347</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53,063</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291,213</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229"/>
        </w:trPr>
        <w:tc>
          <w:tcPr>
            <w:tcW w:w="6640" w:type="dxa"/>
            <w:vAlign w:val="bottom"/>
          </w:tcPr>
          <w:p>
            <w:pPr>
              <w:ind w:left="6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70"/>
        </w:trPr>
        <w:tc>
          <w:tcPr>
            <w:tcW w:w="66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50"/>
        </w:trPr>
        <w:tc>
          <w:tcPr>
            <w:tcW w:w="6640" w:type="dxa"/>
            <w:vAlign w:val="bottom"/>
          </w:tcPr>
          <w:p>
            <w:pPr>
              <w:ind w:left="6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(102,329)</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64"/>
        </w:trPr>
        <w:tc>
          <w:tcPr>
            <w:tcW w:w="6640" w:type="dxa"/>
            <w:vAlign w:val="bottom"/>
          </w:tcPr>
          <w:p>
            <w:pPr>
              <w:ind w:left="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(266,944)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(175,522)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(99,011)</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58,984,604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55,939,032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52,034,596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January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1"/>
        </w:trPr>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(99,011)</w:t>
            </w:r>
          </w:p>
        </w:tc>
      </w:tr>
      <w:tr>
        <w:trPr>
          <w:trHeight w:val="230"/>
        </w:trPr>
        <w:tc>
          <w:tcPr>
            <w:tcW w:w="6640" w:type="dxa"/>
            <w:vAlign w:val="bottom"/>
          </w:tcPr>
          <w:p>
            <w:pPr>
              <w:ind w:left="6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83"/>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63"/>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640" w:type="dxa"/>
            <w:vAlign w:val="bottom"/>
          </w:tcPr>
          <w:p>
            <w:pPr>
              <w:ind w:left="60"/>
              <w:spacing w:after="0"/>
              <w:rPr>
                <w:sz w:val="20"/>
                <w:szCs w:val="20"/>
                <w:color w:val="auto"/>
              </w:rPr>
            </w:pPr>
            <w:r>
              <w:rPr>
                <w:rFonts w:ascii="Arial" w:cs="Arial" w:eastAsia="Arial" w:hAnsi="Arial"/>
                <w:sz w:val="18"/>
                <w:szCs w:val="18"/>
                <w:color w:val="auto"/>
              </w:rPr>
              <w:t>Total comprehensive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(267,873)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(175,123)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(99,026)</w:t>
            </w:r>
          </w:p>
        </w:tc>
      </w:tr>
      <w:tr>
        <w:trPr>
          <w:trHeight w:val="21"/>
        </w:trPr>
        <w:tc>
          <w:tcPr>
            <w:tcW w:w="6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 thousands, except share data)</w:t>
      </w:r>
    </w:p>
    <w:p>
      <w:pPr>
        <w:spacing w:after="0" w:line="131" w:lineRule="exact"/>
        <w:rPr>
          <w:sz w:val="20"/>
          <w:szCs w:val="20"/>
          <w:color w:val="auto"/>
        </w:rPr>
      </w:pPr>
    </w:p>
    <w:tbl>
      <w:tblPr>
        <w:tblLayout w:type="fixed"/>
        <w:tblInd w:w="3220" w:type="dxa"/>
        <w:tblCellMar>
          <w:top w:w="0" w:type="dxa"/>
          <w:left w:w="0" w:type="dxa"/>
          <w:bottom w:w="0" w:type="dxa"/>
          <w:right w:w="0" w:type="dxa"/>
        </w:tblCellMar>
      </w:tblPr>
      <w:tr>
        <w:trPr>
          <w:trHeight w:val="138"/>
        </w:trPr>
        <w:tc>
          <w:tcPr>
            <w:tcW w:w="1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Class A and Class B</w:t>
            </w:r>
          </w:p>
        </w:tc>
        <w:tc>
          <w:tcPr>
            <w:tcW w:w="880" w:type="dxa"/>
            <w:vAlign w:val="bottom"/>
            <w:vMerge w:val="restart"/>
          </w:tcPr>
          <w:p>
            <w:pPr>
              <w:jc w:val="center"/>
              <w:ind w:left="45"/>
              <w:spacing w:after="0"/>
              <w:rPr>
                <w:sz w:val="20"/>
                <w:szCs w:val="20"/>
                <w:color w:val="auto"/>
              </w:rPr>
            </w:pPr>
            <w:r>
              <w:rPr>
                <w:rFonts w:ascii="Arial" w:cs="Arial" w:eastAsia="Arial" w:hAnsi="Arial"/>
                <w:sz w:val="12"/>
                <w:szCs w:val="12"/>
                <w:b w:val="1"/>
                <w:bCs w:val="1"/>
                <w:color w:val="auto"/>
                <w:w w:val="91"/>
              </w:rPr>
              <w:t>Additional</w:t>
            </w:r>
          </w:p>
        </w:tc>
        <w:tc>
          <w:tcPr>
            <w:tcW w:w="1880" w:type="dxa"/>
            <w:vAlign w:val="bottom"/>
          </w:tcPr>
          <w:p>
            <w:pPr>
              <w:jc w:val="center"/>
              <w:ind w:left="844"/>
              <w:spacing w:after="0"/>
              <w:rPr>
                <w:sz w:val="20"/>
                <w:szCs w:val="20"/>
                <w:color w:val="auto"/>
              </w:rPr>
            </w:pPr>
            <w:r>
              <w:rPr>
                <w:rFonts w:ascii="Arial" w:cs="Arial" w:eastAsia="Arial" w:hAnsi="Arial"/>
                <w:sz w:val="12"/>
                <w:szCs w:val="12"/>
                <w:b w:val="1"/>
                <w:bCs w:val="1"/>
                <w:color w:val="auto"/>
                <w:w w:val="87"/>
              </w:rPr>
              <w:t>Accumulated</w:t>
            </w:r>
          </w:p>
        </w:tc>
        <w:tc>
          <w:tcPr>
            <w:tcW w:w="860" w:type="dxa"/>
            <w:vAlign w:val="bottom"/>
          </w:tcPr>
          <w:p>
            <w:pPr>
              <w:spacing w:after="0"/>
              <w:rPr>
                <w:sz w:val="12"/>
                <w:szCs w:val="12"/>
                <w:color w:val="auto"/>
              </w:rPr>
            </w:pPr>
          </w:p>
        </w:tc>
        <w:tc>
          <w:tcPr>
            <w:tcW w:w="800" w:type="dxa"/>
            <w:vAlign w:val="bottom"/>
          </w:tcPr>
          <w:p>
            <w:pPr>
              <w:jc w:val="center"/>
              <w:ind w:left="4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1680" w:type="dxa"/>
            <w:vAlign w:val="bottom"/>
            <w:gridSpan w:val="2"/>
          </w:tcPr>
          <w:p>
            <w:pPr>
              <w:jc w:val="center"/>
              <w:spacing w:after="0" w:line="118" w:lineRule="exact"/>
              <w:rPr>
                <w:sz w:val="20"/>
                <w:szCs w:val="20"/>
                <w:color w:val="auto"/>
              </w:rPr>
            </w:pPr>
            <w:r>
              <w:rPr>
                <w:rFonts w:ascii="Arial" w:cs="Arial" w:eastAsia="Arial" w:hAnsi="Arial"/>
                <w:sz w:val="12"/>
                <w:szCs w:val="12"/>
                <w:b w:val="1"/>
                <w:bCs w:val="1"/>
                <w:color w:val="auto"/>
                <w:w w:val="86"/>
              </w:rPr>
              <w:t>Common Stock</w:t>
            </w:r>
          </w:p>
        </w:tc>
        <w:tc>
          <w:tcPr>
            <w:tcW w:w="880" w:type="dxa"/>
            <w:vAlign w:val="bottom"/>
            <w:vMerge w:val="continue"/>
          </w:tcPr>
          <w:p>
            <w:pPr>
              <w:spacing w:after="0"/>
              <w:rPr>
                <w:sz w:val="10"/>
                <w:szCs w:val="10"/>
                <w:color w:val="auto"/>
              </w:rPr>
            </w:pPr>
          </w:p>
        </w:tc>
        <w:tc>
          <w:tcPr>
            <w:tcW w:w="1880" w:type="dxa"/>
            <w:vAlign w:val="bottom"/>
          </w:tcPr>
          <w:p>
            <w:pPr>
              <w:jc w:val="center"/>
              <w:ind w:left="844"/>
              <w:spacing w:after="0" w:line="118" w:lineRule="exact"/>
              <w:rPr>
                <w:sz w:val="20"/>
                <w:szCs w:val="20"/>
                <w:color w:val="auto"/>
              </w:rPr>
            </w:pPr>
            <w:r>
              <w:rPr>
                <w:rFonts w:ascii="Arial" w:cs="Arial" w:eastAsia="Arial" w:hAnsi="Arial"/>
                <w:sz w:val="12"/>
                <w:szCs w:val="12"/>
                <w:b w:val="1"/>
                <w:bCs w:val="1"/>
                <w:color w:val="auto"/>
                <w:w w:val="93"/>
              </w:rPr>
              <w:t>Other</w:t>
            </w:r>
          </w:p>
        </w:tc>
        <w:tc>
          <w:tcPr>
            <w:tcW w:w="860" w:type="dxa"/>
            <w:vAlign w:val="bottom"/>
          </w:tcPr>
          <w:p>
            <w:pPr>
              <w:spacing w:after="0"/>
              <w:rPr>
                <w:sz w:val="10"/>
                <w:szCs w:val="10"/>
                <w:color w:val="auto"/>
              </w:rPr>
            </w:pPr>
          </w:p>
        </w:tc>
        <w:tc>
          <w:tcPr>
            <w:tcW w:w="800" w:type="dxa"/>
            <w:vAlign w:val="bottom"/>
          </w:tcPr>
          <w:p>
            <w:pPr>
              <w:jc w:val="center"/>
              <w:ind w:left="44"/>
              <w:spacing w:after="0" w:line="118"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54"/>
        </w:trPr>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vMerge w:val="restart"/>
          </w:tcPr>
          <w:p>
            <w:pPr>
              <w:jc w:val="center"/>
              <w:ind w:left="45"/>
              <w:spacing w:after="0" w:line="95" w:lineRule="exact"/>
              <w:rPr>
                <w:sz w:val="20"/>
                <w:szCs w:val="20"/>
                <w:color w:val="auto"/>
              </w:rPr>
            </w:pPr>
            <w:r>
              <w:rPr>
                <w:rFonts w:ascii="Arial" w:cs="Arial" w:eastAsia="Arial" w:hAnsi="Arial"/>
                <w:sz w:val="9"/>
                <w:szCs w:val="9"/>
                <w:b w:val="1"/>
                <w:bCs w:val="1"/>
                <w:color w:val="auto"/>
              </w:rPr>
              <w:t>Paid-In</w:t>
            </w:r>
          </w:p>
        </w:tc>
        <w:tc>
          <w:tcPr>
            <w:tcW w:w="1880" w:type="dxa"/>
            <w:vAlign w:val="bottom"/>
            <w:vMerge w:val="restart"/>
          </w:tcPr>
          <w:p>
            <w:pPr>
              <w:jc w:val="center"/>
              <w:ind w:left="844"/>
              <w:spacing w:after="0" w:line="95" w:lineRule="exact"/>
              <w:rPr>
                <w:sz w:val="20"/>
                <w:szCs w:val="20"/>
                <w:color w:val="auto"/>
              </w:rPr>
            </w:pPr>
            <w:r>
              <w:rPr>
                <w:rFonts w:ascii="Arial" w:cs="Arial" w:eastAsia="Arial" w:hAnsi="Arial"/>
                <w:sz w:val="9"/>
                <w:szCs w:val="9"/>
                <w:b w:val="1"/>
                <w:bCs w:val="1"/>
                <w:color w:val="auto"/>
              </w:rPr>
              <w:t>Comprehensive</w:t>
            </w:r>
          </w:p>
        </w:tc>
        <w:tc>
          <w:tcPr>
            <w:tcW w:w="860" w:type="dxa"/>
            <w:vAlign w:val="bottom"/>
            <w:vMerge w:val="restart"/>
          </w:tcPr>
          <w:p>
            <w:pPr>
              <w:jc w:val="center"/>
              <w:spacing w:after="0" w:line="95" w:lineRule="exact"/>
              <w:rPr>
                <w:sz w:val="20"/>
                <w:szCs w:val="20"/>
                <w:color w:val="auto"/>
              </w:rPr>
            </w:pPr>
            <w:r>
              <w:rPr>
                <w:rFonts w:ascii="Arial" w:cs="Arial" w:eastAsia="Arial" w:hAnsi="Arial"/>
                <w:sz w:val="9"/>
                <w:szCs w:val="9"/>
                <w:b w:val="1"/>
                <w:bCs w:val="1"/>
                <w:color w:val="auto"/>
              </w:rPr>
              <w:t>Accumulated</w:t>
            </w:r>
          </w:p>
        </w:tc>
        <w:tc>
          <w:tcPr>
            <w:tcW w:w="800" w:type="dxa"/>
            <w:vAlign w:val="bottom"/>
            <w:vMerge w:val="restart"/>
          </w:tcPr>
          <w:p>
            <w:pPr>
              <w:jc w:val="center"/>
              <w:ind w:left="44"/>
              <w:spacing w:after="0" w:line="95"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1"/>
        </w:trPr>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Shares</w:t>
            </w: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88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80" w:type="dxa"/>
            <w:vAlign w:val="bottom"/>
          </w:tcPr>
          <w:p>
            <w:pPr>
              <w:jc w:val="center"/>
              <w:ind w:left="45"/>
              <w:spacing w:after="0"/>
              <w:rPr>
                <w:sz w:val="20"/>
                <w:szCs w:val="20"/>
                <w:color w:val="auto"/>
              </w:rPr>
            </w:pPr>
            <w:r>
              <w:rPr>
                <w:rFonts w:ascii="Arial" w:cs="Arial" w:eastAsia="Arial" w:hAnsi="Arial"/>
                <w:sz w:val="12"/>
                <w:szCs w:val="12"/>
                <w:b w:val="1"/>
                <w:bCs w:val="1"/>
                <w:color w:val="auto"/>
                <w:w w:val="94"/>
              </w:rPr>
              <w:t>Capital</w:t>
            </w:r>
          </w:p>
        </w:tc>
        <w:tc>
          <w:tcPr>
            <w:tcW w:w="1880" w:type="dxa"/>
            <w:vAlign w:val="bottom"/>
          </w:tcPr>
          <w:p>
            <w:pPr>
              <w:ind w:left="120"/>
              <w:spacing w:after="0"/>
              <w:rPr>
                <w:sz w:val="20"/>
                <w:szCs w:val="20"/>
                <w:color w:val="auto"/>
              </w:rPr>
            </w:pPr>
            <w:r>
              <w:rPr>
                <w:rFonts w:ascii="Arial" w:cs="Arial" w:eastAsia="Arial" w:hAnsi="Arial"/>
                <w:sz w:val="12"/>
                <w:szCs w:val="12"/>
                <w:b w:val="1"/>
                <w:bCs w:val="1"/>
                <w:color w:val="auto"/>
                <w:w w:val="97"/>
              </w:rPr>
              <w:t>Treasury Stock   Income (Loss)</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Deficit</w:t>
            </w:r>
          </w:p>
        </w:tc>
        <w:tc>
          <w:tcPr>
            <w:tcW w:w="800" w:type="dxa"/>
            <w:vAlign w:val="bottom"/>
          </w:tcPr>
          <w:p>
            <w:pPr>
              <w:jc w:val="center"/>
              <w:ind w:left="44"/>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49315"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49315" cy="12001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tbl>
      <w:tblPr>
        <w:tblLayout w:type="fixed"/>
        <w:tblInd w:w="180" w:type="dxa"/>
        <w:tblCellMar>
          <w:top w:w="0" w:type="dxa"/>
          <w:left w:w="0" w:type="dxa"/>
          <w:bottom w:w="0" w:type="dxa"/>
          <w:right w:w="0" w:type="dxa"/>
        </w:tblCellMar>
      </w:tblPr>
      <w:tr>
        <w:trPr>
          <w:trHeight w:val="174"/>
        </w:trPr>
        <w:tc>
          <w:tcPr>
            <w:tcW w:w="3040" w:type="dxa"/>
            <w:vAlign w:val="bottom"/>
          </w:tcPr>
          <w:p>
            <w:pPr>
              <w:spacing w:after="0"/>
              <w:rPr>
                <w:sz w:val="20"/>
                <w:szCs w:val="20"/>
                <w:color w:val="auto"/>
              </w:rPr>
            </w:pPr>
            <w:r>
              <w:rPr>
                <w:rFonts w:ascii="Arial" w:cs="Arial" w:eastAsia="Arial" w:hAnsi="Arial"/>
                <w:sz w:val="12"/>
                <w:szCs w:val="12"/>
                <w:b w:val="1"/>
                <w:bCs w:val="1"/>
                <w:color w:val="auto"/>
              </w:rPr>
              <w:t>Balances as of January 31, 2018</w:t>
            </w: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50,575,571</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Stock option exercises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3,144,202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(35,668)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Vesting of early exercised stock options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80"/>
              <w:spacing w:after="0"/>
              <w:rPr>
                <w:sz w:val="20"/>
                <w:szCs w:val="20"/>
                <w:color w:val="auto"/>
              </w:rPr>
            </w:pPr>
            <w:r>
              <w:rPr>
                <w:rFonts w:ascii="Arial" w:cs="Arial" w:eastAsia="Arial" w:hAnsi="Arial"/>
                <w:sz w:val="12"/>
                <w:szCs w:val="12"/>
                <w:color w:val="auto"/>
              </w:rPr>
              <w:t>Vesting of restricted stock units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263,129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20"/>
              <w:spacing w:after="0"/>
              <w:rPr>
                <w:sz w:val="20"/>
                <w:szCs w:val="20"/>
                <w:color w:val="auto"/>
              </w:rPr>
            </w:pPr>
            <w:r>
              <w:rPr>
                <w:rFonts w:ascii="Arial" w:cs="Arial" w:eastAsia="Arial" w:hAnsi="Arial"/>
                <w:sz w:val="12"/>
                <w:szCs w:val="12"/>
                <w:color w:val="auto"/>
              </w:rPr>
              <w:t>Purchase Plan</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374,576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w w:val="91"/>
              </w:rPr>
              <w:t>Equity component of the 0.75% convertible senior notes due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20"/>
              <w:spacing w:after="0"/>
              <w:rPr>
                <w:sz w:val="20"/>
                <w:szCs w:val="20"/>
                <w:color w:val="auto"/>
              </w:rPr>
            </w:pPr>
            <w:r>
              <w:rPr>
                <w:rFonts w:ascii="Arial" w:cs="Arial" w:eastAsia="Arial" w:hAnsi="Arial"/>
                <w:sz w:val="12"/>
                <w:szCs w:val="12"/>
                <w:color w:val="auto"/>
              </w:rPr>
              <w:t>2024</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Purchase of capped calls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rPr>
              <w:t>Unrealized gain on available-for-sale securities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2"/>
                <w:szCs w:val="12"/>
                <w:b w:val="1"/>
                <w:bCs w:val="1"/>
                <w:color w:val="auto"/>
              </w:rPr>
              <w:t>Balances as of January 31, 2019</w:t>
            </w: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54,321,810</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Cumulative effect of accounting change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Stock option exercises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2,163,361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(5,677)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80"/>
              <w:spacing w:after="0"/>
              <w:rPr>
                <w:sz w:val="20"/>
                <w:szCs w:val="20"/>
                <w:color w:val="auto"/>
              </w:rPr>
            </w:pPr>
            <w:r>
              <w:rPr>
                <w:rFonts w:ascii="Arial" w:cs="Arial" w:eastAsia="Arial" w:hAnsi="Arial"/>
                <w:sz w:val="12"/>
                <w:szCs w:val="12"/>
                <w:color w:val="auto"/>
              </w:rPr>
              <w:t>Vesting of early exercised stock options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80"/>
              <w:spacing w:after="0"/>
              <w:rPr>
                <w:sz w:val="20"/>
                <w:szCs w:val="20"/>
                <w:color w:val="auto"/>
              </w:rPr>
            </w:pPr>
            <w:r>
              <w:rPr>
                <w:rFonts w:ascii="Arial" w:cs="Arial" w:eastAsia="Arial" w:hAnsi="Arial"/>
                <w:sz w:val="12"/>
                <w:szCs w:val="12"/>
                <w:color w:val="auto"/>
              </w:rPr>
              <w:t>Vesting of restricted stock units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748,061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20"/>
              <w:spacing w:after="0"/>
              <w:rPr>
                <w:sz w:val="20"/>
                <w:szCs w:val="20"/>
                <w:color w:val="auto"/>
              </w:rPr>
            </w:pPr>
            <w:r>
              <w:rPr>
                <w:rFonts w:ascii="Arial" w:cs="Arial" w:eastAsia="Arial" w:hAnsi="Arial"/>
                <w:sz w:val="12"/>
                <w:szCs w:val="12"/>
                <w:color w:val="auto"/>
              </w:rPr>
              <w:t>Purchase Plan</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154,988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w w:val="91"/>
              </w:rPr>
              <w:t>Equity component of the 0.25% convertible senior notes due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20"/>
              <w:spacing w:after="0"/>
              <w:rPr>
                <w:sz w:val="20"/>
                <w:szCs w:val="20"/>
                <w:color w:val="auto"/>
              </w:rPr>
            </w:pPr>
            <w:r>
              <w:rPr>
                <w:rFonts w:ascii="Arial" w:cs="Arial" w:eastAsia="Arial" w:hAnsi="Arial"/>
                <w:sz w:val="12"/>
                <w:szCs w:val="12"/>
                <w:color w:val="auto"/>
              </w:rPr>
              <w:t>2026</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Purchase of capped calls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Impact from 2024 Notes Partial Repurchase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Unrealized gain on available-for-sale securities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2"/>
                <w:szCs w:val="12"/>
                <w:b w:val="1"/>
                <w:bCs w:val="1"/>
                <w:color w:val="auto"/>
              </w:rPr>
              <w:t>Balances as of January 31, 2020</w:t>
            </w: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57,382,543</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Cumulative effect of accounting change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Stock option exercises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2,218,661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(960)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Vesting of early exercised stock options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Vesting of restricted stock units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1,163,259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80"/>
              <w:spacing w:after="0" w:line="128" w:lineRule="exact"/>
              <w:rPr>
                <w:sz w:val="20"/>
                <w:szCs w:val="20"/>
                <w:color w:val="auto"/>
              </w:rPr>
            </w:pPr>
            <w:r>
              <w:rPr>
                <w:rFonts w:ascii="Arial" w:cs="Arial" w:eastAsia="Arial" w:hAnsi="Arial"/>
                <w:sz w:val="12"/>
                <w:szCs w:val="12"/>
                <w:color w:val="auto"/>
              </w:rPr>
              <w:t>Issuance of common stock under the Employee Stock</w:t>
            </w:r>
          </w:p>
        </w:tc>
        <w:tc>
          <w:tcPr>
            <w:tcW w:w="820" w:type="dxa"/>
            <w:vAlign w:val="bottom"/>
            <w:vMerge w:val="restart"/>
          </w:tcPr>
          <w:p>
            <w:pPr>
              <w:jc w:val="right"/>
              <w:ind w:right="2"/>
              <w:spacing w:after="0"/>
              <w:rPr>
                <w:sz w:val="20"/>
                <w:szCs w:val="20"/>
                <w:color w:val="auto"/>
              </w:rPr>
            </w:pPr>
            <w:r>
              <w:rPr>
                <w:rFonts w:ascii="Arial" w:cs="Arial" w:eastAsia="Arial" w:hAnsi="Arial"/>
                <w:sz w:val="12"/>
                <w:szCs w:val="12"/>
                <w:color w:val="auto"/>
              </w:rPr>
              <w:t>134,930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20"/>
              <w:spacing w:after="0"/>
              <w:rPr>
                <w:sz w:val="20"/>
                <w:szCs w:val="20"/>
                <w:color w:val="auto"/>
              </w:rPr>
            </w:pPr>
            <w:r>
              <w:rPr>
                <w:rFonts w:ascii="Arial" w:cs="Arial" w:eastAsia="Arial" w:hAnsi="Arial"/>
                <w:sz w:val="12"/>
                <w:szCs w:val="12"/>
                <w:color w:val="auto"/>
              </w:rPr>
              <w:t>Purchase Plan</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80"/>
              <w:spacing w:after="0"/>
              <w:rPr>
                <w:sz w:val="20"/>
                <w:szCs w:val="20"/>
                <w:color w:val="auto"/>
              </w:rPr>
            </w:pPr>
            <w:r>
              <w:rPr>
                <w:rFonts w:ascii="Arial" w:cs="Arial" w:eastAsia="Arial" w:hAnsi="Arial"/>
                <w:sz w:val="12"/>
                <w:szCs w:val="12"/>
                <w:color w:val="auto"/>
              </w:rPr>
              <w:t>Conversion of 2024 convertible senior notes</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Temporary equity reclassification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Unrealized loss on available-for-sale securities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80"/>
              <w:spacing w:after="0"/>
              <w:rPr>
                <w:sz w:val="20"/>
                <w:szCs w:val="20"/>
                <w:color w:val="auto"/>
              </w:rPr>
            </w:pPr>
            <w:r>
              <w:rPr>
                <w:rFonts w:ascii="Arial" w:cs="Arial" w:eastAsia="Arial" w:hAnsi="Arial"/>
                <w:sz w:val="12"/>
                <w:szCs w:val="12"/>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20"/>
                <w:szCs w:val="20"/>
                <w:color w:val="auto"/>
              </w:rPr>
            </w:pPr>
            <w:r>
              <w:rPr>
                <w:rFonts w:ascii="Arial" w:cs="Arial" w:eastAsia="Arial" w:hAnsi="Arial"/>
                <w:sz w:val="12"/>
                <w:szCs w:val="12"/>
                <w:b w:val="1"/>
                <w:bCs w:val="1"/>
                <w:color w:val="auto"/>
              </w:rPr>
              <w:t>Balances as of January 31, 2021</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60,898,451</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-4988560</wp:posOffset>
            </wp:positionV>
            <wp:extent cx="594931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594931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4931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5949315"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4931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594931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594931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4931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594931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594931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4931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94931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4931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594931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4931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594931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594931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594931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594931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5949315"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4931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594931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594931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594931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4931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5949315"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4931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594931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493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638,680</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(1,319)</w:t>
            </w:r>
          </w:p>
        </w:tc>
        <w:tc>
          <w:tcPr>
            <w:tcW w:w="8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(159)</w:t>
            </w:r>
          </w:p>
        </w:tc>
        <w:tc>
          <w:tcPr>
            <w:tcW w:w="80" w:type="dxa"/>
            <w:vAlign w:val="bottom"/>
          </w:tcPr>
          <w:p>
            <w:pPr>
              <w:spacing w:after="0"/>
              <w:rPr>
                <w:sz w:val="12"/>
                <w:szCs w:val="12"/>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(389,596)</w:t>
            </w:r>
          </w:p>
        </w:tc>
        <w:tc>
          <w:tcPr>
            <w:tcW w:w="80" w:type="dxa"/>
            <w:vAlign w:val="bottom"/>
          </w:tcPr>
          <w:p>
            <w:pPr>
              <w:spacing w:after="0"/>
              <w:rPr>
                <w:sz w:val="12"/>
                <w:szCs w:val="12"/>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247,657</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22,197</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22,200</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1,204</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1,204</w:t>
            </w:r>
          </w:p>
        </w:tc>
      </w:tr>
      <w:tr>
        <w:trPr>
          <w:trHeight w:val="203"/>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37,403</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37,403</w:t>
            </w:r>
          </w:p>
        </w:tc>
      </w:tr>
      <w:tr>
        <w:trPr>
          <w:trHeight w:val="338"/>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10,531</w:t>
            </w:r>
          </w:p>
        </w:tc>
        <w:tc>
          <w:tcPr>
            <w:tcW w:w="26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10,531</w:t>
            </w:r>
          </w:p>
        </w:tc>
      </w:tr>
      <w:tr>
        <w:trPr>
          <w:trHeight w:val="324"/>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81,683</w:t>
            </w:r>
          </w:p>
        </w:tc>
        <w:tc>
          <w:tcPr>
            <w:tcW w:w="26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81,683</w:t>
            </w:r>
          </w:p>
        </w:tc>
      </w:tr>
      <w:tr>
        <w:trPr>
          <w:trHeight w:val="189"/>
        </w:trPr>
        <w:tc>
          <w:tcPr>
            <w:tcW w:w="560" w:type="dxa"/>
            <w:vAlign w:val="bottom"/>
          </w:tcPr>
          <w:p>
            <w:pPr>
              <w:jc w:val="right"/>
              <w:ind w:right="42"/>
              <w:spacing w:after="0"/>
              <w:rPr>
                <w:sz w:val="20"/>
                <w:szCs w:val="20"/>
                <w:color w:val="auto"/>
              </w:rPr>
            </w:pPr>
            <w:r>
              <w:rPr>
                <w:rFonts w:ascii="Arial" w:cs="Arial" w:eastAsia="Arial" w:hAnsi="Arial"/>
                <w:sz w:val="12"/>
                <w:szCs w:val="12"/>
                <w:color w:val="auto"/>
                <w:w w:val="98"/>
              </w:rPr>
              <w:t>(37,086)</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(37,086)</w:t>
            </w:r>
          </w:p>
        </w:tc>
      </w:tr>
      <w:tr>
        <w:trPr>
          <w:trHeight w:val="162"/>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94</w:t>
            </w:r>
          </w:p>
        </w:tc>
      </w:tr>
      <w:tr>
        <w:trPr>
          <w:trHeight w:val="162"/>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92"/>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(99,011)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(99,011)</w:t>
            </w:r>
          </w:p>
        </w:tc>
      </w:tr>
      <w:tr>
        <w:trPr>
          <w:trHeight w:val="166"/>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754,612</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(1,319)</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(174)</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(488,607)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264,566</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(4,103)</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16,774</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16,777</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203"/>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296</w:t>
            </w: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296</w:t>
            </w:r>
          </w:p>
        </w:tc>
      </w:tr>
      <w:tr>
        <w:trPr>
          <w:trHeight w:val="202"/>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203"/>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75,776</w:t>
            </w: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75,776</w:t>
            </w:r>
          </w:p>
        </w:tc>
      </w:tr>
      <w:tr>
        <w:trPr>
          <w:trHeight w:val="338"/>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13,420</w:t>
            </w:r>
          </w:p>
        </w:tc>
        <w:tc>
          <w:tcPr>
            <w:tcW w:w="26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13,420</w:t>
            </w:r>
          </w:p>
        </w:tc>
      </w:tr>
      <w:tr>
        <w:trPr>
          <w:trHeight w:val="324"/>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288,998</w:t>
            </w:r>
          </w:p>
        </w:tc>
        <w:tc>
          <w:tcPr>
            <w:tcW w:w="26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288,998</w:t>
            </w:r>
          </w:p>
        </w:tc>
      </w:tr>
      <w:tr>
        <w:trPr>
          <w:trHeight w:val="189"/>
        </w:trPr>
        <w:tc>
          <w:tcPr>
            <w:tcW w:w="560" w:type="dxa"/>
            <w:vAlign w:val="bottom"/>
          </w:tcPr>
          <w:p>
            <w:pPr>
              <w:jc w:val="right"/>
              <w:ind w:right="42"/>
              <w:spacing w:after="0"/>
              <w:rPr>
                <w:sz w:val="20"/>
                <w:szCs w:val="20"/>
                <w:color w:val="auto"/>
              </w:rPr>
            </w:pPr>
            <w:r>
              <w:rPr>
                <w:rFonts w:ascii="Arial" w:cs="Arial" w:eastAsia="Arial" w:hAnsi="Arial"/>
                <w:sz w:val="12"/>
                <w:szCs w:val="12"/>
                <w:color w:val="auto"/>
                <w:w w:val="98"/>
              </w:rPr>
              <w:t>(93,820)</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(93,820)</w:t>
            </w:r>
          </w:p>
        </w:tc>
      </w:tr>
      <w:tr>
        <w:trPr>
          <w:trHeight w:val="189"/>
        </w:trPr>
        <w:tc>
          <w:tcPr>
            <w:tcW w:w="560" w:type="dxa"/>
            <w:vAlign w:val="bottom"/>
          </w:tcPr>
          <w:p>
            <w:pPr>
              <w:jc w:val="right"/>
              <w:ind w:right="42"/>
              <w:spacing w:after="0"/>
              <w:rPr>
                <w:sz w:val="20"/>
                <w:szCs w:val="20"/>
                <w:color w:val="auto"/>
              </w:rPr>
            </w:pPr>
            <w:r>
              <w:rPr>
                <w:rFonts w:ascii="Arial" w:cs="Arial" w:eastAsia="Arial" w:hAnsi="Arial"/>
                <w:sz w:val="12"/>
                <w:szCs w:val="12"/>
                <w:color w:val="auto"/>
                <w:w w:val="85"/>
              </w:rPr>
              <w:t>(303,929)</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(303,929)</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91</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308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308</w:t>
            </w:r>
          </w:p>
        </w:tc>
      </w:tr>
      <w:tr>
        <w:trPr>
          <w:trHeight w:val="192"/>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(175,522)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(175,522)</w:t>
            </w:r>
          </w:p>
        </w:tc>
      </w:tr>
      <w:tr>
        <w:trPr>
          <w:trHeight w:val="166"/>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752,127</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(1,319)</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225</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(668,232)</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82,858</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(227)</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16,983</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16,986</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100</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100</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w:t>
            </w:r>
          </w:p>
        </w:tc>
      </w:tr>
      <w:tr>
        <w:trPr>
          <w:trHeight w:val="162"/>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149,313</w:t>
            </w:r>
          </w:p>
        </w:tc>
        <w:tc>
          <w:tcPr>
            <w:tcW w:w="2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149,313</w:t>
            </w:r>
          </w:p>
        </w:tc>
      </w:tr>
      <w:tr>
        <w:trPr>
          <w:trHeight w:val="270"/>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18,523</w:t>
            </w:r>
          </w:p>
        </w:tc>
        <w:tc>
          <w:tcPr>
            <w:tcW w:w="26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18,523</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9"/>
        </w:trPr>
        <w:tc>
          <w:tcPr>
            <w:tcW w:w="560" w:type="dxa"/>
            <w:vAlign w:val="bottom"/>
          </w:tcPr>
          <w:p>
            <w:pPr>
              <w:jc w:val="right"/>
              <w:ind w:right="42"/>
              <w:spacing w:after="0"/>
              <w:rPr>
                <w:sz w:val="20"/>
                <w:szCs w:val="20"/>
                <w:color w:val="auto"/>
              </w:rPr>
            </w:pPr>
            <w:r>
              <w:rPr>
                <w:rFonts w:ascii="Arial" w:cs="Arial" w:eastAsia="Arial" w:hAnsi="Arial"/>
                <w:sz w:val="12"/>
                <w:szCs w:val="12"/>
                <w:color w:val="auto"/>
              </w:rPr>
              <w:t>(4,714)</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(4,714)</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89"/>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(899)</w:t>
            </w:r>
          </w:p>
        </w:tc>
      </w:tr>
      <w:tr>
        <w:trPr>
          <w:trHeight w:val="206"/>
        </w:trPr>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(266,944)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(266,944)</w:t>
            </w:r>
          </w:p>
        </w:tc>
      </w:tr>
      <w:tr>
        <w:trPr>
          <w:trHeight w:val="155"/>
        </w:trPr>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932,332</w:t>
            </w:r>
          </w:p>
        </w:tc>
        <w:tc>
          <w:tcPr>
            <w:tcW w:w="2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(1,319)</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(935,403)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(5,033)</w:t>
            </w:r>
          </w:p>
        </w:tc>
      </w:tr>
      <w:tr>
        <w:trPr>
          <w:trHeight w:val="24"/>
        </w:trPr>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-33655</wp:posOffset>
            </wp:positionV>
            <wp:extent cx="5143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-8255</wp:posOffset>
            </wp:positionV>
            <wp:extent cx="5143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-145415</wp:posOffset>
            </wp:positionV>
            <wp:extent cx="5143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260"/>
            <w:col w:w="4819"/>
          </w:cols>
          <w:pgMar w:left="320" w:top="122" w:right="1440" w:bottom="1440" w:gutter="0" w:footer="0" w:header="0"/>
          <w:type w:val="continuous"/>
        </w:sectPr>
      </w:pPr>
    </w:p>
    <w:p>
      <w:pPr>
        <w:spacing w:after="0" w:line="42" w:lineRule="exact"/>
        <w:rPr>
          <w:sz w:val="20"/>
          <w:szCs w:val="20"/>
          <w:color w:val="auto"/>
        </w:rPr>
      </w:pPr>
    </w:p>
    <w:p>
      <w:pPr>
        <w:ind w:left="244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5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5"/>
        </w:trPr>
        <w:tc>
          <w:tcPr>
            <w:tcW w:w="664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Cash flows from operating activities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60"/>
              <w:spacing w:after="0"/>
              <w:rPr>
                <w:sz w:val="20"/>
                <w:szCs w:val="20"/>
                <w:color w:val="auto"/>
              </w:rPr>
            </w:pPr>
            <w:r>
              <w:rPr>
                <w:rFonts w:ascii="Arial" w:cs="Arial" w:eastAsia="Arial" w:hAnsi="Arial"/>
                <w:sz w:val="12"/>
                <w:szCs w:val="12"/>
                <w:color w:val="auto"/>
              </w:rPr>
              <w:t>Net loss</w:t>
            </w: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(266,944)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(175,522)</w:t>
            </w:r>
          </w:p>
        </w:tc>
        <w:tc>
          <w:tcPr>
            <w:tcW w:w="100" w:type="dxa"/>
            <w:vAlign w:val="bottom"/>
          </w:tcPr>
          <w:p>
            <w:pPr>
              <w:spacing w:after="0"/>
              <w:rPr>
                <w:sz w:val="16"/>
                <w:szCs w:val="16"/>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(99,011)</w:t>
            </w:r>
          </w:p>
        </w:tc>
        <w:tc>
          <w:tcPr>
            <w:tcW w:w="0" w:type="dxa"/>
            <w:vAlign w:val="bottom"/>
          </w:tcPr>
          <w:p>
            <w:pPr>
              <w:spacing w:after="0"/>
              <w:rPr>
                <w:sz w:val="1"/>
                <w:szCs w:val="1"/>
                <w:color w:val="auto"/>
              </w:rPr>
            </w:pPr>
          </w:p>
        </w:tc>
      </w:tr>
      <w:tr>
        <w:trPr>
          <w:trHeight w:val="165"/>
        </w:trPr>
        <w:tc>
          <w:tcPr>
            <w:tcW w:w="6640" w:type="dxa"/>
            <w:vAlign w:val="bottom"/>
            <w:shd w:val="clear" w:color="auto" w:fill="CCEEFF"/>
          </w:tcPr>
          <w:p>
            <w:pPr>
              <w:ind w:left="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14,177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12,783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5,792</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Stock-based compensation</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75,776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37,403</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Amortization of debt discount and issuance costs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49,120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14,847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7,399</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finance right-of-use assets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Amortization of operating right-of-use assets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6,380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3,015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Non-cash interest on finance lease liabilities</w:t>
            </w:r>
          </w:p>
        </w:tc>
        <w:tc>
          <w:tcPr>
            <w:tcW w:w="9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1,570</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(4,960)</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Accretion of discount on short-term investments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(3,875)</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Loss on early extinguishment of debt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14,522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foreign exchange gain</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6640" w:type="dxa"/>
            <w:vAlign w:val="bottom"/>
          </w:tcPr>
          <w:p>
            <w:pPr>
              <w:ind w:left="60"/>
              <w:spacing w:after="0"/>
              <w:rPr>
                <w:sz w:val="20"/>
                <w:szCs w:val="20"/>
                <w:color w:val="auto"/>
              </w:rPr>
            </w:pPr>
            <w:r>
              <w:rPr>
                <w:rFonts w:ascii="Arial" w:cs="Arial" w:eastAsia="Arial" w:hAnsi="Arial"/>
                <w:sz w:val="12"/>
                <w:szCs w:val="12"/>
                <w:color w:val="auto"/>
              </w:rPr>
              <w:t>Change in operating assets and liabilities:</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receivable</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(19,445)</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4,824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(3,794)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(1,487)</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commissions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(41,623)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(16,134)</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Other long-term assets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payable</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(913)</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Deferred rent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1,642</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Accrued liabilities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34,859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20,439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13,564</w:t>
            </w:r>
          </w:p>
        </w:tc>
        <w:tc>
          <w:tcPr>
            <w:tcW w:w="0" w:type="dxa"/>
            <w:vAlign w:val="bottom"/>
          </w:tcPr>
          <w:p>
            <w:pPr>
              <w:spacing w:after="0"/>
              <w:rPr>
                <w:sz w:val="1"/>
                <w:szCs w:val="1"/>
                <w:color w:val="auto"/>
              </w:rPr>
            </w:pPr>
          </w:p>
        </w:tc>
      </w:tr>
      <w:tr>
        <w:trPr>
          <w:trHeight w:val="199"/>
        </w:trPr>
        <w:tc>
          <w:tcPr>
            <w:tcW w:w="664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revenue</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53,054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36,680</w:t>
            </w:r>
          </w:p>
        </w:tc>
        <w:tc>
          <w:tcPr>
            <w:tcW w:w="0" w:type="dxa"/>
            <w:vAlign w:val="bottom"/>
          </w:tcPr>
          <w:p>
            <w:pPr>
              <w:spacing w:after="0"/>
              <w:rPr>
                <w:sz w:val="1"/>
                <w:szCs w:val="1"/>
                <w:color w:val="auto"/>
              </w:rPr>
            </w:pPr>
          </w:p>
        </w:tc>
      </w:tr>
      <w:tr>
        <w:trPr>
          <w:trHeight w:val="199"/>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 liabilities, non-current</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66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used in operating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(42,673)</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(29,540)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(41,989)</w:t>
            </w:r>
          </w:p>
        </w:tc>
        <w:tc>
          <w:tcPr>
            <w:tcW w:w="0" w:type="dxa"/>
            <w:vAlign w:val="bottom"/>
          </w:tcPr>
          <w:p>
            <w:pPr>
              <w:spacing w:after="0"/>
              <w:rPr>
                <w:sz w:val="1"/>
                <w:szCs w:val="1"/>
                <w:color w:val="auto"/>
              </w:rPr>
            </w:pPr>
          </w:p>
        </w:tc>
      </w:tr>
      <w:tr>
        <w:trPr>
          <w:trHeight w:val="139"/>
        </w:trPr>
        <w:tc>
          <w:tcPr>
            <w:tcW w:w="6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Cash flows from investing activities</w:t>
            </w: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Purchases of property and equipment</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(6,848)</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Acquisition, net of cash acquired</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(38,629)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(55,517)</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Investment in non-marketable securities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Proceeds from maturities of marketable securities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740,000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470,000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Purchases of marketable securities</w:t>
            </w: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(990,383)</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(429,452)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(547,914)</w:t>
            </w:r>
          </w:p>
        </w:tc>
        <w:tc>
          <w:tcPr>
            <w:tcW w:w="0" w:type="dxa"/>
            <w:vAlign w:val="bottom"/>
          </w:tcPr>
          <w:p>
            <w:pPr>
              <w:spacing w:after="0"/>
              <w:rPr>
                <w:sz w:val="1"/>
                <w:szCs w:val="1"/>
                <w:color w:val="auto"/>
              </w:rPr>
            </w:pPr>
          </w:p>
        </w:tc>
      </w:tr>
      <w:tr>
        <w:trPr>
          <w:trHeight w:val="166"/>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used in investing activities</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(262,656)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(160,279)</w:t>
            </w:r>
          </w:p>
        </w:tc>
        <w:tc>
          <w:tcPr>
            <w:tcW w:w="0" w:type="dxa"/>
            <w:vAlign w:val="bottom"/>
          </w:tcPr>
          <w:p>
            <w:pPr>
              <w:spacing w:after="0"/>
              <w:rPr>
                <w:sz w:val="1"/>
                <w:szCs w:val="1"/>
                <w:color w:val="auto"/>
              </w:rPr>
            </w:pPr>
          </w:p>
        </w:tc>
      </w:tr>
      <w:tr>
        <w:trPr>
          <w:trHeight w:val="145"/>
        </w:trPr>
        <w:tc>
          <w:tcPr>
            <w:tcW w:w="664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Cash flows from financing activities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Payments of issuance costs for convertible senior notes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(4,154)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stock options, including early exercised stock options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16,775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22,244</w:t>
            </w:r>
          </w:p>
        </w:tc>
        <w:tc>
          <w:tcPr>
            <w:tcW w:w="0" w:type="dxa"/>
            <w:vAlign w:val="bottom"/>
          </w:tcPr>
          <w:p>
            <w:pPr>
              <w:spacing w:after="0"/>
              <w:rPr>
                <w:sz w:val="1"/>
                <w:szCs w:val="1"/>
                <w:color w:val="auto"/>
              </w:rPr>
            </w:pPr>
          </w:p>
        </w:tc>
      </w:tr>
      <w:tr>
        <w:trPr>
          <w:trHeight w:val="186"/>
        </w:trPr>
        <w:tc>
          <w:tcPr>
            <w:tcW w:w="6640" w:type="dxa"/>
            <w:vAlign w:val="bottom"/>
          </w:tcPr>
          <w:p>
            <w:pPr>
              <w:ind w:left="260"/>
              <w:spacing w:after="0"/>
              <w:rPr>
                <w:sz w:val="20"/>
                <w:szCs w:val="20"/>
                <w:color w:val="auto"/>
              </w:rPr>
            </w:pPr>
            <w:r>
              <w:rPr>
                <w:rFonts w:ascii="Arial" w:cs="Arial" w:eastAsia="Arial" w:hAnsi="Arial"/>
                <w:sz w:val="12"/>
                <w:szCs w:val="12"/>
                <w:color w:val="auto"/>
              </w:rPr>
              <w:t>Proceeds from the issuance of common stock under the Employee Stock Purchase Plan</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18,523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13,420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10,532</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Repurchase of early exercised stock options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99"/>
        </w:trPr>
        <w:tc>
          <w:tcPr>
            <w:tcW w:w="6640" w:type="dxa"/>
            <w:vAlign w:val="bottom"/>
          </w:tcPr>
          <w:p>
            <w:pPr>
              <w:ind w:left="260"/>
              <w:spacing w:after="0"/>
              <w:rPr>
                <w:sz w:val="20"/>
                <w:szCs w:val="20"/>
                <w:color w:val="auto"/>
              </w:rPr>
            </w:pPr>
            <w:r>
              <w:rPr>
                <w:rFonts w:ascii="Arial" w:cs="Arial" w:eastAsia="Arial" w:hAnsi="Arial"/>
                <w:sz w:val="12"/>
                <w:szCs w:val="12"/>
                <w:color w:val="auto"/>
              </w:rPr>
              <w:t>Principal repayments of finance leases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borrowings on convertible senior notes, net of issuance costs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1,132,991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291,145</w:t>
            </w:r>
          </w:p>
        </w:tc>
        <w:tc>
          <w:tcPr>
            <w:tcW w:w="0" w:type="dxa"/>
            <w:vAlign w:val="bottom"/>
          </w:tcPr>
          <w:p>
            <w:pPr>
              <w:spacing w:after="0"/>
              <w:rPr>
                <w:sz w:val="1"/>
                <w:szCs w:val="1"/>
                <w:color w:val="auto"/>
              </w:rPr>
            </w:pPr>
          </w:p>
        </w:tc>
      </w:tr>
      <w:tr>
        <w:trPr>
          <w:trHeight w:val="199"/>
        </w:trPr>
        <w:tc>
          <w:tcPr>
            <w:tcW w:w="6640" w:type="dxa"/>
            <w:vAlign w:val="bottom"/>
          </w:tcPr>
          <w:p>
            <w:pPr>
              <w:ind w:left="260"/>
              <w:spacing w:after="0"/>
              <w:rPr>
                <w:sz w:val="20"/>
                <w:szCs w:val="20"/>
                <w:color w:val="auto"/>
              </w:rPr>
            </w:pPr>
            <w:r>
              <w:rPr>
                <w:rFonts w:ascii="Arial" w:cs="Arial" w:eastAsia="Arial" w:hAnsi="Arial"/>
                <w:sz w:val="12"/>
                <w:szCs w:val="12"/>
                <w:color w:val="auto"/>
              </w:rPr>
              <w:t>Payments for 2024 Notes Partial Repurchase</w:t>
            </w:r>
          </w:p>
        </w:tc>
        <w:tc>
          <w:tcPr>
            <w:tcW w:w="9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(479,070)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 for purchase of capped calls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(37,086)</w:t>
            </w:r>
          </w:p>
        </w:tc>
        <w:tc>
          <w:tcPr>
            <w:tcW w:w="0" w:type="dxa"/>
            <w:vAlign w:val="bottom"/>
          </w:tcPr>
          <w:p>
            <w:pPr>
              <w:spacing w:after="0"/>
              <w:rPr>
                <w:sz w:val="1"/>
                <w:szCs w:val="1"/>
                <w:color w:val="auto"/>
              </w:rPr>
            </w:pPr>
          </w:p>
        </w:tc>
      </w:tr>
      <w:tr>
        <w:trPr>
          <w:trHeight w:val="199"/>
        </w:trPr>
        <w:tc>
          <w:tcPr>
            <w:tcW w:w="6640" w:type="dxa"/>
            <w:vAlign w:val="bottom"/>
          </w:tcPr>
          <w:p>
            <w:pPr>
              <w:ind w:left="260"/>
              <w:spacing w:after="0"/>
              <w:rPr>
                <w:sz w:val="20"/>
                <w:szCs w:val="20"/>
                <w:color w:val="auto"/>
              </w:rPr>
            </w:pPr>
            <w:r>
              <w:rPr>
                <w:rFonts w:ascii="Arial" w:cs="Arial" w:eastAsia="Arial" w:hAnsi="Arial"/>
                <w:sz w:val="12"/>
                <w:szCs w:val="12"/>
                <w:color w:val="auto"/>
              </w:rPr>
              <w:t>Proceeds from tenant improvement allowance on build-to-suit lease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1,728</w:t>
            </w:r>
          </w:p>
        </w:tc>
        <w:tc>
          <w:tcPr>
            <w:tcW w:w="0" w:type="dxa"/>
            <w:vAlign w:val="bottom"/>
          </w:tcPr>
          <w:p>
            <w:pPr>
              <w:spacing w:after="0"/>
              <w:rPr>
                <w:sz w:val="1"/>
                <w:szCs w:val="1"/>
                <w:color w:val="auto"/>
              </w:rPr>
            </w:pPr>
          </w:p>
        </w:tc>
      </w:tr>
      <w:tr>
        <w:trPr>
          <w:trHeight w:val="172"/>
        </w:trPr>
        <w:tc>
          <w:tcPr>
            <w:tcW w:w="66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27,581</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589,238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288,236</w:t>
            </w: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72"/>
        </w:trPr>
        <w:tc>
          <w:tcPr>
            <w:tcW w:w="664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(276,484)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558,359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85,920</w:t>
            </w:r>
          </w:p>
        </w:tc>
        <w:tc>
          <w:tcPr>
            <w:tcW w:w="0" w:type="dxa"/>
            <w:vAlign w:val="bottom"/>
          </w:tcPr>
          <w:p>
            <w:pPr>
              <w:spacing w:after="0"/>
              <w:rPr>
                <w:sz w:val="1"/>
                <w:szCs w:val="1"/>
                <w:color w:val="auto"/>
              </w:rPr>
            </w:pPr>
          </w:p>
        </w:tc>
      </w:tr>
      <w:tr>
        <w:trPr>
          <w:trHeight w:val="199"/>
        </w:trPr>
        <w:tc>
          <w:tcPr>
            <w:tcW w:w="66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Cash, cash equivalents and restricted cash, beginning of year</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706,706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148,347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62,427</w:t>
            </w:r>
          </w:p>
        </w:tc>
        <w:tc>
          <w:tcPr>
            <w:tcW w:w="0" w:type="dxa"/>
            <w:vAlign w:val="bottom"/>
          </w:tcPr>
          <w:p>
            <w:pPr>
              <w:spacing w:after="0"/>
              <w:rPr>
                <w:sz w:val="1"/>
                <w:szCs w:val="1"/>
                <w:color w:val="auto"/>
              </w:rPr>
            </w:pPr>
          </w:p>
        </w:tc>
      </w:tr>
      <w:tr>
        <w:trPr>
          <w:trHeight w:val="152"/>
        </w:trPr>
        <w:tc>
          <w:tcPr>
            <w:tcW w:w="66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cash equivalents and restricted cash, end of year</w:t>
            </w:r>
          </w:p>
        </w:tc>
        <w:tc>
          <w:tcPr>
            <w:tcW w:w="920" w:type="dxa"/>
            <w:vAlign w:val="bottom"/>
            <w:vMerge w:val="restart"/>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430,222</w:t>
            </w:r>
          </w:p>
        </w:tc>
        <w:tc>
          <w:tcPr>
            <w:tcW w:w="1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706,706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148,347</w:t>
            </w:r>
          </w:p>
        </w:tc>
        <w:tc>
          <w:tcPr>
            <w:tcW w:w="0" w:type="dxa"/>
            <w:vAlign w:val="bottom"/>
          </w:tcPr>
          <w:p>
            <w:pPr>
              <w:spacing w:after="0"/>
              <w:rPr>
                <w:sz w:val="1"/>
                <w:szCs w:val="1"/>
                <w:color w:val="auto"/>
              </w:rPr>
            </w:pPr>
          </w:p>
        </w:tc>
      </w:tr>
      <w:tr>
        <w:trPr>
          <w:trHeight w:val="60"/>
        </w:trPr>
        <w:tc>
          <w:tcPr>
            <w:tcW w:w="664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4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b w:val="1"/>
                <w:bCs w:val="1"/>
                <w:color w:val="auto"/>
              </w:rPr>
              <w:t>Supplemental cash flow disclosure</w:t>
            </w: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180"/>
              <w:spacing w:after="0"/>
              <w:rPr>
                <w:sz w:val="20"/>
                <w:szCs w:val="20"/>
                <w:color w:val="auto"/>
              </w:rPr>
            </w:pPr>
            <w:r>
              <w:rPr>
                <w:rFonts w:ascii="Arial" w:cs="Arial" w:eastAsia="Arial" w:hAnsi="Arial"/>
                <w:sz w:val="12"/>
                <w:szCs w:val="12"/>
                <w:color w:val="auto"/>
              </w:rPr>
              <w:t>Cash paid during the period for:</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Income taxes, net of refunds</w:t>
            </w:r>
          </w:p>
        </w:tc>
        <w:tc>
          <w:tcPr>
            <w:tcW w:w="3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984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2"/>
                <w:szCs w:val="12"/>
                <w:color w:val="auto"/>
              </w:rPr>
              <w:t>Interest expense,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40" w:type="dxa"/>
            <w:vAlign w:val="bottom"/>
            <w:vMerge w:val="continue"/>
          </w:tcPr>
          <w:p>
            <w:pPr>
              <w:spacing w:after="0"/>
              <w:rPr>
                <w:sz w:val="13"/>
                <w:szCs w:val="13"/>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6,998</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2,375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1,044</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Noncash investing and financing activities</w:t>
            </w:r>
          </w:p>
        </w:tc>
        <w:tc>
          <w:tcPr>
            <w:tcW w:w="3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rPr>
                <w:sz w:val="20"/>
                <w:szCs w:val="20"/>
                <w:color w:val="auto"/>
              </w:rPr>
            </w:pPr>
            <w:r>
              <w:rPr>
                <w:rFonts w:ascii="Arial" w:cs="Arial" w:eastAsia="Arial" w:hAnsi="Arial"/>
                <w:sz w:val="12"/>
                <w:szCs w:val="12"/>
                <w:color w:val="auto"/>
              </w:rPr>
              <w:t>Construction costs related to build-to-suit lease obligations</w:t>
            </w: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11,683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Vesting of early exercised stock options</w:t>
            </w:r>
          </w:p>
        </w:tc>
        <w:tc>
          <w:tcPr>
            <w:tcW w:w="360" w:type="dxa"/>
            <w:vAlign w:val="bottom"/>
            <w:vMerge w:val="restart"/>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1,204</w:t>
            </w:r>
          </w:p>
        </w:tc>
        <w:tc>
          <w:tcPr>
            <w:tcW w:w="0" w:type="dxa"/>
            <w:vAlign w:val="bottom"/>
          </w:tcPr>
          <w:p>
            <w:pPr>
              <w:spacing w:after="0"/>
              <w:rPr>
                <w:sz w:val="1"/>
                <w:szCs w:val="1"/>
                <w:color w:val="auto"/>
              </w:rPr>
            </w:pPr>
          </w:p>
        </w:tc>
      </w:tr>
      <w:tr>
        <w:trPr>
          <w:trHeight w:val="53"/>
        </w:trPr>
        <w:tc>
          <w:tcPr>
            <w:tcW w:w="66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auto"/>
            </w:tcBorders>
            <w:vMerge w:val="continue"/>
            <w:shd w:val="clear" w:color="auto" w:fill="CCEEFF"/>
          </w:tcPr>
          <w:p>
            <w:pPr>
              <w:spacing w:after="0"/>
              <w:rPr>
                <w:sz w:val="4"/>
                <w:szCs w:val="4"/>
                <w:color w:val="auto"/>
              </w:rPr>
            </w:pPr>
          </w:p>
        </w:tc>
        <w:tc>
          <w:tcPr>
            <w:tcW w:w="13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vMerge w:val="continue"/>
            <w:shd w:val="clear" w:color="auto" w:fill="CCEEFF"/>
          </w:tcPr>
          <w:p>
            <w:pPr>
              <w:spacing w:after="0"/>
              <w:rPr>
                <w:sz w:val="4"/>
                <w:szCs w:val="4"/>
                <w:color w:val="auto"/>
              </w:rPr>
            </w:pPr>
          </w:p>
        </w:tc>
        <w:tc>
          <w:tcPr>
            <w:tcW w:w="112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2"/>
                <w:szCs w:val="12"/>
                <w:color w:val="auto"/>
              </w:rPr>
              <w:t>Debt issuance and capped call costs included in accounts payable and accrued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40" w:type="dxa"/>
            <w:vAlign w:val="bottom"/>
            <w:vMerge w:val="continue"/>
          </w:tcPr>
          <w:p>
            <w:pPr>
              <w:spacing w:after="0"/>
              <w:rPr>
                <w:sz w:val="12"/>
                <w:szCs w:val="12"/>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4,200</w:t>
            </w:r>
          </w:p>
        </w:tc>
        <w:tc>
          <w:tcPr>
            <w:tcW w:w="100" w:type="dxa"/>
            <w:vAlign w:val="bottom"/>
          </w:tcPr>
          <w:p>
            <w:pPr>
              <w:spacing w:after="0"/>
              <w:rPr>
                <w:sz w:val="12"/>
                <w:szCs w:val="12"/>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6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Purchases of property and equipment included in accounts payable and accrued liabilities</w:t>
            </w:r>
          </w:p>
        </w:tc>
        <w:tc>
          <w:tcPr>
            <w:tcW w:w="360" w:type="dxa"/>
            <w:vAlign w:val="bottom"/>
            <w:vMerge w:val="restart"/>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2,848</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1,134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53"/>
        </w:trPr>
        <w:tc>
          <w:tcPr>
            <w:tcW w:w="66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auto"/>
            </w:tcBorders>
            <w:vMerge w:val="continue"/>
            <w:shd w:val="clear" w:color="auto" w:fill="CCEEFF"/>
          </w:tcPr>
          <w:p>
            <w:pPr>
              <w:spacing w:after="0"/>
              <w:rPr>
                <w:sz w:val="4"/>
                <w:szCs w:val="4"/>
                <w:color w:val="auto"/>
              </w:rPr>
            </w:pPr>
          </w:p>
        </w:tc>
        <w:tc>
          <w:tcPr>
            <w:tcW w:w="13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vMerge w:val="continue"/>
            <w:shd w:val="clear" w:color="auto" w:fill="CCEEFF"/>
          </w:tcPr>
          <w:p>
            <w:pPr>
              <w:spacing w:after="0"/>
              <w:rPr>
                <w:sz w:val="4"/>
                <w:szCs w:val="4"/>
                <w:color w:val="auto"/>
              </w:rPr>
            </w:pPr>
          </w:p>
        </w:tc>
        <w:tc>
          <w:tcPr>
            <w:tcW w:w="112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60"/>
              <w:spacing w:after="0" w:line="109" w:lineRule="exact"/>
              <w:rPr>
                <w:sz w:val="20"/>
                <w:szCs w:val="20"/>
                <w:color w:val="auto"/>
              </w:rPr>
            </w:pPr>
            <w:r>
              <w:rPr>
                <w:rFonts w:ascii="Arial" w:cs="Arial" w:eastAsia="Arial" w:hAnsi="Arial"/>
                <w:sz w:val="12"/>
                <w:szCs w:val="12"/>
                <w:b w:val="1"/>
                <w:bCs w:val="1"/>
                <w:color w:val="auto"/>
                <w:w w:val="89"/>
              </w:rPr>
              <w:t>Reconciliation of cash, cash equivalents and restricted cash within the consolidated balance sheets to the amounts shown in the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6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80"/>
              <w:spacing w:after="0"/>
              <w:rPr>
                <w:sz w:val="20"/>
                <w:szCs w:val="20"/>
                <w:color w:val="auto"/>
              </w:rPr>
            </w:pPr>
            <w:r>
              <w:rPr>
                <w:rFonts w:ascii="Arial" w:cs="Arial" w:eastAsia="Arial" w:hAnsi="Arial"/>
                <w:sz w:val="12"/>
                <w:szCs w:val="12"/>
                <w:b w:val="1"/>
                <w:bCs w:val="1"/>
                <w:color w:val="auto"/>
              </w:rPr>
              <w:t>statements of cash flows above:</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360" w:type="dxa"/>
            <w:vAlign w:val="bottom"/>
            <w:vMerge w:val="restart"/>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429,697</w:t>
            </w:r>
          </w:p>
        </w:tc>
        <w:tc>
          <w:tcPr>
            <w:tcW w:w="1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706,192</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147,831</w:t>
            </w:r>
          </w:p>
        </w:tc>
        <w:tc>
          <w:tcPr>
            <w:tcW w:w="0" w:type="dxa"/>
            <w:vAlign w:val="bottom"/>
          </w:tcPr>
          <w:p>
            <w:pPr>
              <w:spacing w:after="0"/>
              <w:rPr>
                <w:sz w:val="1"/>
                <w:szCs w:val="1"/>
                <w:color w:val="auto"/>
              </w:rPr>
            </w:pPr>
          </w:p>
        </w:tc>
      </w:tr>
      <w:tr>
        <w:trPr>
          <w:trHeight w:val="60"/>
        </w:trPr>
        <w:tc>
          <w:tcPr>
            <w:tcW w:w="66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180"/>
              <w:spacing w:after="0"/>
              <w:rPr>
                <w:sz w:val="20"/>
                <w:szCs w:val="20"/>
                <w:color w:val="auto"/>
              </w:rPr>
            </w:pPr>
            <w:r>
              <w:rPr>
                <w:rFonts w:ascii="Arial" w:cs="Arial" w:eastAsia="Arial" w:hAnsi="Arial"/>
                <w:sz w:val="12"/>
                <w:szCs w:val="12"/>
                <w:color w:val="auto"/>
              </w:rPr>
              <w:t>Restricted cash, non-current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525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ind w:right="2"/>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57"/>
        </w:trPr>
        <w:tc>
          <w:tcPr>
            <w:tcW w:w="66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cash, cash equivalents and restricted cash</w:t>
            </w:r>
          </w:p>
        </w:tc>
        <w:tc>
          <w:tcPr>
            <w:tcW w:w="3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430,222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706,706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148,347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its software, the Company provides post-contract support, training and consulting services for its offerings. The Company’s fiscal year ends January 31.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assumptions and judgments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the incremental borrowing rate related to the Company’s lease liabilities, stock-based compensation, fair value of the liability component of the convertible debt, fair value of common stock prior to the initial public offering,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2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ongoing COVID-19 pandemic has resulted in a global slowdown of economic activity that is likely to continue to decrease demand for a broad variety of goods and services, including from the Company’s customers, while also disrupting sales channels and marketing activities for an unknown period of time. The Company currently expects its revenue to continue to be negatively impacted by the slowdown in activity associated with the ongoing COVID-19 pandemic in the near-term.</w:t>
      </w:r>
    </w:p>
    <w:p>
      <w:pPr>
        <w:spacing w:after="0" w:line="13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w:t>
      </w:r>
    </w:p>
    <w:p>
      <w:pPr>
        <w:spacing w:after="0" w:line="1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income (loss) as a component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Comprehensive Loss</w:t>
      </w:r>
    </w:p>
    <w:p>
      <w:pPr>
        <w:spacing w:after="0" w:line="17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Company’s comprehensive loss includes net loss, unrealized gains and losses on available-for-sale debt securities and foreign currency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Cash and Cash Equivalents</w:t>
      </w:r>
    </w:p>
    <w:p>
      <w:pPr>
        <w:spacing w:after="0" w:line="171"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Marketable Securities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Company’s short-term investments consist of U.S. government treasury securities.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134"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Available-for-sale debt securities are recorded at fair value each reporting period. Realized gains and losses are determined based on the individual security level and are reported in other income (expense), net in the consolidated statements of operations. Unrealized gains on these short-term investments are reported as a separate component of accumulated other comprehensive income (loss) on the consolidated balance sheets until realized.</w:t>
      </w:r>
    </w:p>
    <w:p>
      <w:pPr>
        <w:spacing w:after="0" w:line="9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The factors considered in determining whether a credit loss exists can include the extent to which fair value is less than the amortized cost basis, changes to the rating of the security by a rating agency, any adverse conditions specifically related to the security, as well as other factors. An impairment relating to credit losses is recorded through an allowance for credit losses reported in other income (expense), net in the consolidated statements of operations. The allowance is limited by the amount that the fair value of the debt security is below its amortized cost basis. When a credit loss exists, the Company compares the present value of cash flows expected to be collected from the debt security with the amortized cost basis of the security to determine what allowance amount, if any, should be recorded. Unrealized losses not resulting from credit losses are recorded through accumulated other comprehensive income (loss) on the consolidated balance sheets.</w:t>
      </w:r>
    </w:p>
    <w:p>
      <w:pPr>
        <w:spacing w:after="0" w:line="128"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 the years ended January 31, 2021, 2020 and 2019, the Company did not record any impairment charges related to credit losses for its marketable debt securities in its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Cash</w:t>
      </w:r>
    </w:p>
    <w:p>
      <w:pPr>
        <w:spacing w:after="0" w:line="17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As of January 31, 2021 and 2020, the Company pledged $0.5 million of collateral for its available credit on corporate credit cards. Restricted cash balances have been excluded from our cash and cash equivalents balance and are included in other assets on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Non-marketable Securities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Non-marketable securities consist of equity investments in privately-held companies, which are classified as other assets on the consolidated balance sheets. These non-marketable equity securities do not have readily determinable fair values. Under the measurement alternative election, the Company accounts for these non-marketable securities at cost and adjusted for observable price changes in orderly transactions for the identical or similar investments of the same issuer or upon impairment and are not eligible for the net-asset-value practical expedient from fair value measurement. The measurement alternative election is reassessed each reporting period to determine whether the non-marketable securities continue to be eligible for this election.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 periodically evaluates its non-marketable securities for impairment when events and circumstances indicate that the carrying amount of the investment may not be recovered. Impairment indicators may include, but are not limited to, a significant deterioration in earnings performance, credit rating, asset quality or business outlook or a significant adverse change in the regulatory, economic, or technological environment. If the non-marketable securities are considered impaired, the Company will record an impairment charge in the consolidated statement of operations for the amount by which the carrying value exceeds the fair value of the investment. For the year ended January 31, 2021, the Company did not record any impairment charges related to its non-marketable securities in its consolidated statements of operations.</w:t>
      </w:r>
    </w:p>
    <w:p>
      <w:pPr>
        <w:spacing w:after="0" w:line="12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During the year ended January 31, 2021, the Company invested an aggregate $0.5 million in cash in non-marketable equity securities of two privately-held system integrators in an effort to accelerate such companies’ development of expertise with respect to MongoDB’s offerings. The Company evaluated its ownership, contractual and other interests in these entities and determined the Company has a variable interest in both entities. The Company’s maximum loss exposure is limited to the carrying value of these investments. The Company determined that, as of January 31, 2021, there were no variable interest entities required to be consolidated in the Company’s consolidated financial statements, as the Company was not the primary beneficiary and did not have the power to direct activities that most significantly impact the entities’ economic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Fair Value of Financial Instruments</w:t>
      </w:r>
    </w:p>
    <w:p>
      <w:pPr>
        <w:spacing w:after="0" w:line="17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 xml:space="preserve">The Company’s financial instruments consist of cash and cash equivalents, short-term investments, accounts receivable, </w:t>
      </w:r>
      <w:r>
        <w:rPr>
          <w:rFonts w:ascii="Arial" w:cs="Arial" w:eastAsia="Arial" w:hAnsi="Arial"/>
          <w:sz w:val="17"/>
          <w:szCs w:val="17"/>
          <w:color w:val="212529"/>
        </w:rPr>
        <w:t>non-marketable securities,</w:t>
      </w:r>
      <w:r>
        <w:rPr>
          <w:rFonts w:ascii="Arial" w:cs="Arial" w:eastAsia="Arial" w:hAnsi="Arial"/>
          <w:sz w:val="17"/>
          <w:szCs w:val="17"/>
          <w:color w:val="auto"/>
        </w:rPr>
        <w:t xml:space="preserve"> accounts payable and accrued liabilities. Cash equivalents are measured at fair value on a recurring basis. Short-term investments classified as available-for-sale debt securities are recorded at fair value. </w:t>
      </w:r>
      <w:r>
        <w:rPr>
          <w:rFonts w:ascii="Arial" w:cs="Arial" w:eastAsia="Arial" w:hAnsi="Arial"/>
          <w:sz w:val="17"/>
          <w:szCs w:val="17"/>
          <w:color w:val="212529"/>
        </w:rPr>
        <w:t>Non-marketable securities are measured at fair value</w:t>
      </w:r>
      <w:r>
        <w:rPr>
          <w:rFonts w:ascii="Arial" w:cs="Arial" w:eastAsia="Arial" w:hAnsi="Arial"/>
          <w:sz w:val="17"/>
          <w:szCs w:val="17"/>
          <w:color w:val="auto"/>
        </w:rPr>
        <w:t xml:space="preserve"> when there have been observable price changes in orderly transactions for the identical or a similar investment of the same issuer or when there are identified events or changes in circumstances that may indicate impairment. Accounts receivable, accounts payable and accrued liabilities are stated at their carrying value, which approximates fair value due to the short time to the expected receipt or payment date.</w:t>
      </w:r>
    </w:p>
    <w:p>
      <w:pPr>
        <w:spacing w:after="0" w:line="12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standard describes a fair value hierarchy based on three levels of inputs, as described below, of which the first two are considered observable and the last unobservable, that may be used to measure fair value:</w:t>
      </w:r>
    </w:p>
    <w:p>
      <w:pPr>
        <w:spacing w:after="0" w:line="13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82" w:lineRule="exact"/>
        <w:rPr>
          <w:rFonts w:ascii="Arial" w:cs="Arial" w:eastAsia="Arial" w:hAnsi="Arial"/>
          <w:sz w:val="17"/>
          <w:szCs w:val="17"/>
          <w:color w:val="auto"/>
        </w:rPr>
      </w:pPr>
    </w:p>
    <w:p>
      <w:pPr>
        <w:ind w:left="660" w:right="18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Concentration of Credit Risk</w:t>
      </w:r>
    </w:p>
    <w:p>
      <w:pPr>
        <w:spacing w:after="0" w:line="171"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1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January 31, 2021 and 2020, no customer represented 10% or more of net accounts receivable. For the years ended January 31, 2021, 2020 and 2019, no customer represented 10% of more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Capitalized Software Costs</w:t>
      </w:r>
    </w:p>
    <w:p>
      <w:pPr>
        <w:spacing w:after="0" w:line="17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3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web-based product, or implementation costs incurred in a hosting arrangement that is a service contract in the years ended January 31, 2021 and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Property and Equipment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estimated useful lives: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and Equipment</w:t>
            </w:r>
          </w:p>
        </w:tc>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29"/>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100" w:type="dxa"/>
            <w:vAlign w:val="bottom"/>
            <w:tcBorders>
              <w:top w:val="single" w:sz="8" w:color="CCEEFF"/>
            </w:tcBorders>
            <w:shd w:val="clear" w:color="auto" w:fill="CCEEFF"/>
          </w:tcPr>
          <w:p>
            <w:pPr>
              <w:spacing w:after="0"/>
              <w:rPr>
                <w:sz w:val="19"/>
                <w:szCs w:val="19"/>
                <w:color w:val="auto"/>
              </w:rPr>
            </w:pPr>
          </w:p>
        </w:tc>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Two to three years</w:t>
            </w: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Purchased software</w:t>
            </w:r>
          </w:p>
        </w:tc>
        <w:tc>
          <w:tcPr>
            <w:tcW w:w="5340" w:type="dxa"/>
            <w:vAlign w:val="bottom"/>
          </w:tcPr>
          <w:p>
            <w:pPr>
              <w:ind w:left="20"/>
              <w:spacing w:after="0"/>
              <w:rPr>
                <w:sz w:val="20"/>
                <w:szCs w:val="20"/>
                <w:color w:val="auto"/>
              </w:rPr>
            </w:pPr>
            <w:r>
              <w:rPr>
                <w:rFonts w:ascii="Arial" w:cs="Arial" w:eastAsia="Arial" w:hAnsi="Arial"/>
                <w:sz w:val="18"/>
                <w:szCs w:val="18"/>
                <w:color w:val="auto"/>
              </w:rPr>
              <w:t>Two to three years</w:t>
            </w: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Servers</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years</w:t>
            </w: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340" w:type="dxa"/>
            <w:vAlign w:val="bottom"/>
          </w:tcPr>
          <w:p>
            <w:pPr>
              <w:ind w:left="20"/>
              <w:spacing w:after="0"/>
              <w:rPr>
                <w:sz w:val="20"/>
                <w:szCs w:val="20"/>
                <w:color w:val="auto"/>
              </w:rPr>
            </w:pPr>
            <w:r>
              <w:rPr>
                <w:rFonts w:ascii="Arial" w:cs="Arial" w:eastAsia="Arial" w:hAnsi="Arial"/>
                <w:sz w:val="18"/>
                <w:szCs w:val="18"/>
                <w:color w:val="auto"/>
              </w:rPr>
              <w:t>Five years</w:t>
            </w: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Lesser of estimated useful life or remaining lease term</w:t>
            </w:r>
          </w:p>
        </w:tc>
      </w:tr>
    </w:tbl>
    <w:p>
      <w:pPr>
        <w:spacing w:after="0" w:line="148"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Business Combinations</w:t>
      </w:r>
    </w:p>
    <w:p>
      <w:pPr>
        <w:spacing w:after="0" w:line="17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as of the acquisition date. The excess of the fair value of purchase consideration over the fair values of these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consolidated financial statements for the years ended January 31, 2021 and 2020 reflect the adoption of Accounting Standards Codification 842,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(“ASC 842”) effective February 1, 2019, using the modified retrospective method. The consolidated financial statements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and prior were not adjusted.</w:t>
      </w:r>
    </w:p>
    <w:p>
      <w:pPr>
        <w:spacing w:after="0" w:line="15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determines if an arrangement is, or contains, a lease at inception. An arrangement is or contains a lease if the arrangement conveys the right to control the use of an identified asset for a period of time in exchange for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consideration. To determine whether an arrangement is or contains a lease, the Company considers all relevant facts and circumstances to assess whether the customer has both of the following: (1) the right to obtain substantially all of the economic benefits from use of the identified asset; and (2) the right to direct the use of the identified asset.</w:t>
      </w:r>
    </w:p>
    <w:p>
      <w:pPr>
        <w:spacing w:after="0" w:line="130"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The Company accounts for lease components and non-lease components as a single lease component for all leases. The Company has elected an accounting policy to not recognize right-of-use assets or lease liabilities for short-term leases, which have a lease term of twelve months or less, and instead recognize the associated lease payments for short-term leases in the consolidated statements of operations on a straight-line basis over the lease term.</w:t>
      </w:r>
    </w:p>
    <w:p>
      <w:pPr>
        <w:spacing w:after="0" w:line="95"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which is the estimated rate the Company would have to pay on a collateralized basis with similar terms and payments and in a similar economic environment where the leased asset is located. Options in the lease terms to extend or terminate the lease are not reflected in the lease liabilities unless it is reasonably certain that any such options will be exercised.</w:t>
      </w:r>
    </w:p>
    <w:p>
      <w:pPr>
        <w:spacing w:after="0" w:line="12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 Company measures right-of-use assets at the lease commencement date based on the corresponding lease liabilities adjusted for (i) prepayments made to the lessor at or before the commencement date, (ii) initial direct costs incurred and (iii) certain tenant incentives under the lease. The Company evaluates the recoverability of the right-of-use assets for possible impairment in accordance with the long-lived assets policy.</w:t>
      </w:r>
    </w:p>
    <w:p>
      <w:pPr>
        <w:spacing w:after="0" w:line="11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17"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Long-Lived Assets, Including Goodwill and Other Acquired Intangible Assets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The Company evaluates the recoverability of property and equipment and acquired finite-lived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The Company has not recorded any material impairment charges related to property and equipment or acquired finite-lived intangible assets during the years presented, except as noted in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138"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In addition to the recoverability assessment, the Company periodically reviews the remaining estimated useful lives of property and equipment and acquired finite-lived intangible assets. If the estimated useful life assumption for any asset is changed due to new information, the remaining unamortized balance would be depreciated or amortized over the revised estimated useful life, on a prospective basis.</w:t>
      </w:r>
    </w:p>
    <w:p>
      <w:pPr>
        <w:spacing w:after="0" w:line="1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tests goodwill for impairment at least annually or more frequently if events or changes in circumstances indicate that the carrying value of goodwill may not be recoverable.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goodwill carrying amount over the implied fair value is recognized as an impairment loss and the carrying value of goodwill is written down to fair value. No indications of impairment of goodwill were identified during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years ended January 31, 2021, 2020 and 2019, and accordingly, the Company has not recorded any impairment of goodwill during those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 Recognition</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derives its revenue from two sources: (1) sales of subscriptions, including term license and post-contract customer support (“PCS”) and consumption-based database-as-a-service offering;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30" w:lineRule="exact"/>
        <w:rPr>
          <w:sz w:val="20"/>
          <w:szCs w:val="20"/>
          <w:color w:val="auto"/>
        </w:rPr>
      </w:pPr>
    </w:p>
    <w:p>
      <w:pPr>
        <w:ind w:left="660" w:hanging="328"/>
        <w:spacing w:after="0" w:line="271" w:lineRule="auto"/>
        <w:tabs>
          <w:tab w:leader="none" w:pos="647"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contract, or contracts, with a customer </w:t>
      </w:r>
      <w:r>
        <w:rPr>
          <w:rFonts w:ascii="Arial" w:cs="Arial" w:eastAsia="Arial" w:hAnsi="Arial"/>
          <w:sz w:val="17"/>
          <w:szCs w:val="17"/>
          <w:color w:val="auto"/>
        </w:rPr>
        <w:t>- The Company contracts with its customers through order forms,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spacing w:after="0" w:line="119" w:lineRule="exact"/>
        <w:rPr>
          <w:rFonts w:ascii="Arial" w:cs="Arial" w:eastAsia="Arial" w:hAnsi="Arial"/>
          <w:sz w:val="17"/>
          <w:szCs w:val="17"/>
          <w:color w:val="auto"/>
        </w:rPr>
      </w:pPr>
    </w:p>
    <w:p>
      <w:pPr>
        <w:ind w:left="660" w:right="80" w:hanging="328"/>
        <w:spacing w:after="0" w:line="273" w:lineRule="auto"/>
        <w:tabs>
          <w:tab w:leader="none" w:pos="656"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performance obligations in the contract </w:t>
      </w:r>
      <w:r>
        <w:rPr>
          <w:rFonts w:ascii="Arial" w:cs="Arial" w:eastAsia="Arial" w:hAnsi="Arial"/>
          <w:sz w:val="17"/>
          <w:szCs w:val="17"/>
          <w:color w:val="auto"/>
        </w:rPr>
        <w:t>- Performance obligations promised in a contract are identified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17" w:lineRule="exact"/>
        <w:rPr>
          <w:rFonts w:ascii="Arial" w:cs="Arial" w:eastAsia="Arial" w:hAnsi="Arial"/>
          <w:sz w:val="17"/>
          <w:szCs w:val="17"/>
          <w:color w:val="auto"/>
        </w:rPr>
      </w:pPr>
    </w:p>
    <w:p>
      <w:pPr>
        <w:ind w:left="660" w:right="300" w:hanging="328"/>
        <w:spacing w:after="0" w:line="261"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 The transaction price is determined based on the consideration to which the Company expects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in exchange for transferring services and products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125" w:lineRule="exact"/>
        <w:rPr>
          <w:rFonts w:ascii="Arial" w:cs="Arial" w:eastAsia="Arial" w:hAnsi="Arial"/>
          <w:sz w:val="18"/>
          <w:szCs w:val="18"/>
          <w:color w:val="auto"/>
        </w:rPr>
      </w:pPr>
    </w:p>
    <w:p>
      <w:pPr>
        <w:ind w:left="660" w:right="20" w:hanging="328"/>
        <w:spacing w:after="0" w:line="271" w:lineRule="auto"/>
        <w:tabs>
          <w:tab w:leader="none" w:pos="644"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the transaction price to the performance obligations in the contract </w:t>
      </w:r>
      <w:r>
        <w:rPr>
          <w:rFonts w:ascii="Arial" w:cs="Arial" w:eastAsia="Arial" w:hAnsi="Arial"/>
          <w:sz w:val="17"/>
          <w:szCs w:val="17"/>
          <w:color w:val="auto"/>
        </w:rPr>
        <w:t>- If the contract contains a single performance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the Company utilizes all observable data points including competitor pricing for a similar or identical product, market and industry data points and the Company’s pricing practices to establish the SSP.</w:t>
      </w:r>
    </w:p>
    <w:p>
      <w:pPr>
        <w:spacing w:after="0" w:line="119" w:lineRule="exact"/>
        <w:rPr>
          <w:rFonts w:ascii="Arial" w:cs="Arial" w:eastAsia="Arial" w:hAnsi="Arial"/>
          <w:sz w:val="17"/>
          <w:szCs w:val="17"/>
          <w:color w:val="auto"/>
        </w:rPr>
      </w:pPr>
    </w:p>
    <w:p>
      <w:pPr>
        <w:ind w:left="660" w:right="20" w:hanging="328"/>
        <w:spacing w:after="0" w:line="26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revenue when, or as, the Company satisfies a performance obligation </w:t>
      </w:r>
      <w:r>
        <w:rPr>
          <w:rFonts w:ascii="Arial" w:cs="Arial" w:eastAsia="Arial" w:hAnsi="Arial"/>
          <w:sz w:val="18"/>
          <w:szCs w:val="18"/>
          <w:color w:val="auto"/>
        </w:rPr>
        <w:t>- The Company recognizes revenue at the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Subscription Revenue</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When the Company enters into multi-year subscription contracts, the Company typically invoices the customer on an annual basis. The Company’s subscription contracts are generally non-cancelable and non-refundable.</w:t>
      </w:r>
    </w:p>
    <w:p>
      <w:pPr>
        <w:spacing w:after="0" w:line="133"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The Company’s subscription revenue includes time-based software licenses sold in conjunction with PCS. These subscription offerings are generally priced on a per server basis, subject to a per server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spacing w:after="0" w:line="12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spacing w:after="0" w:line="13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Company also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usage-basis, as the consumption of this service represents a direct measurement of the value to the customer of the goods or services transferred to date relative to the remaining goods or services promised under the contract.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Services Revenue</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Company’s services contracts are generally provisioned on a time-and-materials basis. Revenue is recognized on a proportional performance basis as the services are delivered to the customers.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171"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Certain of the Company’s contracts with customers contain multiple performance obligations, including those described above such as the license portion of time-based software licenses, PCS, database-as-a-service offering and services. For these contracts, the Company accounts for individual performance obligations separately if they are distinct. The transaction price is allocated to the separate performance obligations on a relative SSP basis.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Subscription Revenue</w:t>
      </w:r>
    </w:p>
    <w:p>
      <w:pPr>
        <w:spacing w:after="0" w:line="171"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Cost of subscription revenue primarily includes personnel costs, including salaries, bonuses and benefits and stock-based compensation, for employees associated with the Company’s subscription arrangements principally related to support and allocated shared costs, as well as depreciation and amortization. The cost of subscription revenue for the Company’s database-as-a-service offering also includes third-party cloud infrastructure.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Services Revenue</w:t>
      </w:r>
    </w:p>
    <w:p>
      <w:pPr>
        <w:spacing w:after="0" w:line="17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Cost of services revenue primarily includes personnel costs, including salaries and benefits and stock-based compensation, for employees associated with the Company’s professional service contracts, travel costs and allocated shared costs, as well as depreciation and amortization.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Commissions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capitalizes its incremental costs of obtaining non-cancelable subscription contracts with customers, which generally consist of sales commissions paid to the Company’s sales force and related payroll taxes. These costs are recorded on the Company’s consolidated balance sheets as deferred commissions. Amortization is recognized based on the expected future revenue streams under the customer contracts over a period of benefit that the Company has determined to be generally five years. The Company determined the period of benefit by taking into consideration its customer contracts, its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technology and other factors. For all other sales commissions and related payroll taxes for non-cancelable subscription contracts, the Company also capitalizes such costs,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streams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Revenue</w:t>
      </w:r>
    </w:p>
    <w:p>
      <w:pPr>
        <w:spacing w:after="0" w:line="1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Deferred revenue primarily consists of customer billings or payments received in advance of revenues being recognized from the Company’s subscription and services contracts. The Company generally invoices its customers annually in advance for its subscription services. Typical payment terms provide that customers pay a portion of the total arrangement fee within 30 days of the contract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Accounts Receivable and Allowance for Doubtful Accounts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33"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spacing w:after="0" w:line="9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Extensive judgment is required in assessing these factors. Due to the short-term nature of the Company’s accounts receivable, forecasts have limited relevance to the Company’s expected credit loss estimates. Accounts receivable are written off against the allowance when management determines a balance is uncollectible and the Company no longer actively pursues collection of the receivable. The Company’s estimates of the allowance for credit losses may not be indicative of our actual credit losses requiring additional charges to be incurred to reflect the actual amount collected.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In accounting for the issuance of the Company’s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represents the debt discount that is amortized to interest expense over the respective terms of the Notes using the effective interest rate method. The equity component was recorded in additional paid-in capital and is not remeasured as long as it continues to meet the conditions for equity classification.</w:t>
      </w:r>
    </w:p>
    <w:p>
      <w:pPr>
        <w:spacing w:after="0" w:line="12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accounting for the debt issuance costs related to the Notes, the Company allocated the total amount incurred to the liability and equity components of the Notes based on their relative values. Issuance costs attributable to the liability component are being amortized to interest expense over the contractual term of the Notes. The issuance costs attributable to the equity component were netted against the equity component representing the conversion option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Transactions involving contemporaneous exchanges of cash between the same debtor and creditor in connection with the issuance of a new debt obligation and satisfaction of an existing debt obligation by the debtor should be evaluated as a modification or an exchange transaction depending on whether the exchange is determined to have substantially different terms. For exchange transactions that are considered an extinguishment of debt, the total consideration for such an exchange is separated into liability and equity components by estimating the fair value of a similar liability without a conversion option and assigning the residual value to the equity component. The gain or loss on extinguishment of the debt is subsequently determined by comparing repurchase consideration allocated to the liability component to the sum of the carrying value of the liability component, net of the proportionate amounts of unamortized debt discount and remaining unamortized debt issuance costs.</w:t>
      </w:r>
    </w:p>
    <w:p>
      <w:pPr>
        <w:spacing w:after="0" w:line="12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liability component of the Notes are classified as non-current until the reporting period date is within one year of maturity of the Notes or when the Company has received a redemption request, but settlement will occur after the reporting period date. Under such circumstances, the net carrying amount of the Notes is classified as a current liability and a portion of the equity component representing the conversion option is reclassified to temporary equity in the consolidated balance sheets. The portion of the equity component classified as temporary equity is measured as the difference between the principal and net carrying amount of the Notes, excluding debt issuance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17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Advertising</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Advertising costs are expensed as incurred or the first time the advertising takes place, based on the nature of the advertising and include direct marketing, events, public relations, sales collateral materials and partner programs. Advertising costs were $12.8 million, $7.6 million and $5.1 million for the years ended January 31, 2021, 2020 and 2019, respectively. Advertising costs are recorded in sales and marketing expenses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w:t>
      </w:r>
    </w:p>
    <w:p>
      <w:pPr>
        <w:spacing w:after="0" w:line="171"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Compensation expense related to stock-based awards granted to employees and non-employees is calculated based on the fair value of stock-based awards on the date of grant. For restricted stock units, fair value is based on the closing price of the Company’s Class A common stock on the grant date. For stock options and purchase rights issued to employees under the 2017 Employee Stock Purchase Plan, the Company determines the grant date fair value using the Black-Scholes option-pricing model. The Company’s stock price volatility and expected option life involve management's best estimates, both of which impact the fair value estimated under the Black-Scholes option-pricing model and, ultimately, the expense that will be recognized.</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recognizes the related stock-based compensation expense for restricted stock units and stock options on a straight-line basis over the period in which an employee is required to provide service in exchange for the stock-based award,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Net Loss Per Share</w:t>
      </w:r>
    </w:p>
    <w:p>
      <w:pPr>
        <w:spacing w:after="0" w:line="17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Segment Information</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operates its business as one operating segment as the Company’s chief operating decision maker, the Company’s Chief Executive Officer, reviews financial information on an aggregate and consolidated basis for purposes of allocating resources and evaluating financial performance. Since the Company has a single operating unit and reporting segment structure, all required segment information can be found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Income Taxes</w:t>
      </w:r>
    </w:p>
    <w:p>
      <w:pPr>
        <w:spacing w:after="0" w:line="17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Related Party Transactions</w:t>
      </w:r>
    </w:p>
    <w:p>
      <w:pPr>
        <w:spacing w:after="0" w:line="17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All contracts with related parties are executed in the ordinary course of business. There were no material related party transactions in the years ended January 31, 2021, 2020 and 2019. As of January 31, 2021 and 2020, there were no material amounts payable to or amounts receivable from related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Recently Adopted Accounting Pronouncements</w:t>
      </w:r>
    </w:p>
    <w:p>
      <w:pPr>
        <w:spacing w:after="0" w:line="17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issued ASU No. 2016-02, codified as ASC 842, which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 lease liability for the obligation to make lease payments and a right-of-use asset for the right to use the underlying asset for the lease term while recognizing expense in a manner similar to the previous guidance under ASC 840. ASC 842 retains the distinction between finance leases and operating leases and the classification criteria for finance leases remains similar.</w:t>
      </w:r>
    </w:p>
    <w:p>
      <w:pPr>
        <w:spacing w:after="0" w:line="133" w:lineRule="exact"/>
        <w:rPr>
          <w:sz w:val="20"/>
          <w:szCs w:val="20"/>
          <w:color w:val="auto"/>
        </w:rPr>
      </w:pPr>
    </w:p>
    <w:p>
      <w:pPr>
        <w:ind w:right="140" w:firstLine="486"/>
        <w:spacing w:after="0" w:line="313" w:lineRule="auto"/>
        <w:rPr>
          <w:sz w:val="20"/>
          <w:szCs w:val="20"/>
          <w:color w:val="auto"/>
        </w:rPr>
      </w:pPr>
      <w:r>
        <w:rPr>
          <w:rFonts w:ascii="Arial" w:cs="Arial" w:eastAsia="Arial" w:hAnsi="Arial"/>
          <w:sz w:val="15"/>
          <w:szCs w:val="15"/>
          <w:color w:val="auto"/>
        </w:rPr>
        <w:t xml:space="preserve">The Company adopted the new lease accounting standard effective February 1, 2019 on a modified retrospective basis for leases that existed as of February 1, 2019 using the additional transition method described in ASU No. 2018-11, </w:t>
      </w:r>
      <w:r>
        <w:rPr>
          <w:rFonts w:ascii="Arial" w:cs="Arial" w:eastAsia="Arial" w:hAnsi="Arial"/>
          <w:sz w:val="15"/>
          <w:szCs w:val="15"/>
          <w:i w:val="1"/>
          <w:iCs w:val="1"/>
          <w:color w:val="auto"/>
        </w:rPr>
        <w:t>Leases – Targeted Improvements</w:t>
      </w:r>
      <w:r>
        <w:rPr>
          <w:rFonts w:ascii="Arial" w:cs="Arial" w:eastAsia="Arial" w:hAnsi="Arial"/>
          <w:sz w:val="15"/>
          <w:szCs w:val="15"/>
          <w:color w:val="auto"/>
        </w:rPr>
        <w:t>, which was issued in July 2018. Under the additional transition method, the Company recognized the cumulative effect of initially applying ASC 842 as an adjustment to the right-of-use assets and lease liabilities on its condensed consolidated balance sheet on February 1, 2019 without retrospective application to comparative periods. The Company elected the practical expedients which allow it to carry forward its assessment on whether an arrangement is a lease or contains a lease, the historical lease classification and the initial direct costs for any leases that expired or existed prior to the adoption of ASC 842. In addition, the Company elected the short-term lease exception and the practical expedient to account for lease components and non-lease components as a single lease component.</w:t>
      </w:r>
    </w:p>
    <w:p>
      <w:pPr>
        <w:spacing w:after="0" w:line="9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connection with the adoption of ASC 842, the Company recognized operating lease right-of-use assets and operating lease liabilities on the consolidated balance sheet primarily related to the office facilities of $10.3 million and $11.3 million, respectively. The difference between the operating lease right-of-use assets and operating lease liabilities primarily represented the existing deferred rent liability balance as of the adoption date of $1.0 million.</w:t>
      </w:r>
    </w:p>
    <w:p>
      <w:pPr>
        <w:spacing w:after="0" w:line="13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Prior to the adoption of ASC 842, 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and accordingly, the Company accounted for the New York City office lease as a financing arrangement. As of January 31, 2019, $55.7 million of the build-to-suit lease asset was included in “Property and equipment, net” and the related $70.2 million financing lease obligation was included in “Other liabilities, non-current” on the consolidated balance sheets. Upon the adoption of ASC 842, this lease was classified as a finance lease, where the Company derecognized its build-to-suit asset and related liabilities, recognized finance right-of-use assets of $43.4 million and finance lease liabilities of $64.0 million, reduced the existing deferred rent liability balance as of the adoption date of $1.9 million, and recorded $4.1 million as a decrease to the opening accumulated deficit as of February 1, 2019.</w:t>
      </w:r>
    </w:p>
    <w:p>
      <w:pPr>
        <w:spacing w:after="0" w:line="1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Simplifying the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The new standard simplifies the measurement of goodwill by eliminating step two of the two-step 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 if applicable. The new guidance, effective February 1, 2020, did not have an impact on the Company’s consolidated financial statements.</w:t>
      </w:r>
    </w:p>
    <w:p>
      <w:pPr>
        <w:spacing w:after="0" w:line="19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Cloud Computing</w:t>
      </w:r>
      <w:r>
        <w:rPr>
          <w:rFonts w:ascii="Arial" w:cs="Arial" w:eastAsia="Arial" w:hAnsi="Arial"/>
          <w:sz w:val="18"/>
          <w:szCs w:val="18"/>
          <w:color w:val="auto"/>
        </w:rPr>
        <w:t>. In August 2018, the FASB issued ASU 2018-15,</w:t>
      </w:r>
      <w:r>
        <w:rPr>
          <w:rFonts w:ascii="Arial" w:cs="Arial" w:eastAsia="Arial" w:hAnsi="Arial"/>
          <w:sz w:val="18"/>
          <w:szCs w:val="18"/>
          <w:i w:val="1"/>
          <w:iCs w:val="1"/>
          <w:color w:val="auto"/>
        </w:rPr>
        <w:t xml:space="preserve"> Customer’s Accounting for Implementation Costs Incurred in a Cloud Computing Arrangement That Is a Service Contract</w:t>
      </w:r>
      <w:r>
        <w:rPr>
          <w:rFonts w:ascii="Arial" w:cs="Arial" w:eastAsia="Arial" w:hAnsi="Arial"/>
          <w:sz w:val="18"/>
          <w:szCs w:val="18"/>
          <w:color w:val="auto"/>
        </w:rPr>
        <w:t>, which aligns the accounting for implementation costs incurred in a hosting arrangement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with the accounting for implementation costs incurred to develop or obtain internal-use software under ASC 350-40, in order to determine which costs to capitalize and recognize as an asset and which costs to expense. The Company adopted ASU 2018-15, effective February 1, 2020, prospectively for implementation costs incurred after the date of adoption. ASU 2018-15 did not have an impact on the Company’s consolidated financial statements upon adoption.</w:t>
      </w:r>
    </w:p>
    <w:p>
      <w:pPr>
        <w:spacing w:after="0" w:line="138"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i w:val="1"/>
          <w:iCs w:val="1"/>
          <w:color w:val="auto"/>
        </w:rPr>
        <w:t>Credit Losses</w:t>
      </w:r>
      <w:r>
        <w:rPr>
          <w:rFonts w:ascii="Arial" w:cs="Arial" w:eastAsia="Arial" w:hAnsi="Arial"/>
          <w:sz w:val="16"/>
          <w:szCs w:val="16"/>
          <w:color w:val="auto"/>
        </w:rPr>
        <w:t>. In June 2016, the FASB issued ASU 2016-13,</w:t>
      </w:r>
      <w:r>
        <w:rPr>
          <w:rFonts w:ascii="Arial" w:cs="Arial" w:eastAsia="Arial" w:hAnsi="Arial"/>
          <w:sz w:val="16"/>
          <w:szCs w:val="16"/>
          <w:i w:val="1"/>
          <w:iCs w:val="1"/>
          <w:color w:val="auto"/>
        </w:rPr>
        <w:t xml:space="preserve"> Financial Instruments-Credit Losses (Topic 326)</w:t>
      </w:r>
      <w:r>
        <w:rPr>
          <w:rFonts w:ascii="Arial" w:cs="Arial" w:eastAsia="Arial" w:hAnsi="Arial"/>
          <w:sz w:val="16"/>
          <w:szCs w:val="16"/>
          <w:color w:val="auto"/>
        </w:rPr>
        <w:t>: Measurement of Credit Losses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which requires the measurement and recognition of expected credit losses for financial assets held at amortized cost, which includes the Company's accounts receivable, including unbilled receivables, as well as certain financial instruments. ASU 2016-13 replaces the existing incurred loss impairment model with an expected loss methodology, which will result in more timely recognition of credit losses. ASU 2016-13 eliminates the concept of other-than-temporary impairment and requires credit losses related to available-for-sale debt securities to be recorded through an allowance for credit losses rather than as a reduction in the amortized cost basis of the securities. Effective February 1, 2020, the Company adopted ASU 2016-13 using the modified retrospective transition approach, which required a cumulative effect adjustment to the balance sheet as of February 1, 2020.</w:t>
      </w:r>
    </w:p>
    <w:p>
      <w:pPr>
        <w:spacing w:after="0" w:line="112"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 xml:space="preserve">As a result of the adoption, the Company recorded a cumulative effect adjustment to increase the accumulated deficit by $0.2 million, which represented the accelerated recognition of credit losses under the expected credit loss model of calculating current expected credit losses compared to the previous incurred loss impairment model. Refer to the updated accounting policies in this Note 2, specifically under </w:t>
      </w:r>
      <w:r>
        <w:rPr>
          <w:rFonts w:ascii="Arial" w:cs="Arial" w:eastAsia="Arial" w:hAnsi="Arial"/>
          <w:sz w:val="17"/>
          <w:szCs w:val="17"/>
          <w:i w:val="1"/>
          <w:iCs w:val="1"/>
          <w:color w:val="auto"/>
        </w:rPr>
        <w:t>Marketable Securities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 and Allowance for Doubtful Accounts, </w:t>
      </w:r>
      <w:r>
        <w:rPr>
          <w:rFonts w:ascii="Arial" w:cs="Arial" w:eastAsia="Arial" w:hAnsi="Arial"/>
          <w:sz w:val="17"/>
          <w:szCs w:val="17"/>
          <w:color w:val="auto"/>
        </w:rPr>
        <w:t>for further details from the impact of ASU 2016-13.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New Accounting Pronouncements Not Yet Adopted</w:t>
      </w:r>
    </w:p>
    <w:p>
      <w:pPr>
        <w:spacing w:after="0" w:line="17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In August 2020, the FASB issued ASU 2020-06—</w:t>
      </w:r>
      <w:r>
        <w:rPr>
          <w:rFonts w:ascii="Arial" w:cs="Arial" w:eastAsia="Arial" w:hAnsi="Arial"/>
          <w:sz w:val="17"/>
          <w:szCs w:val="17"/>
          <w:i w:val="1"/>
          <w:iCs w:val="1"/>
          <w:color w:val="auto"/>
        </w:rPr>
        <w:t xml:space="preserve">Debt—Debt with Conversion and Other Options (Subtopic 470-20) and Derivatives and Hedging—Contracts in Entity’s Own Equity (Subtopic 815-40): </w:t>
      </w:r>
      <w:r>
        <w:rPr>
          <w:rFonts w:ascii="Arial" w:cs="Arial" w:eastAsia="Arial" w:hAnsi="Arial"/>
          <w:sz w:val="17"/>
          <w:szCs w:val="17"/>
          <w:color w:val="auto"/>
        </w:rPr>
        <w:t>Accounting for Convertible Instruments and Contracts in an Entity’s Own Equity.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simplifies the accounting for convertible instruments by eliminating the conversion option separation model for convertible debt that can be settled in cash and by eliminating the measurement model for beneficial conversion features. Convertible instruments that continue to be subject to separation models are (1) those with conversion options that are required to be accounted for as bifurcated derivatives and (2) convertible debt instruments issued with substantial premiums for which the premiums are recorded as paid-in capital. Additionally, among other changes, the new guidance eliminates some of the conditions for equity classification for contracts in an entity’s own equity, thereby making it easier for equity contracts to qualify for the derivative scope exception. The new standard also requires entities to use the if-converted method for all convertible instruments in the diluted earnings per share calculation and include the effect of share settlement for instruments that may be settled in cash or shares, except for certain liability-classified share-based payment awards. The Company plans to early adopt ASU 2020-06 as of February 1, 2021 using the modified retrospective transition method, which will result in a cumulative-effect adjustment to the opening balance of accumulated deficit on the date of adoption. Prior period financial statements will not be restated upon adoption.</w:t>
      </w:r>
    </w:p>
    <w:p>
      <w:pPr>
        <w:spacing w:after="0" w:line="1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Upon adoption of ASU 2020-06, the Company will no longer record the conversion feature of its convertible senior notes in equity. Instead, the Company will combine the previously separated equity component with the liability component, which together will be classified as debt, thereby eliminating the subsequent amortization of the debt discount as interest expense. Similarly, the portion of issuance costs previously allocated to equity will be reclassified to debt and amortized as interest expense. Accordingly, the Company expects to record a decrease to accumulated deficit of approximately $52.6 million, a decrease to additional paid-in capital of $309.4 million, a decrease to temporary equity of $4.7 million and an increase to convertible senior notes, net of approximately $261.5 million. There will be no deferred tax impact related to the adoption of ASU 2020-06 due to the full valuation allowance. Also upon adoption, the Company will no longer utilize the treasury stock method for earnings per share purposes. Instead, the Company will use the if-converted method when reporting the weighted-average number of potentially dilutive shares of common stock. Although the required use of the if-converted method will not impact the diluted net loss per share as long as the Company is in a net loss position, the Company will be required to include disclosure of all the underlying shares regardless of the average stock price for the reporting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 xml:space="preserve">Income Taxes (Topic 740): </w:t>
      </w:r>
      <w:r>
        <w:rPr>
          <w:rFonts w:ascii="Arial" w:cs="Arial" w:eastAsia="Arial" w:hAnsi="Arial"/>
          <w:sz w:val="18"/>
          <w:szCs w:val="18"/>
          <w:color w:val="auto"/>
        </w:rPr>
        <w:t>Simplifying the Accounting for Income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is effective for the Company beginning February 1, 2021, although early adoption of the amendments is permitted. The Company is currently evaluating the impact of ASU 2019-12 on its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January 31, 2021 and 2020 and indicate the fair value hierarchy of the valuation inputs utilized to determine such fair value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Fair Value Measurement at January 31, 2021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5"/>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330,109</w:t>
            </w:r>
          </w:p>
        </w:tc>
      </w:tr>
      <w:tr>
        <w:trPr>
          <w:trHeight w:val="229"/>
        </w:trPr>
        <w:tc>
          <w:tcPr>
            <w:tcW w:w="5100" w:type="dxa"/>
            <w:vAlign w:val="bottom"/>
          </w:tcPr>
          <w:p>
            <w:pPr>
              <w:ind w:left="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528,045</w:t>
            </w:r>
          </w:p>
        </w:tc>
      </w:tr>
      <w:tr>
        <w:trPr>
          <w:trHeight w:val="263"/>
        </w:trPr>
        <w:tc>
          <w:tcPr>
            <w:tcW w:w="51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858,154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858,154</w:t>
            </w:r>
          </w:p>
        </w:tc>
      </w:tr>
      <w:tr>
        <w:trPr>
          <w:trHeight w:val="21"/>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5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Fair Value Measurement at January 31, 2020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623,856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4"/>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280,326</w:t>
            </w:r>
          </w:p>
        </w:tc>
      </w:tr>
      <w:tr>
        <w:trPr>
          <w:trHeight w:val="263"/>
        </w:trPr>
        <w:tc>
          <w:tcPr>
            <w:tcW w:w="51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904,182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904,182</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January 31, 2021 and 2020. As of January 31, 2021 and 2020, gross unrealized gains and losses for cash equivalents and short-term investments were not material. Accordingly, the Company concluded that an allowance for credit losses was unnecessary for short-term investments as of January 31, 2021. Gross realized gains and losses were immaterial for each of the years ended January 31,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In addition to its cash, cash equivalents and short-term investments, the Company measures the fair value of its outstanding convertible senior notes on a quarterly basis for disclosure purposes. The Company considers the fair value of its convertible senior notes at January 31, 2021 to be a Level 2 measurement due to limited trading activity of the convertible senior notes. Refer to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consolidated financial statements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Non-marketable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January 31, 2021, the total amount of non-marketable equity securities included in other assets on the Company’s balance sheets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$0.5 million. The Company did not have any such non-marketable securities in any prior periods. Refer to Note 2, </w:t>
      </w:r>
      <w:r>
        <w:rPr>
          <w:rFonts w:ascii="Arial" w:cs="Arial" w:eastAsia="Arial" w:hAnsi="Arial"/>
          <w:sz w:val="17"/>
          <w:szCs w:val="17"/>
          <w:i w:val="1"/>
          <w:iCs w:val="1"/>
          <w:color w:val="auto"/>
        </w:rPr>
        <w:t>Summary of Significant Accounting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Policies</w:t>
      </w:r>
      <w:r>
        <w:rPr>
          <w:rFonts w:ascii="Arial" w:cs="Arial" w:eastAsia="Arial" w:hAnsi="Arial"/>
          <w:sz w:val="17"/>
          <w:szCs w:val="17"/>
          <w:color w:val="auto"/>
        </w:rPr>
        <w:t>, for further details. The Company classifies these assets as Level 3 within the fair value hierarchy only if an impairment or observable price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changes in orderly transactions are recognized on these non-marketable equity securities during the period. The estimation of fair value for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investments is inherently complex due to the lack of readily available market data and inherent lack of liquidity and requires the Company’s judgment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use of significant unobservable inputs in an inactive market. In addition, the determination of whether an orderly transaction is for the identical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investment requires significant management judgment, including understanding the differences in the rights and obligations of the investments,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extent to which those differences would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affect the fair values of those investments and the stage of operational development of the entities. For the three months and year ended January 31, 2021, there have been no adjustments to the carrying values of the Company’s non-marketable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2021</w:t>
            </w:r>
          </w:p>
        </w:tc>
        <w:tc>
          <w:tcPr>
            <w:tcW w:w="20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January 31, 2020</w:t>
            </w: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Servers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39,411</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63,869</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58,316</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 xml:space="preserve">Depreciation and amortization expense related to property and equipment was $5.5 million, $2.7 million and $2.9 million for the years ended January 31, 2021, 2020 and 2019, respectively. Depreciation and amortization expense excludes amortization with respect to the finance lease right-of-use asset, which is described further in Note 7,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Depreciation expense for the year ended January 31, 2021 included an impairment charge of $2.1 million related to the Company’s former office space in Dublin, Ireland. In December 2019, the Company signed an agreement to lease approximately 40,000 square feet of office space to accommodate its growing employee base in Dublin. The lease commenced on February 1, 2020 and as of January 31, 2021, the former Dublin office is no longer occupied by the Company. Due to the impact of the ongoing COVID-19 pandemic, the Company has been unable to assign nor secure a sub-tenant for the former Dublin office. Accordingly, the Company recognized an impairment charge as part of depreciation expense that represented the remaining carrying value of the right-of-use asset for this office location.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January 31,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31, 2020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the year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w:t>
            </w:r>
          </w:p>
        </w:tc>
        <w:tc>
          <w:tcPr>
            <w:tcW w:w="40" w:type="dxa"/>
            <w:vAlign w:val="bottom"/>
            <w:shd w:val="clear" w:color="auto" w:fill="CCEEFF"/>
          </w:tcPr>
          <w:p>
            <w:pPr>
              <w:spacing w:after="0"/>
              <w:rPr>
                <w:sz w:val="19"/>
                <w:szCs w:val="19"/>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goodwill related to business combinations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40" w:type="dxa"/>
            <w:vAlign w:val="bottom"/>
            <w:tcBorders>
              <w:bottom w:val="single" w:sz="8" w:color="auto"/>
            </w:tcBorders>
          </w:tcPr>
          <w:p>
            <w:pPr>
              <w:spacing w:after="0"/>
              <w:rPr>
                <w:sz w:val="19"/>
                <w:szCs w:val="19"/>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the year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55,830</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54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11240" w:type="dxa"/>
            <w:vAlign w:val="bottom"/>
            <w:gridSpan w:val="14"/>
          </w:tcPr>
          <w:p>
            <w:pPr>
              <w:ind w:left="500"/>
              <w:spacing w:after="0"/>
              <w:rPr>
                <w:sz w:val="20"/>
                <w:szCs w:val="20"/>
                <w:color w:val="auto"/>
              </w:rPr>
            </w:pPr>
            <w:r>
              <w:rPr>
                <w:rFonts w:ascii="Arial" w:cs="Arial" w:eastAsia="Arial" w:hAnsi="Arial"/>
                <w:sz w:val="18"/>
                <w:szCs w:val="18"/>
                <w:color w:val="auto"/>
              </w:rPr>
              <w:t>The gross carrying amount and accumulated amortization of the Company’s intangible assets are as follows (in thousands):</w:t>
            </w:r>
          </w:p>
        </w:tc>
      </w:tr>
      <w:tr>
        <w:trPr>
          <w:trHeight w:val="372"/>
        </w:trPr>
        <w:tc>
          <w:tcPr>
            <w:tcW w:w="4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auto"/>
                <w:w w:val="92"/>
              </w:rPr>
              <w:t>January 31,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00" w:type="dxa"/>
            <w:vAlign w:val="bottom"/>
          </w:tcPr>
          <w:p>
            <w:pPr>
              <w:spacing w:after="0"/>
              <w:rPr>
                <w:sz w:val="16"/>
                <w:szCs w:val="16"/>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Accumulated Amortization</w:t>
            </w:r>
          </w:p>
        </w:tc>
        <w:tc>
          <w:tcPr>
            <w:tcW w:w="220" w:type="dxa"/>
            <w:vAlign w:val="bottom"/>
          </w:tcPr>
          <w:p>
            <w:pPr>
              <w:spacing w:after="0"/>
              <w:rPr>
                <w:sz w:val="16"/>
                <w:szCs w:val="16"/>
                <w:color w:val="auto"/>
              </w:rPr>
            </w:pPr>
          </w:p>
        </w:tc>
        <w:tc>
          <w:tcPr>
            <w:tcW w:w="2000" w:type="dxa"/>
            <w:vAlign w:val="bottom"/>
          </w:tcPr>
          <w:p>
            <w:pPr>
              <w:jc w:val="right"/>
              <w:ind w:right="554"/>
              <w:spacing w:after="0"/>
              <w:rPr>
                <w:sz w:val="20"/>
                <w:szCs w:val="20"/>
                <w:color w:val="auto"/>
              </w:rPr>
            </w:pPr>
            <w:r>
              <w:rPr>
                <w:rFonts w:ascii="Arial" w:cs="Arial" w:eastAsia="Arial" w:hAnsi="Arial"/>
                <w:sz w:val="14"/>
                <w:szCs w:val="14"/>
                <w:b w:val="1"/>
                <w:bCs w:val="1"/>
                <w:color w:val="auto"/>
              </w:rPr>
              <w:t>Net Book Value</w:t>
            </w:r>
          </w:p>
        </w:tc>
        <w:tc>
          <w:tcPr>
            <w:tcW w:w="40" w:type="dxa"/>
            <w:vAlign w:val="bottom"/>
          </w:tcPr>
          <w:p>
            <w:pPr>
              <w:spacing w:after="0"/>
              <w:rPr>
                <w:sz w:val="16"/>
                <w:szCs w:val="16"/>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4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Domain name</w:t>
            </w:r>
          </w:p>
        </w:tc>
        <w:tc>
          <w:tcPr>
            <w:tcW w:w="28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(6,670)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40" w:type="dxa"/>
            <w:vAlign w:val="bottom"/>
          </w:tcPr>
          <w:p>
            <w:pPr>
              <w:spacing w:after="0"/>
              <w:rPr>
                <w:sz w:val="19"/>
                <w:szCs w:val="19"/>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(23,780)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26,275</w:t>
            </w:r>
          </w:p>
        </w:tc>
        <w:tc>
          <w:tcPr>
            <w:tcW w:w="40" w:type="dxa"/>
            <w:vAlign w:val="bottom"/>
          </w:tcPr>
          <w:p>
            <w:pPr>
              <w:spacing w:after="0"/>
              <w:rPr>
                <w:sz w:val="19"/>
                <w:szCs w:val="19"/>
                <w:color w:val="auto"/>
              </w:rPr>
            </w:pPr>
          </w:p>
        </w:tc>
      </w:tr>
      <w:tr>
        <w:trPr>
          <w:trHeight w:val="21"/>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2020</w:t>
            </w: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187"/>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00" w:type="dxa"/>
            <w:vAlign w:val="bottom"/>
          </w:tcPr>
          <w:p>
            <w:pPr>
              <w:spacing w:after="0"/>
              <w:rPr>
                <w:sz w:val="16"/>
                <w:szCs w:val="16"/>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Accumulated Amortization</w:t>
            </w:r>
          </w:p>
        </w:tc>
        <w:tc>
          <w:tcPr>
            <w:tcW w:w="360" w:type="dxa"/>
            <w:vAlign w:val="bottom"/>
          </w:tcPr>
          <w:p>
            <w:pPr>
              <w:spacing w:after="0"/>
              <w:rPr>
                <w:sz w:val="16"/>
                <w:szCs w:val="16"/>
                <w:color w:val="auto"/>
              </w:rPr>
            </w:pPr>
          </w:p>
        </w:tc>
        <w:tc>
          <w:tcPr>
            <w:tcW w:w="1860" w:type="dxa"/>
            <w:vAlign w:val="bottom"/>
          </w:tcPr>
          <w:p>
            <w:pPr>
              <w:jc w:val="right"/>
              <w:ind w:right="554"/>
              <w:spacing w:after="0"/>
              <w:rPr>
                <w:sz w:val="20"/>
                <w:szCs w:val="20"/>
                <w:color w:val="auto"/>
              </w:rPr>
            </w:pPr>
            <w:r>
              <w:rPr>
                <w:rFonts w:ascii="Arial" w:cs="Arial" w:eastAsia="Arial" w:hAnsi="Arial"/>
                <w:sz w:val="14"/>
                <w:szCs w:val="14"/>
                <w:b w:val="1"/>
                <w:bCs w:val="1"/>
                <w:color w:val="auto"/>
              </w:rPr>
              <w:t>Net Book Value</w:t>
            </w: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23,205</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Domain name</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34,779</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Acquired intangible assets are amortized on a straight-line basis. As of January 31, 2021, the weighted-average remaining useful lives of identifiable, acquisition-related intangible assets was 3.3 years for developed technology and 2.8 years for customer relationships. Amortization expense of intangible assets was $8.5 million, $10.1 million and $2.3 million for the years ended January 31, 2021, 2020 and 2019, respectively. Amortization expense for developed technology and the domain name was included as research and development expense in the Company’s consolidated statements of operations. Amortization expense for customer relationships was included as sales and marketing expense in the Company’s consolidated statements of operations.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2021, future amortization expense related to the intangible assets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Years Ending January 31,</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5"/>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26,275</w:t>
            </w:r>
          </w:p>
        </w:tc>
      </w:tr>
      <w:tr>
        <w:trPr>
          <w:trHeight w:val="21"/>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w:t>
      </w:r>
    </w:p>
    <w:p>
      <w:pPr>
        <w:spacing w:after="0" w:line="17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June 2018, the Company issued $250.0 million aggregate principal amount of 0.75% convertible senior notes due 2024 in a private placement and, in July 2018, the Company issued an additional $50.0 million aggregate principal amount of convertible senior notes pursuant to the exercise in full of the initial purchasers’ option to purchase additional convertible senior notes (collectively, the “2024 Notes”). The 2024 Notes are senior unsecured obligations of the Company and interest is payable semiannually in arrears on June 15 and December 15 of each year, beginning on December 15, 2018, at a rate of 0.75% per year. The 2024 Notes will mature on June 15, 2024, unless earlier converted, redeemed or repurchased. The total net proceeds from the offering, after deducting initial purchase discounts and debt issuance costs, were approximately $291.1 million.</w:t>
      </w:r>
    </w:p>
    <w:p>
      <w:pPr>
        <w:spacing w:after="0" w:line="11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10"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On January 14, 2020, in connection with the issuance of the 2026 Notes, the Company used a portion of the net proceeds to repurchase $210.0 million aggregate principal amount of the 2024 Notes (the “2024 Notes Partial Repurchase”) leaving $90.0 million aggregate principal outstanding on the 2024 Notes immediately after the exchange. The 2024 Notes Partial Repurchase were not pursuant to a redemption notice and were individually privately negotiated transactions. The 2024 Notes Partial Repurchase and issuance of the 2026 Notes were deemed to have substantially different terms due to the significant difference between the value of the conversion option immediately prior to and after the exchange, and accordingly, the 2024 Notes Partial Repurchase was accounted for as a debt extinguishment. The Company used $479.2 million of the net proceeds from the issuance of the 2026 Notes to complete the 2024 Notes Partial Repurchase, of which $175.1 million and $303.9 million were allocated to the liability and equity components of the 2024 Notes, respectively, and $0.2 million was allocated to the proportional interest paid. The cash consideration allocated to the liability component was based on the fair value of the liability component utilizing an effective discount rate of 5.04%. This rate was based on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Company’s estimated rate for a similar liability with the same maturity, but without the conversion option. To derive this effective discount rate, the Company observed the trading details of its 2024 Notes immediately prior to the repurchase date to determine the volatility of its 2024 Notes. The Company utilized the observed volatility to calculate the effective discount rate, which was adjusted to reflect the term of the remaining 2024 Notes. The cash consideration allocated to the equity component was calculated by deducting the fair value of the liability component from the aggregate cash consideration. The loss on extinguishment was subsequently determined by comparing the allocated cash consideration with the carrying value of the liability component, which includes the proportionate amounts of unamortized debt discount and the remaining unamortized debt issuance costs.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net carrying amount of the liability component of the 2024 Notes immediately prior to the repurchase was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2234"/>
              <w:spacing w:after="0"/>
              <w:rPr>
                <w:sz w:val="20"/>
                <w:szCs w:val="20"/>
                <w:color w:val="auto"/>
              </w:rPr>
            </w:pPr>
            <w:r>
              <w:rPr>
                <w:rFonts w:ascii="Arial" w:cs="Arial" w:eastAsia="Arial" w:hAnsi="Arial"/>
                <w:sz w:val="14"/>
                <w:szCs w:val="14"/>
                <w:b w:val="1"/>
                <w:bCs w:val="1"/>
                <w:color w:val="auto"/>
              </w:rPr>
              <w:t>January 14, 2020</w:t>
            </w:r>
          </w:p>
        </w:tc>
      </w:tr>
      <w:tr>
        <w:trPr>
          <w:trHeight w:val="186"/>
        </w:trPr>
        <w:tc>
          <w:tcPr>
            <w:tcW w:w="5540" w:type="dxa"/>
            <w:vAlign w:val="bottom"/>
          </w:tcPr>
          <w:p>
            <w:pPr>
              <w:spacing w:after="0"/>
              <w:rPr>
                <w:sz w:val="16"/>
                <w:szCs w:val="16"/>
                <w:color w:val="auto"/>
              </w:rPr>
            </w:pPr>
          </w:p>
        </w:tc>
        <w:tc>
          <w:tcPr>
            <w:tcW w:w="2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 Notes Total</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9"/>
              </w:rPr>
              <w:t>2024 Notes Partial Repurchase</w:t>
            </w:r>
          </w:p>
        </w:tc>
      </w:tr>
      <w:tr>
        <w:trPr>
          <w:trHeight w:val="226"/>
        </w:trPr>
        <w:tc>
          <w:tcPr>
            <w:tcW w:w="5540" w:type="dxa"/>
            <w:vAlign w:val="bottom"/>
          </w:tcPr>
          <w:p>
            <w:pPr>
              <w:ind w:left="220"/>
              <w:spacing w:after="0"/>
              <w:rPr>
                <w:sz w:val="20"/>
                <w:szCs w:val="20"/>
                <w:color w:val="auto"/>
              </w:rPr>
            </w:pPr>
            <w:r>
              <w:rPr>
                <w:rFonts w:ascii="Arial" w:cs="Arial" w:eastAsia="Arial" w:hAnsi="Arial"/>
                <w:sz w:val="18"/>
                <w:szCs w:val="18"/>
                <w:color w:val="auto"/>
              </w:rPr>
              <w:t>Principal</w:t>
            </w:r>
          </w:p>
        </w:tc>
        <w:tc>
          <w:tcPr>
            <w:tcW w:w="2020" w:type="dxa"/>
            <w:vAlign w:val="bottom"/>
          </w:tcPr>
          <w:p>
            <w:pPr>
              <w:jc w:val="right"/>
              <w:ind w:right="18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209,998</w:t>
            </w:r>
          </w:p>
        </w:tc>
      </w:tr>
      <w:tr>
        <w:trPr>
          <w:trHeight w:val="229"/>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2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(45,756)</w:t>
            </w:r>
          </w:p>
        </w:tc>
      </w:tr>
      <w:tr>
        <w:trPr>
          <w:trHeight w:val="230"/>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2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r>
      <w:tr>
        <w:trPr>
          <w:trHeight w:val="248"/>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carrying amount</w:t>
            </w:r>
          </w:p>
        </w:tc>
        <w:tc>
          <w:tcPr>
            <w:tcW w:w="2020" w:type="dxa"/>
            <w:vAlign w:val="bottom"/>
            <w:tcBorders>
              <w:bottom w:val="single" w:sz="8" w:color="auto"/>
            </w:tcBorders>
            <w:shd w:val="clear" w:color="auto" w:fill="CCEEFF"/>
          </w:tcPr>
          <w:p>
            <w:pPr>
              <w:jc w:val="right"/>
              <w:ind w:right="18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2024 Notes Partial Repurchase resulted in a loss of early extinguishment of debt calculated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January 14, 2020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consideration allocated to the liability component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175,141</w:t>
            </w:r>
          </w:p>
        </w:tc>
        <w:tc>
          <w:tcPr>
            <w:tcW w:w="0" w:type="dxa"/>
            <w:vAlign w:val="bottom"/>
          </w:tcPr>
          <w:p>
            <w:pPr>
              <w:spacing w:after="0"/>
              <w:rPr>
                <w:sz w:val="1"/>
                <w:szCs w:val="1"/>
                <w:color w:val="auto"/>
              </w:rPr>
            </w:pPr>
          </w:p>
        </w:tc>
      </w:tr>
      <w:tr>
        <w:trPr>
          <w:trHeight w:val="175"/>
        </w:trPr>
        <w:tc>
          <w:tcPr>
            <w:tcW w:w="6900" w:type="dxa"/>
            <w:vAlign w:val="bottom"/>
          </w:tcPr>
          <w:p>
            <w:pPr>
              <w:ind w:left="220"/>
              <w:spacing w:after="0" w:line="176" w:lineRule="exact"/>
              <w:rPr>
                <w:sz w:val="20"/>
                <w:szCs w:val="20"/>
                <w:color w:val="auto"/>
              </w:rPr>
            </w:pPr>
            <w:r>
              <w:rPr>
                <w:rFonts w:ascii="Arial" w:cs="Arial" w:eastAsia="Arial" w:hAnsi="Arial"/>
                <w:sz w:val="18"/>
                <w:szCs w:val="18"/>
                <w:color w:val="auto"/>
                <w:w w:val="91"/>
              </w:rPr>
              <w:t>Less: Net carrying amount of the liability component associated with the 2024 Notes Partial</w:t>
            </w:r>
          </w:p>
        </w:tc>
        <w:tc>
          <w:tcPr>
            <w:tcW w:w="500" w:type="dxa"/>
            <w:vAlign w:val="bottom"/>
          </w:tcPr>
          <w:p>
            <w:pPr>
              <w:spacing w:after="0"/>
              <w:rPr>
                <w:sz w:val="15"/>
                <w:szCs w:val="15"/>
                <w:color w:val="auto"/>
              </w:rPr>
            </w:pP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(160,619)</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w:t>
            </w:r>
          </w:p>
        </w:tc>
        <w:tc>
          <w:tcPr>
            <w:tcW w:w="5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from 2024 Notes Partial Repurchase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connection with the 2024 Notes Partial Repurchase, the cash consideration allocated to the equity component of $303.9 million was recorded as a reduction to additional paid-in capital on the Company’s consolidated balance sheet as of January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Terms of the 2024 Notes</w:t>
      </w:r>
    </w:p>
    <w:p>
      <w:pPr>
        <w:spacing w:after="0" w:line="17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For the 2024 Notes, the initial conversion rate is 14.6738 shares of the Company’s Class A common stock per $1,000 principal amount of the 2024 Notes, which is equal to an initial conversion price of approximately $68.15 per share of Class A common stock, subject to adjustment upon the occurrence of specified events.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2024 Notes will be convertible at the option of the holders at any time prior to the close of business on the business day immediately preceding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15, 2024, only under the following circumstances:</w:t>
      </w:r>
    </w:p>
    <w:p>
      <w:pPr>
        <w:spacing w:after="0" w:line="157" w:lineRule="exact"/>
        <w:rPr>
          <w:sz w:val="20"/>
          <w:szCs w:val="20"/>
          <w:color w:val="auto"/>
        </w:rPr>
      </w:pPr>
    </w:p>
    <w:p>
      <w:pPr>
        <w:ind w:left="980" w:right="400" w:hanging="324"/>
        <w:spacing w:after="0" w:line="279" w:lineRule="auto"/>
        <w:tabs>
          <w:tab w:leader="none" w:pos="97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October 31, 2018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2024 Notes on each applicable trading day;</w:t>
      </w:r>
    </w:p>
    <w:p>
      <w:pPr>
        <w:spacing w:after="0" w:line="117" w:lineRule="exact"/>
        <w:rPr>
          <w:rFonts w:ascii="Arial" w:cs="Arial" w:eastAsia="Arial" w:hAnsi="Arial"/>
          <w:sz w:val="17"/>
          <w:szCs w:val="17"/>
          <w:color w:val="auto"/>
        </w:rPr>
      </w:pPr>
    </w:p>
    <w:p>
      <w:pPr>
        <w:ind w:left="980" w:right="260" w:hanging="324"/>
        <w:spacing w:after="0" w:line="311" w:lineRule="auto"/>
        <w:tabs>
          <w:tab w:leader="none" w:pos="974"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five-business day period after any five consecutive trading day period (the “measurement period”) in which the trading price per $1,000 principal amount of the 2024 Notes for each trading day of the measurement period was less than 98% of the product of the last reported sale price of the Company’s Class A common stock and the conversion rate of the 2024 Notes on each such trading day;</w:t>
      </w:r>
    </w:p>
    <w:p>
      <w:pPr>
        <w:spacing w:after="0" w:line="94" w:lineRule="exact"/>
        <w:rPr>
          <w:rFonts w:ascii="Arial" w:cs="Arial" w:eastAsia="Arial" w:hAnsi="Arial"/>
          <w:sz w:val="16"/>
          <w:szCs w:val="16"/>
          <w:color w:val="auto"/>
        </w:rPr>
      </w:pPr>
    </w:p>
    <w:p>
      <w:pPr>
        <w:ind w:left="980" w:right="480" w:hanging="324"/>
        <w:spacing w:after="0" w:line="277" w:lineRule="auto"/>
        <w:tabs>
          <w:tab w:leader="none" w:pos="9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calls any or all of the 2024 Notes for redemption, at any time prior to the close of business on the scheduled trading day immediately preceding the redemption date;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2024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or after March 15, 2024, until the close of business on the scheduled trading day immediately preceding the maturity date, holders may convert all or any portion of their 2024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2024 Notes) occurs prior to the maturity date, holders of the 2024 Notes will have the right to require the Company to repurchase for cash all or any portion of their 2024 Notes at a repurchase price equal to 100% of the principal amount of the 2024 Notes to be repurchased, plus accrued and unpaid interest to, but excluding, the fundamental change repurchase date. In addition, if specific corporate events occur prior to the applicable maturity date, or if the Company elects to redeem the 2024 Notes, the Company will increase the conversion rate for a holder who elects to convert their notes in connection with such a corporate event or redemption in certain circumstances. It is the Company’s current intent to settle the principal amount of the 2024 Notes in cash.</w:t>
      </w:r>
    </w:p>
    <w:p>
      <w:pPr>
        <w:spacing w:after="0" w:line="13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During the three months ended January 31, 2021, the conditional conversion feature of the 2024 Notes was triggered as the last reported sale price of the Company's Class A common stock was more than or equal to 130% of the conversion price for at least 20 trading days in the period of 30 consecutive trading days ending on January 31, 2021 (the last trading day of the fiscal quarter) and therefore the 2024 Notes are currently convertible, in whole or in part, at the option of the holders between February 1, 2021 through April 30, 2021. Whether the 2024 Notes will be convertible following such period will depend on the continued satisfaction of this condition or another conversion condition in the future. During the three months ended January 31, 2021, holders elected to convert $27.6 million of their 2024 Notes, which conversions are expected to be settled in March 2021. Accordingly, the Company has reclassified the $22.9 million, which represents the carrying value of the liability component of this portion of 2024 Notes, to Other accrued liabilities on the Company’s consolidated balance sheet. The difference between the principal and carrying amounts was reclassified from Additional paid-in capital to Temporary equity on the Company’s consolidated sheet as of January 31, 2021.</w:t>
      </w:r>
    </w:p>
    <w:p>
      <w:pPr>
        <w:spacing w:after="0" w:line="12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may not redeem the 2024 Notes prior to June 20, 2021. On or after June 20, 2021, the Company may redeem for cash all or any portion of the 2024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2024 Notes to be redeemed, plus accrued and unpaid interest to, but excluding, the redemption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Terms of the 2026 Notes</w:t>
      </w:r>
    </w:p>
    <w:p>
      <w:pPr>
        <w:spacing w:after="0" w:line="17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the 2026 Notes, the initial conversion rate is 4.7349 shares of the Company’s Class A common stock per $1,000 principal amount of the 2024 Notes, which is equal to an initial conversion price of approximately $211.20 per share of Class A common stock, subject to adjustment upon the occurrence of specified events.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2026 Notes will be convertible at the option of the holders at any time prior to the close of business on the business day immediately preceding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15, 2025, only under the following circumstances:</w:t>
      </w:r>
    </w:p>
    <w:p>
      <w:pPr>
        <w:spacing w:after="0" w:line="157" w:lineRule="exact"/>
        <w:rPr>
          <w:sz w:val="20"/>
          <w:szCs w:val="20"/>
          <w:color w:val="auto"/>
        </w:rPr>
      </w:pPr>
    </w:p>
    <w:p>
      <w:pPr>
        <w:ind w:left="980" w:right="400" w:hanging="324"/>
        <w:spacing w:after="0" w:line="279" w:lineRule="auto"/>
        <w:tabs>
          <w:tab w:leader="none" w:pos="9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April 30, 2020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2026 Notes on each applicable trading day;</w:t>
      </w:r>
    </w:p>
    <w:p>
      <w:pPr>
        <w:spacing w:after="0" w:line="117" w:lineRule="exact"/>
        <w:rPr>
          <w:rFonts w:ascii="Arial" w:cs="Arial" w:eastAsia="Arial" w:hAnsi="Arial"/>
          <w:sz w:val="17"/>
          <w:szCs w:val="17"/>
          <w:color w:val="auto"/>
        </w:rPr>
      </w:pPr>
    </w:p>
    <w:p>
      <w:pPr>
        <w:ind w:left="980" w:right="260" w:hanging="324"/>
        <w:spacing w:after="0" w:line="311" w:lineRule="auto"/>
        <w:tabs>
          <w:tab w:leader="none" w:pos="9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five-business day period after any five consecutive trading day period (the “measurement period”) in which the trading price per $1,000 principal amount of the 2026 Notes for each trading day of the measurement period was less than 98% of the product of the last reported sale price of the Company’s Class A common stock and the conversion rate of the 2026 Notes on each such trading day;</w:t>
      </w:r>
    </w:p>
    <w:p>
      <w:pPr>
        <w:spacing w:after="0" w:line="94" w:lineRule="exact"/>
        <w:rPr>
          <w:rFonts w:ascii="Arial" w:cs="Arial" w:eastAsia="Arial" w:hAnsi="Arial"/>
          <w:sz w:val="16"/>
          <w:szCs w:val="16"/>
          <w:color w:val="auto"/>
        </w:rPr>
      </w:pPr>
    </w:p>
    <w:p>
      <w:pPr>
        <w:ind w:left="980" w:right="480" w:hanging="324"/>
        <w:spacing w:after="0" w:line="277" w:lineRule="auto"/>
        <w:tabs>
          <w:tab w:leader="none" w:pos="9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Company calls any or all of the 2026 Notes for redemption, at any time prior to the close of business on the scheduled trading day immediately preceding the redemption date;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2026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or after October 15, 2025, until the close of business on the scheduled trading day immediately preceding the maturity date, holders may convert all or any portion of their 2026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2026 Notes) occurs prior to the maturity date, holders of the 2026 Notes will have the right to require the Company to repurchase for cash all or any portion of their 2026 Notes at a repurchase price equal to 100% of the principal amount of the 2026 Notes to be repurchased, plus accrued and unpaid interest to, but excluding, the fundamental change repurchase date. In addition, if specific corporate events occur prior to the applicable maturity date, or if the Company elects to redeem the 2026 Notes, the Company will increase the conversion rate for a holder who elects to convert their notes in connection with such a corporate event or redemption in certain circumstances. It is the Company’s current intent to settle the principal amount of the 2026 Notes in cash.</w:t>
      </w:r>
    </w:p>
    <w:p>
      <w:pPr>
        <w:spacing w:after="0" w:line="13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During the three months ended January 31, 2021, the conditional conversion feature of the 2026 Notes was triggered as the last reported sale price of the Company's Class A common stock was more than or equal to 130% of the conversion price for at least 20 trading days in the period of 30 consecutive trading days ending on January 29, 2021 (the last trading day of the fiscal quarter) and therefore the 2026 Notes are currently convertible, in whole or in part, at the option of the holders from February 1, 2021 through April 30, 2021. Whether the 2026 Notes will be convertible following such period will depend on the continued satisfaction of this condition or another conversion condition in the future. Since the Company has the election of repaying the 2026 Notes in cash, shares of the Company’s Class A common stock, or a combination of both, the Company continued to classify the liability component of the 2026 Notes as long-term debt on the Company’s consolidated balance sheet as of January 31, 2021.</w:t>
      </w:r>
    </w:p>
    <w:p>
      <w:pPr>
        <w:spacing w:after="0" w:line="123"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may not redeem the 2026 Notes prior to January 20, 2023. On or after January 20, 2023, the Company may redeem for cash all or any portion of the 2026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2026 Notes to be redeemed, plus accrued and unpaid interest to, but excluding, the redemption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Accounting for the 2024 Notes and 2026 Notes</w:t>
      </w:r>
    </w:p>
    <w:p>
      <w:pPr>
        <w:spacing w:after="0" w:line="17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2024 Notes and 2026 Notes were separated into liability and equity components for accounting purposes. The carrying amounts of the liability component were initially calculated by measuring the fair value of similar liabilities that do not have associated convertible features. The carrying amounts of the equity component representing the conversion option were determined by deducting the fair value of the liability component from the par value of the respective convertible senior notes. This difference represents the debt discount that is amortized to interest expense over the respective terms of the 2024 Notes and 2026 Notes using the effective interest rate method. The carrying amounts of the equity component representing the conversion option was determined to be $84.2 million and $294.9 million for the 2024 Notes and 2026 Notes, respectively. The equity component was recorded in additional paid-in capital and is not remeasured as long as it continues to meet the conditions for equity classification.</w:t>
      </w:r>
    </w:p>
    <w:p>
      <w:pPr>
        <w:spacing w:after="0" w:line="11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accounting for the debt issuance costs of $8.8 million and $20.3 million related to the 2024 Notes and 2026 Notes, respectively, the Company allocated each of the total amounts incurred to the liability and equity components of the 2024 Notes and 2026 Notes based on their relative values. Issuance costs attributable to the liability component of the 2024 Notes were $6.3 million upon issuance and were amortized, along with the debt discount, to interest expense over the contractual term of the 2024 Notes at an effective interest rate of 7.03%. Issuance costs attributable to the liability component of the 2026 Notes were $15.1 million upon issuance and will be amortized, along with the debt discount, to interest expense over the contractual term of the 2026 Notes at an effective interest rate of 5.60%. Issuance costs attributable to the equity component were $2.5 million and $5.2 million for the 2024 Notes and 2026 Notes, respectively, and are netted against the equity component representing the conversion option in additional paid-in capital. The net carrying amount of the equity component of the 2024 Notes recorded in additional paid-in capital was $81.7 million. For the 2026 Notes, the net carrying amount of the equity component was $289.0 million, which, in addition to the allocated issuance costs, also included a net deferred tax impact of $0.7 million. There was no deferred tax impact related to the 2024 Notes due to the full valuation allowance at the time of issuance for the 2024 Notes.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amounts of the liability component of the 2024 Notes and 2026 Notes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2020</w:t>
            </w:r>
          </w:p>
        </w:tc>
        <w:tc>
          <w:tcPr>
            <w:tcW w:w="1340" w:type="dxa"/>
            <w:vAlign w:val="bottom"/>
            <w:tcBorders>
              <w:bottom w:val="single" w:sz="8" w:color="auto"/>
            </w:tcBorders>
          </w:tcPr>
          <w:p>
            <w:pPr>
              <w:spacing w:after="0"/>
              <w:rPr>
                <w:sz w:val="16"/>
                <w:szCs w:val="16"/>
                <w:color w:val="auto"/>
              </w:rPr>
            </w:pPr>
          </w:p>
        </w:tc>
      </w:tr>
      <w:tr>
        <w:trPr>
          <w:trHeight w:val="189"/>
        </w:trPr>
        <w:tc>
          <w:tcPr>
            <w:tcW w:w="3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2024 Notes</w:t>
            </w: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34"/>
              <w:spacing w:after="0"/>
              <w:rPr>
                <w:sz w:val="20"/>
                <w:szCs w:val="20"/>
                <w:color w:val="auto"/>
              </w:rPr>
            </w:pPr>
            <w:r>
              <w:rPr>
                <w:rFonts w:ascii="Arial" w:cs="Arial" w:eastAsia="Arial" w:hAnsi="Arial"/>
                <w:sz w:val="14"/>
                <w:szCs w:val="14"/>
                <w:b w:val="1"/>
                <w:bCs w:val="1"/>
                <w:color w:val="auto"/>
                <w:w w:val="94"/>
              </w:rPr>
              <w:t>2026 Notes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2024 Notes *</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34"/>
              <w:spacing w:after="0"/>
              <w:rPr>
                <w:sz w:val="20"/>
                <w:szCs w:val="20"/>
                <w:color w:val="auto"/>
              </w:rPr>
            </w:pPr>
            <w:r>
              <w:rPr>
                <w:rFonts w:ascii="Arial" w:cs="Arial" w:eastAsia="Arial" w:hAnsi="Arial"/>
                <w:sz w:val="14"/>
                <w:szCs w:val="14"/>
                <w:b w:val="1"/>
                <w:bCs w:val="1"/>
                <w:color w:val="auto"/>
                <w:w w:val="94"/>
              </w:rPr>
              <w:t>2026 Notes</w:t>
            </w:r>
          </w:p>
        </w:tc>
      </w:tr>
      <w:tr>
        <w:trPr>
          <w:trHeight w:val="223"/>
        </w:trPr>
        <w:tc>
          <w:tcPr>
            <w:tcW w:w="3400" w:type="dxa"/>
            <w:vAlign w:val="bottom"/>
          </w:tcPr>
          <w:p>
            <w:pPr>
              <w:ind w:left="220"/>
              <w:spacing w:after="0"/>
              <w:rPr>
                <w:sz w:val="20"/>
                <w:szCs w:val="20"/>
                <w:color w:val="auto"/>
              </w:rPr>
            </w:pPr>
            <w:r>
              <w:rPr>
                <w:rFonts w:ascii="Arial" w:cs="Arial" w:eastAsia="Arial" w:hAnsi="Arial"/>
                <w:sz w:val="18"/>
                <w:szCs w:val="18"/>
                <w:color w:val="auto"/>
              </w:rPr>
              <w:t>Principal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90,002</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1,150,000</w:t>
            </w: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(292,932)</w:t>
            </w:r>
          </w:p>
        </w:tc>
      </w:tr>
      <w:tr>
        <w:trPr>
          <w:trHeight w:val="229"/>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r>
      <w:tr>
        <w:trPr>
          <w:trHeight w:val="248"/>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carrying amount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842,049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*Reflects the impact of the 2024 Notes Partial Repurchase on January 14, 2020.</w:t>
      </w:r>
    </w:p>
    <w:p>
      <w:pPr>
        <w:spacing w:after="0" w:line="17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January 31, 2021, the total estimated fair values (Level 2) of the outstanding 2024 Notes and the 2026 Notes were approximately $488.0 million and $2.1 billion, respectively. The fair values were determined based on the closing trading price per $100 of the 2024 Notes and 2026 Notes as of the last day of trading for the period. The fair values of the 2024 Notes and 2026 Notes are primarily affected by the trading price of the Company’s common stock and market interest rates.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related to the 2024 Notes and 2026 Notes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2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Year Ended January 31, 2021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0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Year Ended January 31, 2020</w:t>
            </w:r>
          </w:p>
        </w:tc>
      </w:tr>
      <w:tr>
        <w:trPr>
          <w:trHeight w:val="26"/>
        </w:trPr>
        <w:tc>
          <w:tcPr>
            <w:tcW w:w="34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3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2024 Notes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2026 Notes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Arial" w:cs="Arial" w:eastAsia="Arial" w:hAnsi="Arial"/>
                <w:sz w:val="14"/>
                <w:szCs w:val="14"/>
                <w:b w:val="1"/>
                <w:bCs w:val="1"/>
                <w:color w:val="auto"/>
              </w:rPr>
              <w:t>2024 Notes</w:t>
            </w:r>
          </w:p>
        </w:tc>
        <w:tc>
          <w:tcPr>
            <w:tcW w:w="360" w:type="dxa"/>
            <w:vAlign w:val="bottom"/>
          </w:tcPr>
          <w:p>
            <w:pPr>
              <w:spacing w:after="0"/>
              <w:rPr>
                <w:sz w:val="16"/>
                <w:szCs w:val="16"/>
                <w:color w:val="auto"/>
              </w:rPr>
            </w:pPr>
          </w:p>
        </w:tc>
        <w:tc>
          <w:tcPr>
            <w:tcW w:w="15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2026 Notes</w:t>
            </w:r>
          </w:p>
        </w:tc>
      </w:tr>
      <w:tr>
        <w:trPr>
          <w:trHeight w:val="257"/>
        </w:trPr>
        <w:tc>
          <w:tcPr>
            <w:tcW w:w="34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Contractual interest expense</w:t>
            </w:r>
          </w:p>
        </w:tc>
        <w:tc>
          <w:tcPr>
            <w:tcW w:w="134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Amortization of debt discount</w:t>
            </w:r>
          </w:p>
        </w:tc>
        <w:tc>
          <w:tcPr>
            <w:tcW w:w="13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3,976</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43,026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83"/>
        </w:trPr>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issuance costs</w:t>
            </w:r>
          </w:p>
        </w:tc>
        <w:tc>
          <w:tcPr>
            <w:tcW w:w="13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63"/>
        </w:trPr>
        <w:tc>
          <w:tcPr>
            <w:tcW w:w="342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1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4,927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47,752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1"/>
        </w:trPr>
        <w:tc>
          <w:tcPr>
            <w:tcW w:w="3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Capped Calls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connection with the pricing of the 2024 Notes and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corresponds to the initial conversion price of the 2024 Notes. These Capped Calls have initial cap prices of $106.90 per share, subject to certain adjustments.</w:t>
      </w:r>
    </w:p>
    <w:p>
      <w:pPr>
        <w:spacing w:after="0" w:line="13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w:t>
      </w:r>
    </w:p>
    <w:p>
      <w:pPr>
        <w:spacing w:after="0" w:line="13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Capped Calls are expected to partially offset the potential dilution to the Company’s Class A common stock upon any conversion of the 2024 Notes or 2026 Notes, with such offset subject to a cap based on the cap price. The Capped Calls associated with the 2024 Notes and 2026 Notes cover, subject to anti-dilution adjustments, approximately 4.4 million shares and 5.4 million shares of the Company’s Class A common stock, respectively.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2024 Notes and 2026 Notes. As these transactions meet certain accounting criteria, the Capped Calls are recorded in stockholders' equity (deficit) and are not accounted for as derivatives. The cost of $37.1 million and $93.8 million incurred to purchase the Capped Calls associated with the 2024 Notes and 2026 Notes, respectively, was recorded as a reduction to additional paid-in capital and will not be remeasured. The Company did not unwind any of its Capped Calls in connection with the 2024 Notes Partial Repurchase.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Finance Lease</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December 2017, the Company entered into a lease agreement for 106,230 rentable square feet of office space (the “Premises”) to accommodate its growing employee base in New York City. The Company received delivery of the Premises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January 1, 2018 to commence construction to renovate the Premises. Total estimated aggregate base rent payments over the initial 12-year term of the lease are $87.3 million and payments began in July 2019. The Company has the option to extend the term of the lease by an additional 5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Leases</w:t>
      </w:r>
    </w:p>
    <w:p>
      <w:pPr>
        <w:spacing w:after="0" w:line="171"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The Company has entered into non-cancelable operating leases, primarily related to rental of office space expiring through 2032. The Company recognizes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The Company may receive renewal or expansion options, leasehold improvement allowances or other incentives on certain lease agreements.</w:t>
      </w:r>
    </w:p>
    <w:p>
      <w:pPr>
        <w:spacing w:after="0" w:line="103"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In January 2017, the Company entered into an irrevocable, standby letter of credit with Silicon Valley Bank for $0.4 million, expiring April 2023, to serve as a security deposit for the Company’s lease in Texas. In October 2017, the Company entered into an irrevocable, standby letter of credit with Silicon Valley Bank for $0.2 million, which subsequently increased in March 2020 to $0.5 million, expiring March 2026, to serve as a security deposit for the Company’s lease in Australia. In October 2019, the Company entered into an irrevocable, standby letter of credit with Silicon Valley Bank for $0.3 million, expiring October 2025, to serve as a security deposit for the Company’s additional office space in New York City, as described further below.</w:t>
      </w:r>
    </w:p>
    <w:p>
      <w:pPr>
        <w:spacing w:after="0" w:line="10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Company signed an agreement in December 2019 to lease approximately 40,000 square feet of office space in Dublin, Ireland for a term of 12 years with two five-year renewal options. The lease commencement date was February 1, 2020. This agreement was determined to be an operating lease with total estimated aggregate base rent payments, excluding the renewal options, of approximately $27.0 million, based on the exchange rates as of February 1, 2020.</w:t>
      </w:r>
    </w:p>
    <w:p>
      <w:pPr>
        <w:spacing w:after="0" w:line="13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also signed an agreement in October 2019 to lease an additional 21,000 square feet of office space in New York City for a term of 64 months with no renewal period. The total aggregate base rent payments for this operating lease are $8.4 million with payments beginning 4 months subsequent to the lease commencement date, which was July 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the Company’s lease costs included in its consolidated statement of operations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Years Ended January 31,</w:t>
            </w:r>
          </w:p>
        </w:tc>
        <w:tc>
          <w:tcPr>
            <w:tcW w:w="2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47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Amortization of finance lease right-of-use assets</w:t>
            </w:r>
          </w:p>
        </w:tc>
        <w:tc>
          <w:tcPr>
            <w:tcW w:w="2060" w:type="dxa"/>
            <w:vAlign w:val="bottom"/>
          </w:tcPr>
          <w:p>
            <w:pPr>
              <w:jc w:val="right"/>
              <w:ind w:right="187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9"/>
                <w:szCs w:val="19"/>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finance lease liabilities</w:t>
            </w:r>
          </w:p>
        </w:tc>
        <w:tc>
          <w:tcPr>
            <w:tcW w:w="20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40" w:type="dxa"/>
            <w:vAlign w:val="bottom"/>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0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4,712</w:t>
            </w:r>
          </w:p>
        </w:tc>
        <w:tc>
          <w:tcPr>
            <w:tcW w:w="140" w:type="dxa"/>
            <w:vAlign w:val="bottom"/>
          </w:tcPr>
          <w:p>
            <w:pPr>
              <w:spacing w:after="0"/>
              <w:rPr>
                <w:sz w:val="19"/>
                <w:szCs w:val="19"/>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19"/>
                <w:szCs w:val="19"/>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060" w:type="dxa"/>
            <w:vAlign w:val="bottom"/>
            <w:tcBorders>
              <w:bottom w:val="single" w:sz="8" w:color="auto"/>
            </w:tcBorders>
          </w:tcPr>
          <w:p>
            <w:pPr>
              <w:jc w:val="right"/>
              <w:ind w:right="187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40" w:type="dxa"/>
            <w:vAlign w:val="bottom"/>
          </w:tcPr>
          <w:p>
            <w:pPr>
              <w:spacing w:after="0"/>
              <w:rPr>
                <w:sz w:val="19"/>
                <w:szCs w:val="19"/>
                <w:color w:val="auto"/>
              </w:rPr>
            </w:pPr>
          </w:p>
        </w:tc>
      </w:tr>
      <w:tr>
        <w:trPr>
          <w:trHeight w:val="21"/>
        </w:trPr>
        <w:tc>
          <w:tcPr>
            <w:tcW w:w="47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8"/>
        </w:trPr>
        <w:tc>
          <w:tcPr>
            <w:tcW w:w="4720" w:type="dxa"/>
            <w:vAlign w:val="bottom"/>
          </w:tcPr>
          <w:p>
            <w:pPr>
              <w:spacing w:after="0"/>
              <w:rPr>
                <w:sz w:val="24"/>
                <w:szCs w:val="24"/>
                <w:color w:val="auto"/>
              </w:rPr>
            </w:pPr>
          </w:p>
        </w:tc>
        <w:tc>
          <w:tcPr>
            <w:tcW w:w="2060" w:type="dxa"/>
            <w:vAlign w:val="bottom"/>
          </w:tcPr>
          <w:p>
            <w:pPr>
              <w:jc w:val="right"/>
              <w:ind w:right="735"/>
              <w:spacing w:after="0"/>
              <w:rPr>
                <w:sz w:val="20"/>
                <w:szCs w:val="20"/>
                <w:color w:val="auto"/>
              </w:rPr>
            </w:pPr>
            <w:r>
              <w:rPr>
                <w:rFonts w:ascii="Arial" w:cs="Arial" w:eastAsia="Arial" w:hAnsi="Arial"/>
                <w:sz w:val="18"/>
                <w:szCs w:val="18"/>
                <w:color w:val="auto"/>
              </w:rPr>
              <w:t>90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47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Balance Sheet Components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balances of the Company’s finance and operating leases were recorded on the consolidated balance sheet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Years Ended January 31,</w:t>
            </w:r>
          </w:p>
        </w:tc>
        <w:tc>
          <w:tcPr>
            <w:tcW w:w="2060" w:type="dxa"/>
            <w:vAlign w:val="bottom"/>
            <w:tcBorders>
              <w:bottom w:val="single" w:sz="8" w:color="auto"/>
            </w:tcBorders>
          </w:tcPr>
          <w:p>
            <w:pPr>
              <w:spacing w:after="0"/>
              <w:rPr>
                <w:sz w:val="16"/>
                <w:szCs w:val="16"/>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333"/>
              <w:spacing w:after="0"/>
              <w:rPr>
                <w:sz w:val="20"/>
                <w:szCs w:val="20"/>
                <w:color w:val="auto"/>
              </w:rPr>
            </w:pPr>
            <w:r>
              <w:rPr>
                <w:rFonts w:ascii="Arial" w:cs="Arial" w:eastAsia="Arial" w:hAnsi="Arial"/>
                <w:sz w:val="14"/>
                <w:szCs w:val="14"/>
                <w:b w:val="1"/>
                <w:bCs w:val="1"/>
                <w:color w:val="auto"/>
              </w:rPr>
              <w:t>2020</w:t>
            </w: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w:t>
            </w:r>
          </w:p>
        </w:tc>
        <w:tc>
          <w:tcPr>
            <w:tcW w:w="2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35,437</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39,411</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 (current)</w:t>
            </w: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Other liabilities, non-current</w:t>
            </w:r>
          </w:p>
        </w:tc>
        <w:tc>
          <w:tcPr>
            <w:tcW w:w="2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54,356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59,257</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34,587</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11,147</w:t>
            </w: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(current)</w:t>
            </w: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39,095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8,113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Supplemental Information</w:t>
      </w:r>
    </w:p>
    <w:p>
      <w:pPr>
        <w:spacing w:after="0" w:line="17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presents supplemental information related to the Company’s finance and operating leases (in thousands, except weighted-average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Years Ended January 31,</w:t>
            </w:r>
          </w:p>
        </w:tc>
        <w:tc>
          <w:tcPr>
            <w:tcW w:w="1460" w:type="dxa"/>
            <w:vAlign w:val="bottom"/>
            <w:tcBorders>
              <w:bottom w:val="single" w:sz="8" w:color="auto"/>
            </w:tcBorders>
          </w:tcPr>
          <w:p>
            <w:pPr>
              <w:spacing w:after="0"/>
              <w:rPr>
                <w:sz w:val="16"/>
                <w:szCs w:val="16"/>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2020</w:t>
            </w:r>
          </w:p>
        </w:tc>
      </w:tr>
      <w:tr>
        <w:trPr>
          <w:trHeight w:val="211"/>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w:t>
            </w:r>
          </w:p>
        </w:tc>
        <w:tc>
          <w:tcPr>
            <w:tcW w:w="248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1,817</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4,450</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1,915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30,805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3,930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Finance lease</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w:t>
            </w: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904"/>
        </w:trPr>
        <w:tc>
          <w:tcPr>
            <w:tcW w:w="546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91</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5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Maturities of Lease Liabilities</w:t>
      </w:r>
    </w:p>
    <w:p>
      <w:pPr>
        <w:spacing w:after="0" w:line="1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Future minimum lease payments under non-cancelable finance and operating leases on an annual undiscounted cash flow basis as of January 31, 2021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380" w:type="dxa"/>
            <w:vAlign w:val="bottom"/>
          </w:tcPr>
          <w:p>
            <w:pPr>
              <w:spacing w:after="0"/>
              <w:rPr>
                <w:sz w:val="16"/>
                <w:szCs w:val="16"/>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Finance Lease</w:t>
            </w:r>
          </w:p>
        </w:tc>
        <w:tc>
          <w:tcPr>
            <w:tcW w:w="340" w:type="dxa"/>
            <w:vAlign w:val="bottom"/>
          </w:tcPr>
          <w:p>
            <w:pPr>
              <w:spacing w:after="0"/>
              <w:rPr>
                <w:sz w:val="16"/>
                <w:szCs w:val="16"/>
                <w:color w:val="auto"/>
              </w:rPr>
            </w:pPr>
          </w:p>
        </w:tc>
        <w:tc>
          <w:tcPr>
            <w:tcW w:w="1880" w:type="dxa"/>
            <w:vAlign w:val="bottom"/>
          </w:tcPr>
          <w:p>
            <w:pPr>
              <w:jc w:val="right"/>
              <w:ind w:right="49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6"/>
        </w:trPr>
        <w:tc>
          <w:tcPr>
            <w:tcW w:w="6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83"/>
        </w:trPr>
        <w:tc>
          <w:tcPr>
            <w:tcW w:w="6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minimum payments</w:t>
            </w:r>
          </w:p>
        </w:tc>
        <w:tc>
          <w:tcPr>
            <w:tcW w:w="380" w:type="dxa"/>
            <w:vAlign w:val="bottom"/>
            <w:shd w:val="clear" w:color="auto" w:fill="CCEEFF"/>
          </w:tcPr>
          <w:p>
            <w:pPr>
              <w:spacing w:after="0"/>
              <w:rPr>
                <w:sz w:val="19"/>
                <w:szCs w:val="19"/>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49,590</w:t>
            </w:r>
          </w:p>
        </w:tc>
        <w:tc>
          <w:tcPr>
            <w:tcW w:w="0" w:type="dxa"/>
            <w:vAlign w:val="bottom"/>
          </w:tcPr>
          <w:p>
            <w:pPr>
              <w:spacing w:after="0"/>
              <w:rPr>
                <w:sz w:val="1"/>
                <w:szCs w:val="1"/>
                <w:color w:val="auto"/>
              </w:rPr>
            </w:pPr>
          </w:p>
        </w:tc>
      </w:tr>
      <w:tr>
        <w:trPr>
          <w:trHeight w:val="67"/>
        </w:trPr>
        <w:tc>
          <w:tcPr>
            <w:tcW w:w="6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(16,237)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68"/>
        </w:trPr>
        <w:tc>
          <w:tcPr>
            <w:tcW w:w="66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Present value of future minimum lease payments</w:t>
            </w:r>
          </w:p>
        </w:tc>
        <w:tc>
          <w:tcPr>
            <w:tcW w:w="380" w:type="dxa"/>
            <w:vAlign w:val="bottom"/>
            <w:shd w:val="clear" w:color="auto" w:fill="CCEEFF"/>
          </w:tcPr>
          <w:p>
            <w:pPr>
              <w:spacing w:after="0"/>
              <w:rPr>
                <w:sz w:val="19"/>
                <w:szCs w:val="19"/>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41,438</w:t>
            </w:r>
          </w:p>
        </w:tc>
        <w:tc>
          <w:tcPr>
            <w:tcW w:w="0" w:type="dxa"/>
            <w:vAlign w:val="bottom"/>
          </w:tcPr>
          <w:p>
            <w:pPr>
              <w:spacing w:after="0"/>
              <w:rPr>
                <w:sz w:val="1"/>
                <w:szCs w:val="1"/>
                <w:color w:val="auto"/>
              </w:rPr>
            </w:pPr>
          </w:p>
        </w:tc>
      </w:tr>
      <w:tr>
        <w:trPr>
          <w:trHeight w:val="68"/>
        </w:trPr>
        <w:tc>
          <w:tcPr>
            <w:tcW w:w="6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Less current obligations under leases</w:t>
            </w:r>
          </w:p>
        </w:tc>
        <w:tc>
          <w:tcPr>
            <w:tcW w:w="380" w:type="dxa"/>
            <w:vAlign w:val="bottom"/>
          </w:tcPr>
          <w:p>
            <w:pPr>
              <w:spacing w:after="0"/>
              <w:rPr>
                <w:sz w:val="21"/>
                <w:szCs w:val="2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68"/>
        </w:trPr>
        <w:tc>
          <w:tcPr>
            <w:tcW w:w="66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lease obligations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Excluded in the lease obligation table above is a new agreement to lease approximately 16,000 square feet of office space in Palo Alto, which will be recognized as an operating lease upon the lease commencement date. The lease term is eight years with one option to extend for an additional five years. The total estimated aggregate base rent payments are $14.2 million with payments beginning four months subsequent to the commencement date. The lease commencement date is uncertain given the impacts of the ongoing COVID-19 pandemic and associated construction and occupancy restrictions.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includes certain non-cancelable agreements primarily for subscription, marketing services and cloud infrastructure capacity commitments entered into by the Company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220" w:type="dxa"/>
            <w:vAlign w:val="bottom"/>
          </w:tcPr>
          <w:p>
            <w:pPr>
              <w:spacing w:after="0"/>
              <w:rPr>
                <w:sz w:val="16"/>
                <w:szCs w:val="16"/>
                <w:color w:val="auto"/>
              </w:rPr>
            </w:pPr>
          </w:p>
        </w:tc>
        <w:tc>
          <w:tcPr>
            <w:tcW w:w="1560" w:type="dxa"/>
            <w:vAlign w:val="bottom"/>
          </w:tcPr>
          <w:p>
            <w:pPr>
              <w:jc w:val="right"/>
              <w:ind w:right="252"/>
              <w:spacing w:after="0"/>
              <w:rPr>
                <w:sz w:val="20"/>
                <w:szCs w:val="20"/>
                <w:color w:val="auto"/>
              </w:rPr>
            </w:pPr>
            <w:r>
              <w:rPr>
                <w:rFonts w:ascii="Arial" w:cs="Arial" w:eastAsia="Arial" w:hAnsi="Arial"/>
                <w:sz w:val="14"/>
                <w:szCs w:val="14"/>
                <w:b w:val="1"/>
                <w:bCs w:val="1"/>
                <w:color w:val="auto"/>
              </w:rPr>
              <w:t>Other Obligations</w:t>
            </w:r>
          </w:p>
        </w:tc>
      </w:tr>
      <w:tr>
        <w:trPr>
          <w:trHeight w:val="25"/>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112,097</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80,421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95,084</w:t>
            </w: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49,201</w:t>
            </w: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35,177</w:t>
            </w:r>
          </w:p>
        </w:tc>
      </w:tr>
      <w:tr>
        <w:trPr>
          <w:trHeight w:val="284"/>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minimum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371,980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Leases</w:t>
      </w:r>
      <w:r>
        <w:rPr>
          <w:rFonts w:ascii="Arial" w:cs="Arial" w:eastAsia="Arial" w:hAnsi="Arial"/>
          <w:sz w:val="18"/>
          <w:szCs w:val="18"/>
          <w:color w:val="auto"/>
        </w:rPr>
        <w:t>, for further details on obligations under non-cancelable finance and operating leases, including future minimum lease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Non-cancelable Material Commitments</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 xml:space="preserve">In December 2020, the Company expanded its enterprise partnership arrangement with a cloud infrastructure provider that includes a non-cancelable commitment of $160.0 million over the next three years, which commenced during January 2021. Other than this increase in cloud infrastructure capacity commitments and certain non-cancelable operating leases described in Note 7, </w:t>
      </w:r>
      <w:r>
        <w:rPr>
          <w:rFonts w:ascii="Arial" w:cs="Arial" w:eastAsia="Arial" w:hAnsi="Arial"/>
          <w:sz w:val="16"/>
          <w:szCs w:val="16"/>
          <w:i w:val="1"/>
          <w:iCs w:val="1"/>
          <w:color w:val="auto"/>
        </w:rPr>
        <w:t>Leases</w:t>
      </w:r>
      <w:r>
        <w:rPr>
          <w:rFonts w:ascii="Arial" w:cs="Arial" w:eastAsia="Arial" w:hAnsi="Arial"/>
          <w:sz w:val="16"/>
          <w:szCs w:val="16"/>
          <w:color w:val="auto"/>
        </w:rPr>
        <w:t>, during the year ended January 31, 2021, there have been no material changes outside the ordinary course of business to the Company’s contractual obligations and commitments from those disclosed in the 2020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From time to time, the Company has become involved in claims, litigation and other legal matters arising in the ordinary course of business including intellectual property claims, labor and employment claims and breach of contract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claims. For example, on March 12, 2019, Realtime Data (“Realtime”) filed a lawsuit against the Company in the United States District Court for the District of Delaware alleging that the Company is infringing three U.S. patents that it holds: U.S. Patent No. 9,116,908, U.S. Patent No. 9,667,751 and U.S. Patent No. 8,933,825. The patent infringement allegations in the lawsuit relate to data compression, decompression, storage and retrieval.</w:t>
      </w:r>
    </w:p>
    <w:p>
      <w:pPr>
        <w:ind w:right="100"/>
        <w:spacing w:after="0" w:line="273" w:lineRule="auto"/>
        <w:rPr>
          <w:sz w:val="20"/>
          <w:szCs w:val="20"/>
          <w:color w:val="auto"/>
        </w:rPr>
      </w:pPr>
      <w:r>
        <w:rPr>
          <w:rFonts w:ascii="Arial" w:cs="Arial" w:eastAsia="Arial" w:hAnsi="Arial"/>
          <w:sz w:val="17"/>
          <w:szCs w:val="17"/>
          <w:color w:val="auto"/>
        </w:rPr>
        <w:t>Realtime seeks monetary damages and injunctive relief. In August 2019, the District Court approved the Company and Realtime’s stipulation to stay Realtime’s lawsuit against the Company pending the outcome of Realtime's appeal of the District Court's decision to invalidate two of the asserted patents in a separate action. On October 23, 2020, the Federal Circuit issued its opinion on the appeal and remanded that action back to the District Court for further proceedings. The stay on proceedings in Realtime’s lawsuit against the Company remains in place at this time.</w:t>
      </w:r>
    </w:p>
    <w:p>
      <w:pPr>
        <w:spacing w:after="0" w:line="12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investigates all claims, litigation and other legal matters as they arise. Although claims and litigation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3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Although the results of claims and litigation are inherently unpredictable, the Company believes that there was less than a reasonable possibility that the Company had incurred a material loss with respect to such loss contingencies, as of January 31, 2021 and 2020, therefore, the Company has not recorded an accrual for such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Class A and Class B Common Stock</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On June 11, 2020, all outstanding shares of the Company’s Class B common stock, par value $0.001 per share, automatically converted into the same number of shares of Class A common stock, par value $0.001 per share, pursuant to the terms of the Company’s Amended and Restated Certificate of Incorporation. No additional shares of Class B common stock will be issued following such conversion. The conversion occurred pursuant to Article V, Section 5(a) of the Amended and Restated Certificate of Incorporation, which provided that each share of Class B common stock would convert automatically into one fully paid and nonassessable share of Class A common stock at 5:00 p.m. in New York City, New York on the first trading day falling on or after the date on which the outstanding shares of Class B common stock represented less than 10% of the aggregate number of shares of the then outstanding Class A common stock and Class B common stock. The Company filed a certificate with the Secretary of State of the State of Delaware effecting the retirement and cancellation of our Class B common stock. This certificate of retirement had the additional effect of eliminating the authorized Class B common stock, thereby reducing the total number of our authorized shares of common stock by 100,000,000.</w:t>
      </w:r>
    </w:p>
    <w:p>
      <w:pPr>
        <w:spacing w:after="0" w:line="112"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Prior to June 11, 2020, the Company had two classes of common stock, Class A and Class B. The rights of the holders of Class A and Class B common stock were identical, except with respect to voting. Each share of Class A common stock is entitled to one vote per share. Each share of Class B common stock was entitled to 10 votes per share. Shares of Class B common stock may have been converted to Class A common stock at any time at the option of the stockholder. Shares of Class B common stock automatically converted to Class A common stock upon the following: (1) sale or transfer of such share of Class B common stock, subject to specified permitted transfers; (2) the death of the Class B common stockholder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nine months after the date of death if the stockholder is one of the founders); and (3) on the final conversion date, defined as the earlier of (a) the first trading day on or after the date on which the outstanding shares of Class B common stock represent less than 10% of the then-outstanding Class A and Class B common stock; or (b) the date specified by vote of the Board of Directors and the holders of a majority of the outstanding shares of Class B common stock, voting together as a single class on an as-converted basis. Class A and Class B common stock were referred to as common stock throughout the notes to the consolidated financial statements, unless otherwise noted.</w:t>
      </w:r>
    </w:p>
    <w:p>
      <w:pPr>
        <w:spacing w:after="0" w:line="134"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As of January 31, 2021, the Company had authorized 1,000,000,000 shares of Class A common stock, each par value $0.001 per share, of which 60,997,822 shares of Class A common stock were issued and 60,898,451 were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Disaggregation of Revenue</w:t>
      </w:r>
    </w:p>
    <w:p>
      <w:pPr>
        <w:spacing w:after="0" w:line="17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Based on the information provided to and reviewed by the Company’s Chief Executive Officer,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includes MongoDB Enterprise Advanced.</w:t>
      </w:r>
    </w:p>
    <w:p>
      <w:pPr>
        <w:spacing w:after="0" w:line="12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the Company’s revenues disaggregated by primary geographical markets, subscription product categories and services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Years Ended January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8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Primary geographical markets: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361,351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272,358</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172,688</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79,757</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590,380</w:t>
            </w: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267,016</w:t>
            </w:r>
          </w:p>
        </w:tc>
        <w:tc>
          <w:tcPr>
            <w:tcW w:w="0" w:type="dxa"/>
            <w:vAlign w:val="bottom"/>
          </w:tcPr>
          <w:p>
            <w:pPr>
              <w:spacing w:after="0"/>
              <w:rPr>
                <w:sz w:val="1"/>
                <w:szCs w:val="1"/>
                <w:color w:val="auto"/>
              </w:rPr>
            </w:pPr>
          </w:p>
        </w:tc>
      </w:tr>
      <w:tr>
        <w:trPr>
          <w:trHeight w:val="67"/>
        </w:trPr>
        <w:tc>
          <w:tcPr>
            <w:tcW w:w="4860" w:type="dxa"/>
            <w:vAlign w:val="bottom"/>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440" w:type="dxa"/>
            <w:vAlign w:val="bottom"/>
            <w:tcBorders>
              <w:bottom w:val="single" w:sz="8" w:color="auto"/>
            </w:tcBorders>
            <w:gridSpan w:val="2"/>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MongoDB Atlas-related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270,805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162,510</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60,241</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subscription</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188,150</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84"/>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267,016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Customers located in the United States accounted for 56%, 59% and 61% of total revenue for the years ended January 31, 2021, 2020 and 2019, respectively. Customers located in the United Kingdom accounted for 10% of total revenue for the years ended January 31, 2021, 2020 and 2019. No other country accounted for 10% or more of revenue for the periods presented.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2021 and 2020, substantially all of the Company’s long-lived assets were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Contract Liabilities</w:t>
      </w:r>
    </w:p>
    <w:p>
      <w:pPr>
        <w:spacing w:after="0" w:line="171" w:lineRule="exact"/>
        <w:rPr>
          <w:sz w:val="20"/>
          <w:szCs w:val="20"/>
          <w:color w:val="auto"/>
        </w:rPr>
      </w:pPr>
    </w:p>
    <w:p>
      <w:pPr>
        <w:jc w:val="both"/>
        <w:ind w:right="20" w:firstLine="486"/>
        <w:spacing w:after="0" w:line="287" w:lineRule="auto"/>
        <w:rPr>
          <w:sz w:val="20"/>
          <w:szCs w:val="20"/>
          <w:color w:val="auto"/>
        </w:rPr>
      </w:pPr>
      <w:r>
        <w:rPr>
          <w:rFonts w:ascii="Arial" w:cs="Arial" w:eastAsia="Arial" w:hAnsi="Arial"/>
          <w:sz w:val="16"/>
          <w:szCs w:val="16"/>
          <w:color w:val="auto"/>
        </w:rPr>
        <w:t>The Company’s contract liabilities are recorded as deferred revenue in the Company’s consolidated balance sheet and consists of customer invoices issued or payments received in advance of revenues being recognized from the Company’s subscription and services contracts. Deferred revenue, including current and non-current balances as of January 31, 2021, 2020 and 2019 was $238.0 million, $190.8 million and $137.7 million, respectively.</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Approximately 28% and 29% of the total revenue recognized in the years ended January 31, 2021 and 2020 was from deferred revenue at the beginning of each respective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Remaining Performance Obligations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2021, the aggregate transaction price allocated to remaining performance obligations was $243.7 million. Approximately 55%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Unbilled Receivables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were recorded as part of accounts receivable, net in the Company’s consolidated balance sheets. As of January 31, 2021, 2020 and 2019, unbilled receivables were $5.7 million, $6.7 million and $8.0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Allowance for Doubtful Accounts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adoption of ASU 2016-13 on February 1, 2020 required the Company to shift from an incurred loss impairment model to an expected credit loss model. Accordingly, the Company is required to consider expectations of forward-looking losses, in addition to historical loss rates, to estimate its allowance for doubtful accounts on its account receivables. The following is a summary of the changes in the Company’s allowance for doubtful accounts (in thousands):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31, 2020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Adoption of new accounting standard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Provision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Recoveries/write-offs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31, 2021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Allowance for Doubtful Accounts</w:t>
            </w:r>
          </w:p>
        </w:tc>
      </w:tr>
      <w:tr>
        <w:trPr>
          <w:trHeight w:val="228"/>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29"/>
        </w:trPr>
        <w:tc>
          <w:tcPr>
            <w:tcW w:w="5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230"/>
        </w:trPr>
        <w:tc>
          <w:tcPr>
            <w:tcW w:w="5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r>
      <w:tr>
        <w:trPr>
          <w:trHeight w:val="223"/>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-779145</wp:posOffset>
            </wp:positionV>
            <wp:extent cx="493776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3776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-479425</wp:posOffset>
            </wp:positionV>
            <wp:extent cx="493776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3776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493776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3776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jc w:val="both"/>
        <w:ind w:right="160" w:firstLine="486"/>
        <w:spacing w:after="0" w:line="259" w:lineRule="auto"/>
        <w:rPr>
          <w:sz w:val="20"/>
          <w:szCs w:val="20"/>
          <w:color w:val="auto"/>
        </w:rPr>
      </w:pPr>
      <w:r>
        <w:rPr>
          <w:rFonts w:ascii="Arial" w:cs="Arial" w:eastAsia="Arial" w:hAnsi="Arial"/>
          <w:sz w:val="18"/>
          <w:szCs w:val="18"/>
          <w:color w:val="auto"/>
        </w:rPr>
        <w:t>The Company is closely monitoring the potential impact from the ongoing COVID-19 pandemic and associated global economic uncertainty on its business. A higher allowance was recorded during the year ended January 31, 2021 due to the potential adverse impact the ongoing COVID-19 pandemic may have on factors that affect the Company’s estimate of current expected credit losses, including possible financial difficulties faced by a portion of the Company’s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Costs Capitalized to Obtain Contracts with Customers</w:t>
      </w:r>
    </w:p>
    <w:p>
      <w:pPr>
        <w:spacing w:after="0" w:line="17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Deferred commissions were $118.6 million and $77.0 million as of January 31, 2021 and 2020, respectively. Amortization expense with respect to deferred commissions was $28.6 million, $19.4 million and $14.1 million for years ended January 31, 2021, 2020 and 2019, respectively. There was no impairment loss in relation to the costs capitalized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2008 Stock Incentive Plan and 2016 Equity Incentive Plan</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As of January 31, 2021, the Company had made one ISO grant, all other stock options outstanding were granted as NSOs. The exercise prices of the stock option grants must be not less than 100% of the fair value of the common stock on the grant date as determined by the Board of Directors. If, at the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11"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Pursuant to the terms of the 2016 Plan, the shares of the Company’s Class A common stock reserved for issuance was increased by 2.9 million shares in April 2020. As of January 31, 2021, the Company has approximately 8.7 million shares of Class A common stock available for future grants.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stock option award activity for the 2008 and 2016 Plans (in thousands, except share and per share data and years):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ind w:left="74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ind w:left="168"/>
              <w:spacing w:after="0" w:line="129" w:lineRule="exact"/>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0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3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94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5"/>
              </w:rPr>
              <w:t>Price Per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 January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8,621,010</w:t>
            </w:r>
          </w:p>
        </w:tc>
        <w:tc>
          <w:tcPr>
            <w:tcW w:w="10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7.75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729,392</w:t>
            </w:r>
          </w:p>
        </w:tc>
        <w:tc>
          <w:tcPr>
            <w:tcW w:w="0" w:type="dxa"/>
            <w:vAlign w:val="bottom"/>
          </w:tcPr>
          <w:p>
            <w:pPr>
              <w:spacing w:after="0"/>
              <w:rPr>
                <w:sz w:val="1"/>
                <w:szCs w:val="1"/>
                <w:color w:val="auto"/>
              </w:rPr>
            </w:pPr>
          </w:p>
        </w:tc>
      </w:tr>
      <w:tr>
        <w:trPr>
          <w:trHeight w:val="270"/>
        </w:trPr>
        <w:tc>
          <w:tcPr>
            <w:tcW w:w="3600" w:type="dxa"/>
            <w:vAlign w:val="bottom"/>
          </w:tcPr>
          <w:p>
            <w:pPr>
              <w:ind w:left="300"/>
              <w:spacing w:after="0"/>
              <w:rPr>
                <w:sz w:val="20"/>
                <w:szCs w:val="20"/>
                <w:color w:val="auto"/>
              </w:rPr>
            </w:pPr>
            <w:r>
              <w:rPr>
                <w:rFonts w:ascii="Arial" w:cs="Arial" w:eastAsia="Arial" w:hAnsi="Arial"/>
                <w:sz w:val="18"/>
                <w:szCs w:val="18"/>
                <w:color w:val="auto"/>
              </w:rPr>
              <w:t>Options 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(2,163,361)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7.76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00" w:type="dxa"/>
            <w:vAlign w:val="bottom"/>
          </w:tcPr>
          <w:p>
            <w:pPr>
              <w:ind w:left="180"/>
              <w:spacing w:after="0"/>
              <w:rPr>
                <w:sz w:val="20"/>
                <w:szCs w:val="20"/>
                <w:color w:val="auto"/>
              </w:rPr>
            </w:pPr>
            <w:r>
              <w:rPr>
                <w:rFonts w:ascii="Arial" w:cs="Arial" w:eastAsia="Arial" w:hAnsi="Arial"/>
                <w:sz w:val="18"/>
                <w:szCs w:val="18"/>
                <w:color w:val="auto"/>
              </w:rPr>
              <w:t>Balance - January 31,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6,178,999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7.60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965,860</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(2,218,661)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7.70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(78,793)</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5"/>
              </w:rPr>
              <w:t>9.30</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 January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3,881,545</w:t>
            </w:r>
          </w:p>
        </w:tc>
        <w:tc>
          <w:tcPr>
            <w:tcW w:w="106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1,405,540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4"/>
              </w:rPr>
              <w:t>Options vested and exercisable - January 31,</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4,693,273</w:t>
            </w:r>
          </w:p>
        </w:tc>
        <w:tc>
          <w:tcPr>
            <w:tcW w:w="10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7.08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5.4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736,034</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Options vested and exercisable - January 31,</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3,566,091</w:t>
            </w:r>
          </w:p>
        </w:tc>
        <w:tc>
          <w:tcPr>
            <w:tcW w:w="106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1,292,303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7"/>
              </w:rPr>
              <w:t>Stock options vested and expected to vest -</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600" w:type="dxa"/>
            <w:vAlign w:val="bottom"/>
          </w:tcPr>
          <w:p>
            <w:pPr>
              <w:ind w:left="180"/>
              <w:spacing w:after="0"/>
              <w:rPr>
                <w:sz w:val="20"/>
                <w:szCs w:val="20"/>
                <w:color w:val="auto"/>
              </w:rPr>
            </w:pPr>
            <w:r>
              <w:rPr>
                <w:rFonts w:ascii="Arial" w:cs="Arial" w:eastAsia="Arial" w:hAnsi="Arial"/>
                <w:sz w:val="18"/>
                <w:szCs w:val="18"/>
                <w:color w:val="auto"/>
              </w:rPr>
              <w:t>January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3,881,545</w:t>
            </w:r>
          </w:p>
        </w:tc>
        <w:tc>
          <w:tcPr>
            <w:tcW w:w="10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7.50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1,405,540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There were no options granted during the years ended January 31, 2021 and 2020. The intrinsic value of options exercised for the years ended January 31, 2021, 2020 and 2019 was determined to be $481.8 million, $293.9 million and $198.9 million, respectively.</w:t>
      </w:r>
    </w:p>
    <w:p>
      <w:pPr>
        <w:spacing w:after="0" w:line="9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 aggregate grant date fair value of stock options vested during the years ended January 31, 2021, 2020 and 2019, was $4.3 million, $6.3 million and $15.9 million, respectively. As of January 31, 2021, there was $1.2 million of unrecognized stock-based compensation expense related to outstanding stock options granted to employees that is expected to be recognized over a weighted-average period of 0.5 years.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Stock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year ended January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90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 Date</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 per RSU</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 January 31, 2019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1,988,774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RSUs 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2,347,359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RSUs 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RSUs forfeited and canceled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(306,641)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 January 31, 2020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1,785,498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forfeited and canceled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January 31,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3,473,512</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January 31, 2021, there was $443.6 million of unrecognized stock-based compensation expense related to outstanding RSUs granted to employees that is expected to be recognized over a weighted-average period of 2.8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2016 China Stock Appreciation Rights Plan</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April 2016, the Company adopted the 2016 China Stock Appreciation Rights Plan (as amended, the “China SAR Plan”) for its employees in China. These awards that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13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For the years ended January 31, 2021, 2020 and 2019 the Company granted 2,763, 5,975 and 3,650 units of the China SAR Plan, respectively, at a weighted average strike price of $165.08, $129.89 and $74.92 per share, respectively. During the years ended January 31, 2021, 2020 and 2019, upon the vesting of 4,316, 4,958 and 14,273 units, respectively, the total expense and liability related to China SAR was $2.6 million, $2.1 million and $1.1 million, respectively. These amounts were recorded as part of the “Accrued compensation and benefits” on the Company’s consolidated balance sheet and recognized as bonus expense in the Company’s consolidated statement of operations. During the year ended January 31, 2021, the Company paid $1.5 million in cash upon the exercise of 6,997 units.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2017 Employee Stock Purchase Plan</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Unless otherwise determined by the Board of Directors, the Company’s Class A common stock will be purchased for the accounts of employees participating in the ESPP at a price per share that is the lesser of (1) 85% of the fair market value of the Company’s Class A common stock on the first trading day of the offering period, which for the initial offering period is the price at which shares of the Company’s Class A common stock were first sold to the public, or (2) 85% of the fair market value of the Company’s Class A common stock on the last trading day of the offering period.</w:t>
      </w:r>
    </w:p>
    <w:p>
      <w:pPr>
        <w:spacing w:after="0" w:line="103"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Pursuant to the terms of the 2017 ESPP, the shares of the Company’s Class A common stock reserved for issuance was increased by 573,825 shares in April 2020. As of January 31, 2021, there were 1,953,304 shares of the Company’s Class A common stock available for future issuance under the 2017 ESPP.</w:t>
      </w:r>
    </w:p>
    <w:p>
      <w:pPr>
        <w:spacing w:after="0" w:line="13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the years ended January 31, 2021, 2020 and 2019 there were 134,930, 154,988 and 374,576 shares, respectively, of Class A common stock purchased under the ESPP. The total expense related to the ESPP for years ended January 31, 2021, 2020 and 2019 was $7.0 million, $5.1 million and $2.9 million, respectively. As of January 31, 2021, there was $3.4 million of unrecognized stock-based compensation expense related to the ESPP offering period expected to end in June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 Repricing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April 13, 2016, the Company amended all then-current employee and active non-employee stock options with an exercise price greater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$6.50 per share that remained outstanding and unexercised on such date to reprice their respective exercise prices to $6.50 per share, the fair market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common stock as of April 13, 2016, as determined by the Board of Directors. Pursuant to this repricing, options to purchase 6,898,736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were repriced, including options to purchase 3,303,786 shares of common stock held by the Company’s executive officers.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determined the total incremental compensation expense related to the repriced awards was $10.7 million, of which $0.2 million and $1.9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recorded during the years ended January 31, 2020 and 2019, respectively. The incremental compensation expense related to repriced awards was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as of January 31, 2021 as these awards were fully vested during the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Early Exercise of Stock Options</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allows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(1) the then-current fair market value of the common stock on the date of repurchase and (2) the original purchase price. The proceeds initially are recorded in other current and non-current liabilities from the early exercise of stock options and reclassified to common stock and paid-in capital as the repurchase right lapses.</w:t>
      </w:r>
    </w:p>
    <w:p>
      <w:pPr>
        <w:spacing w:after="0" w:line="122" w:lineRule="exact"/>
        <w:rPr>
          <w:sz w:val="20"/>
          <w:szCs w:val="20"/>
          <w:color w:val="auto"/>
        </w:rPr>
      </w:pPr>
    </w:p>
    <w:p>
      <w:pPr>
        <w:jc w:val="both"/>
        <w:ind w:right="100" w:firstLine="486"/>
        <w:spacing w:after="0" w:line="296" w:lineRule="auto"/>
        <w:rPr>
          <w:sz w:val="20"/>
          <w:szCs w:val="20"/>
          <w:color w:val="auto"/>
        </w:rPr>
      </w:pPr>
      <w:r>
        <w:rPr>
          <w:rFonts w:ascii="Arial" w:cs="Arial" w:eastAsia="Arial" w:hAnsi="Arial"/>
          <w:sz w:val="16"/>
          <w:szCs w:val="16"/>
          <w:color w:val="auto"/>
        </w:rPr>
        <w:t>For the year ended January 31, 2020, the Company issued common stock of 1,064 shares, respectively, for stock options exercised prior to vesting. There were no shares of the Company’s common stock issued during the year ended January 31, 2021 for stock options exercised prior to vesting. For the years ended January 31, 2021 and 2020, the Company repurchased 960 and 5,677 shares, respectively, of common stock related to unvested stock options at the original exercise price due to the termination of employees. As of January 31, 2021 and 2020, there were 1,135 and 14,332 shares, respectively, held by employees and directors that were subject to potential repurchase at an aggregate price of $0.01 million and $0.1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Determination of Fair Value</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For RSUs, fair value is based on the closing price of the Company’s Class A common stock on the grant date. For stock options, the determination of fair value on the date of grant is based on an option-pricing model, which utilizes the fair value of the Company’s common stock, as well as assumptions regarding a number of complex and subjective variables. The Company uses the Black-Scholes option-pricing model to calculate the fair value of stock options, which requires the use of assumptions including actual and projected employee stock option exercise behaviors, expected price volatility of the Company’s common stock, the risk-free interest rate and expected dividends. Each of these inputs is subjective and generally requires significant judgment to determine.</w:t>
      </w:r>
    </w:p>
    <w:p>
      <w:pPr>
        <w:spacing w:after="0" w:line="13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IPO, the fair value of common stock underlying the stock options had historically been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with input from the Company’s management. The Board of Directors previously determined the fair value of the common stock at the time of grant of the options by considering a number of objective and subjective factors, including valuations of comparable companies, sales of redeemable convertible preferred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stock, sales of common stock to unrelated third parties, operating and financial performance, the lack of liquidity of the Company’s capital stock and general and industry-specific economic outlook. Subsequent to the IPO, the fair value of the underlying common stock is determined by the closing price, on the date of grant, of the Company’s Class A common stock, which is traded publicly on The Nasdaq Global Market.</w:t>
      </w:r>
    </w:p>
    <w:p>
      <w:pPr>
        <w:spacing w:after="0" w:line="11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For option grants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to be “plain vanilla,” the Company determines the expected term using the simplified method. The simplified method deems the term to be the average of the time-to-vesting and the contractual life of the options. For other option grants, the Company estimates the expected term using historical data on employee exercises and post-vesting employment termination behavior taking into account the contractual life of the award.</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has limited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own business over a period equivalent to the expected term of the stock option grants.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time of grant for zero-coupon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18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the purchase rights granted under the 2017 ESPP was estimated on the first day of the offering period using the Black-Scholes option-pricing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Years Ended January 31,</w:t>
            </w:r>
          </w:p>
        </w:tc>
        <w:tc>
          <w:tcPr>
            <w:tcW w:w="96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4"/>
                <w:szCs w:val="14"/>
                <w:b w:val="1"/>
                <w:bCs w:val="1"/>
                <w:color w:val="auto"/>
              </w:rPr>
              <w:t>2020</w:t>
            </w:r>
          </w:p>
        </w:tc>
      </w:tr>
      <w:tr>
        <w:trPr>
          <w:trHeight w:val="251"/>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- 0.54</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- 0.54</w:t>
            </w: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960" w:type="dxa"/>
            <w:vAlign w:val="bottom"/>
          </w:tcPr>
          <w:p>
            <w:pPr>
              <w:ind w:left="20"/>
              <w:spacing w:after="0"/>
              <w:rPr>
                <w:sz w:val="20"/>
                <w:szCs w:val="20"/>
                <w:color w:val="auto"/>
              </w:rPr>
            </w:pPr>
            <w:r>
              <w:rPr>
                <w:rFonts w:ascii="Arial" w:cs="Arial" w:eastAsia="Arial" w:hAnsi="Arial"/>
                <w:sz w:val="18"/>
                <w:szCs w:val="18"/>
                <w:color w:val="auto"/>
              </w:rPr>
              <w:t>- 64%</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ind w:left="20"/>
              <w:spacing w:after="0"/>
              <w:rPr>
                <w:sz w:val="20"/>
                <w:szCs w:val="20"/>
                <w:color w:val="auto"/>
              </w:rPr>
            </w:pPr>
            <w:r>
              <w:rPr>
                <w:rFonts w:ascii="Arial" w:cs="Arial" w:eastAsia="Arial" w:hAnsi="Arial"/>
                <w:sz w:val="18"/>
                <w:szCs w:val="18"/>
                <w:color w:val="auto"/>
              </w:rPr>
              <w:t>- 48%</w:t>
            </w:r>
          </w:p>
        </w:tc>
      </w:tr>
      <w:tr>
        <w:trPr>
          <w:trHeight w:val="27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- 0.19%</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w:t>
            </w: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1820" w:type="dxa"/>
            <w:vAlign w:val="bottom"/>
            <w:gridSpan w:val="2"/>
          </w:tcPr>
          <w:p>
            <w:pPr>
              <w:jc w:val="right"/>
              <w:ind w:right="695"/>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1820" w:type="dxa"/>
            <w:vAlign w:val="bottom"/>
            <w:gridSpan w:val="2"/>
          </w:tcPr>
          <w:p>
            <w:pPr>
              <w:jc w:val="right"/>
              <w:ind w:right="710"/>
              <w:spacing w:after="0"/>
              <w:rPr>
                <w:sz w:val="20"/>
                <w:szCs w:val="20"/>
                <w:color w:val="auto"/>
              </w:rPr>
            </w:pPr>
            <w:r>
              <w:rPr>
                <w:rFonts w:ascii="Arial" w:cs="Arial" w:eastAsia="Arial" w:hAnsi="Arial"/>
                <w:sz w:val="18"/>
                <w:szCs w:val="18"/>
                <w:color w:val="auto"/>
              </w:rPr>
              <w:t>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Years Ended January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revenue—subscription</w:t>
            </w:r>
          </w:p>
        </w:tc>
        <w:tc>
          <w:tcPr>
            <w:tcW w:w="2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60"/>
              <w:spacing w:after="0"/>
              <w:rPr>
                <w:sz w:val="20"/>
                <w:szCs w:val="20"/>
                <w:color w:val="auto"/>
              </w:rPr>
            </w:pPr>
            <w:r>
              <w:rPr>
                <w:rFonts w:ascii="Arial" w:cs="Arial" w:eastAsia="Arial" w:hAnsi="Arial"/>
                <w:sz w:val="18"/>
                <w:szCs w:val="18"/>
                <w:color w:val="auto"/>
              </w:rPr>
              <w:t>Cost of revenue—services</w:t>
            </w:r>
          </w:p>
        </w:tc>
        <w:tc>
          <w:tcPr>
            <w:tcW w:w="1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1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8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149,313</w:t>
            </w:r>
          </w:p>
        </w:tc>
        <w:tc>
          <w:tcPr>
            <w:tcW w:w="10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75,776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vMerge w:val="restart"/>
          </w:tcPr>
          <w:p>
            <w:pPr>
              <w:jc w:val="right"/>
              <w:ind w:right="270"/>
              <w:spacing w:after="0"/>
              <w:rPr>
                <w:sz w:val="20"/>
                <w:szCs w:val="20"/>
                <w:color w:val="auto"/>
              </w:rPr>
            </w:pPr>
            <w:r>
              <w:rPr>
                <w:rFonts w:ascii="Arial" w:cs="Arial" w:eastAsia="Arial" w:hAnsi="Arial"/>
                <w:sz w:val="18"/>
                <w:szCs w:val="18"/>
                <w:color w:val="auto"/>
              </w:rPr>
              <w:t>99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7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details on the Company’s methodology for calculating net loss per share.</w:t>
      </w:r>
    </w:p>
    <w:p>
      <w:pPr>
        <w:spacing w:after="0" w:line="13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Basic and diluted net loss per share was the same for each year presented, as the inclusion of all potential common shares outstanding would have been anti-dilutive due to the net loss reported for each year presented.</w:t>
      </w:r>
    </w:p>
    <w:p>
      <w:pPr>
        <w:spacing w:after="0" w:line="11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For periods in which there were Class B shares outstanding, the rights, including the liquidation and dividend rights, of the holders of Class A and Class B common stock were identical, except with respect to voting. Each share of Class A common stock was and is entitled to one vote per share and each share of Class B common stock was entitled to ten votes per share. As the liquidation and dividend rights were identical for Class A and Class B common stock, the undistributed earnings were allocated on a proportionate basis and the resulting net loss per share would, therefore, be the same for both Class A and Class B common stock on an individual or combined basis.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Years Ended January 31,</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Numerator: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(266,944)</w:t>
            </w:r>
          </w:p>
        </w:tc>
        <w:tc>
          <w:tcPr>
            <w:tcW w:w="10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(175,522)</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(99,011)</w:t>
            </w:r>
          </w:p>
        </w:tc>
        <w:tc>
          <w:tcPr>
            <w:tcW w:w="0" w:type="dxa"/>
            <w:vAlign w:val="bottom"/>
          </w:tcPr>
          <w:p>
            <w:pPr>
              <w:spacing w:after="0"/>
              <w:rPr>
                <w:sz w:val="1"/>
                <w:szCs w:val="1"/>
                <w:color w:val="auto"/>
              </w:rPr>
            </w:pPr>
          </w:p>
        </w:tc>
      </w:tr>
      <w:tr>
        <w:trPr>
          <w:trHeight w:val="67"/>
        </w:trPr>
        <w:tc>
          <w:tcPr>
            <w:tcW w:w="63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Denominator:</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3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w w:val="96"/>
              </w:rPr>
              <w:t>Weighted-average shares used to compute net loss per share, basic and diluted</w:t>
            </w:r>
          </w:p>
        </w:tc>
        <w:tc>
          <w:tcPr>
            <w:tcW w:w="3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58,984,604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vMerge w:val="restart"/>
          </w:tcPr>
          <w:p>
            <w:pPr>
              <w:jc w:val="right"/>
              <w:ind w:right="55"/>
              <w:spacing w:after="0"/>
              <w:rPr>
                <w:sz w:val="20"/>
                <w:szCs w:val="20"/>
                <w:color w:val="auto"/>
              </w:rPr>
            </w:pPr>
            <w:r>
              <w:rPr>
                <w:rFonts w:ascii="Arial" w:cs="Arial" w:eastAsia="Arial" w:hAnsi="Arial"/>
                <w:sz w:val="18"/>
                <w:szCs w:val="18"/>
                <w:color w:val="auto"/>
              </w:rPr>
              <w:t>55,939,032</w:t>
            </w:r>
          </w:p>
        </w:tc>
        <w:tc>
          <w:tcPr>
            <w:tcW w:w="42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52,034,596</w:t>
            </w: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shares underlying the conversion option in the 2024 Notes and 2026 Notes were not considered in the calculation of diluted net loss per share as the effect would have been anti-dilutive. Based on the initial conversion price, the entire outstanding principal amount of the 2024 Notes and 2026 Notes as of January 31, 2021 would have been convertible into approximately 4.4 million shares and 5.4 million shares, respectively, of the Company’s Class A common stock. However, the Company currently expects to settle the principal amount of the 2024 Notes and 2026 Notes in cash. As a result, only the amount by which the conversion value exceeds the aggregate principal amount of the 2024 Notes and 2026 Notes (the “conversion spread”) is considered in the diluted earnings per share computation under the treasury stock method. The conversion spread has a dilutive impact on diluted net income per share when the average market price of the Company’s Class A common stock for a given period exceeds the initial conversion price of $68.15 per share for the 2024 Notes and $211.20 per share for the 2026 Notes. 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Class A common stock upon any conversion of the 2024 Notes and 2026 Notes.</w:t>
      </w:r>
    </w:p>
    <w:p>
      <w:pPr>
        <w:spacing w:after="0" w:line="128"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During the three months ended January 31, 2021, the average market price of the Company’s Class A common stock was $315.79, which exceeded the initial conversion price of the 2024 Notes and 2026 Notes. For disclosure purposes, the Company calculated the potentially dilutive effect of the conversion spread for the 2024 Notes and 2026 Notes, which are included in the table below.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8"/>
              </w:rPr>
              <w:t>Years Ended January 31,</w:t>
            </w:r>
          </w:p>
        </w:tc>
        <w:tc>
          <w:tcPr>
            <w:tcW w:w="1560" w:type="dxa"/>
            <w:vAlign w:val="bottom"/>
          </w:tcPr>
          <w:p>
            <w:pPr>
              <w:spacing w:after="0"/>
              <w:rPr>
                <w:sz w:val="16"/>
                <w:szCs w:val="16"/>
                <w:color w:val="auto"/>
              </w:rPr>
            </w:pPr>
          </w:p>
        </w:tc>
      </w:tr>
      <w:tr>
        <w:trPr>
          <w:trHeight w:val="26"/>
        </w:trPr>
        <w:tc>
          <w:tcPr>
            <w:tcW w:w="2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260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1"/>
        </w:trPr>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Stock options pursuant to the 2016</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1,340,476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2,145,462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3,174,009</w:t>
            </w:r>
          </w:p>
        </w:tc>
      </w:tr>
      <w:tr>
        <w:trPr>
          <w:trHeight w:val="229"/>
        </w:trPr>
        <w:tc>
          <w:tcPr>
            <w:tcW w:w="2600" w:type="dxa"/>
            <w:vAlign w:val="bottom"/>
          </w:tcPr>
          <w:p>
            <w:pPr>
              <w:ind w:left="60"/>
              <w:spacing w:after="0"/>
              <w:rPr>
                <w:sz w:val="20"/>
                <w:szCs w:val="20"/>
                <w:color w:val="auto"/>
              </w:rPr>
            </w:pPr>
            <w:r>
              <w:rPr>
                <w:rFonts w:ascii="Arial" w:cs="Arial" w:eastAsia="Arial" w:hAnsi="Arial"/>
                <w:sz w:val="18"/>
                <w:szCs w:val="18"/>
                <w:color w:val="auto"/>
                <w:w w:val="90"/>
              </w:rPr>
              <w:t>Stock options pursuant to the 2008</w:t>
            </w:r>
          </w:p>
        </w:tc>
        <w:tc>
          <w:tcPr>
            <w:tcW w:w="3120" w:type="dxa"/>
            <w:vAlign w:val="bottom"/>
          </w:tcPr>
          <w:p>
            <w:pPr>
              <w:ind w:left="20"/>
              <w:spacing w:after="0"/>
              <w:rPr>
                <w:sz w:val="20"/>
                <w:szCs w:val="20"/>
                <w:color w:val="auto"/>
              </w:rPr>
            </w:pPr>
            <w:r>
              <w:rPr>
                <w:rFonts w:ascii="Arial" w:cs="Arial" w:eastAsia="Arial" w:hAnsi="Arial"/>
                <w:sz w:val="18"/>
                <w:szCs w:val="18"/>
                <w:color w:val="auto"/>
                <w:w w:val="96"/>
              </w:rPr>
              <w:t>Stock Incentive Plan (previously options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3,759,063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5,076,831</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7,691,386</w:t>
            </w:r>
          </w:p>
        </w:tc>
      </w:tr>
      <w:tr>
        <w:trPr>
          <w:trHeight w:val="270"/>
        </w:trPr>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 units</w:t>
            </w:r>
          </w:p>
        </w:tc>
        <w:tc>
          <w:tcPr>
            <w:tcW w:w="3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3,864,504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2,914,575</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1,447,642</w:t>
            </w:r>
          </w:p>
        </w:tc>
      </w:tr>
      <w:tr>
        <w:trPr>
          <w:trHeight w:val="270"/>
        </w:trPr>
        <w:tc>
          <w:tcPr>
            <w:tcW w:w="2600" w:type="dxa"/>
            <w:vAlign w:val="bottom"/>
          </w:tcPr>
          <w:p>
            <w:pPr>
              <w:ind w:left="60"/>
              <w:spacing w:after="0"/>
              <w:rPr>
                <w:sz w:val="20"/>
                <w:szCs w:val="20"/>
                <w:color w:val="auto"/>
              </w:rPr>
            </w:pPr>
            <w:r>
              <w:rPr>
                <w:rFonts w:ascii="Arial" w:cs="Arial" w:eastAsia="Arial" w:hAnsi="Arial"/>
                <w:sz w:val="18"/>
                <w:szCs w:val="18"/>
                <w:color w:val="auto"/>
              </w:rPr>
              <w:t>Early exercised stock options</w:t>
            </w:r>
          </w:p>
        </w:tc>
        <w:tc>
          <w:tcPr>
            <w:tcW w:w="3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29,532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126,447</w:t>
            </w:r>
          </w:p>
        </w:tc>
      </w:tr>
      <w:tr>
        <w:trPr>
          <w:trHeight w:val="270"/>
        </w:trPr>
        <w:tc>
          <w:tcPr>
            <w:tcW w:w="5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 underlying the conversion spread in the 2024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889,755</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2,112,279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227,982</w:t>
            </w:r>
          </w:p>
        </w:tc>
      </w:tr>
      <w:tr>
        <w:trPr>
          <w:trHeight w:val="270"/>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Shares underlying the conversion spread in the 2026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450,869</w:t>
            </w:r>
          </w:p>
        </w:tc>
        <w:tc>
          <w:tcPr>
            <w:tcW w:w="100" w:type="dxa"/>
            <w:vAlign w:val="bottom"/>
          </w:tcPr>
          <w:p>
            <w:pPr>
              <w:spacing w:after="0"/>
              <w:rPr>
                <w:sz w:val="23"/>
                <w:szCs w:val="23"/>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loss before provision for (benefit from)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Years Ended January 31,</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187"/>
        </w:trPr>
        <w:tc>
          <w:tcPr>
            <w:tcW w:w="49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6"/>
                <w:szCs w:val="16"/>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w:t>
            </w:r>
          </w:p>
        </w:tc>
        <w:tc>
          <w:tcPr>
            <w:tcW w:w="1400" w:type="dxa"/>
            <w:vAlign w:val="bottom"/>
          </w:tcPr>
          <w:p>
            <w:pPr>
              <w:spacing w:after="0"/>
              <w:rPr>
                <w:sz w:val="19"/>
                <w:szCs w:val="19"/>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(52,315)</w:t>
            </w:r>
          </w:p>
        </w:tc>
        <w:tc>
          <w:tcPr>
            <w:tcW w:w="1400" w:type="dxa"/>
            <w:vAlign w:val="bottom"/>
          </w:tcPr>
          <w:p>
            <w:pPr>
              <w:spacing w:after="0"/>
              <w:rPr>
                <w:sz w:val="19"/>
                <w:szCs w:val="19"/>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(102,329)</w:t>
            </w:r>
          </w:p>
        </w:tc>
        <w:tc>
          <w:tcPr>
            <w:tcW w:w="1400" w:type="dxa"/>
            <w:vAlign w:val="bottom"/>
          </w:tcPr>
          <w:p>
            <w:pPr>
              <w:spacing w:after="0"/>
              <w:rPr>
                <w:sz w:val="21"/>
                <w:szCs w:val="2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52"/>
        </w:trPr>
        <w:tc>
          <w:tcPr>
            <w:tcW w:w="8260" w:type="dxa"/>
            <w:vAlign w:val="bottom"/>
            <w:gridSpan w:val="11"/>
          </w:tcPr>
          <w:p>
            <w:pPr>
              <w:ind w:left="540"/>
              <w:spacing w:after="0"/>
              <w:rPr>
                <w:sz w:val="20"/>
                <w:szCs w:val="20"/>
                <w:color w:val="auto"/>
              </w:rPr>
            </w:pPr>
            <w:r>
              <w:rPr>
                <w:rFonts w:ascii="Arial" w:cs="Arial" w:eastAsia="Arial" w:hAnsi="Arial"/>
                <w:sz w:val="18"/>
                <w:szCs w:val="18"/>
                <w:color w:val="auto"/>
              </w:rPr>
              <w:t>The components of the provision for (benefit from) income taxes were as follows (in thousands):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Years Ended January 31,</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187"/>
        </w:trPr>
        <w:tc>
          <w:tcPr>
            <w:tcW w:w="49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6"/>
                <w:szCs w:val="16"/>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400" w:type="dxa"/>
            <w:vAlign w:val="bottom"/>
          </w:tcPr>
          <w:p>
            <w:pPr>
              <w:spacing w:after="0"/>
              <w:rPr>
                <w:sz w:val="19"/>
                <w:szCs w:val="19"/>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0" w:type="dxa"/>
            <w:vAlign w:val="bottom"/>
          </w:tcPr>
          <w:p>
            <w:pPr>
              <w:spacing w:after="0"/>
              <w:rPr>
                <w:sz w:val="19"/>
                <w:szCs w:val="19"/>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400" w:type="dxa"/>
            <w:vAlign w:val="bottom"/>
          </w:tcPr>
          <w:p>
            <w:pPr>
              <w:spacing w:after="0"/>
              <w:rPr>
                <w:sz w:val="19"/>
                <w:szCs w:val="19"/>
                <w:color w:val="auto"/>
              </w:rPr>
            </w:pPr>
          </w:p>
        </w:tc>
      </w:tr>
      <w:tr>
        <w:trPr>
          <w:trHeight w:val="223"/>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0" w:type="dxa"/>
            <w:vAlign w:val="bottom"/>
          </w:tcPr>
          <w:p>
            <w:pPr>
              <w:spacing w:after="0"/>
              <w:rPr>
                <w:sz w:val="19"/>
                <w:szCs w:val="19"/>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400" w:type="dxa"/>
            <w:vAlign w:val="bottom"/>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1400" w:type="dxa"/>
            <w:vAlign w:val="bottom"/>
          </w:tcPr>
          <w:p>
            <w:pPr>
              <w:spacing w:after="0"/>
              <w:rPr>
                <w:sz w:val="19"/>
                <w:szCs w:val="19"/>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0" w:type="dxa"/>
            <w:vAlign w:val="bottom"/>
          </w:tcPr>
          <w:p>
            <w:pPr>
              <w:spacing w:after="0"/>
              <w:rPr>
                <w:sz w:val="19"/>
                <w:szCs w:val="19"/>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400" w:type="dxa"/>
            <w:vAlign w:val="bottom"/>
          </w:tcPr>
          <w:p>
            <w:pPr>
              <w:spacing w:after="0"/>
              <w:rPr>
                <w:sz w:val="19"/>
                <w:szCs w:val="19"/>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400" w:type="dxa"/>
            <w:vAlign w:val="bottom"/>
          </w:tcPr>
          <w:p>
            <w:pPr>
              <w:spacing w:after="0"/>
              <w:rPr>
                <w:sz w:val="21"/>
                <w:szCs w:val="2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878"/>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4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accounting for the difference between income taxes computed at the federal statutory income tax rate and the provision for (benefit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statutory rate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(21,474)</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Foreign branch income included in the 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40,357</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Foreign withholding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year true ups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overall tax provision recorded for the current fiscal year is primarily driven by an increase in foreign taxes as the Company continues its global expansion. The benefit for income taxes for the year ended January 31, 2020 was primarily due to a non-recurring tax benefit associated with the acquisition of Realm intangible assets, which reduced our deferred tax asset and the related valuation allowance.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Income Taxes</w:t>
      </w:r>
    </w:p>
    <w:p>
      <w:pPr>
        <w:spacing w:after="0" w:line="17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1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Significant components of the Company’s deferred tax assets are shown in the following table as of January 31, 2021 and 2020, respectively (in thousands). Certain prior period amounts have been reclassified to conform with current year presentation.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92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January 31,</w:t>
            </w:r>
          </w:p>
        </w:tc>
      </w:tr>
      <w:tr>
        <w:trPr>
          <w:trHeight w:val="187"/>
        </w:trPr>
        <w:tc>
          <w:tcPr>
            <w:tcW w:w="49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40" w:type="dxa"/>
            <w:vAlign w:val="bottom"/>
          </w:tcPr>
          <w:p>
            <w:pPr>
              <w:spacing w:after="0"/>
              <w:rPr>
                <w:sz w:val="16"/>
                <w:szCs w:val="16"/>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40" w:type="dxa"/>
            <w:vAlign w:val="bottom"/>
          </w:tcPr>
          <w:p>
            <w:pPr>
              <w:spacing w:after="0"/>
              <w:rPr>
                <w:sz w:val="19"/>
                <w:szCs w:val="19"/>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416,887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204,193</w:t>
            </w:r>
          </w:p>
        </w:tc>
        <w:tc>
          <w:tcPr>
            <w:tcW w:w="304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21,087</w:t>
            </w:r>
          </w:p>
        </w:tc>
        <w:tc>
          <w:tcPr>
            <w:tcW w:w="3040" w:type="dxa"/>
            <w:vAlign w:val="bottom"/>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Finance and operating 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17,805</w:t>
            </w:r>
          </w:p>
        </w:tc>
        <w:tc>
          <w:tcPr>
            <w:tcW w:w="304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3040" w:type="dxa"/>
            <w:vAlign w:val="bottom"/>
          </w:tcPr>
          <w:p>
            <w:pPr>
              <w:spacing w:after="0"/>
              <w:rPr>
                <w:sz w:val="19"/>
                <w:szCs w:val="19"/>
                <w:color w:val="auto"/>
              </w:rPr>
            </w:pPr>
          </w:p>
        </w:tc>
      </w:tr>
      <w:tr>
        <w:trPr>
          <w:trHeight w:val="223"/>
        </w:trPr>
        <w:tc>
          <w:tcPr>
            <w:tcW w:w="4940" w:type="dxa"/>
            <w:vAlign w:val="bottom"/>
          </w:tcPr>
          <w:p>
            <w:pPr>
              <w:ind w:left="220"/>
              <w:spacing w:after="0"/>
              <w:rPr>
                <w:sz w:val="20"/>
                <w:szCs w:val="20"/>
                <w:color w:val="auto"/>
              </w:rPr>
            </w:pPr>
            <w:r>
              <w:rPr>
                <w:rFonts w:ascii="Arial" w:cs="Arial" w:eastAsia="Arial" w:hAnsi="Arial"/>
                <w:sz w:val="18"/>
                <w:szCs w:val="18"/>
                <w:color w:val="auto"/>
              </w:rPr>
              <w:t>Gross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257,814</w:t>
            </w:r>
          </w:p>
        </w:tc>
        <w:tc>
          <w:tcPr>
            <w:tcW w:w="304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(136,876)</w:t>
            </w:r>
          </w:p>
        </w:tc>
        <w:tc>
          <w:tcPr>
            <w:tcW w:w="3040" w:type="dxa"/>
            <w:vAlign w:val="bottom"/>
          </w:tcPr>
          <w:p>
            <w:pPr>
              <w:spacing w:after="0"/>
              <w:rPr>
                <w:sz w:val="19"/>
                <w:szCs w:val="19"/>
                <w:color w:val="auto"/>
              </w:rPr>
            </w:pPr>
          </w:p>
        </w:tc>
      </w:tr>
      <w:tr>
        <w:trPr>
          <w:trHeight w:val="223"/>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assets, net of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120,938</w:t>
            </w:r>
          </w:p>
        </w:tc>
        <w:tc>
          <w:tcPr>
            <w:tcW w:w="3040" w:type="dxa"/>
            <w:vAlign w:val="bottom"/>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40" w:type="dxa"/>
            <w:vAlign w:val="bottom"/>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Finance and operating lease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(11,417)</w:t>
            </w:r>
          </w:p>
        </w:tc>
        <w:tc>
          <w:tcPr>
            <w:tcW w:w="304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senior notes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(78,812)</w:t>
            </w:r>
          </w:p>
        </w:tc>
        <w:tc>
          <w:tcPr>
            <w:tcW w:w="3040" w:type="dxa"/>
            <w:vAlign w:val="bottom"/>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Deferred commission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(19,772)</w:t>
            </w:r>
          </w:p>
        </w:tc>
        <w:tc>
          <w:tcPr>
            <w:tcW w:w="304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 and accruals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3040" w:type="dxa"/>
            <w:vAlign w:val="bottom"/>
          </w:tcPr>
          <w:p>
            <w:pPr>
              <w:spacing w:after="0"/>
              <w:rPr>
                <w:sz w:val="19"/>
                <w:szCs w:val="19"/>
                <w:color w:val="auto"/>
              </w:rPr>
            </w:pPr>
          </w:p>
        </w:tc>
      </w:tr>
      <w:tr>
        <w:trPr>
          <w:trHeight w:val="223"/>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(121,081)</w:t>
            </w:r>
          </w:p>
        </w:tc>
        <w:tc>
          <w:tcPr>
            <w:tcW w:w="3040" w:type="dxa"/>
            <w:vAlign w:val="bottom"/>
          </w:tcPr>
          <w:p>
            <w:pPr>
              <w:spacing w:after="0"/>
              <w:rPr>
                <w:sz w:val="19"/>
                <w:szCs w:val="19"/>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40" w:type="dxa"/>
            <w:vAlign w:val="bottom"/>
          </w:tcPr>
          <w:p>
            <w:pPr>
              <w:spacing w:after="0"/>
              <w:rPr>
                <w:sz w:val="21"/>
                <w:szCs w:val="2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879"/>
        </w:trPr>
        <w:tc>
          <w:tcPr>
            <w:tcW w:w="4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77"/>
        </w:trPr>
        <w:tc>
          <w:tcPr>
            <w:tcW w:w="4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2021 and 2020 was $374.8 million and $136.9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2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 of January 31, 2021 the Company had net operating loss carryforwards for federal, state, Irish and U.K. income tax purposes of $1.2 billion, $1.1 billion, $384.0 million and $22.1 million, respectively, which begin to expire in the year ending January 31, 2028 for federal purposes and January 31, 2021 for state purposes. Ireland, U.K. and the U.S. federal losses for years after January 31, 2018 allows net operating losses to be carried forward indefinitely.</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 also has federal and state research credit carryforwards of $52.9 million and $4.1 million, respectively, which begin to expire in the year ending January 31, 2029 for federal purposes and January 31, 2025 for state purposes.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Uncertain Tax Positions</w:t>
      </w:r>
    </w:p>
    <w:p>
      <w:pPr>
        <w:spacing w:after="0" w:line="171" w:lineRule="exact"/>
        <w:rPr>
          <w:sz w:val="20"/>
          <w:szCs w:val="20"/>
          <w:color w:val="auto"/>
        </w:rPr>
      </w:pPr>
    </w:p>
    <w:p>
      <w:pPr>
        <w:ind w:right="260" w:firstLine="486"/>
        <w:spacing w:after="0" w:line="290" w:lineRule="auto"/>
        <w:rPr>
          <w:sz w:val="20"/>
          <w:szCs w:val="20"/>
          <w:color w:val="auto"/>
        </w:rPr>
      </w:pPr>
      <w:r>
        <w:rPr>
          <w:rFonts w:ascii="Arial" w:cs="Arial" w:eastAsia="Arial" w:hAnsi="Arial"/>
          <w:sz w:val="16"/>
          <w:szCs w:val="16"/>
          <w:color w:val="auto"/>
        </w:rPr>
        <w:t xml:space="preserve">The calculation of the Company’s tax obligations involves dealing with uncertainties in the application of complex tax laws and regulations. 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1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changes in the Company’s unrecognized gross tax benefits during the periods presented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Increase (decrease) in tax positions in prior years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in the current year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17,484</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As a result of a research and development credit study performed during the year ended January 31, 2021, the Company recorded additional unrecognized tax benefits for tax positions in prior years. As of January 31, 2021, unrecognized tax benefits would not have any impact on our effective tax rate if recognized.</w:t>
      </w:r>
    </w:p>
    <w:p>
      <w:pPr>
        <w:spacing w:after="0" w:line="130"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Company continues to evaluate whether to continue applying the exception to the presumption of the repatriation of foreign earnings applying the rules of the Tax Act and continues to be permanently reinvested outside of the United States. The Company has not provided for U.S. federal income and foreign withholding taxes on approximately $2.4 million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undistributed earnings from non-U.S. operations as of January 31, 2021 because the Company intends to reinvest such earnings indefinitely outside of the United States. If the Company were to distribute these earnings, foreign tax credits may become available under current law to reduce the resulting U.S. income tax liability. The Company has estimated the amount of unrecognized deferred tax liability related to these earnings to be approximately $0.3 million.</w:t>
      </w:r>
    </w:p>
    <w:p>
      <w:pPr>
        <w:spacing w:after="0" w:line="133"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2015 through January 31, 2020.</w:t>
      </w:r>
    </w:p>
    <w:p>
      <w:pPr>
        <w:spacing w:after="0" w:line="10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Coronavirus Aid, Relief, and Economic Security (“CARES”) Act was enacted into U.S. federal law on March 27, 2020. The CARES Act provided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The Company evaluated the provisions of the CARES Act and concluded that there was no material impact on its financial statements. The tax effects of other related foreign government assistance enacted into law this period are also not material to the Company this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January 31, 2021. Based on the evaluation of our disclosure controls and procedures as of January 31, 2021,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2021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3"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2021. The effectiveness of our internal control over financial reporting as of January 31, 2021 has been audited by PricewaterhouseCoopers LLP, an independent registered public accounting firm, as stated in its report which is included in Item 8 of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2021 Proxy Statement to be filed with the SEC within 120 days after the end of our fiscal year ended January 31, 2021 and is incorporated herein by reference.</w:t>
      </w:r>
    </w:p>
    <w:p>
      <w:pPr>
        <w:spacing w:after="0" w:line="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gridSpan w:val="5"/>
          </w:tcPr>
          <w:p>
            <w:pPr>
              <w:ind w:left="500"/>
              <w:spacing w:after="0"/>
              <w:rPr>
                <w:sz w:val="20"/>
                <w:szCs w:val="20"/>
                <w:color w:val="auto"/>
              </w:rPr>
            </w:pPr>
            <w:r>
              <w:rPr>
                <w:rFonts w:ascii="Arial" w:cs="Arial" w:eastAsia="Arial" w:hAnsi="Arial"/>
                <w:sz w:val="22"/>
                <w:szCs w:val="22"/>
                <w:b w:val="1"/>
                <w:bCs w:val="1"/>
                <w:color w:val="auto"/>
              </w:rPr>
              <w:t>PART IV</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(1) All financial statements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6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Page</w:t>
            </w:r>
          </w:p>
        </w:tc>
      </w:tr>
      <w:tr>
        <w:trPr>
          <w:trHeight w:val="188"/>
        </w:trPr>
        <w:tc>
          <w:tcPr>
            <w:tcW w:w="20" w:type="dxa"/>
            <w:vAlign w:val="bottom"/>
          </w:tcPr>
          <w:p>
            <w:pPr>
              <w:spacing w:after="0"/>
              <w:rPr>
                <w:sz w:val="16"/>
                <w:szCs w:val="16"/>
                <w:color w:val="auto"/>
              </w:rPr>
            </w:pPr>
          </w:p>
        </w:tc>
        <w:tc>
          <w:tcPr>
            <w:tcW w:w="9540" w:type="dxa"/>
            <w:vAlign w:val="bottom"/>
            <w:gridSpan w:val="9"/>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Report of Independent Registered Public Accounting Firm</w:t>
              </w:r>
            </w:hyperlink>
          </w:p>
        </w:tc>
        <w:tc>
          <w:tcPr>
            <w:tcW w:w="1660" w:type="dxa"/>
            <w:vAlign w:val="bottom"/>
            <w:gridSpan w:val="2"/>
          </w:tcPr>
          <w:p>
            <w:pPr>
              <w:jc w:val="right"/>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c>
          <w:tcPr>
            <w:tcW w:w="20" w:type="dxa"/>
            <w:vAlign w:val="bottom"/>
          </w:tcPr>
          <w:p>
            <w:pPr>
              <w:spacing w:after="0"/>
              <w:rPr>
                <w:sz w:val="16"/>
                <w:szCs w:val="16"/>
                <w:color w:val="auto"/>
              </w:rPr>
            </w:pPr>
          </w:p>
        </w:tc>
      </w:tr>
      <w:tr>
        <w:trPr>
          <w:trHeight w:val="249"/>
        </w:trPr>
        <w:tc>
          <w:tcPr>
            <w:tcW w:w="20" w:type="dxa"/>
            <w:vAlign w:val="bottom"/>
          </w:tcPr>
          <w:p>
            <w:pPr>
              <w:spacing w:after="0"/>
              <w:rPr>
                <w:sz w:val="21"/>
                <w:szCs w:val="21"/>
                <w:color w:val="auto"/>
              </w:rPr>
            </w:pPr>
          </w:p>
        </w:tc>
        <w:tc>
          <w:tcPr>
            <w:tcW w:w="42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Financial Statements:</w:t>
            </w:r>
          </w:p>
        </w:tc>
        <w:tc>
          <w:tcPr>
            <w:tcW w:w="5320" w:type="dxa"/>
            <w:vAlign w:val="bottom"/>
            <w:gridSpan w:val="6"/>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6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68">
              <w:r>
                <w:rPr>
                  <w:rFonts w:ascii="Arial" w:cs="Arial" w:eastAsia="Arial" w:hAnsi="Arial"/>
                  <w:sz w:val="18"/>
                  <w:szCs w:val="18"/>
                  <w:color w:val="0000FF"/>
                  <w:w w:val="88"/>
                </w:rPr>
                <w:t>Consolidated Balance Sheets as of January 31, 2021 and 2020</w:t>
              </w:r>
            </w:hyperlink>
          </w:p>
        </w:tc>
        <w:tc>
          <w:tcPr>
            <w:tcW w:w="4860" w:type="dxa"/>
            <w:vAlign w:val="bottom"/>
            <w:gridSpan w:val="5"/>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Consolidated Statements of Operations for the years ended January 31, 2021, 2020 and 2019</w:t>
              </w:r>
            </w:hyperlink>
          </w:p>
        </w:tc>
        <w:tc>
          <w:tcPr>
            <w:tcW w:w="266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Comprehensive Loss for the years ended January 31, 2021, 2020 and 2019</w:t>
              </w:r>
            </w:hyperlink>
          </w:p>
        </w:tc>
        <w:tc>
          <w:tcPr>
            <w:tcW w:w="166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Consolidated Statements of Stockholders’ Equity (Deficit) for the years ended January 31, 2021, 2020 and 2019</w:t>
              </w:r>
            </w:hyperlink>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69</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Cash Flows for years ended January 31, 2021, 2020 and 2019</w:t>
              </w:r>
            </w:hyperlink>
          </w:p>
        </w:tc>
        <w:tc>
          <w:tcPr>
            <w:tcW w:w="1660" w:type="dxa"/>
            <w:vAlign w:val="bottom"/>
            <w:gridSpan w:val="2"/>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40" w:type="dxa"/>
            <w:vAlign w:val="bottom"/>
            <w:tcBorders>
              <w:top w:val="single" w:sz="8" w:color="0000FF"/>
            </w:tcBorders>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Notes to Consolidated Financial Statements</w:t>
              </w:r>
            </w:hyperlink>
          </w:p>
        </w:tc>
        <w:tc>
          <w:tcPr>
            <w:tcW w:w="2880" w:type="dxa"/>
            <w:vAlign w:val="bottom"/>
            <w:gridSpan w:val="4"/>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72</w:t>
              </w:r>
            </w:hyperlink>
          </w:p>
        </w:tc>
        <w:tc>
          <w:tcPr>
            <w:tcW w:w="20" w:type="dxa"/>
            <w:vAlign w:val="bottom"/>
          </w:tcPr>
          <w:p>
            <w:pPr>
              <w:spacing w:after="0"/>
              <w:rPr>
                <w:sz w:val="18"/>
                <w:szCs w:val="18"/>
                <w:color w:val="auto"/>
              </w:rPr>
            </w:pPr>
          </w:p>
        </w:tc>
      </w:tr>
      <w:tr>
        <w:trPr>
          <w:trHeight w:val="20"/>
        </w:trPr>
        <w:tc>
          <w:tcPr>
            <w:tcW w:w="240" w:type="dxa"/>
            <w:vAlign w:val="bottom"/>
            <w:gridSpan w:val="2"/>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(2) Financial Statement Schedules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allowance for doubtful accounts and the deferred tax asset valuation allowance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2020 and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Balance at Beginning of</w:t>
            </w:r>
          </w:p>
        </w:tc>
        <w:tc>
          <w:tcPr>
            <w:tcW w:w="380" w:type="dxa"/>
            <w:vAlign w:val="bottom"/>
          </w:tcPr>
          <w:p>
            <w:pPr>
              <w:spacing w:after="0"/>
              <w:rPr>
                <w:sz w:val="14"/>
                <w:szCs w:val="14"/>
                <w:color w:val="auto"/>
              </w:rPr>
            </w:pPr>
          </w:p>
        </w:tc>
        <w:tc>
          <w:tcPr>
            <w:tcW w:w="14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5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5"/>
              </w:rPr>
              <w:t>Usage (Deductions)</w:t>
            </w:r>
          </w:p>
        </w:tc>
        <w:tc>
          <w:tcPr>
            <w:tcW w:w="160" w:type="dxa"/>
            <w:vAlign w:val="bottom"/>
          </w:tcPr>
          <w:p>
            <w:pPr>
              <w:spacing w:after="0"/>
              <w:rPr>
                <w:sz w:val="14"/>
                <w:szCs w:val="14"/>
                <w:color w:val="auto"/>
              </w:rPr>
            </w:pPr>
          </w:p>
        </w:tc>
        <w:tc>
          <w:tcPr>
            <w:tcW w:w="16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Balance at End of Year</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Year</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January 31, 2021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2,515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5,181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136,876</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237,914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374,790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Year ended January 31, 2020</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101,502</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35,374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136,876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January 31, 2019</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1,238</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2,069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77,265</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Incorporated by Reference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35"/>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80" w:type="dxa"/>
            <w:vAlign w:val="bottom"/>
          </w:tcPr>
          <w:p>
            <w:pPr>
              <w:ind w:left="24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5"/>
          </w:tcPr>
          <w:p>
            <w:pPr>
              <w:spacing w:after="0"/>
              <w:rPr>
                <w:rFonts w:ascii="Arial" w:cs="Arial" w:eastAsia="Arial" w:hAnsi="Arial"/>
                <w:sz w:val="18"/>
                <w:szCs w:val="18"/>
                <w:color w:val="0000FF"/>
                <w:w w:val="96"/>
              </w:rPr>
            </w:pPr>
            <w:hyperlink r:id="rId185">
              <w:r>
                <w:rPr>
                  <w:rFonts w:ascii="Arial" w:cs="Arial" w:eastAsia="Arial" w:hAnsi="Arial"/>
                  <w:sz w:val="18"/>
                  <w:szCs w:val="18"/>
                  <w:color w:val="0000FF"/>
                  <w:w w:val="96"/>
                </w:rPr>
                <w:t>Agreement and Plan of Merger, dated as of October 9, 2018, by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2.1</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12/16/18</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among the Company, Mammoth Merger Sub, Inc., ObjectLabs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85">
              <w:r>
                <w:rPr>
                  <w:rFonts w:ascii="Arial" w:cs="Arial" w:eastAsia="Arial" w:hAnsi="Arial"/>
                  <w:sz w:val="18"/>
                  <w:szCs w:val="18"/>
                  <w:color w:val="0000FF"/>
                  <w:w w:val="95"/>
                </w:rPr>
                <w:t>Corporation and Shareholder Representative Services LLC</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22"/>
          </w:tcPr>
          <w:p>
            <w:pPr>
              <w:spacing w:after="0"/>
              <w:rPr>
                <w:rFonts w:ascii="Arial" w:cs="Arial" w:eastAsia="Arial" w:hAnsi="Arial"/>
                <w:sz w:val="18"/>
                <w:szCs w:val="18"/>
                <w:color w:val="0000FF"/>
                <w:w w:val="90"/>
              </w:rPr>
            </w:pPr>
            <w:hyperlink r:id="rId186">
              <w:r>
                <w:rPr>
                  <w:rFonts w:ascii="Arial" w:cs="Arial" w:eastAsia="Arial" w:hAnsi="Arial"/>
                  <w:sz w:val="18"/>
                  <w:szCs w:val="18"/>
                  <w:color w:val="0000FF"/>
                  <w:w w:val="90"/>
                </w:rPr>
                <w:t>Amended and Restated Certificate of Incorporation of Registrant</w:t>
              </w:r>
            </w:hyperlink>
          </w:p>
        </w:tc>
        <w:tc>
          <w:tcPr>
            <w:tcW w:w="600" w:type="dxa"/>
            <w:vAlign w:val="bottom"/>
            <w:gridSpan w:val="13"/>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3.1</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10/25/17</w:t>
            </w:r>
          </w:p>
        </w:tc>
        <w:tc>
          <w:tcPr>
            <w:tcW w:w="0" w:type="dxa"/>
            <w:vAlign w:val="bottom"/>
          </w:tcPr>
          <w:p>
            <w:pPr>
              <w:spacing w:after="0"/>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9"/>
          </w:tcPr>
          <w:p>
            <w:pPr>
              <w:spacing w:after="0"/>
              <w:rPr>
                <w:rFonts w:ascii="Arial" w:cs="Arial" w:eastAsia="Arial" w:hAnsi="Arial"/>
                <w:sz w:val="18"/>
                <w:szCs w:val="18"/>
                <w:color w:val="0000FF"/>
                <w:w w:val="89"/>
              </w:rPr>
            </w:pPr>
            <w:hyperlink r:id="rId187">
              <w:r>
                <w:rPr>
                  <w:rFonts w:ascii="Arial" w:cs="Arial" w:eastAsia="Arial" w:hAnsi="Arial"/>
                  <w:sz w:val="18"/>
                  <w:szCs w:val="18"/>
                  <w:color w:val="0000FF"/>
                  <w:w w:val="89"/>
                </w:rPr>
                <w:t>Amended and Restated Bylaws of Registrant</w:t>
              </w:r>
            </w:hyperlink>
          </w:p>
        </w:tc>
        <w:tc>
          <w:tcPr>
            <w:tcW w:w="2040" w:type="dxa"/>
            <w:vAlign w:val="bottom"/>
            <w:gridSpan w:val="26"/>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3.4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9/21/17</w:t>
            </w:r>
          </w:p>
        </w:tc>
        <w:tc>
          <w:tcPr>
            <w:tcW w:w="0" w:type="dxa"/>
            <w:vAlign w:val="bottom"/>
          </w:tcPr>
          <w:p>
            <w:pPr>
              <w:spacing w:after="0"/>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88">
              <w:r>
                <w:rPr>
                  <w:rFonts w:ascii="Arial" w:cs="Arial" w:eastAsia="Arial" w:hAnsi="Arial"/>
                  <w:sz w:val="18"/>
                  <w:szCs w:val="18"/>
                  <w:color w:val="0000FF"/>
                </w:rPr>
                <w:t>Certificate of Retirement</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3.1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6/16/20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Class A common stock certificate of Registrant</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Fifth Amended and Restated Investors’ Rights Agreement by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9/21/17</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23"/>
          </w:tcPr>
          <w:p>
            <w:pPr>
              <w:spacing w:after="0" w:line="156" w:lineRule="exact"/>
              <w:rPr>
                <w:rFonts w:ascii="Arial" w:cs="Arial" w:eastAsia="Arial" w:hAnsi="Arial"/>
                <w:sz w:val="18"/>
                <w:szCs w:val="18"/>
                <w:color w:val="0000FF"/>
                <w:w w:val="87"/>
              </w:rPr>
            </w:pPr>
            <w:hyperlink r:id="rId190">
              <w:r>
                <w:rPr>
                  <w:rFonts w:ascii="Arial" w:cs="Arial" w:eastAsia="Arial" w:hAnsi="Arial"/>
                  <w:sz w:val="18"/>
                  <w:szCs w:val="18"/>
                  <w:color w:val="0000FF"/>
                  <w:w w:val="87"/>
                </w:rPr>
                <w:t>among the Registrant and certain of its stockholders, dated October</w:t>
              </w:r>
            </w:hyperlink>
          </w:p>
        </w:tc>
        <w:tc>
          <w:tcPr>
            <w:tcW w:w="380" w:type="dxa"/>
            <w:vAlign w:val="bottom"/>
            <w:gridSpan w:val="8"/>
          </w:tcPr>
          <w:p>
            <w:pPr>
              <w:jc w:val="right"/>
              <w:ind w:right="60"/>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90">
              <w:r>
                <w:rPr>
                  <w:rFonts w:ascii="Arial" w:cs="Arial" w:eastAsia="Arial" w:hAnsi="Arial"/>
                  <w:sz w:val="18"/>
                  <w:szCs w:val="18"/>
                  <w:color w:val="0000FF"/>
                  <w:w w:val="84"/>
                </w:rPr>
                <w:t>2013</w:t>
              </w:r>
            </w:hyperlink>
          </w:p>
        </w:tc>
        <w:tc>
          <w:tcPr>
            <w:tcW w:w="6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5"/>
              </w:rPr>
            </w:pPr>
            <w:hyperlink r:id="rId191">
              <w:r>
                <w:rPr>
                  <w:rFonts w:ascii="Arial" w:cs="Arial" w:eastAsia="Arial" w:hAnsi="Arial"/>
                  <w:sz w:val="18"/>
                  <w:szCs w:val="18"/>
                  <w:color w:val="0000FF"/>
                  <w:w w:val="95"/>
                </w:rPr>
                <w:t>Indenture, dated as of June 28, 2018, by and between the Registrant</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6/28/18</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and U.S. Bank National Association, as Trustee</w:t>
              </w:r>
            </w:hyperlink>
          </w:p>
        </w:tc>
        <w:tc>
          <w:tcPr>
            <w:tcW w:w="14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Global Note, representing MongoDB, Inc.’s 0.75%</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6/28/18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35"/>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Convertible Senior Notes due 2024 (included as Exhibit A to the</w:t>
              </w:r>
            </w:hyperlink>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Indenture filed as Exhibit 4.3)</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bottom w:val="single" w:sz="8" w:color="0000FF"/>
            </w:tcBorders>
            <w:gridSpan w:val="28"/>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Indenture, dated as of January 14, 2020, by and between MongoDB,</w:t>
              </w:r>
            </w:hyperlink>
          </w:p>
        </w:tc>
        <w:tc>
          <w:tcPr>
            <w:tcW w:w="340" w:type="dxa"/>
            <w:vAlign w:val="bottom"/>
            <w:gridSpan w:val="7"/>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1/14/20</w:t>
            </w:r>
          </w:p>
        </w:tc>
        <w:tc>
          <w:tcPr>
            <w:tcW w:w="0" w:type="dxa"/>
            <w:vAlign w:val="bottom"/>
          </w:tcPr>
          <w:p>
            <w:pPr>
              <w:spacing w:after="0"/>
              <w:rPr>
                <w:sz w:val="1"/>
                <w:szCs w:val="1"/>
                <w:color w:val="auto"/>
              </w:rPr>
            </w:pPr>
          </w:p>
        </w:tc>
      </w:tr>
      <w:tr>
        <w:trPr>
          <w:trHeight w:val="102"/>
        </w:trPr>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760" w:type="dxa"/>
            <w:vAlign w:val="bottom"/>
            <w:gridSpan w:val="14"/>
            <w:vMerge w:val="restart"/>
          </w:tcPr>
          <w:p>
            <w:pPr>
              <w:spacing w:after="0" w:line="156"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Inc. and U.S. Bank National Association, as Trustee</w:t>
              </w:r>
            </w:hyperlink>
          </w:p>
        </w:tc>
        <w:tc>
          <w:tcPr>
            <w:tcW w:w="1520" w:type="dxa"/>
            <w:vAlign w:val="bottom"/>
            <w:gridSpan w:val="21"/>
            <w:vMerge w:val="restart"/>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760" w:type="dxa"/>
            <w:vAlign w:val="bottom"/>
            <w:tcBorders>
              <w:bottom w:val="single" w:sz="8" w:color="0000FF"/>
            </w:tcBorders>
            <w:gridSpan w:val="14"/>
            <w:vMerge w:val="continue"/>
          </w:tcPr>
          <w:p>
            <w:pPr>
              <w:spacing w:after="0"/>
              <w:rPr>
                <w:sz w:val="4"/>
                <w:szCs w:val="4"/>
                <w:color w:val="auto"/>
              </w:rPr>
            </w:pPr>
          </w:p>
        </w:tc>
        <w:tc>
          <w:tcPr>
            <w:tcW w:w="1520" w:type="dxa"/>
            <w:vAlign w:val="bottom"/>
            <w:gridSpan w:val="21"/>
            <w:vMerge w:val="continue"/>
          </w:tcPr>
          <w:p>
            <w:pPr>
              <w:spacing w:after="0"/>
              <w:rPr>
                <w:sz w:val="4"/>
                <w:szCs w:val="4"/>
                <w:color w:val="auto"/>
              </w:rPr>
            </w:pPr>
          </w:p>
        </w:tc>
        <w:tc>
          <w:tcPr>
            <w:tcW w:w="7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 of Global Note, representing MongoDB, Inc.’s 0.25%</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7"/>
              </w:rPr>
              <w:t>4.2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1/14/20</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35"/>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Convertible Senior Notes due 2026 (included as Exhibit A to the</w:t>
              </w:r>
            </w:hyperlink>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Indenture filed as Exhibit 4.5)</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Description of Registered Securities</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r:id="rId194">
              <w:r>
                <w:rPr>
                  <w:rFonts w:ascii="Arial" w:cs="Arial" w:eastAsia="Arial" w:hAnsi="Arial"/>
                  <w:sz w:val="18"/>
                  <w:szCs w:val="18"/>
                  <w:color w:val="0000FF"/>
                </w:rPr>
                <w:t>2008 Stock Incentive Plan and Forms of Option Agreement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9/21/17</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Exercise Notice thereunder, as amended to date</w:t>
              </w:r>
            </w:hyperlink>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2"/>
              </w:rPr>
            </w:pPr>
            <w:hyperlink r:id="rId195">
              <w:r>
                <w:rPr>
                  <w:rFonts w:ascii="Arial" w:cs="Arial" w:eastAsia="Arial" w:hAnsi="Arial"/>
                  <w:sz w:val="18"/>
                  <w:szCs w:val="18"/>
                  <w:color w:val="0000FF"/>
                  <w:w w:val="92"/>
                </w:rPr>
                <w:t>Amended and Restated 2016 Equity Incentive Plan and Forms of Stock</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Option Agreement, Notice of Exercise, Stock Option Grant Notice and</w:t>
              </w:r>
            </w:hyperlink>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Restricted Stock Unit Award Agreement thereunder</w:t>
              </w:r>
            </w:hyperlink>
          </w:p>
        </w:tc>
        <w:tc>
          <w:tcPr>
            <w:tcW w:w="13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Amended and Restated Form of Restricted Stock Unit Award</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20">
              <w:r>
                <w:rPr>
                  <w:rFonts w:ascii="Arial" w:cs="Arial" w:eastAsia="Arial" w:hAnsi="Arial"/>
                  <w:sz w:val="18"/>
                  <w:szCs w:val="18"/>
                  <w:color w:val="0000FF"/>
                </w:rPr>
                <w:t>Agreement, effective as of February 24, 2021</w:t>
              </w:r>
            </w:hyperlink>
          </w:p>
        </w:tc>
        <w:tc>
          <w:tcPr>
            <w:tcW w:w="260" w:type="dxa"/>
            <w:vAlign w:val="bottom"/>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7"/>
              </w:rPr>
            </w:pPr>
            <w:hyperlink r:id="rId196">
              <w:r>
                <w:rPr>
                  <w:rFonts w:ascii="Arial" w:cs="Arial" w:eastAsia="Arial" w:hAnsi="Arial"/>
                  <w:sz w:val="18"/>
                  <w:szCs w:val="18"/>
                  <w:color w:val="0000FF"/>
                  <w:w w:val="97"/>
                </w:rPr>
                <w:t>Forms of Restricted Stock Award Grant Notice and Restricted Stock</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3/30/18</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Award Agreement under the Amended and Restated 2016 Equity</w:t>
              </w:r>
            </w:hyperlink>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Incentive Plan</w:t>
              </w:r>
            </w:hyperlink>
          </w:p>
        </w:tc>
        <w:tc>
          <w:tcPr>
            <w:tcW w:w="18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5"/>
              </w:rPr>
            </w:pPr>
            <w:hyperlink r:id="rId197">
              <w:r>
                <w:rPr>
                  <w:rFonts w:ascii="Arial" w:cs="Arial" w:eastAsia="Arial" w:hAnsi="Arial"/>
                  <w:sz w:val="18"/>
                  <w:szCs w:val="18"/>
                  <w:color w:val="0000FF"/>
                  <w:w w:val="95"/>
                </w:rPr>
                <w:t>2016 China Stock Appreciation Rights Plan and Form of China Stock</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Appreciation Rights Award Agreement</w:t>
              </w:r>
            </w:hyperlink>
          </w:p>
        </w:tc>
        <w:tc>
          <w:tcPr>
            <w:tcW w:w="10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r:id="rId198">
              <w:r>
                <w:rPr>
                  <w:rFonts w:ascii="Arial" w:cs="Arial" w:eastAsia="Arial" w:hAnsi="Arial"/>
                  <w:sz w:val="18"/>
                  <w:szCs w:val="18"/>
                  <w:color w:val="0000FF"/>
                  <w:w w:val="88"/>
                </w:rPr>
                <w:t>2017 Employee Stock Purchase Plan</w:t>
              </w:r>
            </w:hyperlink>
          </w:p>
        </w:tc>
        <w:tc>
          <w:tcPr>
            <w:tcW w:w="160" w:type="dxa"/>
            <w:vAlign w:val="bottom"/>
            <w:tcBorders>
              <w:top w:val="single" w:sz="8" w:color="0000FF"/>
            </w:tcBorders>
          </w:tcPr>
          <w:p>
            <w:pPr>
              <w:spacing w:after="0"/>
              <w:rPr>
                <w:sz w:val="22"/>
                <w:szCs w:val="22"/>
                <w:color w:val="auto"/>
              </w:rPr>
            </w:pPr>
          </w:p>
        </w:tc>
        <w:tc>
          <w:tcPr>
            <w:tcW w:w="2460" w:type="dxa"/>
            <w:vAlign w:val="bottom"/>
            <w:gridSpan w:val="28"/>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9"/>
              </w:rPr>
            </w:pPr>
            <w:hyperlink r:id="rId199">
              <w:r>
                <w:rPr>
                  <w:rFonts w:ascii="Arial" w:cs="Arial" w:eastAsia="Arial" w:hAnsi="Arial"/>
                  <w:sz w:val="18"/>
                  <w:szCs w:val="18"/>
                  <w:color w:val="0000FF"/>
                  <w:w w:val="99"/>
                </w:rPr>
                <w:t>Form of Indemnification Agreement by and between the Registrant</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9/21/17</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and each of its directors and executive officers</w:t>
              </w:r>
            </w:hyperlink>
          </w:p>
        </w:tc>
        <w:tc>
          <w:tcPr>
            <w:tcW w:w="1440" w:type="dxa"/>
            <w:vAlign w:val="bottom"/>
            <w:tcBorders>
              <w:top w:val="single" w:sz="8" w:color="0000FF"/>
            </w:tcBorders>
            <w:gridSpan w:val="13"/>
          </w:tcPr>
          <w:p>
            <w:pPr>
              <w:spacing w:after="0"/>
              <w:rPr>
                <w:sz w:val="13"/>
                <w:szCs w:val="13"/>
                <w:color w:val="auto"/>
              </w:rPr>
            </w:pPr>
          </w:p>
        </w:tc>
        <w:tc>
          <w:tcPr>
            <w:tcW w:w="260" w:type="dxa"/>
            <w:vAlign w:val="bottom"/>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5"/>
          </w:tcPr>
          <w:p>
            <w:pPr>
              <w:spacing w:after="0"/>
              <w:rPr>
                <w:rFonts w:ascii="Arial" w:cs="Arial" w:eastAsia="Arial" w:hAnsi="Arial"/>
                <w:sz w:val="18"/>
                <w:szCs w:val="18"/>
                <w:color w:val="0000FF"/>
                <w:w w:val="91"/>
              </w:rPr>
            </w:pPr>
            <w:hyperlink r:id="rId200">
              <w:r>
                <w:rPr>
                  <w:rFonts w:ascii="Arial" w:cs="Arial" w:eastAsia="Arial" w:hAnsi="Arial"/>
                  <w:sz w:val="18"/>
                  <w:szCs w:val="18"/>
                  <w:color w:val="0000FF"/>
                  <w:w w:val="91"/>
                </w:rPr>
                <w:t>Amended and Restated Offer Letter, dated September 29, 2017, by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1"/>
              <w:spacing w:after="0"/>
              <w:rPr>
                <w:sz w:val="20"/>
                <w:szCs w:val="20"/>
                <w:color w:val="auto"/>
              </w:rPr>
            </w:pPr>
            <w:r>
              <w:rPr>
                <w:rFonts w:ascii="Arial" w:cs="Arial" w:eastAsia="Arial" w:hAnsi="Arial"/>
                <w:sz w:val="18"/>
                <w:szCs w:val="18"/>
                <w:color w:val="auto"/>
                <w:w w:val="85"/>
              </w:rPr>
              <w:t>10.6</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between the Registrant and Dev Ittycheria</w:t>
              </w:r>
            </w:hyperlink>
          </w:p>
        </w:tc>
        <w:tc>
          <w:tcPr>
            <w:tcW w:w="2080" w:type="dxa"/>
            <w:vAlign w:val="bottom"/>
            <w:tcBorders>
              <w:top w:val="single" w:sz="8" w:color="0000FF"/>
            </w:tcBorders>
            <w:gridSpan w:val="24"/>
          </w:tcPr>
          <w:p>
            <w:pPr>
              <w:spacing w:after="0"/>
              <w:rPr>
                <w:sz w:val="13"/>
                <w:szCs w:val="13"/>
                <w:color w:val="auto"/>
              </w:rPr>
            </w:pPr>
          </w:p>
        </w:tc>
        <w:tc>
          <w:tcPr>
            <w:tcW w:w="16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8"/>
          </w:tcPr>
          <w:p>
            <w:pPr>
              <w:jc w:val="right"/>
              <w:ind w:righ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295275</wp:posOffset>
            </wp:positionV>
            <wp:extent cx="5657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80645</wp:posOffset>
            </wp:positionV>
            <wp:extent cx="5657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240" w:space="260"/>
            <w:col w:w="580"/>
          </w:cols>
          <w:pgMar w:left="320" w:top="121" w:right="49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Incorporated by Reference</w:t>
            </w:r>
          </w:p>
        </w:tc>
        <w:tc>
          <w:tcPr>
            <w:tcW w:w="1040" w:type="dxa"/>
            <w:vAlign w:val="bottom"/>
          </w:tcPr>
          <w:p>
            <w:pPr>
              <w:spacing w:after="0"/>
              <w:rPr>
                <w:sz w:val="16"/>
                <w:szCs w:val="16"/>
                <w:color w:val="auto"/>
              </w:rPr>
            </w:pPr>
          </w:p>
        </w:tc>
      </w:tr>
      <w:tr>
        <w:trPr>
          <w:trHeight w:val="174"/>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9"/>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32"/>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80" w:type="dxa"/>
            <w:vAlign w:val="bottom"/>
          </w:tcPr>
          <w:p>
            <w:pPr>
              <w:ind w:left="24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Filing Date</w:t>
            </w:r>
          </w:p>
        </w:tc>
      </w:tr>
      <w:tr>
        <w:trPr>
          <w:trHeight w:val="148"/>
        </w:trPr>
        <w:tc>
          <w:tcPr>
            <w:tcW w:w="9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22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2"/>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Amended and Restated Offer Letter, dated September 29, 2017, by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10.8</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between the Registrant and Michael Gordon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Offer Letter, dated September 29, 2017, by and between Registrant and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ind w:left="240"/>
              <w:spacing w:after="0"/>
              <w:rPr>
                <w:sz w:val="20"/>
                <w:szCs w:val="20"/>
                <w:color w:val="auto"/>
              </w:rPr>
            </w:pPr>
            <w:r>
              <w:rPr>
                <w:rFonts w:ascii="Arial" w:cs="Arial" w:eastAsia="Arial" w:hAnsi="Arial"/>
                <w:sz w:val="18"/>
                <w:szCs w:val="18"/>
                <w:color w:val="auto"/>
              </w:rPr>
              <w:t>333-220557</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10.9</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10/6/17</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Eliot Horowitz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r:id="rId206">
              <w:r>
                <w:rPr>
                  <w:rFonts w:ascii="Arial" w:cs="Arial" w:eastAsia="Arial" w:hAnsi="Arial"/>
                  <w:sz w:val="18"/>
                  <w:szCs w:val="18"/>
                  <w:color w:val="0000FF"/>
                </w:rPr>
                <w:t>Employment Agreement, between Cedric Pech and MongoDB</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10.1</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6/7/19</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Switzerland GmbH, dated as of February 6, 2019</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2"/>
              </w:rPr>
            </w:pPr>
            <w:hyperlink r:id="rId207">
              <w:r>
                <w:rPr>
                  <w:rFonts w:ascii="Arial" w:cs="Arial" w:eastAsia="Arial" w:hAnsi="Arial"/>
                  <w:sz w:val="18"/>
                  <w:szCs w:val="18"/>
                  <w:color w:val="0000FF"/>
                  <w:w w:val="92"/>
                </w:rPr>
                <w:t>Offer Letter, dated June 27, 2020, by and between Registrant and Mark</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10.1</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w:t>
            </w: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Porter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4"/>
              </w:rPr>
            </w:pPr>
            <w:hyperlink r:id="rId208">
              <w:r>
                <w:rPr>
                  <w:rFonts w:ascii="Arial" w:cs="Arial" w:eastAsia="Arial" w:hAnsi="Arial"/>
                  <w:sz w:val="18"/>
                  <w:szCs w:val="18"/>
                  <w:color w:val="0000FF"/>
                  <w:w w:val="94"/>
                </w:rPr>
                <w:t>Lease, between PGREF I 1633 Broadway Tower, L.P. and MongoDB,</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93"/>
              </w:rPr>
              <w:t>10.12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3/30/18</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208">
              <w:r>
                <w:rPr>
                  <w:rFonts w:ascii="Arial" w:cs="Arial" w:eastAsia="Arial" w:hAnsi="Arial"/>
                  <w:sz w:val="18"/>
                  <w:szCs w:val="18"/>
                  <w:color w:val="0000FF"/>
                  <w:w w:val="88"/>
                </w:rPr>
                <w:t>Inc., dated December 14, 2017</w:t>
              </w:r>
            </w:hyperlink>
          </w:p>
        </w:tc>
        <w:tc>
          <w:tcPr>
            <w:tcW w:w="2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4"/>
              </w:rPr>
            </w:pPr>
            <w:hyperlink r:id="rId209">
              <w:r>
                <w:rPr>
                  <w:rFonts w:ascii="Arial" w:cs="Arial" w:eastAsia="Arial" w:hAnsi="Arial"/>
                  <w:sz w:val="18"/>
                  <w:szCs w:val="18"/>
                  <w:color w:val="0000FF"/>
                  <w:w w:val="94"/>
                </w:rPr>
                <w:t>Purchase Agreement, dated June 25, 2018, by and among MongoDB,</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99.1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6/28/18</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Inc. and Morgan Stanley &amp; Co. LLC, Goldman Sachs &amp; Co. LLC and</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Barclays Capital Inc.</w:t>
              </w:r>
            </w:hyperlink>
          </w:p>
        </w:tc>
        <w:tc>
          <w:tcPr>
            <w:tcW w:w="354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tcBorders>
              <w:bottom w:val="single" w:sz="8" w:color="0000FF"/>
            </w:tcBorders>
            <w:gridSpan w:val="12"/>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Form of Confirmation for 2018 Capped Call Transactions</w:t>
              </w:r>
            </w:hyperlink>
          </w:p>
        </w:tc>
        <w:tc>
          <w:tcPr>
            <w:tcW w:w="1100" w:type="dxa"/>
            <w:vAlign w:val="bottom"/>
            <w:gridSpan w:val="20"/>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99.2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6/28/18</w:t>
            </w: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Purchase Agreement, dated January 9, 2020, by and among MongoDB,</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99.1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1/14/20</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Inc. and Morgan Stanley &amp; Co. LLC, Goldman Sachs &amp; Co. LLC,</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211">
              <w:r>
                <w:rPr>
                  <w:rFonts w:ascii="Arial" w:cs="Arial" w:eastAsia="Arial" w:hAnsi="Arial"/>
                  <w:sz w:val="18"/>
                  <w:szCs w:val="18"/>
                  <w:color w:val="0000FF"/>
                  <w:w w:val="92"/>
                </w:rPr>
                <w:t>Barclays Capital, Inc. and Citigroup Global Markets, Inc.</w:t>
              </w:r>
            </w:hyperlink>
          </w:p>
        </w:tc>
        <w:tc>
          <w:tcPr>
            <w:tcW w:w="6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Form of Confirmation for 2020 Capped Call Transactions</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40"/>
              <w:spacing w:after="0"/>
              <w:rPr>
                <w:sz w:val="20"/>
                <w:szCs w:val="20"/>
                <w:color w:val="auto"/>
              </w:rPr>
            </w:pPr>
            <w:r>
              <w:rPr>
                <w:rFonts w:ascii="Arial" w:cs="Arial" w:eastAsia="Arial" w:hAnsi="Arial"/>
                <w:sz w:val="18"/>
                <w:szCs w:val="18"/>
                <w:color w:val="auto"/>
              </w:rPr>
              <w:t>001-38240</w:t>
            </w:r>
          </w:p>
        </w:tc>
        <w:tc>
          <w:tcPr>
            <w:tcW w:w="840" w:type="dxa"/>
            <w:vAlign w:val="bottom"/>
          </w:tcPr>
          <w:p>
            <w:pPr>
              <w:jc w:val="center"/>
              <w:ind w:left="132"/>
              <w:spacing w:after="0"/>
              <w:rPr>
                <w:sz w:val="20"/>
                <w:szCs w:val="20"/>
                <w:color w:val="auto"/>
              </w:rPr>
            </w:pPr>
            <w:r>
              <w:rPr>
                <w:rFonts w:ascii="Arial" w:cs="Arial" w:eastAsia="Arial" w:hAnsi="Arial"/>
                <w:sz w:val="18"/>
                <w:szCs w:val="18"/>
                <w:color w:val="auto"/>
                <w:w w:val="85"/>
              </w:rPr>
              <w:t>99.2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1/14/20</w:t>
            </w: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60" w:type="dxa"/>
            <w:vAlign w:val="bottom"/>
            <w:tcBorders>
              <w:top w:val="single" w:sz="8" w:color="0000FF"/>
            </w:tcBorders>
            <w:gridSpan w:val="11"/>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Subsidiaries of the Registrant</w:t>
              </w:r>
            </w:hyperlink>
          </w:p>
        </w:tc>
        <w:tc>
          <w:tcPr>
            <w:tcW w:w="1120" w:type="dxa"/>
            <w:vAlign w:val="bottom"/>
            <w:gridSpan w:val="21"/>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Consent of PricewaterhouseCoopers LLP, independent registered</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49">
              <w:r>
                <w:rPr>
                  <w:rFonts w:ascii="Arial" w:cs="Arial" w:eastAsia="Arial" w:hAnsi="Arial"/>
                  <w:sz w:val="18"/>
                  <w:szCs w:val="18"/>
                  <w:color w:val="0000FF"/>
                </w:rPr>
                <w:t>public accounting firm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Certification of Principal Executive Officer Pursuant to Rules 13a-</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9"/>
              </w:rPr>
            </w:pPr>
            <w:hyperlink w:anchor="page150">
              <w:r>
                <w:rPr>
                  <w:rFonts w:ascii="Arial" w:cs="Arial" w:eastAsia="Arial" w:hAnsi="Arial"/>
                  <w:sz w:val="18"/>
                  <w:szCs w:val="18"/>
                  <w:color w:val="0000FF"/>
                  <w:w w:val="89"/>
                </w:rPr>
                <w:t>14(a) and 15d-14(a) under the Securities Exchange Act of 1934, as</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32"/>
          </w:tcPr>
          <w:p>
            <w:pPr>
              <w:spacing w:after="0" w:line="156" w:lineRule="exact"/>
              <w:rPr>
                <w:rFonts w:ascii="Arial" w:cs="Arial" w:eastAsia="Arial" w:hAnsi="Arial"/>
                <w:sz w:val="18"/>
                <w:szCs w:val="18"/>
                <w:color w:val="0000FF"/>
                <w:w w:val="96"/>
              </w:rPr>
            </w:pPr>
            <w:hyperlink w:anchor="page150">
              <w:r>
                <w:rPr>
                  <w:rFonts w:ascii="Arial" w:cs="Arial" w:eastAsia="Arial" w:hAnsi="Arial"/>
                  <w:sz w:val="18"/>
                  <w:szCs w:val="18"/>
                  <w:color w:val="0000FF"/>
                  <w:w w:val="96"/>
                </w:rPr>
                <w:t>Adopted Pursuant to Section 302 of the Sarbanes-Oxley Act of 2002</w:t>
              </w:r>
            </w:hyperlink>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920" w:type="dxa"/>
            <w:vAlign w:val="bottom"/>
            <w:gridSpan w:val="10"/>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w w:val="94"/>
              </w:rPr>
            </w:pPr>
            <w:hyperlink w:anchor="page151">
              <w:r>
                <w:rPr>
                  <w:rFonts w:ascii="Arial" w:cs="Arial" w:eastAsia="Arial" w:hAnsi="Arial"/>
                  <w:sz w:val="18"/>
                  <w:szCs w:val="18"/>
                  <w:color w:val="0000FF"/>
                  <w:w w:val="94"/>
                </w:rPr>
                <w:t>Certification of Principal Financial Officer Pursuant to Rules 13a-14(a)</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w:anchor="page151">
              <w:r>
                <w:rPr>
                  <w:rFonts w:ascii="Arial" w:cs="Arial" w:eastAsia="Arial" w:hAnsi="Arial"/>
                  <w:sz w:val="18"/>
                  <w:szCs w:val="18"/>
                  <w:color w:val="0000FF"/>
                  <w:w w:val="92"/>
                </w:rPr>
                <w:t>and 15d-14(a) under the Securities Exchange Act of 1934, as Adopted</w:t>
              </w:r>
            </w:hyperlink>
          </w:p>
        </w:tc>
        <w:tc>
          <w:tcPr>
            <w:tcW w:w="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51">
              <w:r>
                <w:rPr>
                  <w:rFonts w:ascii="Arial" w:cs="Arial" w:eastAsia="Arial" w:hAnsi="Arial"/>
                  <w:sz w:val="18"/>
                  <w:szCs w:val="18"/>
                  <w:color w:val="0000FF"/>
                  <w:w w:val="90"/>
                </w:rPr>
                <w:t>Pursuant to Section 302 of the Sarbanes-Oxley Act of 2002</w:t>
              </w:r>
            </w:hyperlink>
          </w:p>
        </w:tc>
        <w:tc>
          <w:tcPr>
            <w:tcW w:w="800" w:type="dxa"/>
            <w:vAlign w:val="bottom"/>
            <w:tcBorders>
              <w:top w:val="single" w:sz="8" w:color="0000FF"/>
            </w:tcBorders>
            <w:gridSpan w:val="12"/>
          </w:tcPr>
          <w:p>
            <w:pPr>
              <w:spacing w:after="0"/>
              <w:rPr>
                <w:sz w:val="13"/>
                <w:szCs w:val="13"/>
                <w:color w:val="auto"/>
              </w:rPr>
            </w:pPr>
          </w:p>
        </w:tc>
        <w:tc>
          <w:tcPr>
            <w:tcW w:w="20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4"/>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Certification of Principal Executive Officer Pursuant to 18 U.S.C.</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56" w:lineRule="exact"/>
              <w:rPr>
                <w:rFonts w:ascii="Arial" w:cs="Arial" w:eastAsia="Arial" w:hAnsi="Arial"/>
                <w:sz w:val="18"/>
                <w:szCs w:val="18"/>
                <w:color w:val="0000FF"/>
                <w:w w:val="88"/>
              </w:rPr>
            </w:pPr>
            <w:hyperlink w:anchor="page152">
              <w:r>
                <w:rPr>
                  <w:rFonts w:ascii="Arial" w:cs="Arial" w:eastAsia="Arial" w:hAnsi="Arial"/>
                  <w:sz w:val="18"/>
                  <w:szCs w:val="18"/>
                  <w:color w:val="0000FF"/>
                  <w:w w:val="88"/>
                </w:rPr>
                <w:t>Section 1350, as Adopted Pursuant to Section 906 of the Sarbanes</w:t>
              </w:r>
            </w:hyperlink>
          </w:p>
        </w:tc>
        <w:tc>
          <w:tcPr>
            <w:tcW w:w="540" w:type="dxa"/>
            <w:vAlign w:val="bottom"/>
            <w:gridSpan w:val="15"/>
          </w:tcPr>
          <w:p>
            <w:pPr>
              <w:jc w:val="right"/>
              <w:ind w:right="460"/>
              <w:spacing w:after="0" w:line="156" w:lineRule="exact"/>
              <w:rPr>
                <w:rFonts w:ascii="Arial" w:cs="Arial" w:eastAsia="Arial" w:hAnsi="Arial"/>
                <w:sz w:val="18"/>
                <w:szCs w:val="18"/>
                <w:color w:val="0000FF"/>
                <w:w w:val="99"/>
              </w:rPr>
            </w:pPr>
            <w:hyperlink w:anchor="page152">
              <w:r>
                <w:rPr>
                  <w:rFonts w:ascii="Arial" w:cs="Arial" w:eastAsia="Arial" w:hAnsi="Arial"/>
                  <w:sz w:val="18"/>
                  <w:szCs w:val="18"/>
                  <w:color w:val="0000FF"/>
                  <w:w w:val="99"/>
                </w:rPr>
                <w:t>-</w:t>
              </w:r>
            </w:hyperlink>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w:anchor="page152">
              <w:r>
                <w:rPr>
                  <w:rFonts w:ascii="Arial" w:cs="Arial" w:eastAsia="Arial" w:hAnsi="Arial"/>
                  <w:sz w:val="18"/>
                  <w:szCs w:val="18"/>
                  <w:color w:val="0000FF"/>
                  <w:w w:val="94"/>
                </w:rPr>
                <w:t>Oxley Act of 2002</w:t>
              </w:r>
            </w:hyperlink>
          </w:p>
        </w:tc>
        <w:tc>
          <w:tcPr>
            <w:tcW w:w="3480" w:type="dxa"/>
            <w:vAlign w:val="bottom"/>
            <w:tcBorders>
              <w:top w:val="single" w:sz="8" w:color="0000FF"/>
            </w:tcBorders>
            <w:gridSpan w:val="17"/>
          </w:tcPr>
          <w:p>
            <w:pPr>
              <w:spacing w:after="0"/>
              <w:rPr>
                <w:sz w:val="13"/>
                <w:szCs w:val="13"/>
                <w:color w:val="auto"/>
              </w:rPr>
            </w:pPr>
          </w:p>
        </w:tc>
        <w:tc>
          <w:tcPr>
            <w:tcW w:w="440" w:type="dxa"/>
            <w:vAlign w:val="bottom"/>
            <w:gridSpan w:val="1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3"/>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gridSpan w:val="32"/>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Certification of Principal Financial Officer Pursuant to 18 U.S.C.</w:t>
              </w:r>
            </w:hyperlink>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16"/>
          </w:tcPr>
          <w:p>
            <w:pPr>
              <w:spacing w:after="0" w:line="156" w:lineRule="exact"/>
              <w:rPr>
                <w:rFonts w:ascii="Arial" w:cs="Arial" w:eastAsia="Arial" w:hAnsi="Arial"/>
                <w:sz w:val="18"/>
                <w:szCs w:val="18"/>
                <w:color w:val="0000FF"/>
                <w:w w:val="87"/>
              </w:rPr>
            </w:pPr>
            <w:hyperlink w:anchor="page153">
              <w:r>
                <w:rPr>
                  <w:rFonts w:ascii="Arial" w:cs="Arial" w:eastAsia="Arial" w:hAnsi="Arial"/>
                  <w:sz w:val="18"/>
                  <w:szCs w:val="18"/>
                  <w:color w:val="0000FF"/>
                  <w:w w:val="87"/>
                </w:rPr>
                <w:t>Section 1350, as Adopted Pursuant to Section 906 of the Sarbanes</w:t>
              </w:r>
            </w:hyperlink>
          </w:p>
        </w:tc>
        <w:tc>
          <w:tcPr>
            <w:tcW w:w="560" w:type="dxa"/>
            <w:vAlign w:val="bottom"/>
            <w:gridSpan w:val="16"/>
          </w:tcPr>
          <w:p>
            <w:pPr>
              <w:jc w:val="right"/>
              <w:ind w:right="460"/>
              <w:spacing w:after="0" w:line="156" w:lineRule="exact"/>
              <w:rPr>
                <w:rFonts w:ascii="Arial" w:cs="Arial" w:eastAsia="Arial" w:hAnsi="Arial"/>
                <w:sz w:val="18"/>
                <w:szCs w:val="18"/>
                <w:color w:val="0000FF"/>
              </w:rPr>
            </w:pPr>
            <w:hyperlink w:anchor="page153">
              <w:r>
                <w:rPr>
                  <w:rFonts w:ascii="Arial" w:cs="Arial" w:eastAsia="Arial" w:hAnsi="Arial"/>
                  <w:sz w:val="18"/>
                  <w:szCs w:val="18"/>
                  <w:color w:val="0000FF"/>
                </w:rPr>
                <w:t>-</w:t>
              </w:r>
            </w:hyperlink>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w:anchor="page153">
              <w:r>
                <w:rPr>
                  <w:rFonts w:ascii="Arial" w:cs="Arial" w:eastAsia="Arial" w:hAnsi="Arial"/>
                  <w:sz w:val="18"/>
                  <w:szCs w:val="18"/>
                  <w:color w:val="0000FF"/>
                  <w:w w:val="94"/>
                </w:rPr>
                <w:t>Oxley Act of 2002</w:t>
              </w:r>
            </w:hyperlink>
          </w:p>
        </w:tc>
        <w:tc>
          <w:tcPr>
            <w:tcW w:w="3480" w:type="dxa"/>
            <w:vAlign w:val="bottom"/>
            <w:tcBorders>
              <w:top w:val="single" w:sz="8" w:color="0000FF"/>
            </w:tcBorders>
            <w:gridSpan w:val="17"/>
          </w:tcPr>
          <w:p>
            <w:pPr>
              <w:spacing w:after="0"/>
              <w:rPr>
                <w:sz w:val="13"/>
                <w:szCs w:val="13"/>
                <w:color w:val="auto"/>
              </w:rPr>
            </w:pPr>
          </w:p>
        </w:tc>
        <w:tc>
          <w:tcPr>
            <w:tcW w:w="440" w:type="dxa"/>
            <w:vAlign w:val="bottom"/>
            <w:gridSpan w:val="12"/>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04"/>
        </w:trPr>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5280" w:type="dxa"/>
            <w:vAlign w:val="bottom"/>
            <w:gridSpan w:val="32"/>
          </w:tcPr>
          <w:p>
            <w:pPr>
              <w:spacing w:after="0"/>
              <w:rPr>
                <w:sz w:val="20"/>
                <w:szCs w:val="20"/>
                <w:color w:val="auto"/>
              </w:rPr>
            </w:pPr>
            <w:r>
              <w:rPr>
                <w:rFonts w:ascii="Arial" w:cs="Arial" w:eastAsia="Arial" w:hAnsi="Arial"/>
                <w:sz w:val="18"/>
                <w:szCs w:val="18"/>
                <w:color w:val="auto"/>
              </w:rPr>
              <w:t>Inline XBRL Instance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3"/>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528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3"/>
        </w:trPr>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280" w:type="dxa"/>
            <w:vAlign w:val="bottom"/>
            <w:gridSpan w:val="32"/>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28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95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2"/>
          </w:tcPr>
          <w:p>
            <w:pPr>
              <w:jc w:val="right"/>
              <w:ind w:right="4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295275</wp:posOffset>
            </wp:positionV>
            <wp:extent cx="5657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80645</wp:posOffset>
            </wp:positionV>
            <wp:extent cx="5657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240" w:space="260"/>
            <w:col w:w="580"/>
          </w:cols>
          <w:pgMar w:left="320" w:top="121" w:right="49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320" w:type="dxa"/>
            <w:vAlign w:val="bottom"/>
            <w:gridSpan w:val="3"/>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Exhibit    Filing Date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w w:val="97"/>
              </w:rPr>
              <w:t>Inline XBRL Taxonomy Extension Presentation Linkbase Document</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right="5580" w:hanging="741"/>
        <w:spacing w:after="0" w:line="180" w:lineRule="auto"/>
        <w:tabs>
          <w:tab w:leader="none" w:pos="1100" w:val="left"/>
        </w:tabs>
        <w:numPr>
          <w:ilvl w:val="1"/>
          <w:numId w:val="36"/>
        </w:numPr>
        <w:rPr>
          <w:rFonts w:ascii="Arial" w:cs="Arial" w:eastAsia="Arial" w:hAnsi="Arial"/>
          <w:sz w:val="31"/>
          <w:szCs w:val="31"/>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148" w:lineRule="exact"/>
        <w:rPr>
          <w:rFonts w:ascii="Arial" w:cs="Arial" w:eastAsia="Arial" w:hAnsi="Arial"/>
          <w:sz w:val="31"/>
          <w:szCs w:val="31"/>
          <w:color w:val="auto"/>
          <w:vertAlign w:val="subscript"/>
        </w:rPr>
      </w:pPr>
    </w:p>
    <w:p>
      <w:pPr>
        <w:ind w:left="1100" w:hanging="85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100" w:right="60" w:hanging="853"/>
        <w:spacing w:after="0" w:line="224"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ind w:left="480"/>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351" w:lineRule="exact"/>
        <w:rPr>
          <w:sz w:val="20"/>
          <w:szCs w:val="20"/>
          <w:color w:val="auto"/>
        </w:rPr>
      </w:pPr>
    </w:p>
    <w:p>
      <w:pPr>
        <w:ind w:left="1100"/>
        <w:spacing w:after="0"/>
        <w:tabs>
          <w:tab w:leader="none" w:pos="5140" w:val="left"/>
          <w:tab w:leader="none" w:pos="636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2863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Dev Ittycheria</w:t>
      </w:r>
    </w:p>
    <w:p>
      <w:pPr>
        <w:spacing w:after="0" w:line="50"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Chief Executive Officer and Director</w:t>
      </w:r>
    </w:p>
    <w:p>
      <w:pPr>
        <w:spacing w:after="0" w:line="1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Dev Ittycheria</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Dev Ittycheria</w:t>
            </w:r>
          </w:p>
        </w:tc>
        <w:tc>
          <w:tcPr>
            <w:tcW w:w="1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Gordon</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Operating Officer and Chief Financial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Michael Gordon</w:t>
            </w:r>
          </w:p>
        </w:tc>
        <w:tc>
          <w:tcPr>
            <w:tcW w:w="1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Bull</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Corporate Controller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Thomas Bull</w:t>
            </w:r>
          </w:p>
        </w:tc>
        <w:tc>
          <w:tcPr>
            <w:tcW w:w="1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Tom Killalea</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Tom Killalea</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Archana Agrawal</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Archana Agrawal</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Roelof Botha</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Roelof Botha</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Hope Cochran</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Hope Cochran</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Francisco D’Souza</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Francisco D’Souza</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M. Hazard, Jr.</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Charles M. Hazard, Jr.</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Dwight Merriman</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Dwight Merriman</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McMahon</w:t>
            </w:r>
          </w:p>
        </w:tc>
        <w:tc>
          <w:tcPr>
            <w:tcW w:w="1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March 22, 2021</w:t>
            </w:r>
          </w:p>
        </w:tc>
      </w:tr>
      <w:tr>
        <w:trPr>
          <w:trHeight w:val="22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John McMahon</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220"/>
          </w:cols>
          <w:pgMar w:left="320" w:top="1260"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0"/>
          <w:szCs w:val="20"/>
          <w:color w:val="auto"/>
        </w:rPr>
      </w:pPr>
    </w:p>
    <w:p>
      <w:pPr>
        <w:jc w:val="both"/>
        <w:ind w:right="80" w:firstLine="577"/>
        <w:spacing w:after="0" w:line="253" w:lineRule="auto"/>
        <w:rPr>
          <w:sz w:val="20"/>
          <w:szCs w:val="20"/>
          <w:color w:val="auto"/>
        </w:rPr>
      </w:pPr>
      <w:r>
        <w:rPr>
          <w:rFonts w:ascii="Arial" w:cs="Arial" w:eastAsia="Arial" w:hAnsi="Arial"/>
          <w:sz w:val="22"/>
          <w:szCs w:val="22"/>
          <w:color w:val="auto"/>
        </w:rPr>
        <w:t>As of January 31, 2021, MongoDB, Inc. had one class of securities registered under Section 12 of the Securities Exchange Act of 1934, as amended, or the Exchange Act: our Class A common stock, $0.001 par value per share. References herein to the terms “we,” “our” and “us” refer to MongoDB, Inc. and its subsidiaries.</w:t>
      </w:r>
    </w:p>
    <w:p>
      <w:pPr>
        <w:spacing w:after="0" w:line="131"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The following description of our capital stock is a summary and does not purport to be complete. It is subject to, and qualified in its entirety by reference to, the applicable provisions of our amended and restated certificate of incorporation, our amended and restated bylaws and our fifth amended and restated investors’ rights agreement, or the investors’ rights agreement, entered into in October 2013, which are filed as exhibits to our Annual Report on Form 10-K, of which this Exhibit 4.7 is a part, and are incorporated by reference herein. We encourage you to read our amended and restated certificate of incorporation, our amended and restated bylaws, our investors’ rights agreement and the applicable provisions of the Delaware General Corporation Law, or the DGCL,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Our authorized capital stock consists of shares, all with a par value of $0.001 per share, of which:</w:t>
      </w:r>
    </w:p>
    <w:p>
      <w:pPr>
        <w:spacing w:after="0" w:line="166" w:lineRule="exact"/>
        <w:rPr>
          <w:sz w:val="20"/>
          <w:szCs w:val="20"/>
          <w:color w:val="auto"/>
        </w:rPr>
      </w:pPr>
    </w:p>
    <w:p>
      <w:pPr>
        <w:ind w:left="960" w:hanging="291"/>
        <w:spacing w:after="0"/>
        <w:tabs>
          <w:tab w:leader="none" w:pos="9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1,000,000,000 shares are designated as Class A common stock; and</w:t>
      </w:r>
    </w:p>
    <w:p>
      <w:pPr>
        <w:spacing w:after="0" w:line="165" w:lineRule="exact"/>
        <w:rPr>
          <w:rFonts w:ascii="Arial" w:cs="Arial" w:eastAsia="Arial" w:hAnsi="Arial"/>
          <w:sz w:val="22"/>
          <w:szCs w:val="22"/>
          <w:color w:val="auto"/>
        </w:rPr>
      </w:pPr>
    </w:p>
    <w:p>
      <w:pPr>
        <w:ind w:left="960" w:hanging="291"/>
        <w:spacing w:after="0"/>
        <w:tabs>
          <w:tab w:leader="none" w:pos="9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100,000,000 shares are designated as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Our board of directors may establish the rights and preferences of the preferred stock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Voting Rights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Each holder of our Class A common stock is entitled to one vote for each share on all matters submitted to a vote of the stockholders, including the election of directors. Under our amended and restated certificate of incorporation, as amended by the certificate of retirement dated June 16, 2020, and our amended and restated bylaws, our stockholders do not have cumulative voting rights. Because of this, the holders of a majority of the shares of our Class A common stock entitled to vote in any election of directors are able to elect all of the directors standing for election, if they should so choose.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Dividends</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Subject to preferences that may be applicable to any then-outstanding preferred stock, holders of our Class A common stock are entitled to receive ratably those dividends, if any, as may be declared from time to time by our board of directors out of legally available funds.</w:t>
      </w:r>
    </w:p>
    <w:p>
      <w:pPr>
        <w:sectPr>
          <w:pgSz w:w="11900" w:h="16838" w:orient="portrait"/>
          <w:cols w:equalWidth="0" w:num="1">
            <w:col w:w="11240"/>
          </w:cols>
          <w:pgMar w:left="320" w:top="126" w:right="339" w:bottom="1440" w:gutter="0" w:footer="0" w:header="0"/>
        </w:sectPr>
      </w:pPr>
    </w:p>
    <w:bookmarkStart w:id="115" w:name="page116"/>
    <w:bookmarkEnd w:id="115"/>
    <w:p>
      <w:pPr>
        <w:ind w:left="440"/>
        <w:spacing w:after="0"/>
        <w:rPr>
          <w:sz w:val="20"/>
          <w:szCs w:val="20"/>
          <w:color w:val="auto"/>
        </w:rPr>
      </w:pPr>
      <w:r>
        <w:rPr>
          <w:rFonts w:ascii="Arial" w:cs="Arial" w:eastAsia="Arial" w:hAnsi="Arial"/>
          <w:sz w:val="22"/>
          <w:szCs w:val="22"/>
          <w:i w:val="1"/>
          <w:iCs w:val="1"/>
          <w:color w:val="auto"/>
        </w:rPr>
        <w:t>Liquidation</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In the event of our liquidation, dissolution or winding up, holders of our Class A common stock will be entitled to share ratably in the net assets legally available for distribution to our stockholders after the payment of all of our debts and other liabilities and the satisfaction of any liquidation preference granted to the holders of any then-outstanding shares of our preferred stock.</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Rights and Preferences</w:t>
      </w:r>
    </w:p>
    <w:p>
      <w:pPr>
        <w:spacing w:after="0" w:line="16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Holders of our Class A common stock have no preemptive, conversion or subscription rights and there are no redemption or sinking fund provisions applicable to the common stock. The rights, preferences and privileges of the holders of our Class A common stock are subject to, and may be adversely affected by, the rights of the holders of shares of any series of preferred stock that we may designate in the future.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All of the outstanding shares of our Class A common stock are fully paid and non-assessable.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A holder of our Class A common stock is entitled to certain rights with respect to registration of such shares under the Securities Act of 1933, or the Securities Act, pursuant to the terms of an investors' rights agreement. These shares are collectively referred to herein as registrable securities. The investors’ rights agreement provides the holder of registrable securities with demand, piggyback and Form S-3 registration rights. We will pay all expenses relating to any demand, piggyback or Form S-3 registration, other than underwriting discounts and commissions, subject to specified conditions and limitations. The registration rights will terminate upon the earlier to occur of the date that is five years following the closing of our initial public offering and the date on which the stockholder holding registrable securities is able to sell all of its shares during a 90-day period pursuant to Rule 144 under the Securities Act.</w:t>
      </w:r>
    </w:p>
    <w:p>
      <w:pPr>
        <w:spacing w:after="0" w:line="123" w:lineRule="exact"/>
        <w:rPr>
          <w:sz w:val="20"/>
          <w:szCs w:val="20"/>
          <w:color w:val="auto"/>
        </w:rPr>
      </w:pPr>
    </w:p>
    <w:p>
      <w:pPr>
        <w:jc w:val="right"/>
        <w:ind w:right="8880"/>
        <w:spacing w:after="0"/>
        <w:rPr>
          <w:sz w:val="20"/>
          <w:szCs w:val="20"/>
          <w:color w:val="auto"/>
        </w:rPr>
      </w:pPr>
      <w:r>
        <w:rPr>
          <w:rFonts w:ascii="Arial" w:cs="Arial" w:eastAsia="Arial" w:hAnsi="Arial"/>
          <w:sz w:val="19"/>
          <w:szCs w:val="19"/>
          <w:b w:val="1"/>
          <w:bCs w:val="1"/>
          <w:color w:val="auto"/>
        </w:rPr>
        <w:t>Anti-Takeover Provisions</w:t>
      </w:r>
    </w:p>
    <w:p>
      <w:pPr>
        <w:spacing w:after="0" w:line="206" w:lineRule="exact"/>
        <w:rPr>
          <w:sz w:val="20"/>
          <w:szCs w:val="20"/>
          <w:color w:val="auto"/>
        </w:rPr>
      </w:pPr>
    </w:p>
    <w:p>
      <w:pPr>
        <w:jc w:val="right"/>
        <w:ind w:right="8960"/>
        <w:spacing w:after="0"/>
        <w:rPr>
          <w:sz w:val="20"/>
          <w:szCs w:val="20"/>
          <w:color w:val="auto"/>
        </w:rPr>
      </w:pPr>
      <w:r>
        <w:rPr>
          <w:rFonts w:ascii="Arial" w:cs="Arial" w:eastAsia="Arial" w:hAnsi="Arial"/>
          <w:sz w:val="22"/>
          <w:szCs w:val="22"/>
          <w:i w:val="1"/>
          <w:iCs w:val="1"/>
          <w:color w:val="auto"/>
        </w:rPr>
        <w:t>Anti-Takeover Statute</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31" w:lineRule="exact"/>
        <w:rPr>
          <w:sz w:val="20"/>
          <w:szCs w:val="20"/>
          <w:color w:val="auto"/>
        </w:rPr>
      </w:pPr>
    </w:p>
    <w:p>
      <w:pPr>
        <w:ind w:left="660" w:right="40" w:hanging="328"/>
        <w:spacing w:after="0" w:line="263"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before such date, the board of directors of the corporation approved either the business combination or the transaction that resulted in the stockholder becoming an interested stockholder;</w:t>
      </w:r>
    </w:p>
    <w:p>
      <w:pPr>
        <w:spacing w:after="0" w:line="120" w:lineRule="exact"/>
        <w:rPr>
          <w:rFonts w:ascii="Arial" w:cs="Arial" w:eastAsia="Arial" w:hAnsi="Arial"/>
          <w:sz w:val="22"/>
          <w:szCs w:val="22"/>
          <w:color w:val="auto"/>
        </w:rPr>
      </w:pPr>
    </w:p>
    <w:p>
      <w:pPr>
        <w:ind w:left="660" w:right="480" w:hanging="328"/>
        <w:spacing w:after="0" w:line="253"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upon completion of the transaction that resulted in the stockholder becoming an interested stockholder, the interested stockholder owned at least 85% of the voting stock of the corporation outstanding at the time the transaction began, excluding for purposes</w:t>
      </w:r>
    </w:p>
    <w:p>
      <w:pPr>
        <w:sectPr>
          <w:pgSz w:w="11900" w:h="16838" w:orient="portrait"/>
          <w:cols w:equalWidth="0" w:num="1">
            <w:col w:w="11240"/>
          </w:cols>
          <w:pgMar w:left="320" w:top="1428" w:right="339" w:bottom="1440" w:gutter="0" w:footer="0" w:header="0"/>
        </w:sectPr>
      </w:pPr>
    </w:p>
    <w:bookmarkStart w:id="116" w:name="page117"/>
    <w:bookmarkEnd w:id="116"/>
    <w:p>
      <w:pPr>
        <w:ind w:left="660" w:right="20"/>
        <w:spacing w:after="0" w:line="250" w:lineRule="auto"/>
        <w:rPr>
          <w:sz w:val="20"/>
          <w:szCs w:val="20"/>
          <w:color w:val="auto"/>
        </w:rPr>
      </w:pPr>
      <w:r>
        <w:rPr>
          <w:rFonts w:ascii="Arial" w:cs="Arial" w:eastAsia="Arial" w:hAnsi="Arial"/>
          <w:sz w:val="22"/>
          <w:szCs w:val="22"/>
          <w:color w:val="auto"/>
        </w:rPr>
        <w:t>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34" w:lineRule="exact"/>
        <w:rPr>
          <w:sz w:val="20"/>
          <w:szCs w:val="20"/>
          <w:color w:val="auto"/>
        </w:rPr>
      </w:pPr>
    </w:p>
    <w:p>
      <w:pPr>
        <w:ind w:left="660" w:right="540" w:hanging="328"/>
        <w:spacing w:after="0" w:line="25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In general, Section 203 defines a “business combination” to include the following:</w:t>
      </w:r>
    </w:p>
    <w:p>
      <w:pPr>
        <w:spacing w:after="0" w:line="1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merger or consolidation involving the corporation and the interested stockholder;</w:t>
      </w:r>
    </w:p>
    <w:p>
      <w:pPr>
        <w:spacing w:after="0" w:line="165" w:lineRule="exact"/>
        <w:rPr>
          <w:rFonts w:ascii="Arial" w:cs="Arial" w:eastAsia="Arial" w:hAnsi="Arial"/>
          <w:sz w:val="22"/>
          <w:szCs w:val="22"/>
          <w:color w:val="auto"/>
        </w:rPr>
      </w:pPr>
    </w:p>
    <w:p>
      <w:pPr>
        <w:ind w:left="660" w:right="380" w:hanging="328"/>
        <w:spacing w:after="0" w:line="263"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sale, transfer, pledge or other disposition of 10% or more of the assets of the corporation involving the interested stockholder;</w:t>
      </w:r>
    </w:p>
    <w:p>
      <w:pPr>
        <w:spacing w:after="0" w:line="120" w:lineRule="exact"/>
        <w:rPr>
          <w:rFonts w:ascii="Arial" w:cs="Arial" w:eastAsia="Arial" w:hAnsi="Arial"/>
          <w:sz w:val="22"/>
          <w:szCs w:val="22"/>
          <w:color w:val="auto"/>
        </w:rPr>
      </w:pPr>
    </w:p>
    <w:p>
      <w:pPr>
        <w:ind w:left="660" w:right="40" w:hanging="328"/>
        <w:spacing w:after="0" w:line="263"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subject to certain exceptions, any transaction that results in the issuance or transfer by the corporation of any stock of the corporation to the interested stockholder;</w:t>
      </w:r>
    </w:p>
    <w:p>
      <w:pPr>
        <w:spacing w:after="0" w:line="120"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transaction involving the corporation that has the effect of increasing the proportionate share of the stock or any class or series of the corporation beneficially owned by the interested stockholder; or</w:t>
      </w:r>
    </w:p>
    <w:p>
      <w:pPr>
        <w:spacing w:after="0" w:line="120" w:lineRule="exact"/>
        <w:rPr>
          <w:rFonts w:ascii="Arial" w:cs="Arial" w:eastAsia="Arial" w:hAnsi="Arial"/>
          <w:sz w:val="22"/>
          <w:szCs w:val="22"/>
          <w:color w:val="auto"/>
        </w:rPr>
      </w:pPr>
    </w:p>
    <w:p>
      <w:pPr>
        <w:ind w:left="660" w:right="480" w:hanging="328"/>
        <w:spacing w:after="0" w:line="263"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receipt by the interested stockholder of the benefit of any loans, advances, guarantees, pledges or other financial benefits by or through the corporation.</w:t>
      </w:r>
    </w:p>
    <w:p>
      <w:pPr>
        <w:spacing w:after="0" w:line="121"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31"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i w:val="1"/>
          <w:iCs w:val="1"/>
          <w:color w:val="auto"/>
        </w:rPr>
        <w:t>Anti-Takeover Effects of Certain Provisions of Our Amended and Restated Certificate of Incorporation and Amended and Restated Bylaws</w:t>
      </w:r>
    </w:p>
    <w:p>
      <w:pPr>
        <w:spacing w:after="0" w:line="121"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w:t>
      </w:r>
    </w:p>
    <w:p>
      <w:pPr>
        <w:sectPr>
          <w:pgSz w:w="11900" w:h="16838" w:orient="portrait"/>
          <w:cols w:equalWidth="0" w:num="1">
            <w:col w:w="11140"/>
          </w:cols>
          <w:pgMar w:left="320" w:top="1428" w:right="4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each annual meeting of stockholders, with the other classes continuing for the remainder of their respective three-year terms.</w:t>
      </w:r>
    </w:p>
    <w:p>
      <w:pPr>
        <w:spacing w:after="0" w:line="200"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Because our stockholders do not have cumulative voting rights, stockholders holding a majority of the voting power of the Class A common stock will be able to elect all of our directors.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Our amended and restated certificate of incorporation and amended and restated bylaws also provide that:</w:t>
      </w:r>
    </w:p>
    <w:p>
      <w:pPr>
        <w:spacing w:after="0" w:line="16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authorized number of directors may be changed only by resolution of the board of directors;</w:t>
      </w:r>
    </w:p>
    <w:p>
      <w:pPr>
        <w:spacing w:after="0" w:line="165" w:lineRule="exact"/>
        <w:rPr>
          <w:rFonts w:ascii="Arial" w:cs="Arial" w:eastAsia="Arial" w:hAnsi="Arial"/>
          <w:sz w:val="22"/>
          <w:szCs w:val="22"/>
          <w:color w:val="auto"/>
        </w:rPr>
      </w:pPr>
    </w:p>
    <w:p>
      <w:pPr>
        <w:ind w:left="660" w:right="280" w:hanging="328"/>
        <w:spacing w:after="0" w:line="253"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3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stockholder action may be taken at a duly called meeting of stockholders; and</w:t>
      </w:r>
    </w:p>
    <w:p>
      <w:pPr>
        <w:spacing w:after="0" w:line="165" w:lineRule="exact"/>
        <w:rPr>
          <w:rFonts w:ascii="Arial" w:cs="Arial" w:eastAsia="Arial" w:hAnsi="Arial"/>
          <w:sz w:val="22"/>
          <w:szCs w:val="22"/>
          <w:color w:val="auto"/>
        </w:rPr>
      </w:pPr>
    </w:p>
    <w:p>
      <w:pPr>
        <w:ind w:left="660" w:right="280" w:hanging="328"/>
        <w:spacing w:after="0" w:line="263"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a special meeting of stockholders may be called by a majority of our whole board of directors, the chair of our board of directors, or our chief executive officer.</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Choice of Forum</w:t>
      </w:r>
    </w:p>
    <w:p>
      <w:pPr>
        <w:spacing w:after="0" w:line="172"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w:t>
      </w:r>
    </w:p>
    <w:p>
      <w:pPr>
        <w:sectPr>
          <w:pgSz w:w="11900" w:h="16838" w:orient="portrait"/>
          <w:cols w:equalWidth="0" w:num="1">
            <w:col w:w="11240"/>
          </w:cols>
          <w:pgMar w:left="320" w:top="1428" w:right="33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22"/>
          <w:szCs w:val="22"/>
          <w:color w:val="auto"/>
        </w:rPr>
        <w:t>lawsuits have been filed in Delaware challenging the enforceability of similar choice of forum provisions, and it is possible that a court could determine such provisions are not enforceable.</w:t>
      </w:r>
    </w:p>
    <w:p>
      <w:pPr>
        <w:spacing w:after="0" w:line="121" w:lineRule="exact"/>
        <w:rPr>
          <w:sz w:val="20"/>
          <w:szCs w:val="20"/>
          <w:color w:val="auto"/>
        </w:rPr>
      </w:pPr>
    </w:p>
    <w:p>
      <w:pPr>
        <w:ind w:right="400"/>
        <w:spacing w:after="0" w:line="343" w:lineRule="auto"/>
        <w:rPr>
          <w:sz w:val="20"/>
          <w:szCs w:val="20"/>
          <w:color w:val="auto"/>
        </w:rPr>
      </w:pPr>
      <w:r>
        <w:rPr>
          <w:rFonts w:ascii="Arial" w:cs="Arial" w:eastAsia="Arial" w:hAnsi="Arial"/>
          <w:sz w:val="19"/>
          <w:szCs w:val="19"/>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ectPr>
          <w:pgSz w:w="11900" w:h="16838" w:orient="portrait"/>
          <w:cols w:equalWidth="0" w:num="1">
            <w:col w:w="11180"/>
          </w:cols>
          <w:pgMar w:left="320" w:top="1428" w:right="39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 (International)</w:t>
      </w: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MongoDB,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2016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a Restricted Stock Unit Award for the number of shares of the Company’s Common Stock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in this notice of grant (this “</w:t>
      </w:r>
      <w:r>
        <w:rPr>
          <w:rFonts w:ascii="Arial" w:cs="Arial" w:eastAsia="Arial" w:hAnsi="Arial"/>
          <w:sz w:val="19"/>
          <w:szCs w:val="19"/>
          <w:b w:val="1"/>
          <w:bCs w:val="1"/>
          <w:i w:val="1"/>
          <w:iCs w:val="1"/>
          <w:color w:val="auto"/>
        </w:rPr>
        <w:t>Restricted Stock Unit Grant Notice</w:t>
      </w:r>
      <w:r>
        <w:rPr>
          <w:rFonts w:ascii="Arial" w:cs="Arial" w:eastAsia="Arial" w:hAnsi="Arial"/>
          <w:sz w:val="19"/>
          <w:szCs w:val="19"/>
          <w:color w:val="auto"/>
        </w:rPr>
        <w:t>”) and in the Plan and the Restricted Stock Unit Agreement (the “</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-14605</wp:posOffset>
            </wp:positionV>
            <wp:extent cx="125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-24765</wp:posOffset>
            </wp:positionV>
            <wp:extent cx="1257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Vesting Base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-24765</wp:posOffset>
            </wp:positionV>
            <wp:extent cx="1257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-24765</wp:posOffset>
            </wp:positionV>
            <wp:extent cx="125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[___________________]</w:t>
      </w:r>
    </w:p>
    <w:p>
      <w:pPr>
        <w:spacing w:after="0" w:line="200" w:lineRule="exact"/>
        <w:rPr>
          <w:sz w:val="20"/>
          <w:szCs w:val="20"/>
          <w:color w:val="auto"/>
        </w:rPr>
      </w:pPr>
    </w:p>
    <w:p>
      <w:pPr>
        <w:spacing w:after="0" w:line="286" w:lineRule="exact"/>
        <w:rPr>
          <w:sz w:val="20"/>
          <w:szCs w:val="20"/>
          <w:color w:val="auto"/>
        </w:rPr>
      </w:pPr>
    </w:p>
    <w:p>
      <w:pPr>
        <w:jc w:val="both"/>
        <w:ind w:left="1900" w:hanging="1943"/>
        <w:spacing w:after="0" w:line="260" w:lineRule="auto"/>
        <w:tabs>
          <w:tab w:leader="none" w:pos="188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The shares of Common Stock to be issued in respect of the Award will be issued in accordance with the issuance schedule set forth in Section 6 of the Restricted Stock Unit Agreement.</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Participant acknowledges receipt of, and understands and agrees to, this Restricted Stock Unit Grant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the Award Agreement, including any country-specific appendices,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w:t>
      </w:r>
    </w:p>
    <w:p>
      <w:pPr>
        <w:sectPr>
          <w:pgSz w:w="11900" w:h="16838" w:orient="portrait"/>
          <w:cols w:equalWidth="0" w:num="1">
            <w:col w:w="11240"/>
          </w:cols>
          <w:pgMar w:left="320" w:top="139" w:right="339" w:bottom="1440" w:gutter="0" w:footer="0" w:header="0"/>
        </w:sectPr>
      </w:pPr>
    </w:p>
    <w:bookmarkStart w:id="120" w:name="page121"/>
    <w:bookmarkEnd w:id="120"/>
    <w:p>
      <w:pPr>
        <w:spacing w:after="0"/>
        <w:tabs>
          <w:tab w:leader="none" w:pos="1480" w:val="left"/>
        </w:tabs>
        <w:rPr>
          <w:sz w:val="20"/>
          <w:szCs w:val="20"/>
          <w:color w:val="auto"/>
        </w:rPr>
      </w:pPr>
      <w:r>
        <w:rPr>
          <w:rFonts w:ascii="Arial" w:cs="Arial" w:eastAsia="Arial" w:hAnsi="Arial"/>
          <w:sz w:val="20"/>
          <w:szCs w:val="20"/>
          <w:b w:val="1"/>
          <w:bCs w:val="1"/>
          <w:color w:val="auto"/>
        </w:rPr>
        <w:t>MongoDB, Inc.</w:t>
      </w:r>
      <w:r>
        <w:rPr>
          <w:sz w:val="20"/>
          <w:szCs w:val="20"/>
          <w:color w:val="auto"/>
        </w:rPr>
        <w:tab/>
      </w:r>
      <w:r>
        <w:rPr>
          <w:rFonts w:ascii="Arial" w:cs="Arial" w:eastAsia="Arial" w:hAnsi="Arial"/>
          <w:sz w:val="18"/>
          <w:szCs w:val="18"/>
          <w:b w:val="1"/>
          <w:bCs w:val="1"/>
          <w:color w:val="auto"/>
        </w:rPr>
        <w:t>Participant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-14605</wp:posOffset>
            </wp:positionV>
            <wp:extent cx="1257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00"/>
        <w:spacing w:after="0"/>
        <w:tabs>
          <w:tab w:leader="none" w:pos="11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color w:val="auto"/>
        </w:rPr>
        <w:t>Signature</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1257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-14605</wp:posOffset>
            </wp:positionV>
            <wp:extent cx="1257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-14605</wp:posOffset>
            </wp:positionV>
            <wp:extent cx="1257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Award Agreement, 2016 Equity Incentive Plan</w:t>
      </w:r>
    </w:p>
    <w:p>
      <w:pPr>
        <w:sectPr>
          <w:pgSz w:w="11900" w:h="16838" w:orient="portrait"/>
          <w:cols w:equalWidth="0" w:num="1">
            <w:col w:w="10139"/>
          </w:cols>
          <w:pgMar w:left="320" w:top="1332"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Unit Agreement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in consideration of your services, MongoDB,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a Restricted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pursuant to Section 6 of the Company’s 2016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spacing w:after="0" w:line="190" w:lineRule="exact"/>
        <w:rPr>
          <w:sz w:val="20"/>
          <w:szCs w:val="20"/>
          <w:color w:val="auto"/>
        </w:rPr>
      </w:pPr>
    </w:p>
    <w:p>
      <w:pPr>
        <w:jc w:val="both"/>
        <w:ind w:firstLine="656"/>
        <w:spacing w:after="0" w:line="256"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Award. </w:t>
      </w:r>
      <w:r>
        <w:rPr>
          <w:rFonts w:ascii="Arial" w:cs="Arial" w:eastAsia="Arial" w:hAnsi="Arial"/>
          <w:sz w:val="19"/>
          <w:szCs w:val="19"/>
          <w:color w:val="auto"/>
        </w:rPr>
        <w:t>This Award represents the right to be issued on a future date one (1) share of Common Stock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spacing w:after="0" w:line="176" w:lineRule="exact"/>
        <w:rPr>
          <w:rFonts w:ascii="Arial" w:cs="Arial" w:eastAsia="Arial" w:hAnsi="Arial"/>
          <w:sz w:val="19"/>
          <w:szCs w:val="19"/>
          <w:b w:val="1"/>
          <w:bCs w:val="1"/>
          <w:color w:val="auto"/>
        </w:rPr>
      </w:pPr>
    </w:p>
    <w:p>
      <w:pPr>
        <w:jc w:val="both"/>
        <w:ind w:firstLine="656"/>
        <w:spacing w:after="0" w:line="246" w:lineRule="auto"/>
        <w:tabs>
          <w:tab w:leader="none" w:pos="1296"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the limitations contained herein, your Award will vest, if at all, in accordance with the vesting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84" w:lineRule="exact"/>
        <w:rPr>
          <w:rFonts w:ascii="Arial" w:cs="Arial" w:eastAsia="Arial" w:hAnsi="Arial"/>
          <w:sz w:val="20"/>
          <w:szCs w:val="20"/>
          <w:b w:val="1"/>
          <w:bCs w:val="1"/>
          <w:color w:val="auto"/>
        </w:rPr>
      </w:pPr>
    </w:p>
    <w:p>
      <w:pPr>
        <w:jc w:val="both"/>
        <w:ind w:firstLine="656"/>
        <w:spacing w:after="0" w:line="277" w:lineRule="auto"/>
        <w:tabs>
          <w:tab w:leader="none" w:pos="129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Restricted Stock Units/shares subject to your Award may be adjusted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59" w:lineRule="exact"/>
        <w:rPr>
          <w:rFonts w:ascii="Arial" w:cs="Arial" w:eastAsia="Arial" w:hAnsi="Arial"/>
          <w:sz w:val="18"/>
          <w:szCs w:val="18"/>
          <w:b w:val="1"/>
          <w:bCs w:val="1"/>
          <w:color w:val="auto"/>
        </w:rPr>
      </w:pPr>
    </w:p>
    <w:p>
      <w:pPr>
        <w:jc w:val="both"/>
        <w:ind w:firstLine="656"/>
        <w:spacing w:after="0" w:line="265"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US Securities Law Compliance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w:t>
      </w:r>
    </w:p>
    <w:p>
      <w:pPr>
        <w:sectPr>
          <w:pgSz w:w="11900" w:h="16838" w:orient="portrait"/>
          <w:cols w:equalWidth="0" w:num="1">
            <w:col w:w="11240"/>
          </w:cols>
          <w:pgMar w:left="320" w:top="1413"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Company determines that such receipt would not be in material compliance with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56"/>
        <w:spacing w:after="0" w:line="258"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Transfer Restrictions</w:t>
      </w:r>
      <w:r>
        <w:rPr>
          <w:rFonts w:ascii="Arial" w:cs="Arial" w:eastAsia="Arial" w:hAnsi="Arial"/>
          <w:sz w:val="19"/>
          <w:szCs w:val="19"/>
          <w:color w:val="auto"/>
        </w:rPr>
        <w:t>. Prior to the time that shares of Common Stock have been delivered to you, you may not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173" w:lineRule="exact"/>
        <w:rPr>
          <w:rFonts w:ascii="Arial" w:cs="Arial" w:eastAsia="Arial" w:hAnsi="Arial"/>
          <w:sz w:val="19"/>
          <w:szCs w:val="19"/>
          <w:b w:val="1"/>
          <w:bCs w:val="1"/>
          <w:color w:val="auto"/>
        </w:rPr>
      </w:pPr>
    </w:p>
    <w:p>
      <w:pPr>
        <w:jc w:val="both"/>
        <w:ind w:firstLine="1304"/>
        <w:spacing w:after="0" w:line="253" w:lineRule="auto"/>
        <w:tabs>
          <w:tab w:leader="none" w:pos="1934" w:val="left"/>
        </w:tabs>
        <w:numPr>
          <w:ilvl w:val="1"/>
          <w:numId w:val="44"/>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 vesting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Award will cease and your executor or administrator of your estate will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color w:val="auto"/>
        </w:rPr>
      </w:pPr>
    </w:p>
    <w:p>
      <w:pPr>
        <w:jc w:val="both"/>
        <w:ind w:firstLine="1304"/>
        <w:spacing w:after="0" w:line="275" w:lineRule="auto"/>
        <w:tabs>
          <w:tab w:leader="none" w:pos="1932"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221" w:lineRule="exact"/>
        <w:rPr>
          <w:rFonts w:ascii="Arial" w:cs="Arial" w:eastAsia="Arial" w:hAnsi="Arial"/>
          <w:sz w:val="20"/>
          <w:szCs w:val="20"/>
          <w:b w:val="1"/>
          <w:bCs w:val="1"/>
          <w:color w:val="auto"/>
        </w:rPr>
      </w:pPr>
    </w:p>
    <w:p>
      <w:pPr>
        <w:jc w:val="both"/>
        <w:ind w:firstLine="1304"/>
        <w:spacing w:after="0" w:line="243" w:lineRule="auto"/>
        <w:tabs>
          <w:tab w:leader="none" w:pos="1934"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20"/>
          <w:szCs w:val="20"/>
          <w:b w:val="1"/>
          <w:bCs w:val="1"/>
          <w:i w:val="1"/>
          <w:iCs w:val="1"/>
          <w:color w:val="auto"/>
        </w:rPr>
        <w:t>Original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Issuance Date</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firstLine="1304"/>
        <w:spacing w:after="0" w:line="260" w:lineRule="auto"/>
        <w:tabs>
          <w:tab w:leader="none" w:pos="1932" w:val="left"/>
        </w:tabs>
        <w:numPr>
          <w:ilvl w:val="1"/>
          <w:numId w:val="44"/>
        </w:numPr>
        <w:rPr>
          <w:rFonts w:ascii="Arial" w:cs="Arial" w:eastAsia="Arial" w:hAnsi="Arial"/>
          <w:sz w:val="20"/>
          <w:szCs w:val="20"/>
          <w:color w:val="auto"/>
        </w:rPr>
      </w:pPr>
      <w:r>
        <w:rPr>
          <w:rFonts w:ascii="Arial" w:cs="Arial" w:eastAsia="Arial" w:hAnsi="Arial"/>
          <w:sz w:val="20"/>
          <w:szCs w:val="20"/>
          <w:color w:val="auto"/>
        </w:rPr>
        <w:t>If the Original Issuance Date falls on a date that is not a business day, delivery will instead occur on the next following business day. In addition, if:</w:t>
      </w:r>
    </w:p>
    <w:p>
      <w:pPr>
        <w:spacing w:after="0" w:line="180" w:lineRule="exact"/>
        <w:rPr>
          <w:sz w:val="20"/>
          <w:szCs w:val="20"/>
          <w:color w:val="auto"/>
        </w:rPr>
      </w:pPr>
    </w:p>
    <w:p>
      <w:pPr>
        <w:jc w:val="both"/>
        <w:ind w:firstLine="1740"/>
        <w:spacing w:after="0" w:line="263"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18"/>
          <w:szCs w:val="18"/>
          <w:color w:val="auto"/>
        </w:rPr>
        <w:t>the Original Issuance Date does not occur (1) during an “open window period” applicable to you, as determined by</w:t>
      </w:r>
      <w:r>
        <w:rPr>
          <w:rFonts w:ascii="Arial" w:cs="Arial" w:eastAsia="Arial" w:hAnsi="Arial"/>
          <w:sz w:val="21"/>
          <w:szCs w:val="21"/>
          <w:b w:val="1"/>
          <w:bCs w:val="1"/>
          <w:color w:val="auto"/>
        </w:rPr>
        <w:t xml:space="preserve"> </w:t>
      </w:r>
      <w:r>
        <w:rPr>
          <w:rFonts w:ascii="Arial" w:cs="Arial" w:eastAsia="Arial" w:hAnsi="Arial"/>
          <w:sz w:val="18"/>
          <w:szCs w:val="18"/>
          <w:color w:val="auto"/>
        </w:rPr>
        <w:t>the Company in accordance with the Company’s then-effective policy on trading in Company securities, or (2) on a date when you are otherwise permitted to sell shares of Common Stock on an established stock exchange or stock market (including but not limited to under a</w:t>
      </w:r>
    </w:p>
    <w:p>
      <w:pPr>
        <w:sectPr>
          <w:pgSz w:w="11900" w:h="16838" w:orient="portrait"/>
          <w:cols w:equalWidth="0" w:num="1">
            <w:col w:w="11240"/>
          </w:cols>
          <w:pgMar w:left="320" w:top="1419" w:right="339" w:bottom="1440" w:gutter="0" w:footer="0" w:header="0"/>
        </w:sectPr>
      </w:pPr>
    </w:p>
    <w:bookmarkStart w:id="123" w:name="page124"/>
    <w:bookmarkEnd w:id="123"/>
    <w:p>
      <w:pPr>
        <w:jc w:val="both"/>
        <w:ind w:right="20"/>
        <w:spacing w:after="0" w:line="260" w:lineRule="auto"/>
        <w:rPr>
          <w:sz w:val="20"/>
          <w:szCs w:val="20"/>
          <w:color w:val="auto"/>
        </w:rPr>
      </w:pPr>
      <w:r>
        <w:rPr>
          <w:rFonts w:ascii="Arial" w:cs="Arial" w:eastAsia="Arial" w:hAnsi="Arial"/>
          <w:sz w:val="20"/>
          <w:szCs w:val="20"/>
          <w:color w:val="auto"/>
        </w:rPr>
        <w:t>previously established written trading plan that meets the requirements of Rule 10b5-1 under the Exchange Act and was entered into in compliance with the Company’s policies (a “</w:t>
      </w:r>
      <w:r>
        <w:rPr>
          <w:rFonts w:ascii="Arial" w:cs="Arial" w:eastAsia="Arial" w:hAnsi="Arial"/>
          <w:sz w:val="20"/>
          <w:szCs w:val="20"/>
          <w:b w:val="1"/>
          <w:bCs w:val="1"/>
          <w:i w:val="1"/>
          <w:iCs w:val="1"/>
          <w:color w:val="auto"/>
        </w:rPr>
        <w:t>10b5-1 Plan</w:t>
      </w:r>
      <w:r>
        <w:rPr>
          <w:rFonts w:ascii="Arial" w:cs="Arial" w:eastAsia="Arial" w:hAnsi="Arial"/>
          <w:sz w:val="20"/>
          <w:szCs w:val="20"/>
          <w:color w:val="auto"/>
        </w:rPr>
        <w:t xml:space="preserve">”)), </w:t>
      </w:r>
      <w:r>
        <w:rPr>
          <w:rFonts w:ascii="Arial" w:cs="Arial" w:eastAsia="Arial" w:hAnsi="Arial"/>
          <w:sz w:val="20"/>
          <w:szCs w:val="20"/>
          <w:i w:val="1"/>
          <w:iCs w:val="1"/>
          <w:color w:val="auto"/>
        </w:rPr>
        <w:t>and</w:t>
      </w:r>
    </w:p>
    <w:p>
      <w:pPr>
        <w:spacing w:after="0" w:line="180" w:lineRule="exact"/>
        <w:rPr>
          <w:sz w:val="20"/>
          <w:szCs w:val="20"/>
          <w:color w:val="auto"/>
        </w:rPr>
      </w:pPr>
    </w:p>
    <w:p>
      <w:pPr>
        <w:jc w:val="both"/>
        <w:ind w:firstLine="1680"/>
        <w:spacing w:after="0" w:line="247" w:lineRule="auto"/>
        <w:rPr>
          <w:sz w:val="20"/>
          <w:szCs w:val="20"/>
          <w:color w:val="auto"/>
        </w:rPr>
      </w:pPr>
      <w:r>
        <w:rPr>
          <w:rFonts w:ascii="Arial" w:cs="Arial" w:eastAsia="Arial" w:hAnsi="Arial"/>
          <w:sz w:val="22"/>
          <w:szCs w:val="22"/>
          <w:b w:val="1"/>
          <w:bCs w:val="1"/>
          <w:color w:val="auto"/>
        </w:rPr>
        <w:t>(ii)</w:t>
      </w:r>
      <w:r>
        <w:rPr>
          <w:rFonts w:ascii="Arial" w:cs="Arial" w:eastAsia="Arial" w:hAnsi="Arial"/>
          <w:sz w:val="19"/>
          <w:szCs w:val="19"/>
          <w:color w:val="auto"/>
        </w:rPr>
        <w:t>either (1) Withholding Taxes do not apply, or (2) the Company decides, prior to the Original Issuance Date, (A) not</w:t>
      </w:r>
      <w:r>
        <w:rPr>
          <w:rFonts w:ascii="Arial" w:cs="Arial" w:eastAsia="Arial" w:hAnsi="Arial"/>
          <w:sz w:val="22"/>
          <w:szCs w:val="22"/>
          <w:b w:val="1"/>
          <w:bCs w:val="1"/>
          <w:color w:val="auto"/>
        </w:rPr>
        <w:t xml:space="preserve"> </w:t>
      </w:r>
      <w:r>
        <w:rPr>
          <w:rFonts w:ascii="Arial" w:cs="Arial" w:eastAsia="Arial" w:hAnsi="Arial"/>
          <w:sz w:val="19"/>
          <w:szCs w:val="19"/>
          <w:color w:val="auto"/>
        </w:rPr>
        <w:t>to satisfy the Withholding Taxes by withholding shares of Common Stock from the shares otherwise due, on the Original Issuance Date, to you under this Award,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5" w:lineRule="exact"/>
        <w:rPr>
          <w:sz w:val="20"/>
          <w:szCs w:val="20"/>
          <w:color w:val="auto"/>
        </w:rPr>
      </w:pPr>
    </w:p>
    <w:p>
      <w:pPr>
        <w:ind w:right="20" w:firstLine="1304"/>
        <w:spacing w:after="0" w:line="260" w:lineRule="auto"/>
        <w:tabs>
          <w:tab w:leader="none" w:pos="1934"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form of delivery of the shares of Common Stock in respect of your Award (</w:t>
      </w:r>
      <w:r>
        <w:rPr>
          <w:rFonts w:ascii="Arial" w:cs="Arial" w:eastAsia="Arial" w:hAnsi="Arial"/>
          <w:sz w:val="20"/>
          <w:szCs w:val="20"/>
          <w:i w:val="1"/>
          <w:iCs w:val="1"/>
          <w:color w:val="auto"/>
        </w:rPr>
        <w:t>e.g.</w:t>
      </w:r>
      <w:r>
        <w:rPr>
          <w:rFonts w:ascii="Arial" w:cs="Arial" w:eastAsia="Arial" w:hAnsi="Arial"/>
          <w:sz w:val="20"/>
          <w:szCs w:val="20"/>
          <w:color w:val="auto"/>
        </w:rPr>
        <w:t>, a stock certificate or electronic entry evidencing such shares) will be determined by the Company.</w:t>
      </w:r>
    </w:p>
    <w:p>
      <w:pPr>
        <w:spacing w:after="0" w:line="170" w:lineRule="exact"/>
        <w:rPr>
          <w:rFonts w:ascii="Arial" w:cs="Arial" w:eastAsia="Arial" w:hAnsi="Arial"/>
          <w:sz w:val="20"/>
          <w:szCs w:val="20"/>
          <w:color w:val="auto"/>
        </w:rPr>
      </w:pPr>
    </w:p>
    <w:p>
      <w:pPr>
        <w:jc w:val="both"/>
        <w:ind w:firstLine="656"/>
        <w:spacing w:after="0" w:line="294" w:lineRule="auto"/>
        <w:tabs>
          <w:tab w:leader="none" w:pos="129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will receive no benefit or adjustment to your Award with respect to any cash dividend, stock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43" w:lineRule="exact"/>
        <w:rPr>
          <w:rFonts w:ascii="Arial" w:cs="Arial" w:eastAsia="Arial" w:hAnsi="Arial"/>
          <w:sz w:val="18"/>
          <w:szCs w:val="18"/>
          <w:b w:val="1"/>
          <w:bCs w:val="1"/>
          <w:color w:val="auto"/>
        </w:rPr>
      </w:pPr>
    </w:p>
    <w:p>
      <w:pPr>
        <w:ind w:firstLine="656"/>
        <w:spacing w:after="0" w:line="267" w:lineRule="auto"/>
        <w:tabs>
          <w:tab w:leader="none" w:pos="1296"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Legends. </w:t>
      </w:r>
      <w:r>
        <w:rPr>
          <w:rFonts w:ascii="Arial" w:cs="Arial" w:eastAsia="Arial" w:hAnsi="Arial"/>
          <w:sz w:val="20"/>
          <w:szCs w:val="20"/>
          <w:color w:val="auto"/>
        </w:rPr>
        <w:t>The shares of Common Stock issued under your Award will be endorsed with appropriate legends as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Company.</w:t>
      </w:r>
    </w:p>
    <w:p>
      <w:pPr>
        <w:spacing w:after="0" w:line="163" w:lineRule="exact"/>
        <w:rPr>
          <w:rFonts w:ascii="Arial" w:cs="Arial" w:eastAsia="Arial" w:hAnsi="Arial"/>
          <w:sz w:val="20"/>
          <w:szCs w:val="20"/>
          <w:b w:val="1"/>
          <w:bCs w:val="1"/>
          <w:color w:val="auto"/>
        </w:rPr>
      </w:pPr>
    </w:p>
    <w:p>
      <w:pPr>
        <w:jc w:val="both"/>
        <w:ind w:firstLine="656"/>
        <w:spacing w:after="0" w:line="248" w:lineRule="auto"/>
        <w:tabs>
          <w:tab w:leader="none" w:pos="1296"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Execution of Documents.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183" w:lineRule="exact"/>
        <w:rPr>
          <w:rFonts w:ascii="Arial" w:cs="Arial" w:eastAsia="Arial" w:hAnsi="Arial"/>
          <w:sz w:val="20"/>
          <w:szCs w:val="20"/>
          <w:b w:val="1"/>
          <w:bCs w:val="1"/>
          <w:color w:val="auto"/>
        </w:rPr>
      </w:pPr>
    </w:p>
    <w:p>
      <w:pPr>
        <w:ind w:left="1300" w:hanging="644"/>
        <w:spacing w:after="0"/>
        <w:tabs>
          <w:tab w:leader="none" w:pos="13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57" w:lineRule="auto"/>
        <w:tabs>
          <w:tab w:leader="none" w:pos="1934" w:val="left"/>
        </w:tabs>
        <w:numPr>
          <w:ilvl w:val="1"/>
          <w:numId w:val="46"/>
        </w:numPr>
        <w:rPr>
          <w:rFonts w:ascii="Arial" w:cs="Arial" w:eastAsia="Arial" w:hAnsi="Arial"/>
          <w:sz w:val="19"/>
          <w:szCs w:val="19"/>
          <w:color w:val="auto"/>
        </w:rPr>
      </w:pPr>
      <w:r>
        <w:rPr>
          <w:rFonts w:ascii="Arial" w:cs="Arial" w:eastAsia="Arial" w:hAnsi="Arial"/>
          <w:sz w:val="19"/>
          <w:szCs w:val="19"/>
          <w:color w:val="auto"/>
        </w:rPr>
        <w:t>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w:t>
      </w:r>
    </w:p>
    <w:p>
      <w:pPr>
        <w:sectPr>
          <w:pgSz w:w="11900" w:h="16838" w:orient="portrait"/>
          <w:cols w:equalWidth="0" w:num="1">
            <w:col w:w="11240"/>
          </w:cols>
          <w:pgMar w:left="320" w:top="1419" w:right="339" w:bottom="1440" w:gutter="0" w:footer="0" w:header="0"/>
        </w:sectPr>
      </w:pPr>
    </w:p>
    <w:bookmarkStart w:id="124" w:name="page125"/>
    <w:bookmarkEnd w:id="124"/>
    <w:p>
      <w:pPr>
        <w:jc w:val="both"/>
        <w:spacing w:after="0" w:line="250" w:lineRule="auto"/>
        <w:rPr>
          <w:sz w:val="20"/>
          <w:szCs w:val="20"/>
          <w:color w:val="auto"/>
        </w:rPr>
      </w:pPr>
      <w:r>
        <w:rPr>
          <w:rFonts w:ascii="Arial" w:cs="Arial" w:eastAsia="Arial" w:hAnsi="Arial"/>
          <w:sz w:val="20"/>
          <w:szCs w:val="20"/>
          <w:color w:val="auto"/>
        </w:rPr>
        <w:t>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w:t>
      </w:r>
    </w:p>
    <w:p>
      <w:pPr>
        <w:spacing w:after="0" w:line="186" w:lineRule="exact"/>
        <w:rPr>
          <w:sz w:val="20"/>
          <w:szCs w:val="20"/>
          <w:color w:val="auto"/>
        </w:rPr>
      </w:pPr>
    </w:p>
    <w:p>
      <w:pPr>
        <w:jc w:val="both"/>
        <w:ind w:firstLine="1304"/>
        <w:spacing w:after="0" w:line="271" w:lineRule="auto"/>
        <w:tabs>
          <w:tab w:leader="none" w:pos="19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w:t>
      </w:r>
    </w:p>
    <w:p>
      <w:pPr>
        <w:spacing w:after="0" w:line="163" w:lineRule="exact"/>
        <w:rPr>
          <w:rFonts w:ascii="Arial" w:cs="Arial" w:eastAsia="Arial" w:hAnsi="Arial"/>
          <w:sz w:val="18"/>
          <w:szCs w:val="18"/>
          <w:color w:val="auto"/>
        </w:rPr>
      </w:pPr>
    </w:p>
    <w:p>
      <w:pPr>
        <w:ind w:left="1280" w:hanging="624"/>
        <w:spacing w:after="0"/>
        <w:tabs>
          <w:tab w:leader="none" w:pos="12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Obligations.</w:t>
      </w:r>
    </w:p>
    <w:p>
      <w:pPr>
        <w:spacing w:after="0" w:line="221" w:lineRule="exact"/>
        <w:rPr>
          <w:rFonts w:ascii="Arial" w:cs="Arial" w:eastAsia="Arial" w:hAnsi="Arial"/>
          <w:sz w:val="20"/>
          <w:szCs w:val="20"/>
          <w:b w:val="1"/>
          <w:bCs w:val="1"/>
          <w:color w:val="auto"/>
        </w:rPr>
      </w:pPr>
    </w:p>
    <w:p>
      <w:pPr>
        <w:jc w:val="both"/>
        <w:ind w:firstLine="1304"/>
        <w:spacing w:after="0" w:line="268" w:lineRule="auto"/>
        <w:tabs>
          <w:tab w:leader="none" w:pos="1934" w:val="left"/>
        </w:tabs>
        <w:numPr>
          <w:ilvl w:val="1"/>
          <w:numId w:val="48"/>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xml:space="preserve">”)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w:t>
      </w:r>
    </w:p>
    <w:p>
      <w:pPr>
        <w:sectPr>
          <w:pgSz w:w="11900" w:h="16838" w:orient="portrait"/>
          <w:cols w:equalWidth="0" w:num="1">
            <w:col w:w="11240"/>
          </w:cols>
          <w:pgMar w:left="320" w:top="1419" w:right="3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preceding provisions and in all circumstances you remain responsible for timely and fully satisfying the Withholding Taxes.</w:t>
      </w:r>
    </w:p>
    <w:p>
      <w:pPr>
        <w:spacing w:after="0" w:line="216" w:lineRule="exact"/>
        <w:rPr>
          <w:sz w:val="20"/>
          <w:szCs w:val="20"/>
          <w:color w:val="auto"/>
        </w:rPr>
      </w:pPr>
    </w:p>
    <w:p>
      <w:pPr>
        <w:ind w:firstLine="1304"/>
        <w:spacing w:after="0" w:line="260" w:lineRule="auto"/>
        <w:tabs>
          <w:tab w:leader="none" w:pos="1932" w:val="left"/>
        </w:tabs>
        <w:numPr>
          <w:ilvl w:val="1"/>
          <w:numId w:val="49"/>
        </w:numPr>
        <w:rPr>
          <w:rFonts w:ascii="Arial" w:cs="Arial" w:eastAsia="Arial" w:hAnsi="Arial"/>
          <w:sz w:val="20"/>
          <w:szCs w:val="20"/>
          <w:color w:val="auto"/>
        </w:rPr>
      </w:pPr>
      <w:r>
        <w:rPr>
          <w:rFonts w:ascii="Arial" w:cs="Arial" w:eastAsia="Arial" w:hAnsi="Arial"/>
          <w:sz w:val="20"/>
          <w:szCs w:val="20"/>
          <w:color w:val="auto"/>
        </w:rPr>
        <w:t>Unless the tax withholding obligations of the Company and any Affiliate are satisfied, the Company will have no obligation to deliver to you any Common Stock or other consideration pursuant to this Award.</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34" w:val="left"/>
        </w:tabs>
        <w:numPr>
          <w:ilvl w:val="1"/>
          <w:numId w:val="49"/>
        </w:numPr>
        <w:rPr>
          <w:rFonts w:ascii="Arial" w:cs="Arial" w:eastAsia="Arial" w:hAnsi="Arial"/>
          <w:sz w:val="20"/>
          <w:szCs w:val="20"/>
          <w:color w:val="auto"/>
        </w:rPr>
      </w:pPr>
      <w:r>
        <w:rPr>
          <w:rFonts w:ascii="Arial" w:cs="Arial" w:eastAsia="Arial" w:hAnsi="Arial"/>
          <w:sz w:val="20"/>
          <w:szCs w:val="20"/>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4" w:lineRule="exact"/>
        <w:rPr>
          <w:rFonts w:ascii="Arial" w:cs="Arial" w:eastAsia="Arial" w:hAnsi="Arial"/>
          <w:sz w:val="20"/>
          <w:szCs w:val="20"/>
          <w:color w:val="auto"/>
        </w:rPr>
      </w:pPr>
    </w:p>
    <w:p>
      <w:pPr>
        <w:jc w:val="both"/>
        <w:ind w:firstLine="656"/>
        <w:spacing w:after="0" w:line="280" w:lineRule="auto"/>
        <w:tabs>
          <w:tab w:leader="none" w:pos="128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Company has no duty or obligation to minimize the tax consequences to you of this Award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5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right="3820"/>
        <w:spacing w:after="0" w:line="464" w:lineRule="auto"/>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 xml:space="preserve">The following provisions shall apply to you if you reside in the EU or EEA. </w:t>
      </w:r>
      <w:r>
        <w:rPr>
          <w:rFonts w:ascii="Arial" w:cs="Arial" w:eastAsia="Arial" w:hAnsi="Arial"/>
          <w:sz w:val="20"/>
          <w:szCs w:val="20"/>
          <w:i w:val="1"/>
          <w:iCs w:val="1"/>
          <w:color w:val="auto"/>
        </w:rPr>
        <w:t>Data Collected and Purposes of Collection</w:t>
      </w:r>
    </w:p>
    <w:p>
      <w:pPr>
        <w:spacing w:after="0" w:line="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Transfers and Retention of Data</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You understand that your employer will transfer Data to the Company for purposes of plan administration. The Company and your employer may also transfer your Data to other service</w:t>
      </w:r>
    </w:p>
    <w:p>
      <w:pPr>
        <w:sectPr>
          <w:pgSz w:w="11900" w:h="16838" w:orient="portrait"/>
          <w:cols w:equalWidth="0" w:num="1">
            <w:col w:w="11240"/>
          </w:cols>
          <w:pgMar w:left="320" w:top="1419" w:right="339" w:bottom="1440" w:gutter="0" w:footer="0" w:header="0"/>
        </w:sectPr>
      </w:pPr>
    </w:p>
    <w:bookmarkStart w:id="126" w:name="page127"/>
    <w:bookmarkEnd w:id="126"/>
    <w:p>
      <w:pPr>
        <w:jc w:val="both"/>
        <w:spacing w:after="0" w:line="257" w:lineRule="auto"/>
        <w:rPr>
          <w:sz w:val="20"/>
          <w:szCs w:val="20"/>
          <w:color w:val="auto"/>
        </w:rPr>
      </w:pPr>
      <w:r>
        <w:rPr>
          <w:rFonts w:ascii="Arial" w:cs="Arial" w:eastAsia="Arial" w:hAnsi="Arial"/>
          <w:sz w:val="19"/>
          <w:szCs w:val="19"/>
          <w:color w:val="auto"/>
        </w:rPr>
        <w:t>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The Participant’s Rights in Respect of Data</w:t>
      </w:r>
    </w:p>
    <w:p>
      <w:pPr>
        <w:spacing w:after="0" w:line="21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b w:val="1"/>
          <w:bCs w:val="1"/>
          <w:i w:val="1"/>
          <w:iCs w:val="1"/>
          <w:u w:val="single" w:color="auto"/>
          <w:color w:val="auto"/>
        </w:rPr>
        <w:t>The following provisions shall apply to you if you reside outside the US and EU/EEA.</w:t>
      </w:r>
    </w:p>
    <w:p>
      <w:pPr>
        <w:spacing w:after="0" w:line="216"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6"/>
          <w:szCs w:val="16"/>
          <w:color w:val="auto"/>
        </w:rPr>
        <w:t>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w:t>
      </w:r>
    </w:p>
    <w:p>
      <w:pPr>
        <w:sectPr>
          <w:pgSz w:w="11900" w:h="16838" w:orient="portrait"/>
          <w:cols w:equalWidth="0" w:num="1">
            <w:col w:w="11240"/>
          </w:cols>
          <w:pgMar w:left="320" w:top="1419" w:right="339" w:bottom="1440" w:gutter="0" w:footer="0" w:header="0"/>
        </w:sectPr>
      </w:pPr>
    </w:p>
    <w:bookmarkStart w:id="127" w:name="page128"/>
    <w:bookmarkEnd w:id="127"/>
    <w:p>
      <w:pPr>
        <w:jc w:val="both"/>
        <w:spacing w:after="0" w:line="269" w:lineRule="auto"/>
        <w:rPr>
          <w:sz w:val="20"/>
          <w:szCs w:val="20"/>
          <w:color w:val="auto"/>
        </w:rPr>
      </w:pPr>
      <w:r>
        <w:rPr>
          <w:rFonts w:ascii="Arial" w:cs="Arial" w:eastAsia="Arial" w:hAnsi="Arial"/>
          <w:sz w:val="18"/>
          <w:szCs w:val="18"/>
          <w:color w:val="auto"/>
        </w:rPr>
        <w:t>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w:t>
      </w:r>
    </w:p>
    <w:p>
      <w:pPr>
        <w:spacing w:after="0" w:line="175" w:lineRule="exact"/>
        <w:rPr>
          <w:sz w:val="20"/>
          <w:szCs w:val="20"/>
          <w:color w:val="auto"/>
        </w:rPr>
      </w:pPr>
    </w:p>
    <w:p>
      <w:pPr>
        <w:jc w:val="both"/>
        <w:ind w:firstLine="656"/>
        <w:spacing w:after="0" w:line="244" w:lineRule="auto"/>
        <w:tabs>
          <w:tab w:leader="none" w:pos="128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Unsecured Obligation. </w:t>
      </w:r>
      <w:r>
        <w:rPr>
          <w:rFonts w:ascii="Arial" w:cs="Arial" w:eastAsia="Arial" w:hAnsi="Arial"/>
          <w:sz w:val="20"/>
          <w:szCs w:val="20"/>
          <w:color w:val="auto"/>
        </w:rPr>
        <w:t>Your Award is unfunded, and as a holder of a vested Award, you will be considered an unsecured</w:t>
      </w:r>
      <w:r>
        <w:rPr>
          <w:rFonts w:ascii="Arial" w:cs="Arial" w:eastAsia="Arial" w:hAnsi="Arial"/>
          <w:sz w:val="20"/>
          <w:szCs w:val="20"/>
          <w:b w:val="1"/>
          <w:bCs w:val="1"/>
          <w:color w:val="auto"/>
        </w:rPr>
        <w:t xml:space="preserve"> </w:t>
      </w:r>
      <w:r>
        <w:rPr>
          <w:rFonts w:ascii="Arial" w:cs="Arial" w:eastAsia="Arial" w:hAnsi="Arial"/>
          <w:sz w:val="20"/>
          <w:szCs w:val="20"/>
          <w:color w:val="auto"/>
        </w:rPr>
        <w:t>creditor 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128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request required or permitted hereunder will be given in writing to each of the other parties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83" w:lineRule="exact"/>
        <w:rPr>
          <w:rFonts w:ascii="Arial" w:cs="Arial" w:eastAsia="Arial" w:hAnsi="Arial"/>
          <w:sz w:val="18"/>
          <w:szCs w:val="18"/>
          <w:b w:val="1"/>
          <w:bCs w:val="1"/>
          <w:color w:val="auto"/>
        </w:rPr>
      </w:pPr>
    </w:p>
    <w:p>
      <w:pPr>
        <w:ind w:firstLine="656"/>
        <w:spacing w:after="0" w:line="267" w:lineRule="auto"/>
        <w:tabs>
          <w:tab w:leader="none" w:pos="128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The headings of the Sections in this Award Agreement are inserted for convenience only and will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Award Agreement or to affect the meaning of this Award Agreement.</w:t>
      </w:r>
    </w:p>
    <w:p>
      <w:pPr>
        <w:spacing w:after="0" w:line="190" w:lineRule="exact"/>
        <w:rPr>
          <w:rFonts w:ascii="Arial" w:cs="Arial" w:eastAsia="Arial" w:hAnsi="Arial"/>
          <w:sz w:val="20"/>
          <w:szCs w:val="20"/>
          <w:b w:val="1"/>
          <w:bCs w:val="1"/>
          <w:color w:val="auto"/>
        </w:rPr>
      </w:pPr>
    </w:p>
    <w:p>
      <w:pPr>
        <w:ind w:left="1300" w:hanging="644"/>
        <w:spacing w:after="0"/>
        <w:tabs>
          <w:tab w:leader="none" w:pos="130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Acknowledgements. </w:t>
      </w:r>
      <w:r>
        <w:rPr>
          <w:rFonts w:ascii="Arial" w:cs="Arial" w:eastAsia="Arial" w:hAnsi="Arial"/>
          <w:sz w:val="20"/>
          <w:szCs w:val="20"/>
          <w:color w:val="auto"/>
        </w:rPr>
        <w:t>You hereby consent and acknowledge that:</w:t>
      </w:r>
    </w:p>
    <w:p>
      <w:pPr>
        <w:spacing w:after="0" w:line="221" w:lineRule="exact"/>
        <w:rPr>
          <w:rFonts w:ascii="Arial" w:cs="Arial" w:eastAsia="Arial" w:hAnsi="Arial"/>
          <w:sz w:val="20"/>
          <w:szCs w:val="20"/>
          <w:b w:val="1"/>
          <w:bCs w:val="1"/>
          <w:color w:val="auto"/>
        </w:rPr>
      </w:pPr>
    </w:p>
    <w:p>
      <w:pPr>
        <w:jc w:val="both"/>
        <w:ind w:firstLine="1304"/>
        <w:spacing w:after="0" w:line="244" w:lineRule="auto"/>
        <w:tabs>
          <w:tab w:leader="none" w:pos="1934" w:val="left"/>
        </w:tabs>
        <w:numPr>
          <w:ilvl w:val="1"/>
          <w:numId w:val="51"/>
        </w:numPr>
        <w:rPr>
          <w:rFonts w:ascii="Arial" w:cs="Arial" w:eastAsia="Arial" w:hAnsi="Arial"/>
          <w:sz w:val="20"/>
          <w:szCs w:val="20"/>
          <w:color w:val="auto"/>
        </w:rPr>
      </w:pPr>
      <w:r>
        <w:rPr>
          <w:rFonts w:ascii="Arial" w:cs="Arial" w:eastAsia="Arial" w:hAnsi="Arial"/>
          <w:sz w:val="20"/>
          <w:szCs w:val="20"/>
          <w:color w:val="auto"/>
        </w:rPr>
        <w:t>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w:t>
      </w:r>
    </w:p>
    <w:p>
      <w:pPr>
        <w:sectPr>
          <w:pgSz w:w="11900" w:h="16838" w:orient="portrait"/>
          <w:cols w:equalWidth="0" w:num="1">
            <w:col w:w="11240"/>
          </w:cols>
          <w:pgMar w:left="320" w:top="1419"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are made, the size of such awards and performance and other conditions applied to the awards, will be at the sole discretion of the Company.</w:t>
      </w:r>
    </w:p>
    <w:p>
      <w:pPr>
        <w:spacing w:after="0" w:line="262" w:lineRule="exact"/>
        <w:rPr>
          <w:sz w:val="20"/>
          <w:szCs w:val="20"/>
          <w:color w:val="auto"/>
        </w:rPr>
      </w:pPr>
    </w:p>
    <w:p>
      <w:pPr>
        <w:jc w:val="both"/>
        <w:ind w:firstLine="1304"/>
        <w:spacing w:after="0" w:line="246" w:lineRule="auto"/>
        <w:tabs>
          <w:tab w:leader="none" w:pos="193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34"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85" w:lineRule="exact"/>
        <w:rPr>
          <w:rFonts w:ascii="Arial" w:cs="Arial" w:eastAsia="Arial" w:hAnsi="Arial"/>
          <w:sz w:val="20"/>
          <w:szCs w:val="20"/>
          <w:color w:val="auto"/>
        </w:rPr>
      </w:pPr>
    </w:p>
    <w:p>
      <w:pPr>
        <w:ind w:right="20" w:firstLine="1304"/>
        <w:spacing w:after="0" w:line="260" w:lineRule="auto"/>
        <w:tabs>
          <w:tab w:leader="none" w:pos="1932" w:val="left"/>
        </w:tabs>
        <w:numPr>
          <w:ilvl w:val="1"/>
          <w:numId w:val="52"/>
        </w:numPr>
        <w:rPr>
          <w:rFonts w:ascii="Arial" w:cs="Arial" w:eastAsia="Arial" w:hAnsi="Arial"/>
          <w:sz w:val="20"/>
          <w:szCs w:val="20"/>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color w:val="auto"/>
        </w:rPr>
      </w:pPr>
    </w:p>
    <w:p>
      <w:pPr>
        <w:ind w:firstLine="1304"/>
        <w:spacing w:after="0" w:line="260" w:lineRule="auto"/>
        <w:tabs>
          <w:tab w:leader="none" w:pos="1934" w:val="left"/>
        </w:tabs>
        <w:numPr>
          <w:ilvl w:val="1"/>
          <w:numId w:val="52"/>
        </w:numPr>
        <w:rPr>
          <w:rFonts w:ascii="Arial" w:cs="Arial" w:eastAsia="Arial" w:hAnsi="Arial"/>
          <w:sz w:val="20"/>
          <w:szCs w:val="20"/>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6" w:lineRule="exact"/>
        <w:rPr>
          <w:rFonts w:ascii="Arial" w:cs="Arial" w:eastAsia="Arial" w:hAnsi="Arial"/>
          <w:sz w:val="20"/>
          <w:szCs w:val="20"/>
          <w:color w:val="auto"/>
        </w:rPr>
      </w:pPr>
    </w:p>
    <w:p>
      <w:pPr>
        <w:ind w:firstLine="1304"/>
        <w:spacing w:after="0" w:line="260" w:lineRule="auto"/>
        <w:tabs>
          <w:tab w:leader="none" w:pos="1939"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This Award Agreement will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2"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9" w:lineRule="exact"/>
        <w:rPr>
          <w:rFonts w:ascii="Arial" w:cs="Arial" w:eastAsia="Arial" w:hAnsi="Arial"/>
          <w:sz w:val="20"/>
          <w:szCs w:val="20"/>
          <w:color w:val="auto"/>
        </w:rPr>
      </w:pPr>
    </w:p>
    <w:p>
      <w:pPr>
        <w:jc w:val="both"/>
        <w:ind w:firstLine="656"/>
        <w:spacing w:after="0" w:line="275" w:lineRule="auto"/>
        <w:tabs>
          <w:tab w:leader="none" w:pos="128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62" w:lineRule="exact"/>
        <w:rPr>
          <w:rFonts w:ascii="Arial" w:cs="Arial" w:eastAsia="Arial" w:hAnsi="Arial"/>
          <w:sz w:val="18"/>
          <w:szCs w:val="18"/>
          <w:b w:val="1"/>
          <w:bCs w:val="1"/>
          <w:color w:val="auto"/>
        </w:rPr>
      </w:pPr>
    </w:p>
    <w:p>
      <w:pPr>
        <w:jc w:val="both"/>
        <w:ind w:firstLine="656"/>
        <w:spacing w:after="0" w:line="265" w:lineRule="auto"/>
        <w:tabs>
          <w:tab w:leader="none" w:pos="1287"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on Other Employee Benefit Plans. </w:t>
      </w:r>
      <w:r>
        <w:rPr>
          <w:rFonts w:ascii="Arial" w:cs="Arial" w:eastAsia="Arial" w:hAnsi="Arial"/>
          <w:sz w:val="19"/>
          <w:szCs w:val="19"/>
          <w:color w:val="auto"/>
        </w:rPr>
        <w:t>The value of the Award subject to this Award Agreement will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69" w:lineRule="exact"/>
        <w:rPr>
          <w:rFonts w:ascii="Arial" w:cs="Arial" w:eastAsia="Arial" w:hAnsi="Arial"/>
          <w:sz w:val="19"/>
          <w:szCs w:val="19"/>
          <w:b w:val="1"/>
          <w:bCs w:val="1"/>
          <w:color w:val="auto"/>
        </w:rPr>
      </w:pPr>
    </w:p>
    <w:p>
      <w:pPr>
        <w:ind w:right="20" w:firstLine="656"/>
        <w:spacing w:after="0" w:line="267" w:lineRule="auto"/>
        <w:tabs>
          <w:tab w:leader="none" w:pos="128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The interpretation, performance and enforcement of this Award Agreement will be governed by the law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Delaware without regard to that state’s conflicts of laws rules.</w:t>
      </w:r>
    </w:p>
    <w:p>
      <w:pPr>
        <w:sectPr>
          <w:pgSz w:w="11900" w:h="16838" w:orient="portrait"/>
          <w:cols w:equalWidth="0" w:num="1">
            <w:col w:w="11240"/>
          </w:cols>
          <w:pgMar w:left="320" w:top="1419" w:right="339" w:bottom="1440" w:gutter="0" w:footer="0" w:header="0"/>
        </w:sectPr>
      </w:pPr>
    </w:p>
    <w:bookmarkStart w:id="129" w:name="page130"/>
    <w:bookmarkEnd w:id="129"/>
    <w:p>
      <w:pPr>
        <w:jc w:val="both"/>
        <w:ind w:left="-656" w:firstLine="656"/>
        <w:spacing w:after="0" w:line="246" w:lineRule="auto"/>
        <w:tabs>
          <w:tab w:leader="none" w:pos="631"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If all or any part of this Award Agreement or the Plan is declared by any court or governmental authority to be</w:t>
      </w:r>
      <w:r>
        <w:rPr>
          <w:rFonts w:ascii="Arial" w:cs="Arial" w:eastAsia="Arial" w:hAnsi="Arial"/>
          <w:sz w:val="20"/>
          <w:szCs w:val="20"/>
          <w:b w:val="1"/>
          <w:bCs w:val="1"/>
          <w:color w:val="auto"/>
        </w:rPr>
        <w:t xml:space="preserve"> </w:t>
      </w:r>
      <w:r>
        <w:rPr>
          <w:rFonts w:ascii="Arial" w:cs="Arial" w:eastAsia="Arial" w:hAnsi="Arial"/>
          <w:sz w:val="20"/>
          <w:szCs w:val="20"/>
          <w:color w:val="auto"/>
        </w:rPr>
        <w:t>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4" w:lineRule="exact"/>
        <w:rPr>
          <w:rFonts w:ascii="Arial" w:cs="Arial" w:eastAsia="Arial" w:hAnsi="Arial"/>
          <w:sz w:val="20"/>
          <w:szCs w:val="20"/>
          <w:b w:val="1"/>
          <w:bCs w:val="1"/>
          <w:color w:val="auto"/>
        </w:rPr>
      </w:pPr>
    </w:p>
    <w:p>
      <w:pPr>
        <w:jc w:val="both"/>
        <w:ind w:left="-656" w:firstLine="656"/>
        <w:spacing w:after="0" w:line="248" w:lineRule="auto"/>
        <w:tabs>
          <w:tab w:leader="none" w:pos="631"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of and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insider trading policy permitting directors and employees to sell shares only during certain “window” periods, in effect from time to time.</w:t>
      </w:r>
    </w:p>
    <w:p>
      <w:pPr>
        <w:spacing w:after="0" w:line="183" w:lineRule="exact"/>
        <w:rPr>
          <w:rFonts w:ascii="Arial" w:cs="Arial" w:eastAsia="Arial" w:hAnsi="Arial"/>
          <w:sz w:val="20"/>
          <w:szCs w:val="20"/>
          <w:b w:val="1"/>
          <w:bCs w:val="1"/>
          <w:color w:val="auto"/>
        </w:rPr>
      </w:pPr>
    </w:p>
    <w:p>
      <w:pPr>
        <w:jc w:val="both"/>
        <w:ind w:left="-656" w:firstLine="656"/>
        <w:spacing w:after="0" w:line="257" w:lineRule="auto"/>
        <w:tabs>
          <w:tab w:leader="none" w:pos="631"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Award Agreement may not be modified, amended or terminated except by an instrument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left="-656" w:firstLine="656"/>
        <w:spacing w:after="0" w:line="271" w:lineRule="auto"/>
        <w:tabs>
          <w:tab w:leader="none" w:pos="63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comply with the “short-term deferral” rule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9" w:lineRule="exact"/>
        <w:rPr>
          <w:rFonts w:ascii="Arial" w:cs="Arial" w:eastAsia="Arial" w:hAnsi="Arial"/>
          <w:sz w:val="18"/>
          <w:szCs w:val="18"/>
          <w:b w:val="1"/>
          <w:bCs w:val="1"/>
          <w:color w:val="auto"/>
        </w:rPr>
      </w:pPr>
    </w:p>
    <w:p>
      <w:pPr>
        <w:jc w:val="both"/>
        <w:ind w:left="-656" w:firstLine="656"/>
        <w:spacing w:after="0" w:line="248" w:lineRule="auto"/>
        <w:tabs>
          <w:tab w:leader="none" w:pos="631"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b w:val="1"/>
          <w:bCs w:val="1"/>
          <w:color w:val="auto"/>
        </w:rPr>
      </w:pPr>
    </w:p>
    <w:p>
      <w:pPr>
        <w:ind w:left="-656" w:firstLine="656"/>
        <w:spacing w:after="0" w:line="267" w:lineRule="auto"/>
        <w:tabs>
          <w:tab w:leader="none" w:pos="631"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Acceptance</w:t>
      </w:r>
      <w:r>
        <w:rPr>
          <w:rFonts w:ascii="Arial" w:cs="Arial" w:eastAsia="Arial" w:hAnsi="Arial"/>
          <w:sz w:val="20"/>
          <w:szCs w:val="20"/>
          <w:color w:val="auto"/>
        </w:rPr>
        <w:t>. The Company may, in its sole discretion, decide to deliver any documents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or future participation in the Plan by electronic means. You</w:t>
      </w:r>
    </w:p>
    <w:p>
      <w:pPr>
        <w:sectPr>
          <w:pgSz w:w="11900" w:h="16838" w:orient="portrait"/>
          <w:cols w:equalWidth="0" w:num="1">
            <w:col w:w="10584"/>
          </w:cols>
          <w:pgMar w:left="976" w:top="1413" w:right="339" w:bottom="1440" w:gutter="0" w:footer="0" w:header="0"/>
        </w:sectPr>
      </w:pPr>
    </w:p>
    <w:bookmarkStart w:id="130" w:name="page131"/>
    <w:bookmarkEnd w:id="130"/>
    <w:p>
      <w:pPr>
        <w:jc w:val="both"/>
        <w:spacing w:after="0" w:line="250" w:lineRule="auto"/>
        <w:rPr>
          <w:sz w:val="20"/>
          <w:szCs w:val="20"/>
          <w:color w:val="auto"/>
        </w:rPr>
      </w:pPr>
      <w:r>
        <w:rPr>
          <w:rFonts w:ascii="Arial" w:cs="Arial" w:eastAsia="Arial" w:hAnsi="Arial"/>
          <w:sz w:val="20"/>
          <w:szCs w:val="20"/>
          <w:color w:val="auto"/>
        </w:rPr>
        <w:t>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spacing w:after="0" w:line="180" w:lineRule="exact"/>
        <w:rPr>
          <w:sz w:val="20"/>
          <w:szCs w:val="20"/>
          <w:color w:val="auto"/>
        </w:rPr>
      </w:pPr>
    </w:p>
    <w:p>
      <w:pPr>
        <w:jc w:val="both"/>
        <w:ind w:firstLine="656"/>
        <w:spacing w:after="0" w:line="253" w:lineRule="auto"/>
        <w:tabs>
          <w:tab w:leader="none" w:pos="1287"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Language</w:t>
      </w:r>
      <w:r>
        <w:rPr>
          <w:rFonts w:ascii="Arial" w:cs="Arial" w:eastAsia="Arial" w:hAnsi="Arial"/>
          <w:sz w:val="20"/>
          <w:szCs w:val="20"/>
          <w:color w:val="auto"/>
        </w:rPr>
        <w:t>. If you have received this Award Agreement, or any other document related to the Award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0"/>
          <w:szCs w:val="20"/>
          <w:b w:val="1"/>
          <w:bCs w:val="1"/>
          <w:color w:val="auto"/>
        </w:rPr>
      </w:pPr>
    </w:p>
    <w:p>
      <w:pPr>
        <w:jc w:val="both"/>
        <w:ind w:firstLine="656"/>
        <w:spacing w:after="0" w:line="246" w:lineRule="auto"/>
        <w:tabs>
          <w:tab w:leader="none" w:pos="1287"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Country Appendix</w:t>
      </w:r>
      <w:r>
        <w:rPr>
          <w:rFonts w:ascii="Arial" w:cs="Arial" w:eastAsia="Arial" w:hAnsi="Arial"/>
          <w:sz w:val="20"/>
          <w:szCs w:val="20"/>
          <w:color w:val="auto"/>
        </w:rPr>
        <w:t>. Notwithstanding any provisions in this Award Agreement, the Award grant shall be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terms and 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w:t>
      </w:r>
    </w:p>
    <w:p>
      <w:pPr>
        <w:spacing w:after="0" w:line="184" w:lineRule="exact"/>
        <w:rPr>
          <w:rFonts w:ascii="Arial" w:cs="Arial" w:eastAsia="Arial" w:hAnsi="Arial"/>
          <w:sz w:val="20"/>
          <w:szCs w:val="20"/>
          <w:b w:val="1"/>
          <w:bCs w:val="1"/>
          <w:color w:val="auto"/>
        </w:rPr>
      </w:pPr>
    </w:p>
    <w:p>
      <w:pPr>
        <w:jc w:val="both"/>
        <w:ind w:firstLine="656"/>
        <w:spacing w:after="0" w:line="248" w:lineRule="auto"/>
        <w:tabs>
          <w:tab w:leader="none" w:pos="1287"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your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on the Award and on any shares of stock acquired upon vesting of the Award,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43" w:lineRule="exact"/>
        <w:rPr>
          <w:sz w:val="20"/>
          <w:szCs w:val="20"/>
          <w:color w:val="auto"/>
        </w:rPr>
      </w:pPr>
    </w:p>
    <w:p>
      <w:pPr>
        <w:ind w:right="160" w:firstLine="194"/>
        <w:spacing w:after="0" w:line="260" w:lineRule="auto"/>
        <w:rPr>
          <w:sz w:val="20"/>
          <w:szCs w:val="20"/>
          <w:color w:val="auto"/>
        </w:rPr>
      </w:pPr>
      <w:r>
        <w:rPr>
          <w:rFonts w:ascii="Arial" w:cs="Arial" w:eastAsia="Arial" w:hAnsi="Arial"/>
          <w:sz w:val="20"/>
          <w:szCs w:val="20"/>
          <w:color w:val="auto"/>
        </w:rPr>
        <w:t>This Award Agreement will be deemed to be signed by the Company and the Participant upon the signing or electronic acceptance by the Participant of the Restricted Stock Unit Grant Notice to which it is attached.</w:t>
      </w:r>
    </w:p>
    <w:p>
      <w:pPr>
        <w:sectPr>
          <w:pgSz w:w="11900" w:h="16838" w:orient="portrait"/>
          <w:cols w:equalWidth="0" w:num="1">
            <w:col w:w="11240"/>
          </w:cols>
          <w:pgMar w:left="320" w:top="1419" w:right="339" w:bottom="1440" w:gutter="0" w:footer="0" w:header="0"/>
        </w:sectPr>
      </w:pPr>
    </w:p>
    <w:bookmarkStart w:id="131" w:name="page132"/>
    <w:bookmarkEnd w:id="131"/>
    <w:p>
      <w:pPr>
        <w:ind w:left="9960"/>
        <w:spacing w:after="0"/>
        <w:rPr>
          <w:sz w:val="20"/>
          <w:szCs w:val="20"/>
          <w:color w:val="auto"/>
        </w:rPr>
      </w:pPr>
      <w:r>
        <w:rPr>
          <w:rFonts w:ascii="Arial" w:cs="Arial" w:eastAsia="Arial" w:hAnsi="Arial"/>
          <w:sz w:val="21"/>
          <w:szCs w:val="2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jc w:val="center"/>
        <w:spacing w:after="0"/>
        <w:rPr>
          <w:sz w:val="20"/>
          <w:szCs w:val="20"/>
          <w:color w:val="auto"/>
        </w:rPr>
      </w:pPr>
      <w:r>
        <w:rPr>
          <w:rFonts w:ascii="Arial" w:cs="Arial" w:eastAsia="Arial" w:hAnsi="Arial"/>
          <w:sz w:val="20"/>
          <w:szCs w:val="20"/>
          <w:b w:val="1"/>
          <w:bCs w:val="1"/>
          <w:color w:val="auto"/>
        </w:rPr>
        <w:t>AWARD AGREEMENT</w:t>
      </w:r>
    </w:p>
    <w:p>
      <w:pPr>
        <w:jc w:val="center"/>
        <w:spacing w:after="0"/>
        <w:rPr>
          <w:sz w:val="20"/>
          <w:szCs w:val="20"/>
          <w:color w:val="auto"/>
        </w:rPr>
      </w:pPr>
      <w:r>
        <w:rPr>
          <w:rFonts w:ascii="Arial" w:cs="Arial" w:eastAsia="Arial" w:hAnsi="Arial"/>
          <w:sz w:val="20"/>
          <w:szCs w:val="20"/>
          <w:b w:val="1"/>
          <w:bCs w:val="1"/>
          <w:color w:val="auto"/>
        </w:rPr>
        <w:t>(RESTRICTED STOCK UNITS)</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includes additional terms and conditions that govern the Award granted to you under the Plan if you reside in one of the countries listed below. Capitalized terms used but not defined in this Appendix have the meanings set forth in the Plan and/or the Award Agreement.</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the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ARGENTINA</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w:t>
      </w:r>
      <w:r>
        <w:rPr>
          <w:rFonts w:ascii="Arial" w:cs="Arial" w:eastAsia="Arial" w:hAnsi="Arial"/>
          <w:sz w:val="19"/>
          <w:szCs w:val="19"/>
          <w:i w:val="1"/>
          <w:iCs w:val="1"/>
          <w:color w:val="auto"/>
        </w:rPr>
        <w:t>e.g.</w:t>
      </w:r>
      <w:r>
        <w:rPr>
          <w:rFonts w:ascii="Arial" w:cs="Arial" w:eastAsia="Arial" w:hAnsi="Arial"/>
          <w:sz w:val="19"/>
          <w:szCs w:val="19"/>
          <w:color w:val="auto"/>
        </w:rPr>
        <w:t>,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w:t>
      </w:r>
    </w:p>
    <w:p>
      <w:pPr>
        <w:sectPr>
          <w:pgSz w:w="11900" w:h="16838" w:orient="portrait"/>
          <w:cols w:equalWidth="0" w:num="1">
            <w:col w:w="11240"/>
          </w:cols>
          <w:pgMar w:left="320" w:top="1428" w:right="339" w:bottom="1440" w:gutter="0" w:footer="0" w:header="0"/>
        </w:sectPr>
      </w:pPr>
    </w:p>
    <w:bookmarkStart w:id="132" w:name="page133"/>
    <w:bookmarkEnd w:id="132"/>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Argentinian residents must report any shares acquired under the Plan and held by the resident on December 31 of each year on their annual tax return for that 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AUSTRALIA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162"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The offering and resale of shares acquired under the Plan to a person or entity resident in Australia may be subject to disclosure requirements under Australian law. You should obtain legal advice regarding any applicable disclosure requirements prior to making any such offer.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Offer of Stock Awards</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Board, in its absolute discretion, may make a written offer to an eligible person who is an Australian Resident (each such offeree being referred to in this Appendix A as a “Participant”) it chooses to accept an Award.</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offer is intended to receive tax deferred treatment under Subdivision 83A-C of the Income Tax Assessment Act 1997(Cth). The conditions to receive such treatment are contained in this Appendix A.</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offer shall be accompanied by an acceptance form and a copy of the Plan and this Appendix A or, alternatively, details on how you may obtain a copy of the Plan and this Appendix 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Grant of Awards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you validly accept the Board’s offer of an Award, the Board must grant you an Award for the number of shares for which the Award was accepted. However, the Board must </w:t>
      </w:r>
      <w:r>
        <w:rPr>
          <w:rFonts w:ascii="Arial" w:cs="Arial" w:eastAsia="Arial" w:hAnsi="Arial"/>
          <w:sz w:val="20"/>
          <w:szCs w:val="20"/>
          <w:i w:val="1"/>
          <w:iCs w:val="1"/>
          <w:color w:val="auto"/>
        </w:rPr>
        <w:t>not</w:t>
      </w:r>
      <w:r>
        <w:rPr>
          <w:rFonts w:ascii="Arial" w:cs="Arial" w:eastAsia="Arial" w:hAnsi="Arial"/>
          <w:sz w:val="20"/>
          <w:szCs w:val="20"/>
          <w:color w:val="auto"/>
        </w:rPr>
        <w:t xml:space="preserve"> do so if you have ceased to be an eligible person at the date when the Award is to be granted or the Company is otherwise prohibited from doing so under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(Cth) (the “</w:t>
      </w:r>
      <w:r>
        <w:rPr>
          <w:rFonts w:ascii="Arial" w:cs="Arial" w:eastAsia="Arial" w:hAnsi="Arial"/>
          <w:sz w:val="20"/>
          <w:szCs w:val="20"/>
          <w:b w:val="1"/>
          <w:bCs w:val="1"/>
          <w:i w:val="1"/>
          <w:iCs w:val="1"/>
          <w:color w:val="auto"/>
        </w:rPr>
        <w:t>Corporations Act</w:t>
      </w:r>
      <w:r>
        <w:rPr>
          <w:rFonts w:ascii="Arial" w:cs="Arial" w:eastAsia="Arial" w:hAnsi="Arial"/>
          <w:sz w:val="20"/>
          <w:szCs w:val="20"/>
          <w:color w:val="auto"/>
        </w:rPr>
        <w:t>”) without a disclosure document, product disclosure statement or similar document.</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must provide an Award Agreement in respect of the Award granted to the Participant to be executed by the Participant as soon as practicable after the date of grant.</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Awards granted to Participants under this Appendix A that are Options must not have an Expiration Date exceeding fifteen (15) years from the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Deferred Treatment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Ordinary shares</w:t>
      </w:r>
      <w:r>
        <w:rPr>
          <w:rFonts w:ascii="Arial" w:cs="Arial" w:eastAsia="Arial" w:hAnsi="Arial"/>
          <w:sz w:val="20"/>
          <w:szCs w:val="20"/>
          <w:color w:val="auto"/>
        </w:rPr>
        <w:t>. Awards issued to a Participant under this Appendix A must relate to ordinary shares. For the purpose of this Appendix A,</w:t>
      </w:r>
      <w:r>
        <w:rPr>
          <w:rFonts w:ascii="Arial" w:cs="Arial" w:eastAsia="Arial" w:hAnsi="Arial"/>
          <w:sz w:val="20"/>
          <w:szCs w:val="20"/>
          <w:i w:val="1"/>
          <w:iCs w:val="1"/>
          <w:color w:val="auto"/>
        </w:rPr>
        <w:t xml:space="preserve"> </w:t>
      </w:r>
      <w:r>
        <w:rPr>
          <w:rFonts w:ascii="Arial" w:cs="Arial" w:eastAsia="Arial" w:hAnsi="Arial"/>
          <w:sz w:val="20"/>
          <w:szCs w:val="20"/>
          <w:color w:val="auto"/>
        </w:rPr>
        <w:t>ordinary shares shall be defined in accordance with its ordinary meaning under Australian law.</w:t>
      </w:r>
    </w:p>
    <w:p>
      <w:pPr>
        <w:sectPr>
          <w:pgSz w:w="11900" w:h="16838" w:orient="portrait"/>
          <w:cols w:equalWidth="0" w:num="1">
            <w:col w:w="11240"/>
          </w:cols>
          <w:pgMar w:left="320" w:top="1440" w:right="339" w:bottom="1440" w:gutter="0" w:footer="0" w:header="0"/>
        </w:sectPr>
      </w:pPr>
    </w:p>
    <w:bookmarkStart w:id="133" w:name="page134"/>
    <w:bookmarkEnd w:id="133"/>
    <w:p>
      <w:pPr>
        <w:jc w:val="both"/>
        <w:spacing w:after="0" w:line="316" w:lineRule="auto"/>
        <w:rPr>
          <w:sz w:val="20"/>
          <w:szCs w:val="20"/>
          <w:color w:val="auto"/>
        </w:rPr>
      </w:pPr>
      <w:r>
        <w:rPr>
          <w:rFonts w:ascii="Arial" w:cs="Arial" w:eastAsia="Arial" w:hAnsi="Arial"/>
          <w:sz w:val="18"/>
          <w:szCs w:val="18"/>
          <w:i w:val="1"/>
          <w:iCs w:val="1"/>
          <w:color w:val="auto"/>
        </w:rPr>
        <w:t>Predominant business of the Company</w:t>
      </w:r>
      <w:r>
        <w:rPr>
          <w:rFonts w:ascii="Arial" w:cs="Arial" w:eastAsia="Arial" w:hAnsi="Arial"/>
          <w:sz w:val="18"/>
          <w:szCs w:val="18"/>
          <w:color w:val="auto"/>
        </w:rPr>
        <w:t>. Awards must not be issued to Participants where those Awards relate to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company that has a predominant business of the acquisition, sale or holding of shares, securities or other investments.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Real risk of forfeiture</w:t>
      </w:r>
      <w:r>
        <w:rPr>
          <w:rFonts w:ascii="Arial" w:cs="Arial" w:eastAsia="Arial" w:hAnsi="Arial"/>
          <w:sz w:val="19"/>
          <w:szCs w:val="19"/>
          <w:color w:val="auto"/>
        </w:rPr>
        <w:t>. Awards that are Restricted Stock Units issued to a Participant under this Appendix A must have a real risk of</w:t>
      </w:r>
      <w:r>
        <w:rPr>
          <w:rFonts w:ascii="Arial" w:cs="Arial" w:eastAsia="Arial" w:hAnsi="Arial"/>
          <w:sz w:val="19"/>
          <w:szCs w:val="19"/>
          <w:i w:val="1"/>
          <w:iCs w:val="1"/>
          <w:color w:val="auto"/>
        </w:rPr>
        <w:t xml:space="preserve"> </w:t>
      </w:r>
      <w:r>
        <w:rPr>
          <w:rFonts w:ascii="Arial" w:cs="Arial" w:eastAsia="Arial" w:hAnsi="Arial"/>
          <w:sz w:val="19"/>
          <w:szCs w:val="19"/>
          <w:color w:val="auto"/>
        </w:rPr>
        <w:t>forfeiture, the Vesting conditions by which this risk is achieved is to be determined by the Board in its absolute discretion.</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10% limit on shareholding and voting power</w:t>
      </w:r>
      <w:r>
        <w:rPr>
          <w:rFonts w:ascii="Arial" w:cs="Arial" w:eastAsia="Arial" w:hAnsi="Arial"/>
          <w:sz w:val="19"/>
          <w:szCs w:val="19"/>
          <w:color w:val="auto"/>
        </w:rPr>
        <w:t>. Immediately after you acquire the Awards, you must not: (i) hold a beneficial interest in more</w:t>
      </w:r>
      <w:r>
        <w:rPr>
          <w:rFonts w:ascii="Arial" w:cs="Arial" w:eastAsia="Arial" w:hAnsi="Arial"/>
          <w:sz w:val="19"/>
          <w:szCs w:val="19"/>
          <w:i w:val="1"/>
          <w:iCs w:val="1"/>
          <w:color w:val="auto"/>
        </w:rPr>
        <w:t xml:space="preserve"> </w:t>
      </w:r>
      <w:r>
        <w:rPr>
          <w:rFonts w:ascii="Arial" w:cs="Arial" w:eastAsia="Arial" w:hAnsi="Arial"/>
          <w:sz w:val="19"/>
          <w:szCs w:val="19"/>
          <w:color w:val="auto"/>
        </w:rPr>
        <w:t>than 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AUSTRIA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Austria.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Consumer Protection Information</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may be entitled to revoke the Award Agreement on the basis of the Austrian Consumer Protection Act (the “Act”) under the conditions listed below, if the Act is considered to be applicable to this Award Agreement and the Plan:</w:t>
      </w:r>
    </w:p>
    <w:p>
      <w:pPr>
        <w:spacing w:after="0" w:line="109" w:lineRule="exact"/>
        <w:rPr>
          <w:sz w:val="20"/>
          <w:szCs w:val="20"/>
          <w:color w:val="auto"/>
        </w:rPr>
      </w:pPr>
    </w:p>
    <w:p>
      <w:pPr>
        <w:ind w:left="820" w:hanging="488"/>
        <w:spacing w:after="0"/>
        <w:tabs>
          <w:tab w:leader="none" w:pos="8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revocation must be made within one week after the acceptance of the Award Agreement.</w:t>
      </w:r>
    </w:p>
    <w:p>
      <w:pPr>
        <w:spacing w:after="0" w:line="134" w:lineRule="exact"/>
        <w:rPr>
          <w:rFonts w:ascii="Arial" w:cs="Arial" w:eastAsia="Arial" w:hAnsi="Arial"/>
          <w:sz w:val="20"/>
          <w:szCs w:val="20"/>
          <w:color w:val="auto"/>
        </w:rPr>
      </w:pPr>
    </w:p>
    <w:p>
      <w:pPr>
        <w:jc w:val="both"/>
        <w:ind w:left="820" w:hanging="488"/>
        <w:spacing w:after="0" w:line="227" w:lineRule="auto"/>
        <w:tabs>
          <w:tab w:leader="none" w:pos="819"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BELGIUM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this Award under the Plan is exempt from the requirement to publish a prospectus under the EU Prospectus Directive as implemented in Belgium.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Your employer is generally required to withhold income taxes or social insurances, as applicable, for the grant of this Award under the Plan.</w:t>
      </w:r>
    </w:p>
    <w:p>
      <w:pPr>
        <w:sectPr>
          <w:pgSz w:w="11900" w:h="16838" w:orient="portrait"/>
          <w:cols w:equalWidth="0" w:num="1">
            <w:col w:w="11240"/>
          </w:cols>
          <w:pgMar w:left="320" w:top="1419"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supplement Section 17 of this Award Agreement.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Compliance with Law</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21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 $100,000.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on Financial Transaction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Notice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Disclaimer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Award is exempt from the requirement to publish a prospectus under current rules as implemented in Bulgaria.</w:t>
      </w:r>
    </w:p>
    <w:p>
      <w:pPr>
        <w:sectPr>
          <w:pgSz w:w="11900" w:h="16838" w:orient="portrait"/>
          <w:cols w:equalWidth="0" w:num="1">
            <w:col w:w="11240"/>
          </w:cols>
          <w:pgMar w:left="320" w:top="141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CANADA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17 of the Award Agreement: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Language Consent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Consentement relatif à la langue utilisée</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Canadian residents are required to report any foreign property (</w:t>
      </w:r>
      <w:r>
        <w:rPr>
          <w:rFonts w:ascii="Arial" w:cs="Arial" w:eastAsia="Arial" w:hAnsi="Arial"/>
          <w:sz w:val="19"/>
          <w:szCs w:val="19"/>
          <w:i w:val="1"/>
          <w:iCs w:val="1"/>
          <w:color w:val="auto"/>
        </w:rPr>
        <w:t>e.g.</w:t>
      </w:r>
      <w:r>
        <w:rPr>
          <w:rFonts w:ascii="Arial" w:cs="Arial" w:eastAsia="Arial" w:hAnsi="Arial"/>
          <w:sz w:val="19"/>
          <w:szCs w:val="19"/>
          <w:color w:val="auto"/>
        </w:rPr>
        <w:t>,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Settlement of Award</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in the Plan or this Award Agreement, Restricted Stock Units granted to Canadian Participants shall only be settled in shares of stock and shall not be settled in cash.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DENMARK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Disclosure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current rules as implemented in Denmark.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IMPORTANT – STATEMENT UNDER SECTION 3(1) OF THE ACT ON STOCK OPTIONS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Pursuant to Section 3(1) of the Act on Stock Options in employment relations (the "Stock Option Act"), you are entitled to receive information regarding the Plan in a separate written statement in Danish.</w:t>
      </w:r>
    </w:p>
    <w:p>
      <w:pPr>
        <w:sectPr>
          <w:pgSz w:w="11900" w:h="16838" w:orient="portrait"/>
          <w:cols w:equalWidth="0" w:num="1">
            <w:col w:w="11240"/>
          </w:cols>
          <w:pgMar w:left="320" w:top="1413" w:right="339" w:bottom="1440" w:gutter="0" w:footer="0" w:header="0"/>
        </w:sectPr>
      </w:pPr>
    </w:p>
    <w:bookmarkStart w:id="136" w:name="page137"/>
    <w:bookmarkEnd w:id="136"/>
    <w:p>
      <w:pPr>
        <w:jc w:val="both"/>
        <w:ind w:right="20"/>
        <w:spacing w:after="0" w:line="260" w:lineRule="auto"/>
        <w:rPr>
          <w:sz w:val="20"/>
          <w:szCs w:val="20"/>
          <w:color w:val="auto"/>
        </w:rPr>
      </w:pPr>
      <w:r>
        <w:rPr>
          <w:rFonts w:ascii="Arial" w:cs="Arial" w:eastAsia="Arial" w:hAnsi="Arial"/>
          <w:sz w:val="20"/>
          <w:szCs w:val="20"/>
          <w:color w:val="auto"/>
        </w:rPr>
        <w:t>The full statement containing the information about your rights under the Plan and the Stock Option Act is attached as a separate written statement to this Award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Taxation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participation in the Plan is covered by the Danish Tax Assessment Act section 7P. The tax treatment is intended to be accordingly beneficial to the extent provided under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Finland.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Awards Not Tax-Qualified</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Award is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intended to be a tax-qualified or tax-preferred award, including without limitation, under Sections L. 225-197-1 to L. 225-197-6 of the French Commercial Code. You are encouraged to consult with a personal tax advisor to understand the tax and social insurance implications of the Award.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As from January 1, 2019, vesting of the Award will give rise to income tax withholding in France.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France.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Information</w:t>
      </w:r>
    </w:p>
    <w:p>
      <w:pPr>
        <w:spacing w:after="0" w:line="16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participation in the Plan is exempt or excluded from the requirement to publish a prospectus under the EU Prospectus Directive as implemented in Germany.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Cross-border payments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the event that you make or receive a payment in excess of this amount, you are required to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(www.bundesbank.de).</w:t>
      </w:r>
    </w:p>
    <w:p>
      <w:pPr>
        <w:sectPr>
          <w:pgSz w:w="11900" w:h="16838" w:orient="portrait"/>
          <w:cols w:equalWidth="0" w:num="1">
            <w:col w:w="11240"/>
          </w:cols>
          <w:pgMar w:left="320" w:top="141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HONG KONG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Notice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 of Shares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Occupational Retirement Schemes Ordinance Alert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specifically intends that neither the Award nor the Plan will be considered or deemed an occupational retirement scheme for purposes of the Occupational Retirement Schemes Ordinance (“ORSO”).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must repatriate to India all funds resulting from the sale of shares of stock within 90 days and all proceeds from the receipt of any dividends within 180 days. You will receive a foreign inward remittance certificate (“FIRC”) from the bank where you deposits the foreign currency. You should maintain the FIRC as evidence of the repatriation of funds in the event that the Reserve Bank of India or your employer requests proof of repatriation.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Taxation: General</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w:t>
      </w:r>
    </w:p>
    <w:p>
      <w:pPr>
        <w:sectPr>
          <w:pgSz w:w="11900" w:h="16838" w:orient="portrait"/>
          <w:cols w:equalWidth="0" w:num="1">
            <w:col w:w="11240"/>
          </w:cols>
          <w:pgMar w:left="320" w:top="1413" w:right="339" w:bottom="1440" w:gutter="0" w:footer="0" w:header="0"/>
        </w:sectPr>
      </w:pPr>
    </w:p>
    <w:bookmarkStart w:id="138" w:name="page139"/>
    <w:bookmarkEnd w:id="138"/>
    <w:p>
      <w:pPr>
        <w:ind w:left="100"/>
        <w:spacing w:after="0"/>
        <w:rPr>
          <w:sz w:val="20"/>
          <w:szCs w:val="20"/>
          <w:color w:val="auto"/>
        </w:rPr>
      </w:pPr>
      <w:r>
        <w:rPr>
          <w:rFonts w:ascii="Arial" w:cs="Arial" w:eastAsia="Arial" w:hAnsi="Arial"/>
          <w:sz w:val="20"/>
          <w:szCs w:val="20"/>
          <w:u w:val="single" w:color="auto"/>
          <w:color w:val="auto"/>
        </w:rPr>
        <w:t>Tax Withholding</w:t>
      </w:r>
    </w:p>
    <w:p>
      <w:pPr>
        <w:spacing w:after="0" w:line="162" w:lineRule="exact"/>
        <w:rPr>
          <w:sz w:val="20"/>
          <w:szCs w:val="20"/>
          <w:color w:val="auto"/>
        </w:rPr>
      </w:pPr>
    </w:p>
    <w:p>
      <w:pPr>
        <w:jc w:val="both"/>
        <w:ind w:left="100"/>
        <w:spacing w:after="0" w:line="246" w:lineRule="auto"/>
        <w:rPr>
          <w:sz w:val="20"/>
          <w:szCs w:val="20"/>
          <w:color w:val="auto"/>
        </w:rPr>
      </w:pPr>
      <w:r>
        <w:rPr>
          <w:rFonts w:ascii="Arial" w:cs="Arial" w:eastAsia="Arial" w:hAnsi="Arial"/>
          <w:sz w:val="20"/>
          <w:szCs w:val="20"/>
          <w:color w:val="auto"/>
        </w:rPr>
        <w:t>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w:t>
      </w:r>
      <w:r>
        <w:rPr>
          <w:rFonts w:ascii="Arial" w:cs="Arial" w:eastAsia="Arial" w:hAnsi="Arial"/>
          <w:sz w:val="20"/>
          <w:szCs w:val="20"/>
          <w:b w:val="1"/>
          <w:bCs w:val="1"/>
          <w:color w:val="auto"/>
        </w:rPr>
        <w:t>Taxes</w:t>
      </w:r>
      <w:r>
        <w:rPr>
          <w:rFonts w:ascii="Arial" w:cs="Arial" w:eastAsia="Arial" w:hAnsi="Arial"/>
          <w:sz w:val="20"/>
          <w:szCs w:val="20"/>
          <w:color w:val="auto"/>
        </w:rPr>
        <w:t>”).</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Tax indemnity</w:t>
      </w:r>
    </w:p>
    <w:p>
      <w:pPr>
        <w:spacing w:after="0" w:line="162" w:lineRule="exact"/>
        <w:rPr>
          <w:sz w:val="20"/>
          <w:szCs w:val="20"/>
          <w:color w:val="auto"/>
        </w:rPr>
      </w:pPr>
    </w:p>
    <w:p>
      <w:pPr>
        <w:jc w:val="both"/>
        <w:ind w:left="100"/>
        <w:spacing w:after="0" w:line="282" w:lineRule="auto"/>
        <w:rPr>
          <w:sz w:val="20"/>
          <w:szCs w:val="20"/>
          <w:color w:val="auto"/>
        </w:rPr>
      </w:pPr>
      <w:r>
        <w:rPr>
          <w:rFonts w:ascii="Arial" w:cs="Arial" w:eastAsia="Arial" w:hAnsi="Arial"/>
          <w:sz w:val="18"/>
          <w:szCs w:val="18"/>
          <w:color w:val="auto"/>
        </w:rPr>
        <w:t>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w:t>
      </w:r>
      <w:r>
        <w:rPr>
          <w:rFonts w:ascii="Arial" w:cs="Arial" w:eastAsia="Arial" w:hAnsi="Arial"/>
          <w:sz w:val="18"/>
          <w:szCs w:val="18"/>
          <w:b w:val="1"/>
          <w:bCs w:val="1"/>
          <w:color w:val="auto"/>
        </w:rPr>
        <w:t>Tax Liabilities</w:t>
      </w:r>
      <w:r>
        <w:rPr>
          <w:rFonts w:ascii="Arial" w:cs="Arial" w:eastAsia="Arial" w:hAnsi="Arial"/>
          <w:sz w:val="18"/>
          <w:szCs w:val="18"/>
          <w:color w:val="auto"/>
        </w:rPr>
        <w:t>”).</w:t>
      </w:r>
    </w:p>
    <w:p>
      <w:pPr>
        <w:spacing w:after="0" w:line="107" w:lineRule="exact"/>
        <w:rPr>
          <w:sz w:val="20"/>
          <w:szCs w:val="20"/>
          <w:color w:val="auto"/>
        </w:rPr>
      </w:pPr>
    </w:p>
    <w:p>
      <w:pPr>
        <w:jc w:val="both"/>
        <w:ind w:left="100" w:right="20"/>
        <w:spacing w:after="0" w:line="260" w:lineRule="auto"/>
        <w:rPr>
          <w:sz w:val="20"/>
          <w:szCs w:val="20"/>
          <w:color w:val="auto"/>
        </w:rPr>
      </w:pPr>
      <w:r>
        <w:rPr>
          <w:rFonts w:ascii="Arial" w:cs="Arial" w:eastAsia="Arial" w:hAnsi="Arial"/>
          <w:sz w:val="20"/>
          <w:szCs w:val="20"/>
          <w:color w:val="auto"/>
        </w:rPr>
        <w:t>Pursuant to the indemnity referred to in the preceding paragraph, where necessary, you shall make such arrangements, as the Company requires to meet the cost of the Tax Liabilities, including at the direction of the Company any of the following:</w:t>
      </w:r>
    </w:p>
    <w:p>
      <w:pPr>
        <w:spacing w:after="0" w:line="150" w:lineRule="exact"/>
        <w:rPr>
          <w:sz w:val="20"/>
          <w:szCs w:val="20"/>
          <w:color w:val="auto"/>
        </w:rPr>
      </w:pPr>
    </w:p>
    <w:p>
      <w:pPr>
        <w:jc w:val="both"/>
        <w:ind w:left="740" w:hanging="740"/>
        <w:spacing w:after="0" w:line="238" w:lineRule="auto"/>
        <w:tabs>
          <w:tab w:leader="none" w:pos="736" w:val="left"/>
        </w:tabs>
        <w:numPr>
          <w:ilvl w:val="0"/>
          <w:numId w:val="57"/>
        </w:numPr>
        <w:rPr>
          <w:rFonts w:ascii="Arial" w:cs="Arial" w:eastAsia="Arial" w:hAnsi="Arial"/>
          <w:sz w:val="22"/>
          <w:szCs w:val="22"/>
          <w:color w:val="auto"/>
        </w:rPr>
      </w:pPr>
      <w:r>
        <w:rPr>
          <w:rFonts w:ascii="Arial" w:cs="Arial" w:eastAsia="Arial" w:hAnsi="Arial"/>
          <w:sz w:val="20"/>
          <w:szCs w:val="20"/>
          <w:color w:val="auto"/>
        </w:rPr>
        <w:t>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spacing w:after="0" w:line="171" w:lineRule="exact"/>
        <w:rPr>
          <w:sz w:val="20"/>
          <w:szCs w:val="20"/>
          <w:color w:val="auto"/>
        </w:rPr>
      </w:pPr>
    </w:p>
    <w:p>
      <w:pPr>
        <w:jc w:val="both"/>
        <w:ind w:left="740" w:hanging="740"/>
        <w:spacing w:after="0" w:line="277" w:lineRule="auto"/>
        <w:tabs>
          <w:tab w:leader="none" w:pos="737" w:val="left"/>
        </w:tabs>
        <w:numPr>
          <w:ilvl w:val="0"/>
          <w:numId w:val="58"/>
        </w:numPr>
        <w:rPr>
          <w:rFonts w:ascii="Arial" w:cs="Arial" w:eastAsia="Arial" w:hAnsi="Arial"/>
          <w:sz w:val="19"/>
          <w:szCs w:val="19"/>
          <w:color w:val="auto"/>
        </w:rPr>
      </w:pPr>
      <w:r>
        <w:rPr>
          <w:rFonts w:ascii="Arial" w:cs="Arial" w:eastAsia="Arial" w:hAnsi="Arial"/>
          <w:sz w:val="18"/>
          <w:szCs w:val="18"/>
          <w:color w:val="auto"/>
        </w:rPr>
        <w:t>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Company Law - Notification Obligation</w:t>
      </w:r>
    </w:p>
    <w:p>
      <w:pPr>
        <w:spacing w:after="0" w:line="162" w:lineRule="exact"/>
        <w:rPr>
          <w:sz w:val="20"/>
          <w:szCs w:val="20"/>
          <w:color w:val="auto"/>
        </w:rPr>
      </w:pPr>
    </w:p>
    <w:p>
      <w:pPr>
        <w:jc w:val="both"/>
        <w:ind w:left="100"/>
        <w:spacing w:after="0" w:line="243" w:lineRule="auto"/>
        <w:rPr>
          <w:sz w:val="20"/>
          <w:szCs w:val="20"/>
          <w:color w:val="auto"/>
        </w:rPr>
      </w:pPr>
      <w:r>
        <w:rPr>
          <w:rFonts w:ascii="Arial" w:cs="Arial" w:eastAsia="Arial" w:hAnsi="Arial"/>
          <w:sz w:val="20"/>
          <w:szCs w:val="20"/>
          <w:color w:val="auto"/>
        </w:rPr>
        <w:t>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Securities Law</w:t>
      </w:r>
    </w:p>
    <w:p>
      <w:pPr>
        <w:spacing w:after="0" w:line="162"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the EU Prospectus Directive as implemented in Ireland.</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Employment</w:t>
      </w:r>
    </w:p>
    <w:p>
      <w:pPr>
        <w:sectPr>
          <w:pgSz w:w="11900" w:h="16838" w:orient="portrait"/>
          <w:cols w:equalWidth="0" w:num="1">
            <w:col w:w="11340"/>
          </w:cols>
          <w:pgMar w:left="220" w:top="1419" w:right="339" w:bottom="1440" w:gutter="0" w:footer="0" w:header="0"/>
        </w:sectPr>
      </w:pPr>
    </w:p>
    <w:bookmarkStart w:id="139" w:name="page140"/>
    <w:bookmarkEnd w:id="139"/>
    <w:p>
      <w:pPr>
        <w:jc w:val="both"/>
        <w:spacing w:after="0" w:line="276" w:lineRule="auto"/>
        <w:rPr>
          <w:sz w:val="20"/>
          <w:szCs w:val="20"/>
          <w:color w:val="auto"/>
        </w:rPr>
      </w:pPr>
      <w:r>
        <w:rPr>
          <w:rFonts w:ascii="Arial" w:cs="Arial" w:eastAsia="Arial" w:hAnsi="Arial"/>
          <w:sz w:val="18"/>
          <w:szCs w:val="18"/>
          <w:color w:val="auto"/>
        </w:rPr>
        <w:t>You acknowledge that your terms of employment shall not be affected in any way by your participation of the Plan, which shall not form part of such terms (either expressly or impliedly). You acknowledge that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ISRAEL</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 Income Tax Ordinance [New Version] 1961 (“</w:t>
      </w:r>
      <w:r>
        <w:rPr>
          <w:rFonts w:ascii="Arial" w:cs="Arial" w:eastAsia="Arial" w:hAnsi="Arial"/>
          <w:sz w:val="18"/>
          <w:szCs w:val="18"/>
          <w:b w:val="1"/>
          <w:bCs w:val="1"/>
          <w:i w:val="1"/>
          <w:iCs w:val="1"/>
          <w:color w:val="auto"/>
        </w:rPr>
        <w:t>Section 102</w:t>
      </w:r>
      <w:r>
        <w:rPr>
          <w:rFonts w:ascii="Arial" w:cs="Arial" w:eastAsia="Arial" w:hAnsi="Arial"/>
          <w:sz w:val="18"/>
          <w:szCs w:val="18"/>
          <w:b w:val="1"/>
          <w:bCs w:val="1"/>
          <w:color w:val="auto"/>
        </w:rPr>
        <w:t>”</w:t>
      </w:r>
      <w:r>
        <w:rPr>
          <w:rFonts w:ascii="Arial" w:cs="Arial" w:eastAsia="Arial" w:hAnsi="Arial"/>
          <w:sz w:val="18"/>
          <w:szCs w:val="18"/>
          <w:color w:val="auto"/>
        </w:rPr>
        <w:t>).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Trust</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w:t>
      </w:r>
      <w:r>
        <w:rPr>
          <w:rFonts w:ascii="Arial" w:cs="Arial" w:eastAsia="Arial" w:hAnsi="Arial"/>
          <w:sz w:val="18"/>
          <w:szCs w:val="18"/>
          <w:b w:val="1"/>
          <w:bCs w:val="1"/>
          <w:i w:val="1"/>
          <w:iCs w:val="1"/>
          <w:color w:val="auto"/>
        </w:rPr>
        <w:t>Additional Rights</w:t>
      </w:r>
      <w:r>
        <w:rPr>
          <w:rFonts w:ascii="Arial" w:cs="Arial" w:eastAsia="Arial" w:hAnsi="Arial"/>
          <w:sz w:val="18"/>
          <w:szCs w:val="18"/>
          <w:color w:val="auto"/>
        </w:rPr>
        <w:t>”)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8"/>
          <w:szCs w:val="18"/>
          <w:b w:val="1"/>
          <w:bCs w:val="1"/>
          <w:i w:val="1"/>
          <w:iCs w:val="1"/>
          <w:color w:val="auto"/>
        </w:rPr>
        <w:t>Rules</w:t>
      </w:r>
      <w:r>
        <w:rPr>
          <w:rFonts w:ascii="Arial" w:cs="Arial" w:eastAsia="Arial" w:hAnsi="Arial"/>
          <w:sz w:val="18"/>
          <w:szCs w:val="18"/>
          <w:color w:val="auto"/>
        </w:rPr>
        <w:t>”). In the event the Restricted Stock Units or underlying shares of Common Stock do not meet the requirements of Section 102, such Restricted Stock Units and the underlying shares of Common Stock shall not qualify for the favorable tax treatment under the Capital Gains Route of Section</w:t>
      </w:r>
    </w:p>
    <w:p>
      <w:pPr>
        <w:sectPr>
          <w:pgSz w:w="11900" w:h="16838" w:orient="portrait"/>
          <w:cols w:equalWidth="0" w:num="1">
            <w:col w:w="11240"/>
          </w:cols>
          <w:pgMar w:left="320" w:top="1419" w:right="339" w:bottom="1440" w:gutter="0" w:footer="0" w:header="0"/>
        </w:sectPr>
      </w:pPr>
    </w:p>
    <w:bookmarkStart w:id="140" w:name="page141"/>
    <w:bookmarkEnd w:id="140"/>
    <w:p>
      <w:pPr>
        <w:jc w:val="both"/>
        <w:ind w:firstLine="8"/>
        <w:spacing w:after="0" w:line="274" w:lineRule="auto"/>
        <w:tabs>
          <w:tab w:leader="none" w:pos="3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 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options is exempt from the requirement to publish a prospectus under the EU Prospectus Directive as implemented in Italy.</w:t>
      </w:r>
    </w:p>
    <w:p>
      <w:pPr>
        <w:spacing w:after="0" w:line="179"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Exchange</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Under certain circumstance, you may be required to file a report with the Ministry of Finance if you intend to acquire shares of stock whose value exceeds a certain amount. The reporting, if required, is due</w:t>
      </w:r>
    </w:p>
    <w:p>
      <w:pPr>
        <w:sectPr>
          <w:pgSz w:w="11900" w:h="16838" w:orient="portrait"/>
          <w:cols w:equalWidth="0" w:num="1">
            <w:col w:w="11240"/>
          </w:cols>
          <w:pgMar w:left="320" w:top="1419" w:right="3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0"/>
          <w:szCs w:val="20"/>
          <w:color w:val="auto"/>
        </w:rPr>
        <w:t>within 20 days from the acquisition of the shares of stock (however, if you acquires such shares of stock through a securities company in Japan, such requirement will not be imposed). The reporting requirements vary depending on whether the relevant payment is made through a bank in Japan.</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are advised to seek appropriate professional advice as to how the exchange control regulations, tax or other laws in your country apply to your specific situation. Laws and regulations change frequently and occasionally on a retroactive basis.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 complying with applicable reporting requirements.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Award and the shares of stock have not been registered under the Financial Instruments and Exchange Act of Japan (Law No. 25 of 1948), as amended (the “FIEA”). The Award and the shares of stock issuable upon the vesting of Award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 entity organized under the laws of Japan or having its main office in Japan.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KOREA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Assets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MEXICO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These provisions supplement Section 17 of the Award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Modification. </w:t>
      </w:r>
      <w:r>
        <w:rPr>
          <w:rFonts w:ascii="Arial" w:cs="Arial" w:eastAsia="Arial" w:hAnsi="Arial"/>
          <w:sz w:val="20"/>
          <w:szCs w:val="20"/>
          <w:color w:val="auto"/>
        </w:rPr>
        <w:t>By accepting the Award, you understand and agree that any modification of the Plan or the Award Agreement or its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shall not constitute a change or impairment of the terms and conditions of your employment.</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Policy Statement. </w:t>
      </w:r>
      <w:r>
        <w:rPr>
          <w:rFonts w:ascii="Arial" w:cs="Arial" w:eastAsia="Arial" w:hAnsi="Arial"/>
          <w:sz w:val="20"/>
          <w:szCs w:val="20"/>
          <w:color w:val="auto"/>
        </w:rPr>
        <w:t>The grant of the Award made under the Plan is unilateral and discretionary and, therefore, the Company reserves the</w:t>
      </w:r>
      <w:r>
        <w:rPr>
          <w:rFonts w:ascii="Arial" w:cs="Arial" w:eastAsia="Arial" w:hAnsi="Arial"/>
          <w:sz w:val="20"/>
          <w:szCs w:val="20"/>
          <w:i w:val="1"/>
          <w:iCs w:val="1"/>
          <w:color w:val="auto"/>
        </w:rPr>
        <w:t xml:space="preserve"> </w:t>
      </w:r>
      <w:r>
        <w:rPr>
          <w:rFonts w:ascii="Arial" w:cs="Arial" w:eastAsia="Arial" w:hAnsi="Arial"/>
          <w:sz w:val="20"/>
          <w:szCs w:val="20"/>
          <w:color w:val="auto"/>
        </w:rPr>
        <w:t>absolute right to amend it and discontinue it at any time without any liability.</w:t>
      </w:r>
    </w:p>
    <w:p>
      <w:pPr>
        <w:sectPr>
          <w:pgSz w:w="11900" w:h="16838" w:orient="portrait"/>
          <w:cols w:equalWidth="0" w:num="1">
            <w:col w:w="11240"/>
          </w:cols>
          <w:pgMar w:left="320" w:top="1419" w:right="339" w:bottom="1440" w:gutter="0" w:footer="0" w:header="0"/>
        </w:sectPr>
      </w:pPr>
    </w:p>
    <w:bookmarkStart w:id="142" w:name="page143"/>
    <w:bookmarkEnd w:id="142"/>
    <w:p>
      <w:pPr>
        <w:jc w:val="both"/>
        <w:spacing w:after="0" w:line="242" w:lineRule="auto"/>
        <w:rPr>
          <w:sz w:val="20"/>
          <w:szCs w:val="20"/>
          <w:color w:val="auto"/>
        </w:rPr>
      </w:pPr>
      <w:r>
        <w:rPr>
          <w:rFonts w:ascii="Arial" w:cs="Arial" w:eastAsia="Arial" w:hAnsi="Arial"/>
          <w:sz w:val="19"/>
          <w:szCs w:val="19"/>
          <w:color w:val="auto"/>
        </w:rPr>
        <w:t>The Company with registered offices at 229 W. 43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Street,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Plan Document Acknowledgment</w:t>
      </w:r>
    </w:p>
    <w:p>
      <w:pPr>
        <w:spacing w:after="0" w:line="135"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By accepting the grant of Award, you acknowledge that you have received copies of the Plan, have reviewed the Plan and the Award Agreement in their entirety and fully understand and accept all provisions of the Plan and the Award Agreement.</w:t>
      </w:r>
    </w:p>
    <w:p>
      <w:pPr>
        <w:spacing w:after="0" w:line="115"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In addition, by signing the Award Agreement, you further acknowledge that you have read and specifically and expressly approve the terms and conditions in Section 11 of the Award Agreement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Prohibition Against Insider Trading</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You should be aware of the Dutch insider trading rules, which may affect the sale of shares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Dutch securities laws prohibit insider trading. As of 3 July 2016, the European Market Abuse Regulation (MAR), is applicable in the Netherlands. For further information, Participant is referred to the website of the Authority for the Financial Markets (AFM): https://www.afm.nl/en/professionals/onderwerpen/marktmisbruik.</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the EU Prospectus Directive as implemented in the Netherlands.</w:t>
      </w:r>
    </w:p>
    <w:p>
      <w:pPr>
        <w:sectPr>
          <w:pgSz w:w="11900" w:h="16838" w:orient="portrait"/>
          <w:cols w:equalWidth="0" w:num="1">
            <w:col w:w="11240"/>
          </w:cols>
          <w:pgMar w:left="320" w:top="1419" w:right="339" w:bottom="1440" w:gutter="0" w:footer="0" w:header="0"/>
        </w:sectPr>
      </w:pPr>
    </w:p>
    <w:bookmarkStart w:id="143" w:name="page144"/>
    <w:bookmarkEnd w:id="143"/>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POLAND</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The grant of Award under the Plan is exempt from the requirement to publish a prospectus under the EU Prospectus Regulation as implemented in Poland.</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Exchange Control Information</w:t>
      </w:r>
    </w:p>
    <w:p>
      <w:pPr>
        <w:spacing w:after="0" w:line="216" w:lineRule="exact"/>
        <w:rPr>
          <w:sz w:val="20"/>
          <w:szCs w:val="20"/>
          <w:color w:val="auto"/>
        </w:rPr>
      </w:pPr>
    </w:p>
    <w:p>
      <w:pPr>
        <w:jc w:val="both"/>
        <w:ind w:left="100"/>
        <w:spacing w:after="0" w:line="278" w:lineRule="auto"/>
        <w:rPr>
          <w:sz w:val="20"/>
          <w:szCs w:val="20"/>
          <w:color w:val="auto"/>
        </w:rPr>
      </w:pPr>
      <w:r>
        <w:rPr>
          <w:rFonts w:ascii="Arial" w:cs="Arial" w:eastAsia="Arial" w:hAnsi="Arial"/>
          <w:sz w:val="18"/>
          <w:szCs w:val="18"/>
          <w:color w:val="auto"/>
        </w:rPr>
        <w:t>If you hold foreign securities (including shares of Common Stock) and maintain accounts abroad, you may be required to file certain reports with the National Bank of Poland. Specifically, if the value of securities and cash held in such foreign accounts exceeds PLN 7 million, you must file reports on the transactions 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Employment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In order to meet the requirements of the Plan you shall authorize your employer:</w:t>
      </w:r>
    </w:p>
    <w:p>
      <w:pPr>
        <w:spacing w:after="0" w:line="186" w:lineRule="exact"/>
        <w:rPr>
          <w:sz w:val="20"/>
          <w:szCs w:val="20"/>
          <w:color w:val="auto"/>
        </w:rPr>
      </w:pPr>
    </w:p>
    <w:p>
      <w:pPr>
        <w:ind w:left="740" w:hanging="740"/>
        <w:spacing w:after="0"/>
        <w:tabs>
          <w:tab w:leader="none" w:pos="740" w:val="left"/>
        </w:tabs>
        <w:numPr>
          <w:ilvl w:val="0"/>
          <w:numId w:val="60"/>
        </w:numPr>
        <w:rPr>
          <w:rFonts w:ascii="Arial" w:cs="Arial" w:eastAsia="Arial" w:hAnsi="Arial"/>
          <w:sz w:val="22"/>
          <w:szCs w:val="22"/>
          <w:color w:val="auto"/>
        </w:rPr>
      </w:pPr>
      <w:r>
        <w:rPr>
          <w:rFonts w:ascii="Arial" w:cs="Arial" w:eastAsia="Arial" w:hAnsi="Arial"/>
          <w:sz w:val="20"/>
          <w:szCs w:val="20"/>
          <w:color w:val="auto"/>
        </w:rPr>
        <w:t>to make relevant deductions from your remuneration,</w:t>
      </w:r>
    </w:p>
    <w:p>
      <w:pPr>
        <w:spacing w:after="0" w:line="166" w:lineRule="exact"/>
        <w:rPr>
          <w:sz w:val="20"/>
          <w:szCs w:val="20"/>
          <w:color w:val="auto"/>
        </w:rPr>
      </w:pPr>
    </w:p>
    <w:p>
      <w:pPr>
        <w:ind w:left="740" w:hanging="740"/>
        <w:spacing w:after="0"/>
        <w:tabs>
          <w:tab w:leader="none" w:pos="740" w:val="left"/>
        </w:tabs>
        <w:numPr>
          <w:ilvl w:val="0"/>
          <w:numId w:val="61"/>
        </w:numPr>
        <w:rPr>
          <w:rFonts w:ascii="Arial" w:cs="Arial" w:eastAsia="Arial" w:hAnsi="Arial"/>
          <w:sz w:val="22"/>
          <w:szCs w:val="22"/>
          <w:color w:val="auto"/>
        </w:rPr>
      </w:pPr>
      <w:r>
        <w:rPr>
          <w:rFonts w:ascii="Arial" w:cs="Arial" w:eastAsia="Arial" w:hAnsi="Arial"/>
          <w:sz w:val="20"/>
          <w:szCs w:val="20"/>
          <w:color w:val="auto"/>
        </w:rPr>
        <w:t>to notify the Company about events relevant for your right to continue to participate in the Plan.</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PORTUGAL</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Exchange Control</w:t>
      </w:r>
    </w:p>
    <w:p>
      <w:pPr>
        <w:spacing w:after="0" w:line="227" w:lineRule="exact"/>
        <w:rPr>
          <w:sz w:val="20"/>
          <w:szCs w:val="20"/>
          <w:color w:val="auto"/>
        </w:rPr>
      </w:pPr>
    </w:p>
    <w:p>
      <w:pPr>
        <w:jc w:val="both"/>
        <w:ind w:left="100"/>
        <w:spacing w:after="0" w:line="246" w:lineRule="auto"/>
        <w:rPr>
          <w:sz w:val="20"/>
          <w:szCs w:val="20"/>
          <w:color w:val="auto"/>
        </w:rPr>
      </w:pPr>
      <w:r>
        <w:rPr>
          <w:rFonts w:ascii="Arial" w:cs="Arial" w:eastAsia="Arial" w:hAnsi="Arial"/>
          <w:sz w:val="20"/>
          <w:szCs w:val="20"/>
          <w:color w:val="auto"/>
        </w:rPr>
        <w:t>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Securities Disclaimer</w:t>
      </w:r>
    </w:p>
    <w:p>
      <w:pPr>
        <w:spacing w:after="0" w:line="243"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The grant of the Award is exempt or excluded from the requirement to publish a prospectus under EU Prospectus Regulation as implemented in Portugal.</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SINGAPORE</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Securities Law Information</w:t>
      </w:r>
    </w:p>
    <w:p>
      <w:pPr>
        <w:spacing w:after="0" w:line="81" w:lineRule="exact"/>
        <w:rPr>
          <w:sz w:val="20"/>
          <w:szCs w:val="20"/>
          <w:color w:val="auto"/>
        </w:rPr>
      </w:pPr>
    </w:p>
    <w:p>
      <w:pPr>
        <w:jc w:val="both"/>
        <w:ind w:left="100"/>
        <w:spacing w:after="0" w:line="291" w:lineRule="auto"/>
        <w:rPr>
          <w:sz w:val="20"/>
          <w:szCs w:val="20"/>
          <w:color w:val="auto"/>
        </w:rPr>
      </w:pPr>
      <w:r>
        <w:rPr>
          <w:rFonts w:ascii="Arial" w:cs="Arial" w:eastAsia="Arial" w:hAnsi="Arial"/>
          <w:sz w:val="18"/>
          <w:szCs w:val="18"/>
          <w:color w:val="auto"/>
        </w:rPr>
        <w:t>The grant of the Award is being made pursuant to the “Qualifying Person” exemption under section 273(1)(f) of the Singapore Securities and Futures Act (Chapter 289, 2006 Ed.) (“SFA”). The Plan has not been lodged or registered as a prospectus with the Monetary Authority of Singapore. You should note that the Award is subject to section 257 of the SFA and you will not be able to make any subsequent sale</w:t>
      </w:r>
    </w:p>
    <w:p>
      <w:pPr>
        <w:sectPr>
          <w:pgSz w:w="11900" w:h="16838" w:orient="portrait"/>
          <w:cols w:equalWidth="0" w:num="1">
            <w:col w:w="11340"/>
          </w:cols>
          <w:pgMar w:left="220" w:top="1440" w:right="339" w:bottom="1440" w:gutter="0" w:footer="0" w:header="0"/>
        </w:sectPr>
      </w:pPr>
    </w:p>
    <w:bookmarkStart w:id="144" w:name="page145"/>
    <w:bookmarkEnd w:id="144"/>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Singapore of the shares acquired through the vesting of the Award or any offer of such sale in Singapore unless such sale or offer is made pursuant to the exemptions under Part XIII Division (1) Subdivision (4) (other than section 280) of the SFA.</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Notification Obligation</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SPAIN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17 of the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In accepting the Award, you consent to participate in the Plan and acknowledge that you have received a copy of the Plan.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w:t>
      </w:r>
    </w:p>
    <w:p>
      <w:pPr>
        <w:sectPr>
          <w:pgSz w:w="11900" w:h="16838" w:orient="portrait"/>
          <w:cols w:equalWidth="0" w:num="1">
            <w:col w:w="11240"/>
          </w:cols>
          <w:pgMar w:left="320" w:top="1440"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w:t>
      </w:r>
      <w:r>
        <w:rPr>
          <w:rFonts w:ascii="Arial" w:cs="Arial" w:eastAsia="Arial" w:hAnsi="Arial"/>
          <w:sz w:val="18"/>
          <w:szCs w:val="18"/>
          <w:i w:val="1"/>
          <w:iCs w:val="1"/>
          <w:color w:val="auto"/>
        </w:rPr>
        <w:t>Comisión National del Mercado de Valores</w:t>
      </w:r>
      <w:r>
        <w:rPr>
          <w:rFonts w:ascii="Arial" w:cs="Arial" w:eastAsia="Arial" w:hAnsi="Arial"/>
          <w:sz w:val="18"/>
          <w:szCs w:val="18"/>
          <w:color w:val="auto"/>
        </w:rPr>
        <w:t xml:space="preserve"> and do not constitute a public offering prospectus.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 Information</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acquisition, ownership and disposition of shares of Stock and must be declared for statistical purposes to the </w:t>
      </w:r>
      <w:r>
        <w:rPr>
          <w:rFonts w:ascii="Arial" w:cs="Arial" w:eastAsia="Arial" w:hAnsi="Arial"/>
          <w:sz w:val="18"/>
          <w:szCs w:val="18"/>
          <w:i w:val="1"/>
          <w:iCs w:val="1"/>
          <w:color w:val="auto"/>
        </w:rPr>
        <w:t>Dirección General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Comercio e Inversiones </w:t>
      </w:r>
      <w:r>
        <w:rPr>
          <w:rFonts w:ascii="Arial" w:cs="Arial" w:eastAsia="Arial" w:hAnsi="Arial"/>
          <w:sz w:val="18"/>
          <w:szCs w:val="18"/>
          <w:color w:val="auto"/>
        </w:rPr>
        <w:t>(the “DGCI”), which is a department of the Ministry of Economy and Competitiveness. If you acquire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through the 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Asset/Account Reporting Information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the extent you hold rights or assets outside of Spain with a value in excess of €50,000 per type of right or asset (</w:t>
      </w:r>
      <w:r>
        <w:rPr>
          <w:rFonts w:ascii="Arial" w:cs="Arial" w:eastAsia="Arial" w:hAnsi="Arial"/>
          <w:sz w:val="20"/>
          <w:szCs w:val="20"/>
          <w:i w:val="1"/>
          <w:iCs w:val="1"/>
          <w:color w:val="auto"/>
        </w:rPr>
        <w:t>e.g.</w:t>
      </w:r>
      <w:r>
        <w:rPr>
          <w:rFonts w:ascii="Arial" w:cs="Arial" w:eastAsia="Arial" w:hAnsi="Arial"/>
          <w:sz w:val="20"/>
          <w:szCs w:val="20"/>
          <w:color w:val="auto"/>
        </w:rPr>
        <w:t>,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SWEDEN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Securities Disclosure</w:t>
      </w:r>
    </w:p>
    <w:p>
      <w:pPr>
        <w:spacing w:after="0" w:line="162" w:lineRule="exact"/>
        <w:rPr>
          <w:sz w:val="20"/>
          <w:szCs w:val="20"/>
          <w:color w:val="auto"/>
        </w:rPr>
      </w:pPr>
    </w:p>
    <w:p>
      <w:pPr>
        <w:jc w:val="both"/>
        <w:ind w:left="20"/>
        <w:spacing w:after="0" w:line="260" w:lineRule="auto"/>
        <w:rPr>
          <w:sz w:val="20"/>
          <w:szCs w:val="20"/>
          <w:color w:val="auto"/>
        </w:rPr>
      </w:pPr>
      <w:r>
        <w:rPr>
          <w:rFonts w:ascii="Arial" w:cs="Arial" w:eastAsia="Arial" w:hAnsi="Arial"/>
          <w:sz w:val="20"/>
          <w:szCs w:val="20"/>
          <w:color w:val="auto"/>
        </w:rPr>
        <w:t>Your participation in the Plan and the grant of the Award are exempt from the requirement to publish a prospectus under the EU Prospectus Directive as implemented in Sweden.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Exchange Control</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w:t>
      </w:r>
    </w:p>
    <w:p>
      <w:pPr>
        <w:sectPr>
          <w:pgSz w:w="11900" w:h="16838" w:orient="portrait"/>
          <w:cols w:equalWidth="0" w:num="1">
            <w:col w:w="11240"/>
          </w:cols>
          <w:pgMar w:left="320" w:top="1419" w:right="339" w:bottom="1440" w:gutter="0" w:footer="0" w:header="0"/>
        </w:sectPr>
      </w:pPr>
    </w:p>
    <w:bookmarkStart w:id="146" w:name="page147"/>
    <w:bookmarkEnd w:id="146"/>
    <w:p>
      <w:pPr>
        <w:jc w:val="both"/>
        <w:spacing w:after="0" w:line="260" w:lineRule="auto"/>
        <w:rPr>
          <w:sz w:val="20"/>
          <w:szCs w:val="20"/>
          <w:color w:val="auto"/>
        </w:rPr>
      </w:pPr>
      <w:r>
        <w:rPr>
          <w:rFonts w:ascii="Arial" w:cs="Arial" w:eastAsia="Arial" w:hAnsi="Arial"/>
          <w:sz w:val="20"/>
          <w:szCs w:val="20"/>
          <w:color w:val="auto"/>
        </w:rPr>
        <w:t>on behalf of the Swedish Central Bank (Sw.Riksbanken). This requirement may apply even if you have a brokerage account with a foreign broker.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SWITZERLAND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Notification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Award is considered a private offering and therefore is not subject to securities registration in Switzerland.</w:t>
      </w:r>
    </w:p>
    <w:p>
      <w:pPr>
        <w:spacing w:after="0" w:line="156"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21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Neither the Plan nor the Award are registered in Taiwan with the Securities and Futures Bureau or subject to the securities laws of Taiwan.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ARAB EMIRATES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Information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w:t>
      </w:r>
    </w:p>
    <w:p>
      <w:pPr>
        <w:spacing w:after="0" w:line="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Disclaimer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the Award is exempt from the requirement to publish a prospectus under the EU Prospectus Directive as implemented in the UK.</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Award Agreement is not an approved prospectus for the purposes of section 85(1) of the Financial Services and Markets Act 2000 (“FSMA”) and no offer of transferable securities to the public (for the purposes of section 102B of FSMA) is being made in connection with the Plan. The Plan and the Award s are exclusively available in the UK to bona fide employees and former employees and any other UK Subsidiary.</w:t>
      </w:r>
    </w:p>
    <w:p>
      <w:pPr>
        <w:sectPr>
          <w:pgSz w:w="11900" w:h="16838" w:orient="portrait"/>
          <w:cols w:equalWidth="0" w:num="1">
            <w:col w:w="11240"/>
          </w:cols>
          <w:pgMar w:left="320" w:top="1419"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7020" w:type="dxa"/>
            <w:vAlign w:val="bottom"/>
            <w:gridSpan w:val="3"/>
          </w:tcPr>
          <w:p>
            <w:pPr>
              <w:ind w:left="860"/>
              <w:spacing w:after="0"/>
              <w:rPr>
                <w:sz w:val="20"/>
                <w:szCs w:val="20"/>
                <w:color w:val="auto"/>
              </w:rPr>
            </w:pPr>
            <w:r>
              <w:rPr>
                <w:rFonts w:ascii="Arial" w:cs="Arial" w:eastAsia="Arial" w:hAnsi="Arial"/>
                <w:sz w:val="18"/>
                <w:szCs w:val="18"/>
                <w:b w:val="1"/>
                <w:bCs w:val="1"/>
                <w:color w:val="auto"/>
              </w:rPr>
              <w:t>List of Subsidiaries of MongoDB, Inc.</w:t>
            </w:r>
          </w:p>
        </w:tc>
      </w:tr>
      <w:tr>
        <w:trPr>
          <w:trHeight w:val="351"/>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MongoDB Limited</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0320"/>
          </w:cols>
          <w:pgMar w:left="124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80"/>
        <w:spacing w:after="0" w:line="212" w:lineRule="exact"/>
        <w:rPr>
          <w:sz w:val="20"/>
          <w:szCs w:val="20"/>
          <w:color w:val="auto"/>
        </w:rPr>
      </w:pPr>
      <w:r>
        <w:rPr>
          <w:rFonts w:ascii="Arial" w:cs="Arial" w:eastAsia="Arial" w:hAnsi="Arial"/>
          <w:sz w:val="18"/>
          <w:szCs w:val="18"/>
          <w:color w:val="auto"/>
        </w:rPr>
        <w:t>We hereby consent to the incorporation by reference in the Registration Statements on Form S-8 (No. 333-221028, 333-224058, 333-230661 and 333-237570) of MongoDB, Inc. of our report dated March 22, 2021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ectPr>
          <w:pgSz w:w="11900" w:h="16838" w:orient="portrait"/>
          <w:cols w:equalWidth="0" w:num="1">
            <w:col w:w="11240"/>
          </w:cols>
          <w:pgMar w:left="320" w:top="36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2021;</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1040"/>
        <w:spacing w:after="0"/>
        <w:tabs>
          <w:tab w:leader="none" w:pos="5800" w:val="left"/>
          <w:tab w:leader="none" w:pos="700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2021;</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0086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Annual Report on Form 10-K of MongoDB, Inc. for the fiscal year ended January 31, 2021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60"/>
        <w:spacing w:after="0"/>
        <w:tabs>
          <w:tab w:leader="none" w:pos="5780" w:val="left"/>
          <w:tab w:leader="none" w:pos="698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24942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9" w:lineRule="exact"/>
        <w:rPr>
          <w:sz w:val="20"/>
          <w:szCs w:val="20"/>
          <w:color w:val="auto"/>
        </w:rPr>
      </w:pPr>
    </w:p>
    <w:p>
      <w:pPr>
        <w:ind w:left="6300"/>
        <w:spacing w:after="0"/>
        <w:tabs>
          <w:tab w:leader="none" w:pos="69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00"/>
        <w:spacing w:after="0"/>
        <w:tabs>
          <w:tab w:leader="none" w:pos="69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33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Annual Report on Form 10-K of MongoDB, Inc. for the fiscal year ended January 31, 2021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0086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33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lowerRoman"/>
      <w:start w:val="1"/>
    </w:lvl>
  </w:abstractNum>
  <w:abstractNum w:abstractNumId="27">
    <w:nsid w:val="7A6D8D3C"/>
    <w:multiLevelType w:val="hybridMultilevel"/>
    <w:lvl w:ilvl="0">
      <w:lvlJc w:val="left"/>
      <w:lvlText w:val="(%1)"/>
      <w:numFmt w:val="lowerRoman"/>
      <w:start w:val="3"/>
    </w:lvl>
  </w:abstractNum>
  <w:abstractNum w:abstractNumId="28">
    <w:nsid w:val="4B588F54"/>
    <w:multiLevelType w:val="hybridMultilevel"/>
    <w:lvl w:ilvl="0">
      <w:lvlJc w:val="left"/>
      <w:lvlText w:val="%1"/>
      <w:numFmt w:val="decimal"/>
      <w:start w:val="997"/>
    </w:lvl>
  </w:abstractNum>
  <w:abstractNum w:abstractNumId="29">
    <w:nsid w:val="542289EC"/>
    <w:multiLevelType w:val="hybridMultilevel"/>
    <w:lvl w:ilvl="0">
      <w:lvlJc w:val="left"/>
      <w:lvlText w:val="\emdash "/>
      <w:numFmt w:val="bullet"/>
      <w:start w:val="1"/>
    </w:lvl>
  </w:abstractNum>
  <w:abstractNum w:abstractNumId="30">
    <w:nsid w:val="6DE91B18"/>
    <w:multiLevelType w:val="hybridMultilevel"/>
    <w:lvl w:ilvl="0">
      <w:lvlJc w:val="left"/>
      <w:lvlText w:val="(%1)"/>
      <w:numFmt w:val="decimal"/>
      <w:start w:val="704"/>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lowerRoman"/>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lvl w:ilvl="1">
      <w:lvlJc w:val="left"/>
      <w:lvlText w:val="%2"/>
      <w:numFmt w:val="decimal"/>
      <w:start w:val="104"/>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5"/>
    </w:lvl>
    <w:lvl w:ilvl="1">
      <w:lvlJc w:val="left"/>
      <w:lvlText w:val="(%2)"/>
      <w:numFmt w:val="lowerLetter"/>
      <w:start w:val="1"/>
    </w:lvl>
  </w:abstractNum>
  <w:abstractNum w:abstractNumId="44">
    <w:nsid w:val="374A3FE6"/>
    <w:multiLevelType w:val="hybridMultilevel"/>
    <w:lvl w:ilvl="0">
      <w:lvlJc w:val="left"/>
      <w:lvlText w:val="%1"/>
      <w:numFmt w:val="decimal"/>
      <w:start w:val="1"/>
    </w:lvl>
    <w:lvl w:ilvl="1">
      <w:lvlJc w:val="left"/>
      <w:lvlText w:val="(%2)"/>
      <w:numFmt w:val="lowerLetter"/>
      <w:start w:val="3"/>
    </w:lvl>
  </w:abstractNum>
  <w:abstractNum w:abstractNumId="45">
    <w:nsid w:val="4F4EF005"/>
    <w:multiLevelType w:val="hybridMultilevel"/>
    <w:lvl w:ilvl="0">
      <w:lvlJc w:val="left"/>
      <w:lvlText w:val="%1."/>
      <w:numFmt w:val="decimal"/>
      <w:start w:val="7"/>
    </w:lvl>
    <w:lvl w:ilvl="1">
      <w:lvlJc w:val="left"/>
      <w:lvlText w:val="(%2)"/>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2"/>
    </w:lvl>
  </w:abstractNum>
  <w:abstractNum w:abstractNumId="47">
    <w:nsid w:val="649BB77C"/>
    <w:multiLevelType w:val="hybridMultilevel"/>
    <w:lvl w:ilvl="0">
      <w:lvlJc w:val="left"/>
      <w:lvlText w:val="%1."/>
      <w:numFmt w:val="decimal"/>
      <w:start w:val="11"/>
    </w:lvl>
    <w:lvl w:ilvl="1">
      <w:lvlJc w:val="left"/>
      <w:lvlText w:val="(%2)"/>
      <w:numFmt w:val="lowerLetter"/>
      <w:start w:val="1"/>
    </w:lvl>
  </w:abstractNum>
  <w:abstractNum w:abstractNumId="48">
    <w:nsid w:val="275AC794"/>
    <w:multiLevelType w:val="hybridMultilevel"/>
    <w:lvl w:ilvl="0">
      <w:lvlJc w:val="left"/>
      <w:lvlText w:val="%1"/>
      <w:numFmt w:val="decimal"/>
      <w:start w:val="1"/>
    </w:lvl>
    <w:lvl w:ilvl="1">
      <w:lvlJc w:val="left"/>
      <w:lvlText w:val="(%2)"/>
      <w:numFmt w:val="lowerLetter"/>
      <w:start w:val="2"/>
    </w:lvl>
  </w:abstractNum>
  <w:abstractNum w:abstractNumId="49">
    <w:nsid w:val="39386575"/>
    <w:multiLevelType w:val="hybridMultilevel"/>
    <w:lvl w:ilvl="0">
      <w:lvlJc w:val="left"/>
      <w:lvlText w:val="%1."/>
      <w:numFmt w:val="decimal"/>
      <w:start w:val="12"/>
    </w:lvl>
    <w:lvl w:ilvl="1">
      <w:lvlJc w:val="left"/>
      <w:lvlText w:val="%2"/>
      <w:numFmt w:val="lowerLetter"/>
      <w:start w:val="1"/>
    </w:lvl>
  </w:abstractNum>
  <w:abstractNum w:abstractNumId="50">
    <w:nsid w:val="1CF10FD8"/>
    <w:multiLevelType w:val="hybridMultilevel"/>
    <w:lvl w:ilvl="0">
      <w:lvlJc w:val="left"/>
      <w:lvlText w:val="%1."/>
      <w:numFmt w:val="decimal"/>
      <w:start w:val="14"/>
    </w:lvl>
    <w:lvl w:ilvl="1">
      <w:lvlJc w:val="left"/>
      <w:lvlText w:val="(%2)"/>
      <w:numFmt w:val="lowerLetter"/>
      <w:start w:val="1"/>
    </w:lvl>
  </w:abstractNum>
  <w:abstractNum w:abstractNumId="51">
    <w:nsid w:val="180115BE"/>
    <w:multiLevelType w:val="hybridMultilevel"/>
    <w:lvl w:ilvl="0">
      <w:lvlJc w:val="left"/>
      <w:lvlText w:val="%1"/>
      <w:numFmt w:val="decimal"/>
      <w:start w:val="1"/>
    </w:lvl>
    <w:lvl w:ilvl="1">
      <w:lvlJc w:val="left"/>
      <w:lvlText w:val="(%2)"/>
      <w:numFmt w:val="lowerLetter"/>
      <w:start w:val="2"/>
    </w:lvl>
  </w:abstractNum>
  <w:abstractNum w:abstractNumId="52">
    <w:nsid w:val="235BA861"/>
    <w:multiLevelType w:val="hybridMultilevel"/>
    <w:lvl w:ilvl="0">
      <w:lvlJc w:val="left"/>
      <w:lvlText w:val="%1."/>
      <w:numFmt w:val="decimal"/>
      <w:start w:val="18"/>
    </w:lvl>
    <w:lvl w:ilvl="1">
      <w:lvlJc w:val="left"/>
      <w:lvlText w:val="%2"/>
      <w:numFmt w:val="lowerLetter"/>
      <w:start w:val="1"/>
    </w:lvl>
  </w:abstractNum>
  <w:abstractNum w:abstractNumId="53">
    <w:nsid w:val="47398C89"/>
    <w:multiLevelType w:val="hybridMultilevel"/>
    <w:lvl w:ilvl="0">
      <w:lvlJc w:val="left"/>
      <w:lvlText w:val="%1."/>
      <w:numFmt w:val="decimal"/>
      <w:start w:val="21"/>
    </w:lvl>
  </w:abstractNum>
  <w:abstractNum w:abstractNumId="54">
    <w:nsid w:val="354FE9F9"/>
    <w:multiLevelType w:val="hybridMultilevel"/>
    <w:lvl w:ilvl="0">
      <w:lvlJc w:val="left"/>
      <w:lvlText w:val="%1."/>
      <w:numFmt w:val="decimal"/>
      <w:start w:val="27"/>
    </w:lvl>
  </w:abstractNum>
  <w:abstractNum w:abstractNumId="55">
    <w:nsid w:val="15B5AF5C"/>
    <w:multiLevelType w:val="hybridMultilevel"/>
    <w:lvl w:ilvl="0">
      <w:lvlJc w:val="left"/>
      <w:lvlText w:val="(%1)"/>
      <w:numFmt w:val="lowerRoman"/>
      <w:start w:val="1"/>
    </w:lvl>
  </w:abstractNum>
  <w:abstractNum w:abstractNumId="56">
    <w:nsid w:val="741226BB"/>
    <w:multiLevelType w:val="hybridMultilevel"/>
    <w:lvl w:ilvl="0">
      <w:lvlJc w:val="left"/>
      <w:lvlText w:val="%1."/>
      <w:numFmt w:val="lowerRoman"/>
      <w:start w:val="1"/>
    </w:lvl>
  </w:abstractNum>
  <w:abstractNum w:abstractNumId="57">
    <w:nsid w:val="D34B6A8"/>
    <w:multiLevelType w:val="hybridMultilevel"/>
    <w:lvl w:ilvl="0">
      <w:lvlJc w:val="left"/>
      <w:lvlText w:val="%1."/>
      <w:numFmt w:val="lowerRoman"/>
      <w:start w:val="1"/>
    </w:lvl>
  </w:abstractNum>
  <w:abstractNum w:abstractNumId="58">
    <w:nsid w:val="10233C99"/>
    <w:multiLevelType w:val="hybridMultilevel"/>
    <w:lvl w:ilvl="0">
      <w:lvlJc w:val="left"/>
      <w:lvlText w:val="%1."/>
      <w:numFmt w:val="decimal"/>
      <w:start w:val="102"/>
    </w:lvl>
  </w:abstractNum>
  <w:abstractNum w:abstractNumId="59">
    <w:nsid w:val="3F6AB60F"/>
    <w:multiLevelType w:val="hybridMultilevel"/>
    <w:lvl w:ilvl="0">
      <w:lvlJc w:val="left"/>
      <w:lvlText w:val="%1."/>
      <w:numFmt w:val="lowerRoman"/>
      <w:start w:val="1"/>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185" Type="http://schemas.openxmlformats.org/officeDocument/2006/relationships/hyperlink" Target="http://www.sec.gov/Archives/edgar/data/1441816/000144181618000140/mdb-103118x10qxex21.htm" TargetMode="External"/><Relationship Id="rId186" Type="http://schemas.openxmlformats.org/officeDocument/2006/relationships/hyperlink" Target="http://www.sec.gov/Archives/edgar/data/1441816/000110465917063753/a17-24439_1ex3d1.htm" TargetMode="External"/><Relationship Id="rId187" Type="http://schemas.openxmlformats.org/officeDocument/2006/relationships/hyperlink" Target="http://www.sec.gov/Archives/edgar/data/1441816/000104746917006014/a2233365zex-3_4.htm" TargetMode="External"/><Relationship Id="rId188" Type="http://schemas.openxmlformats.org/officeDocument/2006/relationships/hyperlink" Target="https://www.sec.gov/Archives/edgar/data/0001441816/000144181620000114/mdb-certificateofretir.htm" TargetMode="External"/><Relationship Id="rId189" Type="http://schemas.openxmlformats.org/officeDocument/2006/relationships/hyperlink" Target="http://www.sec.gov/Archives/edgar/data/1441816/000104746917006246/a2233386zex-4_1.htm" TargetMode="External"/><Relationship Id="rId190" Type="http://schemas.openxmlformats.org/officeDocument/2006/relationships/hyperlink" Target="http://www.sec.gov/Archives/edgar/data/1441816/000104746917006014/a2233365zex-4_2.htm" TargetMode="External"/><Relationship Id="rId191" Type="http://schemas.openxmlformats.org/officeDocument/2006/relationships/hyperlink" Target="http://www.sec.gov/Archives/edgar/data/1441816/000110465918042924/a18-16173_1ex4d1.htm" TargetMode="External"/><Relationship Id="rId192" Type="http://schemas.openxmlformats.org/officeDocument/2006/relationships/hyperlink" Target="http://www.sec.gov/Archives/edgar/data/1441816/000110465918042924/a18-16173_1ex4d1.htm#Exhibit4_1_095957" TargetMode="External"/><Relationship Id="rId193" Type="http://schemas.openxmlformats.org/officeDocument/2006/relationships/hyperlink" Target="https://www.sec.gov/Archives/edgar/data/1441816/000110465920003938/tm201523d2_ex4-1.htm" TargetMode="External"/><Relationship Id="rId194" Type="http://schemas.openxmlformats.org/officeDocument/2006/relationships/hyperlink" Target="http://www.sec.gov/Archives/edgar/data/1441816/000104746917006014/a2233365zex-10_1.htm" TargetMode="External"/><Relationship Id="rId195" Type="http://schemas.openxmlformats.org/officeDocument/2006/relationships/hyperlink" Target="http://www.sec.gov/Archives/edgar/data/1441816/000104746917006246/a2233386zex-10_2.htm" TargetMode="External"/><Relationship Id="rId196" Type="http://schemas.openxmlformats.org/officeDocument/2006/relationships/hyperlink" Target="http://www.sec.gov/Archives/edgar/data/1441816/000144181618000028/mdb-13118x10kxex103.htm" TargetMode="External"/><Relationship Id="rId197" Type="http://schemas.openxmlformats.org/officeDocument/2006/relationships/hyperlink" Target="http://www.sec.gov/Archives/edgar/data/1441816/000104746917006246/a2233386zex-10_3.htm" TargetMode="External"/><Relationship Id="rId198" Type="http://schemas.openxmlformats.org/officeDocument/2006/relationships/hyperlink" Target="http://www.sec.gov/Archives/edgar/data/1441816/000104746917006246/a2233386zex-10_4.htm" TargetMode="External"/><Relationship Id="rId199" Type="http://schemas.openxmlformats.org/officeDocument/2006/relationships/hyperlink" Target="http://www.sec.gov/Archives/edgar/data/1441816/000104746917006014/a2233365zex-10_5.htm" TargetMode="External"/><Relationship Id="rId200" Type="http://schemas.openxmlformats.org/officeDocument/2006/relationships/hyperlink" Target="http://www.sec.gov/Archives/edgar/data/1441816/000104746917006246/a2233386zex-10_6.htm" TargetMode="External"/><Relationship Id="rId204" Type="http://schemas.openxmlformats.org/officeDocument/2006/relationships/hyperlink" Target="https://www.sec.gov/Archives/edgar/data/1441816/000104746917006246/a2233386zex-10_8.htm" TargetMode="External"/><Relationship Id="rId205" Type="http://schemas.openxmlformats.org/officeDocument/2006/relationships/hyperlink" Target="http://www.sec.gov/Archives/edgar/data/1441816/000104746917006246/a2233386zex-10_9.htm" TargetMode="External"/><Relationship Id="rId206" Type="http://schemas.openxmlformats.org/officeDocument/2006/relationships/hyperlink" Target="https://www.sec.gov/Archives/edgar/data/1441816/000144181619000109/mdb-043019x10qxex101.htm" TargetMode="External"/><Relationship Id="rId207" Type="http://schemas.openxmlformats.org/officeDocument/2006/relationships/hyperlink" Target="https://www.sec.gov/Archives/edgar/data/0001441816/000144181620000176/mdb-07x31x20x10qxex101.htm" TargetMode="External"/><Relationship Id="rId208" Type="http://schemas.openxmlformats.org/officeDocument/2006/relationships/hyperlink" Target="http://www.sec.gov/Archives/edgar/data/1441816/000144181618000028/mdb-1318x10kxex1012.htm" TargetMode="External"/><Relationship Id="rId209" Type="http://schemas.openxmlformats.org/officeDocument/2006/relationships/hyperlink" Target="http://www.sec.gov/Archives/edgar/data/1441816/000110465918042924/a18-16173_1ex99d1.htm#Exhibit99_1_050204" TargetMode="External"/><Relationship Id="rId210" Type="http://schemas.openxmlformats.org/officeDocument/2006/relationships/hyperlink" Target="http://www.sec.gov/Archives/edgar/data/1441816/000110465918042924/a18-16173_1ex99d2.htm#Exhibit99_2_052450" TargetMode="External"/><Relationship Id="rId211" Type="http://schemas.openxmlformats.org/officeDocument/2006/relationships/hyperlink" Target="https://www.sec.gov/Archives/edgar/data/1441816/000110465918042924/a18-16173_1ex99d1.htm" TargetMode="External"/><Relationship Id="rId212" Type="http://schemas.openxmlformats.org/officeDocument/2006/relationships/hyperlink" Target="https://www.sec.gov/Archives/edgar/data/1441816/000110465918042924/a18-161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2021-03-22T15:44:07Z</dcterms:created>
  <dcterms:modified xsi:type="dcterms:W3CDTF">2021-03-22T15:44:07Z</dcterms:modified>
</cp:coreProperties>
</file>