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(Amendment No.</w:t>
      </w:r>
      <w:r>
        <w:rPr>
          <w:color w:val="000000"/>
          <w:u w:val="single"/>
        </w:rPr>
        <w:t> </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by the Registrant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Preliminary Proxy Statement</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Confidential, for Use of the Commission Only (as permitted by Rule 14a-6(e)(2))</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Definitive Proxy Statement</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Definitive Additional Materials</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Soliciting Material Pursuant to § 240.14a-12</w:t>
      </w:r>
    </w:p>
    <w:p>
      <w:pPr>
        <w:pStyle w:val="TextBody"/>
        <w:bidi w:val="0"/>
        <w:spacing w:before="0" w:after="0"/>
        <w:ind w:left="0" w:right="0" w:hanging="54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MONGODB,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w:t>
            </w:r>
          </w:p>
        </w:tc>
        <w:tc>
          <w:tcPr>
            <w:tcW w:w="8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drawing>
          <wp:inline distT="0" distB="0" distL="0" distR="0">
            <wp:extent cx="3000375" cy="7715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000375" cy="771525"/>
                    </a:xfrm>
                    <a:prstGeom prst="rect">
                      <a:avLst/>
                    </a:prstGeom>
                  </pic:spPr>
                </pic:pic>
              </a:graphicData>
            </a:graphic>
          </wp:inline>
        </w:drawing>
      </w:r>
      <w:bookmarkStart w:id="0" w:name="i-1"/>
      <w:bookmarkEnd w:id="0"/>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MongoDB, Inc.</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1633 Broadway, 38th Floor</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60" w:after="60"/>
        <w:jc w:val="center"/>
        <w:rPr>
          <w:rFonts w:ascii="Times New Roman;serif" w:hAnsi="Times New Roman;serif"/>
          <w:b/>
          <w:color w:val="000000"/>
          <w:sz w:val="28"/>
        </w:rPr>
      </w:pPr>
      <w:r>
        <w:rPr>
          <w:rFonts w:ascii="Times New Roman;serif" w:hAnsi="Times New Roman;serif"/>
          <w:b/>
          <w:color w:val="000000"/>
          <w:sz w:val="28"/>
        </w:rPr>
        <w:t>Notice of Annual Meeting of Stockholders</w:t>
      </w:r>
    </w:p>
    <w:p>
      <w:pPr>
        <w:pStyle w:val="TextBody"/>
        <w:bidi w:val="0"/>
        <w:spacing w:lineRule="auto" w:line="288" w:before="60" w:after="120"/>
        <w:jc w:val="center"/>
        <w:rPr>
          <w:rFonts w:ascii="Times New Roman;serif" w:hAnsi="Times New Roman;serif"/>
          <w:b/>
          <w:color w:val="000000"/>
          <w:sz w:val="28"/>
        </w:rPr>
      </w:pPr>
      <w:r>
        <w:rPr>
          <w:rFonts w:ascii="Times New Roman;serif" w:hAnsi="Times New Roman;serif"/>
          <w:b/>
          <w:color w:val="000000"/>
          <w:sz w:val="28"/>
        </w:rPr>
        <w:t>To Be Held on June 30, 2026 at 10:00 a.m. Eastern Time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the Stockholders of MongoDB,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behalf of our board of directors, it is our pleasure to invite you to attend the 2026 annual meeting of stockholders of MongoDB, Inc., a Delaware corporation.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meeting will be held virtually, via live webcast at </w:t>
      </w:r>
      <w:r>
        <w:rPr>
          <w:rFonts w:ascii="Times New Roman;serif" w:hAnsi="Times New Roman;serif"/>
          <w:b w:val="false"/>
          <w:i/>
          <w:color w:val="000000"/>
          <w:sz w:val="20"/>
        </w:rPr>
        <w:t>www.virtualshareholdermeeting.com/MDB2026</w:t>
      </w:r>
      <w:r>
        <w:rPr>
          <w:rFonts w:ascii="Times New Roman;serif" w:hAnsi="Times New Roman;serif"/>
          <w:b w:val="false"/>
          <w:color w:val="000000"/>
          <w:sz w:val="20"/>
        </w:rPr>
        <w:t>, originating from New York, New York, on Tuesday, June 30, 2026 at 10:00 a.m. Eastern Time. We believe hosting a virtual meeting enables expanded access for our stockholders, improved communication and cost savings, which in turn lead to increased stockholder attendance and participation from locations around the world. Stockholders attending the virtual meeting will be afforded the same rights and opportunities to participate as they would at an in-person meeting. We encourage you to attend online and participate. The record date for the meeting is May 1, 2026. Only stockholders of record at the close of business on that date may vote at the meeting or any adjournment thereof.</w:t>
      </w:r>
    </w:p>
    <w:p>
      <w:pPr>
        <w:pStyle w:val="TextBody"/>
        <w:bidi w:val="0"/>
        <w:spacing w:lineRule="auto" w:line="288" w:before="0" w:after="12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Whether or not you plan to attend the meeting, we urge you to vote by proxy to ensure your vote is counted.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meeting will be held for the following purposes: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elect three Class III directors, Archana Agrawal, Hope Cochran and Dwight Merriman, each to serve until our annual meeting of stockholders in 2029;</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2.To approve, on a non-binding advisory basis, the compensation of our named executive officers;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3.To ratify the selection of PricewaterhouseCoopers LLP as our independent registered public accounting firm for our fiscal year ending January 31, 2027;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4.To approve an amendment to our Amended and Restated Certificate of Incorporation to eliminate supermajority vote requirements;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5.To conduct any other business properly brought before the meeting or any adjournments or postponements thereof.</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items of business are more fully described in the proxy materials accompanying this notice.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Notice of Internet Availability of Proxy Materials is being mailed, and the attached proxy statement is being made available, to our stockholders beginning on or about May [_],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behalf of the board of directors and the management team, thank you for your investment and interest in MongoDB,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199" w:type="dxa"/>
        <w:jc w:val="right"/>
        <w:tblInd w:w="0" w:type="dxa"/>
        <w:tblLayout w:type="fixed"/>
        <w:tblCellMar>
          <w:top w:w="28" w:type="dxa"/>
          <w:left w:w="28" w:type="dxa"/>
          <w:bottom w:w="28" w:type="dxa"/>
          <w:right w:w="28" w:type="dxa"/>
        </w:tblCellMar>
      </w:tblPr>
      <w:tblGrid>
        <w:gridCol w:w="461"/>
        <w:gridCol w:w="405"/>
        <w:gridCol w:w="408"/>
        <w:gridCol w:w="857"/>
        <w:gridCol w:w="857"/>
        <w:gridCol w:w="1211"/>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828675" cy="533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28675" cy="533400"/>
                          </a:xfrm>
                          <a:prstGeom prst="rect">
                            <a:avLst/>
                          </a:prstGeom>
                        </pic:spPr>
                      </pic:pic>
                    </a:graphicData>
                  </a:graphic>
                </wp:inline>
              </w:drawing>
            </w:r>
            <w:bookmarkStart w:id="1" w:name="i-2"/>
            <w:bookmarkEnd w:id="1"/>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May [_], 2026</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Andrew Stephens</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tbl>
      <w:tblPr>
        <w:tblW w:w="10205" w:type="dxa"/>
        <w:jc w:val="right"/>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 broker, bank or other similar organization and you wish to vote during the meeting, you must follow the instructions from such organization.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color w:val="000000"/>
          <w:sz w:val="28"/>
        </w:rPr>
      </w:pPr>
      <w:r>
        <w:rPr>
          <w:rFonts w:ascii="Times New Roman;serif" w:hAnsi="Times New Roman;serif"/>
          <w:b/>
          <w:color w:val="000000"/>
          <w:sz w:val="28"/>
        </w:rPr>
        <w:t>Table of Contents</w:t>
      </w:r>
    </w:p>
    <w:tbl>
      <w:tblPr>
        <w:tblW w:w="10205" w:type="dxa"/>
        <w:jc w:val="left"/>
        <w:tblInd w:w="0" w:type="dxa"/>
        <w:tblLayout w:type="fixed"/>
        <w:tblCellMar>
          <w:top w:w="28" w:type="dxa"/>
          <w:left w:w="28" w:type="dxa"/>
          <w:bottom w:w="28" w:type="dxa"/>
          <w:right w:w="28" w:type="dxa"/>
        </w:tblCellMar>
      </w:tblPr>
      <w:tblGrid>
        <w:gridCol w:w="3608"/>
        <w:gridCol w:w="3102"/>
        <w:gridCol w:w="3122"/>
        <w:gridCol w:w="109"/>
        <w:gridCol w:w="109"/>
        <w:gridCol w:w="155"/>
      </w:tblGrid>
      <w:tr>
        <w:trPr/>
        <w:tc>
          <w:tcPr>
            <w:tcW w:w="3608"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13">
              <w:r>
                <w:rPr>
                  <w:rStyle w:val="InternetLink"/>
                  <w:rFonts w:ascii="Times New Roman;serif" w:hAnsi="Times New Roman;serif"/>
                  <w:b w:val="false"/>
                  <w:color w:val="0000FF"/>
                  <w:sz w:val="20"/>
                  <w:u w:val="single"/>
                </w:rPr>
                <w:t>Questions and Answers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13">
              <w:r>
                <w:rPr>
                  <w:rStyle w:val="InternetLink"/>
                  <w:rFonts w:ascii="Times New Roman;serif" w:hAnsi="Times New Roman;serif"/>
                  <w:b w:val="false"/>
                  <w:color w:val="0000FF"/>
                  <w:sz w:val="20"/>
                  <w:u w:val="singl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16">
              <w:r>
                <w:rPr>
                  <w:rStyle w:val="InternetLink"/>
                  <w:rFonts w:ascii="Times New Roman;serif" w:hAnsi="Times New Roman;serif"/>
                  <w:b w:val="false"/>
                  <w:color w:val="0000FF"/>
                  <w:sz w:val="20"/>
                  <w:u w:val="single"/>
                </w:rPr>
                <w:t>Board of Directors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16">
              <w:r>
                <w:rPr>
                  <w:rStyle w:val="InternetLink"/>
                  <w:rFonts w:ascii="Times New Roman;serif" w:hAnsi="Times New Roman;serif"/>
                  <w:b w:val="false"/>
                  <w:color w:val="0000FF"/>
                  <w:sz w:val="20"/>
                  <w:u w:val="single"/>
                </w:rPr>
                <w:t>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19">
              <w:r>
                <w:rPr>
                  <w:rStyle w:val="InternetLink"/>
                  <w:rFonts w:ascii="Times New Roman;serif" w:hAnsi="Times New Roman;serif"/>
                  <w:b w:val="false"/>
                  <w:color w:val="0000FF"/>
                  <w:sz w:val="20"/>
                  <w:u w:val="single"/>
                </w:rPr>
                <w:t>Proposal 1 –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19">
              <w:r>
                <w:rPr>
                  <w:rStyle w:val="InternetLink"/>
                  <w:rFonts w:ascii="Times New Roman;serif" w:hAnsi="Times New Roman;serif"/>
                  <w:b w:val="false"/>
                  <w:color w:val="0000FF"/>
                  <w:sz w:val="20"/>
                  <w:u w:val="singl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22">
              <w:r>
                <w:rPr>
                  <w:rStyle w:val="InternetLink"/>
                  <w:rFonts w:ascii="Times New Roman;serif" w:hAnsi="Times New Roman;serif"/>
                  <w:b w:val="false"/>
                  <w:color w:val="0000FF"/>
                  <w:sz w:val="20"/>
                  <w:u w:val="single"/>
                </w:rPr>
                <w:t>Information Regarding Director Nominees and Current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22">
              <w:r>
                <w:rPr>
                  <w:rStyle w:val="InternetLink"/>
                  <w:rFonts w:ascii="Times New Roman;serif" w:hAnsi="Times New Roman;serif"/>
                  <w:b w:val="false"/>
                  <w:color w:val="0000FF"/>
                  <w:sz w:val="20"/>
                  <w:u w:val="single"/>
                </w:rPr>
                <w:t>24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25">
              <w:r>
                <w:rPr>
                  <w:rStyle w:val="InternetLink"/>
                  <w:rFonts w:ascii="Times New Roman;serif" w:hAnsi="Times New Roman;serif"/>
                  <w:b w:val="false"/>
                  <w:color w:val="0000FF"/>
                  <w:sz w:val="20"/>
                  <w:u w:val="single"/>
                </w:rPr>
                <w:t>Director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25">
              <w:r>
                <w:rPr>
                  <w:rStyle w:val="InternetLink"/>
                  <w:rFonts w:ascii="Times New Roman;serif" w:hAnsi="Times New Roman;serif"/>
                  <w:b w:val="false"/>
                  <w:color w:val="0000FF"/>
                  <w:sz w:val="20"/>
                  <w:u w:val="single"/>
                </w:rPr>
                <w:t>28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28">
              <w:r>
                <w:rPr>
                  <w:rStyle w:val="InternetLink"/>
                  <w:rFonts w:ascii="Times New Roman;serif" w:hAnsi="Times New Roman;serif"/>
                  <w:b w:val="false"/>
                  <w:color w:val="0000FF"/>
                  <w:sz w:val="20"/>
                  <w:u w:val="single"/>
                </w:rPr>
                <w:t>Proposal 2 – Approval, on a Non-binding Advisory Basis, of the Compensation of Our Named 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28">
              <w:r>
                <w:rPr>
                  <w:rStyle w:val="InternetLink"/>
                  <w:rFonts w:ascii="Times New Roman;serif" w:hAnsi="Times New Roman;serif"/>
                  <w:b w:val="false"/>
                  <w:color w:val="0000FF"/>
                  <w:sz w:val="20"/>
                  <w:u w:val="single"/>
                </w:rPr>
                <w:t>31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31">
              <w:r>
                <w:rPr>
                  <w:rStyle w:val="InternetLink"/>
                  <w:rFonts w:ascii="Times New Roman;serif" w:hAnsi="Times New Roman;serif"/>
                  <w:b w:val="false"/>
                  <w:color w:val="0000FF"/>
                  <w:sz w:val="20"/>
                  <w:u w:val="single"/>
                </w:rPr>
                <w:t>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31">
              <w:r>
                <w:rPr>
                  <w:rStyle w:val="InternetLink"/>
                  <w:rFonts w:ascii="Times New Roman;serif" w:hAnsi="Times New Roman;serif"/>
                  <w:b w:val="false"/>
                  <w:color w:val="0000FF"/>
                  <w:sz w:val="20"/>
                  <w:u w:val="single"/>
                </w:rPr>
                <w:t>32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34">
              <w:r>
                <w:rPr>
                  <w:rStyle w:val="InternetLink"/>
                  <w:rFonts w:ascii="Times New Roman;serif" w:hAnsi="Times New Roman;serif"/>
                  <w:b w:val="false"/>
                  <w:color w:val="0000FF"/>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34">
              <w:r>
                <w:rPr>
                  <w:rStyle w:val="InternetLink"/>
                  <w:rFonts w:ascii="Times New Roman;serif" w:hAnsi="Times New Roman;serif"/>
                  <w:b w:val="false"/>
                  <w:color w:val="0000FF"/>
                  <w:sz w:val="20"/>
                  <w:u w:val="singl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xml:space="preserve">• </w:t>
            </w:r>
            <w:hyperlink w:anchor="iceda04bb2d7247d99d2b17bd229fbbb6_34">
              <w:r>
                <w:rPr>
                  <w:rStyle w:val="InternetLink"/>
                  <w:rFonts w:ascii="Times New Roman;serif" w:hAnsi="Times New Roman;serif"/>
                  <w:b w:val="false"/>
                  <w:color w:val="0000FF"/>
                  <w:sz w:val="20"/>
                  <w:u w:val="single"/>
                </w:rPr>
                <w:t>Compensation Discussion and Analysis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34">
              <w:r>
                <w:rPr>
                  <w:rStyle w:val="InternetLink"/>
                  <w:rFonts w:ascii="Times New Roman;serif" w:hAnsi="Times New Roman;serif"/>
                  <w:b w:val="false"/>
                  <w:color w:val="0000FF"/>
                  <w:sz w:val="20"/>
                  <w:u w:val="singl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xml:space="preserve">• </w:t>
            </w:r>
            <w:hyperlink w:anchor="iceda04bb2d7247d99d2b17bd229fbbb6_37">
              <w:r>
                <w:rPr>
                  <w:rStyle w:val="InternetLink"/>
                  <w:rFonts w:ascii="Times New Roman;serif" w:hAnsi="Times New Roman;serif"/>
                  <w:b w:val="false"/>
                  <w:color w:val="0000FF"/>
                  <w:sz w:val="20"/>
                  <w:u w:val="single"/>
                </w:rPr>
                <w:t>Compensation Committee Report</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37">
              <w:r>
                <w:rPr>
                  <w:rStyle w:val="InternetLink"/>
                  <w:rFonts w:ascii="Times New Roman;serif" w:hAnsi="Times New Roman;serif"/>
                  <w:b w:val="false"/>
                  <w:color w:val="0000FF"/>
                  <w:sz w:val="20"/>
                  <w:u w:val="single"/>
                </w:rPr>
                <w:t>57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xml:space="preserve">• </w:t>
            </w:r>
            <w:hyperlink w:anchor="iceda04bb2d7247d99d2b17bd229fbbb6_40">
              <w:r>
                <w:rPr>
                  <w:rStyle w:val="InternetLink"/>
                  <w:rFonts w:ascii="Times New Roman;serif" w:hAnsi="Times New Roman;serif"/>
                  <w:b w:val="false"/>
                  <w:color w:val="0000FF"/>
                  <w:sz w:val="20"/>
                  <w:u w:val="single"/>
                </w:rPr>
                <w:t>Executive Compensation Tables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40">
              <w:r>
                <w:rPr>
                  <w:rStyle w:val="InternetLink"/>
                  <w:rFonts w:ascii="Times New Roman;serif" w:hAnsi="Times New Roman;serif"/>
                  <w:b w:val="false"/>
                  <w:color w:val="0000FF"/>
                  <w:sz w:val="20"/>
                  <w:u w:val="single"/>
                </w:rPr>
                <w:t>58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43">
              <w:r>
                <w:rPr>
                  <w:rStyle w:val="InternetLink"/>
                  <w:rFonts w:ascii="Times New Roman;serif" w:hAnsi="Times New Roman;serif"/>
                  <w:b w:val="false"/>
                  <w:color w:val="0000FF"/>
                  <w:sz w:val="20"/>
                  <w:u w:val="single"/>
                </w:rPr>
                <w:t>CEO Pay Ratio</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43">
              <w:r>
                <w:rPr>
                  <w:rStyle w:val="InternetLink"/>
                  <w:rFonts w:ascii="Times New Roman;serif" w:hAnsi="Times New Roman;serif"/>
                  <w:b w:val="false"/>
                  <w:color w:val="0000FF"/>
                  <w:sz w:val="20"/>
                  <w:u w:val="single"/>
                </w:rPr>
                <w:t>65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46">
              <w:r>
                <w:rPr>
                  <w:rStyle w:val="InternetLink"/>
                  <w:rFonts w:ascii="Times New Roman;serif" w:hAnsi="Times New Roman;serif"/>
                  <w:b w:val="false"/>
                  <w:color w:val="0000FF"/>
                  <w:sz w:val="20"/>
                  <w:u w:val="single"/>
                </w:rPr>
                <w:t>Pay Versus Performance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46">
              <w:r>
                <w:rPr>
                  <w:rStyle w:val="InternetLink"/>
                  <w:rFonts w:ascii="Times New Roman;serif" w:hAnsi="Times New Roman;serif"/>
                  <w:b w:val="false"/>
                  <w:color w:val="0000FF"/>
                  <w:sz w:val="20"/>
                  <w:u w:val="singl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49">
              <w:r>
                <w:rPr>
                  <w:rStyle w:val="InternetLink"/>
                  <w:rFonts w:ascii="Times New Roman;serif" w:hAnsi="Times New Roman;serif"/>
                  <w:b w:val="false"/>
                  <w:color w:val="0000FF"/>
                  <w:sz w:val="20"/>
                  <w:u w:val="single"/>
                </w:rPr>
                <w:t>Equity Compensation Plan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49">
              <w:r>
                <w:rPr>
                  <w:rStyle w:val="InternetLink"/>
                  <w:rFonts w:ascii="Times New Roman;serif" w:hAnsi="Times New Roman;serif"/>
                  <w:b w:val="false"/>
                  <w:color w:val="0000FF"/>
                  <w:sz w:val="20"/>
                  <w:u w:val="single"/>
                </w:rPr>
                <w:t>72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55">
              <w:r>
                <w:rPr>
                  <w:rStyle w:val="InternetLink"/>
                  <w:rFonts w:ascii="Times New Roman;serif" w:hAnsi="Times New Roman;serif"/>
                  <w:b w:val="false"/>
                  <w:color w:val="000080"/>
                  <w:sz w:val="20"/>
                  <w:u w:val="single"/>
                </w:rPr>
                <w:t xml:space="preserve">Proposal </w:t>
              </w:r>
            </w:hyperlink>
            <w:hyperlink w:anchor="iceda04bb2d7247d99d2b17bd229fbbb6_55">
              <w:r>
                <w:rPr>
                  <w:rStyle w:val="InternetLink"/>
                  <w:rFonts w:ascii="Times New Roman;serif" w:hAnsi="Times New Roman;serif"/>
                  <w:b w:val="false"/>
                  <w:color w:val="000080"/>
                  <w:sz w:val="20"/>
                  <w:u w:val="single"/>
                </w:rPr>
                <w:t>3</w:t>
              </w:r>
            </w:hyperlink>
            <w:hyperlink w:anchor="iceda04bb2d7247d99d2b17bd229fbbb6_55">
              <w:r>
                <w:rPr>
                  <w:rStyle w:val="InternetLink"/>
                  <w:rFonts w:ascii="Times New Roman;serif" w:hAnsi="Times New Roman;serif"/>
                  <w:b w:val="false"/>
                  <w:color w:val="000080"/>
                  <w:sz w:val="20"/>
                  <w:u w:val="single"/>
                </w:rPr>
                <w:t xml:space="preserve"> – Ratification of Selection of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55">
              <w:r>
                <w:rPr>
                  <w:rStyle w:val="InternetLink"/>
                  <w:rFonts w:ascii="Times New Roman;serif" w:hAnsi="Times New Roman;serif"/>
                  <w:b w:val="false"/>
                  <w:color w:val="0000FF"/>
                  <w:sz w:val="20"/>
                  <w:u w:val="single"/>
                </w:rPr>
                <w:t>73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58">
              <w:r>
                <w:rPr>
                  <w:rStyle w:val="InternetLink"/>
                  <w:rFonts w:ascii="Times New Roman;serif" w:hAnsi="Times New Roman;serif"/>
                  <w:b w:val="false"/>
                  <w:color w:val="000080"/>
                  <w:sz w:val="20"/>
                  <w:u w:val="single"/>
                </w:rPr>
                <w:t xml:space="preserve">Proposal 4 – Approval of an Amendment to </w:t>
              </w:r>
            </w:hyperlink>
            <w:hyperlink w:anchor="iceda04bb2d7247d99d2b17bd229fbbb6_58">
              <w:r>
                <w:rPr>
                  <w:rStyle w:val="InternetLink"/>
                  <w:rFonts w:ascii="Times New Roman;serif" w:hAnsi="Times New Roman;serif"/>
                  <w:b w:val="false"/>
                  <w:color w:val="000080"/>
                  <w:sz w:val="20"/>
                  <w:u w:val="single"/>
                </w:rPr>
                <w:t xml:space="preserve">our </w:t>
              </w:r>
            </w:hyperlink>
            <w:hyperlink w:anchor="iceda04bb2d7247d99d2b17bd229fbbb6_58">
              <w:r>
                <w:rPr>
                  <w:rStyle w:val="InternetLink"/>
                  <w:rFonts w:ascii="Times New Roman;serif" w:hAnsi="Times New Roman;serif"/>
                  <w:b w:val="false"/>
                  <w:color w:val="000080"/>
                  <w:sz w:val="20"/>
                  <w:u w:val="single"/>
                </w:rPr>
                <w:t>Amended and Restated Certificate of Incorporation to Eliminate Supermajority Vote Requirements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58">
              <w:r>
                <w:rPr>
                  <w:rStyle w:val="InternetLink"/>
                  <w:rFonts w:ascii="Times New Roman;serif" w:hAnsi="Times New Roman;serif"/>
                  <w:b w:val="false"/>
                  <w:color w:val="0000FF"/>
                  <w:sz w:val="20"/>
                  <w:u w:val="single"/>
                </w:rPr>
                <w:t>75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61">
              <w:r>
                <w:rPr>
                  <w:rStyle w:val="InternetLink"/>
                  <w:rFonts w:ascii="Times New Roman;serif" w:hAnsi="Times New Roman;serif"/>
                  <w:b w:val="false"/>
                  <w:color w:val="0000FF"/>
                  <w:sz w:val="20"/>
                  <w:u w:val="single"/>
                </w:rPr>
                <w:t>Audit Committee Report</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61">
              <w:r>
                <w:rPr>
                  <w:rStyle w:val="InternetLink"/>
                  <w:rFonts w:ascii="Times New Roman;serif" w:hAnsi="Times New Roman;serif"/>
                  <w:b w:val="false"/>
                  <w:color w:val="0000FF"/>
                  <w:sz w:val="20"/>
                  <w:u w:val="single"/>
                </w:rPr>
                <w:t>77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64">
              <w:r>
                <w:rPr>
                  <w:rStyle w:val="InternetLink"/>
                  <w:rFonts w:ascii="Times New Roman;serif" w:hAnsi="Times New Roman;serif"/>
                  <w:b w:val="false"/>
                  <w:color w:val="0000FF"/>
                  <w:sz w:val="20"/>
                  <w:u w:val="single"/>
                </w:rPr>
                <w:t>Security Ownership of Certain Beneficial Owners and Management</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64">
              <w:r>
                <w:rPr>
                  <w:rStyle w:val="InternetLink"/>
                  <w:rFonts w:ascii="Times New Roman;serif" w:hAnsi="Times New Roman;serif"/>
                  <w:b w:val="false"/>
                  <w:color w:val="0000FF"/>
                  <w:sz w:val="20"/>
                  <w:u w:val="single"/>
                </w:rPr>
                <w:t>78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67">
              <w:r>
                <w:rPr>
                  <w:rStyle w:val="InternetLink"/>
                  <w:rFonts w:ascii="Times New Roman;serif" w:hAnsi="Times New Roman;serif"/>
                  <w:b w:val="false"/>
                  <w:color w:val="0000FF"/>
                  <w:sz w:val="20"/>
                  <w:u w:val="single"/>
                </w:rPr>
                <w:t>Delinquent Section 16(a) Reports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67">
              <w:r>
                <w:rPr>
                  <w:rStyle w:val="InternetLink"/>
                  <w:rFonts w:ascii="Times New Roman;serif" w:hAnsi="Times New Roman;serif"/>
                  <w:b w:val="false"/>
                  <w:color w:val="0000FF"/>
                  <w:sz w:val="20"/>
                  <w:u w:val="single"/>
                </w:rPr>
                <w:t>80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70">
              <w:r>
                <w:rPr>
                  <w:rStyle w:val="InternetLink"/>
                  <w:rFonts w:ascii="Times New Roman;serif" w:hAnsi="Times New Roman;serif"/>
                  <w:b w:val="false"/>
                  <w:color w:val="0000FF"/>
                  <w:sz w:val="20"/>
                  <w:u w:val="single"/>
                </w:rPr>
                <w:t>Other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70">
              <w:r>
                <w:rPr>
                  <w:rStyle w:val="InternetLink"/>
                  <w:rFonts w:ascii="Times New Roman;serif" w:hAnsi="Times New Roman;serif"/>
                  <w:b w:val="false"/>
                  <w:color w:val="0000FF"/>
                  <w:sz w:val="20"/>
                  <w:u w:val="single"/>
                </w:rPr>
                <w:t>81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da04bb2d7247d99d2b17bd229fbbb6_73">
              <w:r>
                <w:rPr>
                  <w:rStyle w:val="InternetLink"/>
                  <w:rFonts w:ascii="Times New Roman;serif" w:hAnsi="Times New Roman;serif"/>
                  <w:b w:val="false"/>
                  <w:color w:val="0000FF"/>
                  <w:sz w:val="20"/>
                  <w:u w:val="single"/>
                </w:rPr>
                <w:t>Annex A: Certificate of Amendment of the Amended and Restated Certificate of Incorporation of MongoDB, Inc.</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ceda04bb2d7247d99d2b17bd229fbbb6_73">
              <w:r>
                <w:rPr>
                  <w:rStyle w:val="InternetLink"/>
                  <w:rFonts w:ascii="Times New Roman;serif" w:hAnsi="Times New Roman;serif"/>
                  <w:b w:val="false"/>
                  <w:color w:val="0000FF"/>
                  <w:sz w:val="20"/>
                  <w:u w:val="single"/>
                </w:rPr>
                <w:t>82</w:t>
              </w:r>
            </w:hyperlink>
          </w:p>
        </w:tc>
      </w:tr>
    </w:tbl>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MongoDB,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1633 Broadway, 38th Floor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Proxy Statement</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For the 2026 Annual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June 30, 2026 at 10:00 a.m. Eastern Time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board of directors is soliciting your proxy to vote at the 2026 annual meeting of stockholders of MongoDB, Inc., a Delaware corporation, to be held virtually, via live webcast at </w:t>
      </w:r>
      <w:r>
        <w:rPr>
          <w:rFonts w:ascii="Times New Roman;serif" w:hAnsi="Times New Roman;serif"/>
          <w:b w:val="false"/>
          <w:i/>
          <w:color w:val="000000"/>
          <w:sz w:val="20"/>
        </w:rPr>
        <w:t>www.virtualshareholdermeeting.com/MDB2026</w:t>
      </w:r>
      <w:r>
        <w:rPr>
          <w:rFonts w:ascii="Times New Roman;serif" w:hAnsi="Times New Roman;serif"/>
          <w:b w:val="false"/>
          <w:color w:val="000000"/>
          <w:sz w:val="20"/>
        </w:rPr>
        <w:t>, originating from New York, New York, on Tuesday, June 30, 2026, at 10:00 a.m. Eastern Time, and any adjournment or postponement thereof. We believe that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the meeting, we have elected to furnish our proxy materials, including this proxy statement and our Annual Report on Form 10-K for the fiscal year ended January 31, 2026 (the “Annual Report”), to our stockholders primarily via the internet. On or about May [_], 2026, we intend to mail to our stockholders a </w:t>
      </w:r>
      <w:r>
        <w:rPr>
          <w:rFonts w:ascii="Times New Roman;serif" w:hAnsi="Times New Roman;serif"/>
          <w:b w:val="false"/>
          <w:i/>
          <w:color w:val="000000"/>
          <w:sz w:val="20"/>
        </w:rPr>
        <w:t>Notice of Internet Availability of Proxy Materials</w:t>
      </w:r>
      <w:r>
        <w:rPr>
          <w:color w:val="000000"/>
        </w:rPr>
        <w:t xml:space="preserve"> </w:t>
      </w:r>
      <w:r>
        <w:rPr>
          <w:rFonts w:ascii="Times New Roman;serif" w:hAnsi="Times New Roman;serif"/>
          <w:b w:val="false"/>
          <w:color w:val="000000"/>
          <w:sz w:val="20"/>
        </w:rPr>
        <w:t>(the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proxy materials on the internet to help reduce the environmental impact and cost of our annual meeting.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Only stockholders of record at the close of business on May 1, 2026, will be entitled to vote at the meeting. On this record date, there were 80,499,934 shares of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w:t>
      </w:r>
      <w:r>
        <w:rPr>
          <w:rFonts w:ascii="Times New Roman;serif" w:hAnsi="Times New Roman;serif"/>
          <w:b w:val="false"/>
          <w:color w:val="000000"/>
          <w:sz w:val="20"/>
          <w:shd w:fill="FFFFFF" w:val="clear"/>
        </w:rPr>
        <w:t>for any purpose germane to the meeting</w:t>
      </w:r>
      <w:r>
        <w:rPr>
          <w:color w:val="000000"/>
        </w:rPr>
        <w:t xml:space="preserve"> </w:t>
      </w:r>
      <w:r>
        <w:rPr>
          <w:rFonts w:ascii="Times New Roman;serif" w:hAnsi="Times New Roman;serif"/>
          <w:b w:val="false"/>
          <w:color w:val="000000"/>
          <w:sz w:val="20"/>
        </w:rPr>
        <w:t>for ten days before the meeting at our address above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For instructions on how to attend the virtual annual meeting, please see page 2 of this proxy statement.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proxy statement, we refer to MongoDB, Inc. as “MongoDB,” “we” or “us” and the board of directors of MongoDB as “our board of directors.” The Annual Report, which contains consolidated financial statements as of and for the fiscal year ended January 31, 2026, accompanies this proxy statement. You also may obtain a copy of the Annual Report without charge by writing to our Secretary at 499 Hamilton Ave, Palo Alto, CA 94301, Attention: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QUESTIONS AND ANSWERS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8"/>
        </w:rPr>
      </w:pPr>
      <w:r>
        <w:rPr>
          <w:rFonts w:ascii="Times New Roman;serif" w:hAnsi="Times New Roman;serif"/>
          <w:b/>
          <w:color w:val="000000"/>
          <w:sz w:val="28"/>
        </w:rPr>
        <w:t>About these Proxy Materials and Voting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did I receive a notice regarding the availability of proxy materials on the internet?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rules adopted by the Securities and Exchange Commission (“SEC”), we have elected to provide access to our proxy materials over the internet. Accordingly, we have sent you the Notice because our board of directors is soliciting your proxy to vote at the 2026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[_], 2026 to all stockholders of record entitled to vote at the annual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attend, participate in and ask questions during the virtual annual meeting online?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will be hosting the meeting via live webcast only. Any stockholder can attend the virtual annual meeting live online at </w:t>
      </w:r>
      <w:r>
        <w:rPr>
          <w:rFonts w:ascii="Times New Roman;serif" w:hAnsi="Times New Roman;serif"/>
          <w:b w:val="false"/>
          <w:i/>
          <w:color w:val="000000"/>
          <w:sz w:val="20"/>
        </w:rPr>
        <w:t>www.virtualshareholdermeeting.com/MDB2026</w:t>
      </w:r>
      <w:r>
        <w:rPr>
          <w:rFonts w:ascii="Times New Roman;serif" w:hAnsi="Times New Roman;serif"/>
          <w:b w:val="false"/>
          <w:color w:val="000000"/>
          <w:sz w:val="20"/>
        </w:rPr>
        <w:t>. The meeting will start at 10:00 a.m. Eastern Time on June 30, 2026. Stockholders attending the virtual meeting will be afforded the same rights and opportunities to participate as they would at an in-person meeting.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serif" w:hAnsi="Times New Roman;serif"/>
          <w:b w:val="false"/>
          <w:i/>
          <w:color w:val="000000"/>
          <w:sz w:val="20"/>
        </w:rPr>
        <w:t>www.virtualshareholdermeeting.com/MDB2026</w:t>
      </w:r>
      <w:r>
        <w:rPr>
          <w:rFonts w:ascii="Times New Roman;serif" w:hAnsi="Times New Roman;serif"/>
          <w:b w:val="false"/>
          <w:color w:val="000000"/>
          <w:sz w:val="20"/>
        </w:rPr>
        <w:t>. We recommend that you log in a few minutes before 10:00 a.m. Eastern time on June 30, 2026 to ensure you are logged in when the meeting starts. The webcast will open 15 minutes before the start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serif" w:hAnsi="Times New Roman;serif"/>
          <w:b w:val="false"/>
          <w:i/>
          <w:color w:val="000000"/>
          <w:sz w:val="20"/>
        </w:rPr>
        <w:t>www.virtualshareholdermeeting.com/MDB2026</w:t>
      </w:r>
      <w:r>
        <w:rPr>
          <w:color w:val="000000"/>
        </w:rPr>
        <w:t xml:space="preserve"> </w:t>
      </w:r>
      <w:r>
        <w:rPr>
          <w:rFonts w:ascii="Times New Roman;serif" w:hAnsi="Times New Roman;serif"/>
          <w:b w:val="false"/>
          <w:color w:val="000000"/>
          <w:sz w:val="20"/>
        </w:rPr>
        <w:t>using your control number and typing your question in the designated box in the annual meeting portal.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help ensure that we have a productive and efficient meeting, and in fairness to all stockholders in attendance, you will also find posted our rules of conduct for the meeting when you login prior to its start. These rules of conduct will include the following guidelines: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Only stockholders of record as of the record date for the meeting and their proxy holders may submit questions or comments.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Questions and comments may be submitted electronically through the annual meeting portal during the meeting.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Questions must be directed to Chirantan J. Desai, our President and Chief Executive Officer.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Include your name and affiliation, if any, when submitting a question or comment.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Limit your remarks to one brief question or comment that is relevant to the meeting and/or our business.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Questions may be grouped by topic by our management.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Questions may also be ruled as out of order if they are, among other things, irrelevant to our business, related to pending or threatened litigation, disorderly, repetitious of statements already made, related to material non-public information about the Company or in furtherance of the speaker’s own personal, political or business interests.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Depending on the number of questions submitted and the time allotted, we may not be able to answer all questions during the Annual Meeting.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Recording the Annual Meeting is prohibited and all recordings are deemed property of MongoDB.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we encounter any technical difficulties and we are unable to proceed with the meeting, MongoDB may adjourn, recess or expedite the meeting, or take such other actions that MongoDB determines are appropriate in light of the circumstances.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Be respectful of your fellow stockholders and meeting participants.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I have technical difficulties or trouble accessing the virtual meeting?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serif" w:hAnsi="Times New Roman;serif"/>
          <w:b w:val="false"/>
          <w:i/>
          <w:color w:val="000000"/>
          <w:sz w:val="20"/>
        </w:rPr>
        <w:t>www.virtualshareholdermeeting.com/MDB2026</w:t>
      </w:r>
      <w:r>
        <w:rPr>
          <w:color w:val="000000"/>
        </w:rPr>
        <w:t xml:space="preserve"> </w:t>
      </w:r>
      <w:r>
        <w:rPr>
          <w:rFonts w:ascii="Times New Roman;serif" w:hAnsi="Times New Roman;serif"/>
          <w:b w:val="false"/>
          <w:color w:val="000000"/>
          <w:sz w:val="20"/>
        </w:rPr>
        <w:t xml:space="preserve">or at </w:t>
      </w:r>
      <w:r>
        <w:rPr>
          <w:rFonts w:ascii="Times New Roman;serif" w:hAnsi="Times New Roman;serif"/>
          <w:b w:val="false"/>
          <w:i/>
          <w:color w:val="000000"/>
          <w:sz w:val="20"/>
        </w:rPr>
        <w:t>www.proxyvote.com</w:t>
      </w:r>
      <w:r>
        <w:rPr>
          <w:rFonts w:ascii="Times New Roman;serif" w:hAnsi="Times New Roman;serif"/>
          <w:b w:val="false"/>
          <w:color w:val="000000"/>
          <w:sz w:val="20"/>
        </w:rPr>
        <w:t>. Technical support will be available starting at 9:45 a.m. Eastern Time on June 30,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can vote at the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Only stockholders of record at the close of business on the record date, May 1, 2026, will be entitled to vote at the meeting. On this record date, there were 80,499,934 shares of common stock outstanding and entitled to vote.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on May 1, 2026, your shares were registered directly in your name with our transfer agent, Equiniti Trust Company, LLC, then you are a stockholder of record. As a stockholder of record, you may vote online during the meeting or vote by proxy. Whether or not you plan to attend the meeting, we urge you to vote by proxy to ensure your vote is counted.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a Broker or Bank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on May 1,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four matters scheduled for a vote: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Proposal 1: Election of three Class III directors, each to serve until our annual meeting of stockholders in 2029;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Proposal 2: Approval, on a non-binding advisory basis, of the compensation of our named executive officers;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Proposal 3: Ratification of the selection of PricewaterhouseCoopers LLP as our independent registered public accounting firm for the fiscal year ending January 31, 2027;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Proposal 4: Approval of an amendment to our Amended and Restated Certificate of Incorporation to eliminate supermajority vote requirements.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another matter is properly brought before the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you may vote (a) online during the meeting, or (b) in advance of the meeting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To vote online during the meeting, follow the provided instructions to join the meeting at </w:t>
      </w:r>
      <w:r>
        <w:rPr>
          <w:rFonts w:ascii="Times New Roman;serif" w:hAnsi="Times New Roman;serif"/>
          <w:b w:val="false"/>
          <w:i/>
          <w:color w:val="000000"/>
          <w:sz w:val="20"/>
        </w:rPr>
        <w:t>www.virtualshareholdermeeting.com/MDB2026,</w:t>
      </w:r>
      <w:r>
        <w:rPr>
          <w:color w:val="000000"/>
        </w:rPr>
        <w:t xml:space="preserve"> </w:t>
      </w:r>
      <w:r>
        <w:rPr>
          <w:rFonts w:ascii="Times New Roman;serif" w:hAnsi="Times New Roman;serif"/>
          <w:b w:val="false"/>
          <w:color w:val="000000"/>
          <w:sz w:val="20"/>
        </w:rPr>
        <w:t>starting at 10:00 a.m. Eastern Time on June 30, 2026. The webcast will open 15 minutes before the start of the meeting.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To vote online before the meeting, go to </w:t>
      </w:r>
      <w:r>
        <w:rPr>
          <w:rFonts w:ascii="Times New Roman;serif" w:hAnsi="Times New Roman;serif"/>
          <w:b w:val="false"/>
          <w:i/>
          <w:color w:val="000000"/>
          <w:sz w:val="20"/>
        </w:rPr>
        <w:t>www.proxyvote.com</w:t>
      </w:r>
      <w:r>
        <w:rPr>
          <w:rFonts w:ascii="Times New Roman;serif" w:hAnsi="Times New Roman;serif"/>
          <w:b w:val="false"/>
          <w:color w:val="000000"/>
          <w:sz w:val="20"/>
        </w:rPr>
        <w:t>. You will be asked to provide the company number and control number from the Notice or the printed proxy card. Your internet vote must be received by 11:59 p.m., Eastern Time on June 29, 2026 to be counted.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vote by telephone before the meeting, call 1-800-690-6903. You will be asked to provide the company number and control number from the Notice or the printed proxy card. Your telephone vote must be received by 11:59 p.m., Eastern Time on June 29,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Broker or Bank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beneficial owner of shares registered in the name of your broker, bank or other similar organization, you should receive voting instructions from that organization rather than from us. Simply follow the voting instructions to ensure that your vote is counted. To vote online during the meeting, you must follow the instructions from your broker, bank or other similar organization.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Internet voting is provided to allow you to vote your shares online, with procedures designed to ensure the authenticity and correctness of your voting instructions. Please be aware that you must bear any costs associated with your internet access.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revoke my vote after submitting my proxy?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Yes. If you are a record holder of shares, you may revoke, subject to the voting deadlines above, your proxy using one of the following ways: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You may submit another properly completed proxy card with a later date.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You may grant a subsequent proxy by telephone or through the internet.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You may send a timely written notice that you are revoking your proxy to our Secretary at 499 Hamilton Ave, Palo Alto, CA 94301, Attention: Secretary.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attend and vote online during the meeting. Simply attending the meeting will not, by itself, revoke your proxy.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your shares are held by your broker, bank or other similar organization, you should follow the instructions provided by such party.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I do not vote?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and do not vote online during the meeting, or in advance of the meeting through the internet, by telephone or by completing your proxy card, your shares will not be voted.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Broker or Bank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and do not instruct your broker, bank or other similar organization how to vote your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not vote your shares on any proposal other than Proposal 3 without your instructions. Your broker or nominee may only vote your shares on Proposal 3 (Ratification of Auditors) in the absence of your instruction.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instruct your bank, broker or other similar organization to ensure that your vote will be counted.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What are “broker non-votes”?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What if I return a proxy card or otherwise vote but do not make specific choices?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return a signed and dated proxy card but do not make specific choices, your shares will be voted in accordance with the recommendations of our board of directors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each of the nominees for Class III director;</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on a non-binding advisory basis, of the compensation of our named executive officers, as disclosed in this proxy statement; </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ratification of the selection of PricewaterhouseCoopers LLP as our independent registered public accounting firm for our fiscal year ending January 31, 2027; and</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 xml:space="preserve">FOR </w:t>
      </w:r>
      <w:r>
        <w:rPr>
          <w:rFonts w:ascii="Times New Roman;serif" w:hAnsi="Times New Roman;serif"/>
          <w:b w:val="false"/>
          <w:color w:val="000000"/>
          <w:sz w:val="20"/>
        </w:rPr>
        <w:t>the approval of an amendment to our Amended and Restated Certificate of Incorporation to eliminate supermajority vote requirements.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other matter is properly presented at the meeting, your proxyholder (one of the individuals named on your proxy card) will vote your shares using his or her best judgment.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How many votes do I have?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of common stock will have the right to one vote per share of common stock. Cumulative voting is not permitted with respect to the election of directors.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How many votes are needed to approve each proposal?</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Proposal 1 - Election of Directors</w:t>
      </w:r>
      <w:r>
        <w:rPr>
          <w:rFonts w:ascii="Times New Roman;serif" w:hAnsi="Times New Roman;serif"/>
          <w:b w:val="false"/>
          <w:color w:val="000000"/>
          <w:sz w:val="20"/>
        </w:rPr>
        <w:t xml:space="preserve">: Each director is elected by a plurality of the votes of the holders of shares of common stock present at the meeting (by virtual attendance) or represented by proxy and entitled to vote generally on the election of directors. The three nominees for Class III directors that receive the highest number of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votes will be elected.</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Proposal 2 - Advisory Vote on the Compensation of our Named Executive Officers</w:t>
      </w:r>
      <w:r>
        <w:rPr>
          <w:rFonts w:ascii="Times New Roman;serif" w:hAnsi="Times New Roman;serif"/>
          <w:b w:val="false"/>
          <w:color w:val="000000"/>
          <w:sz w:val="20"/>
        </w:rPr>
        <w:t>: This proposal, commonly referred to as the “say-on-pay” vote, must receive the affirmative vote of the holders of a majority in voting power of the shares of our common stock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Proposal 3 - Ratification of Auditors</w:t>
      </w:r>
      <w:r>
        <w:rPr>
          <w:rFonts w:ascii="Times New Roman;serif" w:hAnsi="Times New Roman;serif"/>
          <w:b w:val="false"/>
          <w:color w:val="000000"/>
          <w:sz w:val="20"/>
        </w:rPr>
        <w:t xml:space="preserve">: The ratification of the selection of our independent registered public accounting firm must receive the affirmative vote of the holders of a majority in voting power of the shares of our common stock present at the meeting (by virtual attendance) or represented by proxy and entitled to vote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proposal.</w:t>
      </w:r>
    </w:p>
    <w:p>
      <w:pPr>
        <w:pStyle w:val="TextBody"/>
        <w:bidi w:val="0"/>
        <w:spacing w:lineRule="auto" w:line="288" w:before="0" w:after="200"/>
        <w:ind w:left="0" w:right="0" w:hanging="360"/>
        <w:jc w:val="both"/>
        <w:rPr/>
      </w:pPr>
      <w:r>
        <w:rPr>
          <w:color w:val="000000"/>
        </w:rPr>
        <w:t>•</w:t>
      </w:r>
      <w:r>
        <w:rPr>
          <w:rFonts w:ascii="Times New Roman;serif" w:hAnsi="Times New Roman;serif"/>
          <w:b/>
          <w:color w:val="000000"/>
          <w:sz w:val="20"/>
        </w:rPr>
        <w:t>Proposal 4 - Approval of Charter</w:t>
      </w:r>
      <w:r>
        <w:rPr>
          <w:rFonts w:ascii="Times New Roman;serif" w:hAnsi="Times New Roman;serif"/>
          <w:b w:val="false"/>
          <w:color w:val="000000"/>
          <w:sz w:val="20"/>
        </w:rPr>
        <w:t>: The approval of an amendment to our Amended and Restated Certificate of Incorporation to eliminate supermajority vote requirements must receive the affirmative vote of the holders of a majority of the outstanding shares of our common stock entitled to vote on the proposal.</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How are broker non-votes, abstentions and votes withheld treated?</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Broker non-votes will be considered present and entitled to vote at the meeting and will be counted in determining whether or not a quorum is present. Please instruct your broker so your vote can be counted. With respect to Proposals 1 and 2, broker non-votes will have no effect. With respect to Proposal 4, broker non-votes will have the same effect as voting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Abstentions will be counted in determining whether or not a quorum is present. With respect to Proposal 1, withhold votes will have no effect. With respect to Proposals 2, 3 and 4, abstentions will have the same effect as voting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counts the votes?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is paying for this proxy solicitation?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stockholder engagement process, and we expect to pay them an estimated fee of $29,800, plus reasonable out-of-pocket expenses if they assist us in soliciting proxies. We may also reimburse brokerage firms, banks and other agents for the cost of forwarding proxy materials to beneficial owners.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it mean if I receive more than one Notice?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receive more than one Notice, your shares may be registered in more than one name or in different accounts. Please follow the instructions on the Notices to ensure that all your shares are voted.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When are stockholder proposals and director nominations due for next year’s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be considered for inclusion in next year’s proxy materials, your proposal or nomination must (i) satisfy conditions set forth in SEC regulations under Rule 14a-8 regarding the inclusion of stockholder proposals in company-sponsored proxy materials and (ii) be submitted in writing by [_], 2027, to our Secretary at 499 Hamilton Ave, Palo Alto, CA 94301, Attention: Secretary; provided that, if the date of next year’s meeting is earlier than May 31, 2027, or later than July 30, 2027, the deadline will be a reasonable time before we begin to print and send our proxy materials for next year’s meeting. If you wish to nominate a director or submit a proposal that you do not desire to be included in next year’s proxy materials, in accordance with our amended and restated bylaws, you must do so between March 2, 2027 and April 1, 2027; provided that if the date of that annual meeting of stockholders is earlier than May 31, 2027 or later than July 30, 2027, you must give the required notice not earlier than the 120th day prior to the meeting date and not later than the 90th day prior to the meeting date or, if later, the 10th day following the day on which public disclosure of that meeting date is first made.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or group of stockholders that has owned at least three percent of the Company’s common stock continuously for at least three years and satisfies certain eligibility, procedural and disclosure requirements set forth in the Company’s amended and restated bylaws, may nominate and include in our proxy materials for the annual meeting certain director candidates, which must be submitted no earlier than [_], 2026 and no later than [_],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advise you to review our amended and restated bylaws, which contain additional requirements.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quorum requirement?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quorum of stockholders is necessary to hold a valid meeting. A quorum will be present if stockholders holding a majority of the voting power of the outstanding shares of common stock entitled to vote at the meeting are present at the meeting (by virtual attendance) or represented by proxy.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Instructions to “withhold” authority to vote in the election of directors, abstentions and broker non-votes will be counted as present for determining whether the quorum requirement has been met. If there is no quorum, the meeting may be adjourned, either by the chairperson of the meeting or by the vote of the holders of a majority of the voting power of the shares represented thereat.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can I find out the results of the voting at the annual meeting?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preliminary voting results will be announced during the meeting. In addition, final voting results will be published in a current report on Form 8-K that we expect to file within four business days after the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it mean if multiple members of my household are stockholders but we only received one Notice or full set of proxy materials in the mail?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BOARD OF DIRECTORS AND 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affairs are managed under the direction of our board of directors. Our board of directors is responsible for advancing the interests of our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Corporate Governance Highlights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100% independent board committee members;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eight out of ten current directors are independent under the applicable rules and regulations of the SEC and the listing requirements and rules of the Nasdaq;</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separate Chairperson and Chief Executive Officer;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board risk oversight;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stock ownership guidelines for our executive officers and non-employee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clawback policies;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board and committee evaluations;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code of business conduct and ethics for our board of directors, officers and employees;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insider trading policy containing hedging and pledging prohibitions, except for case-by-case exceptions for employees who are not officers or directors, as approved by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say-on-pay vote;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"proxy access" rights to allow stockholders meeting certain ownership requirements to nominate and include in the Company's proxy statement the greater of two director candidates or 20% of the total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single class of stock with equal voting rights;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 poison pill adopted;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no excessive tax gross ups and limited executive perquisites;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during our fiscal year 2026, our board of directors attended greater than 75% of meetings of the board of directors and committees of which he or she was a member.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(the “Nasdaq”). Under the listing requirements and rules of the Nasdaq, independent directors must comprise a majority of our board of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undertaken a review of its composition, the composition of its committees and the independence of each director. Our board of directors has determined that Mses. Agrawal, Cochran and Lewnes, and Messrs. Botha, D’Souza, Hazard, Killalea and Merriman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also determined that Messrs. Desai and Ittycheria are not independent due to their current and former positions as executive officers of MongoDB,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a majority of our directors are independent, as required under applicable Nasdaq rules. In making this determination, our board of directors considered the applicable Nasdaq rules and the current and prior relationships that each non-employee director has with our company and all other facts and circumstances our board of directors deemed relevant in determining their independence, including their beneficial ownership of our common stock.</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Board Leadership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work with the President and Chief Executive Officer to develop and approve an appropriate meeting schedule for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work with the President and Chief Executive Officer to develop and approve meeting agendas for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the President and Chief Executive Officer feedback on the quality, quantity and timeliness of the information provided to our board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 the agenda and moderate executive sessions of the independent members of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preside over meetings of our board of directors when the President and Chief Executive Officer is not present or when our board of directors’ or President and Chief Executive Officer’s performance is discussed;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 as principal liaison between the independent members of our board of directors and the President and Chief Executive Officer;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convene meetings of the independent directors as appropriate;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be available for consultation and direct communication with stockholders as deemed appropriate;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perform other duties as our board of directors may determine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current board leadership structure, coupled with a strong emphasis on board independence, provides effective independent oversight of management and also allows the board of directors, led by Mr. Killalea, to partner with Mr. Desai during his transition into the President and Chief Executive Officer role. Non-employee directors and management sometimes have different perspectives and roles in strategy development. Our non-employee directors bring experience, oversight and expertise from outside of our company, while Mr. Desai brings innovative industry-specific experience and expertise gained from his executive roles.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also believes its approach to risk oversight, as more fully discussed below in “Risk Oversight,” helps ensure that the board of directors is able to effectively perform its risk oversight responsibilities under various leadership structures.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 Oversight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Board of Directors Risk Oversight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responsible for, and committed to, the oversight of our long-term strategic plan and significant enterprise-wide risks. In carrying out this responsibility, our board of directors applies an enterprise-wide approach to risk management. This approach is designed to support organizational objectives, such as short- and long-term strategic objectives and enhancement of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reviewing our business is an integral aspect of its assessment of management’s tolerance for risk and also its determination of what constitutes an appropriate level of risk.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reviews of the operations of our business, our board of directors addresses the primary risks associated with our business including, for example, strategic planning, liquidity risk, organizational risk and operational risk. Our board of directors appreciates the evolving nature of our business and industry and is actively involved with monitoring new threats and risks as they emerge.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Committee Risk Oversight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establish other standing committees to facilitate the management of our business. For example, in May 2024, following our nominating and corporate governance committee's recommendation, our board of directors established a standing security committee dedicated to the oversight of cyber security and physical security.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regularly reviews information regarding our operational, financial, legal, data security and strategic risks. Additionally, senior risk management personnel attend quarterly meetings of our board of directors, provide presentations on operations including significant risks, and are available to address any questions or concerns raised by our board of directors.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our audit committee has the responsibility to consider and discuss our major financial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our Enterprise Risk Management program. In addition, among other matters, management provides our audit committee periodic reports on our compliance programs and investment policy and practices.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security committee is responsible for ensuring that management has processes in place designed to identify and assess both cybersecurity and physical security risks to which we are exposed and to implement processes and programs designed to manage security risks, including mitigation and remediation of security threats and incidents. The security committee also oversees and assesses adequacy of our business continuity systems in protecting us against physical security or cybersecurity threats, as well as the development and monitoring of the integrity of our information systems and controls to ensure compliance with applicable laws and regulations.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Cybersecurity Risk Oversight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and security committee appreciate the rapidly evolving nature of threats presented by cybersecurity incidents and are committed to the prevention, timely detection and mitigation of the effects of such incidents on MongoDB. Accordingly, the security committee receives regular updates on cybersecurity and physical security threats to our business and mitigation processes.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 quarterly basis, the security committee meets with senior management to perform more in-depth reviews of our cybersecurity programs, as well as relevant cybersecurity risks and mitigation strategies. Ahead of each such quarterly meeting, senior management and our information security team prepare and provide cybersecurity reports that cover, among other topics, developments in cybersecurity and updates to the Company's cybersecurity programs and mitigation strategies, legislative developments affecting our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date, we have not experienced a cybersecurity event that had a material impact on our financial performance or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Enterprise Risk Management Program Oversight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scope of our Enterprise Risk Management ("ERM") program includes the assessment and management of a broad range of our compliance, strategic, operational and financial risks. Throughout the year, members of a cross-functional team within the company conduct risk data collection, surveys, and interviews of company experts, leaders, and specialists. Together with the internal audit team, identified risks are then analyzed, categorized by topic (compliance, strategic, operational, reputational or financial) and timeframe (existing or emerging) and reported to management. For certain key risks, management action plans, whether current or planned, to mitigate identified risks are evaluated and updated as necessary. Quarterly, management presents and discusses the key risks identified in the ERM process with the audit committee, soliciting input from our directors on the steps taken to mitigate risks and plans for additional mitigation in the quarter ahead.</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17"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Board Meeting Attendance</w:t>
      </w:r>
    </w:p>
    <w:p>
      <w:pPr>
        <w:pStyle w:val="TextBody"/>
        <w:bidi w:val="0"/>
        <w:spacing w:lineRule="auto" w:line="288" w:before="0" w:after="200"/>
        <w:ind w:left="0" w:right="0" w:firstLine="720"/>
        <w:jc w:val="both"/>
        <w:rPr/>
      </w:pPr>
      <w:r>
        <w:rPr>
          <w:rFonts w:ascii="Times New Roman;serif" w:hAnsi="Times New Roman;serif"/>
          <w:b w:val="false"/>
          <w:color w:val="000000"/>
          <w:sz w:val="20"/>
        </w:rPr>
        <w:t>Our board of directors meets periodically during the year to review significant developments affecting us and to act on matters requiring the approval of our board of directors. Our board of directors met seven times during our last fiscal year, and each of our current directors attended greater than 75% of the aggregate number of meetings of the board of directors and of the committees on which he or she</w:t>
      </w:r>
      <w:r>
        <w:rPr>
          <w:color w:val="000000"/>
        </w:rPr>
        <w:t xml:space="preserve"> </w:t>
      </w:r>
      <w:r>
        <w:rPr>
          <w:rFonts w:ascii="Times New Roman;serif" w:hAnsi="Times New Roman;serif"/>
          <w:b w:val="false"/>
          <w:color w:val="000000"/>
          <w:sz w:val="20"/>
        </w:rPr>
        <w:t>served, held during the portion of the last fiscal year for which he or she</w:t>
      </w:r>
      <w:r>
        <w:rPr>
          <w:color w:val="000000"/>
        </w:rPr>
        <w:t xml:space="preserve"> </w:t>
      </w:r>
      <w:r>
        <w:rPr>
          <w:rFonts w:ascii="Times New Roman;serif" w:hAnsi="Times New Roman;serif"/>
          <w:b w:val="false"/>
          <w:color w:val="000000"/>
          <w:sz w:val="20"/>
        </w:rPr>
        <w:t>was a director or committee member. We encourage our directors and nominees for director to attend our annual meeting of stockholders. Seven of our nine then-current directors attended our 2025 annual meeting of stockholders.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Our board of directors has established an audit committee, a compensation committee, a security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serif" w:hAnsi="Times New Roman;serif"/>
          <w:b w:val="false"/>
          <w:i/>
          <w:color w:val="000000"/>
          <w:sz w:val="20"/>
        </w:rPr>
        <w:t>investors.mongodb.com.</w:t>
      </w:r>
    </w:p>
    <w:p>
      <w:pPr>
        <w:pStyle w:val="TextBody"/>
        <w:bidi w:val="0"/>
        <w:spacing w:lineRule="auto" w:line="288" w:before="0" w:after="200"/>
        <w:ind w:left="0" w:right="0" w:firstLine="720"/>
        <w:jc w:val="center"/>
        <w:rPr>
          <w:rFonts w:ascii="Times New Roman;serif" w:hAnsi="Times New Roman;serif"/>
          <w:b/>
          <w:color w:val="000000"/>
          <w:sz w:val="20"/>
        </w:rPr>
      </w:pPr>
      <w:r>
        <w:rPr>
          <w:rFonts w:ascii="Times New Roman;serif" w:hAnsi="Times New Roman;serif"/>
          <w:b/>
          <w:color w:val="000000"/>
          <w:sz w:val="20"/>
        </w:rPr>
        <w:t>Committee Membership as of May 8, 2026</w:t>
      </w:r>
    </w:p>
    <w:tbl>
      <w:tblPr>
        <w:tblW w:w="8777" w:type="dxa"/>
        <w:jc w:val="center"/>
        <w:tblInd w:w="0" w:type="dxa"/>
        <w:tblLayout w:type="fixed"/>
        <w:tblCellMar>
          <w:top w:w="28" w:type="dxa"/>
          <w:left w:w="28" w:type="dxa"/>
          <w:bottom w:w="28" w:type="dxa"/>
          <w:right w:w="28" w:type="dxa"/>
        </w:tblCellMar>
      </w:tblPr>
      <w:tblGrid>
        <w:gridCol w:w="923"/>
        <w:gridCol w:w="809"/>
        <w:gridCol w:w="817"/>
        <w:gridCol w:w="190"/>
        <w:gridCol w:w="190"/>
        <w:gridCol w:w="191"/>
        <w:gridCol w:w="220"/>
        <w:gridCol w:w="220"/>
        <w:gridCol w:w="220"/>
        <w:gridCol w:w="220"/>
        <w:gridCol w:w="220"/>
        <w:gridCol w:w="221"/>
        <w:gridCol w:w="1159"/>
        <w:gridCol w:w="1159"/>
        <w:gridCol w:w="1162"/>
        <w:gridCol w:w="250"/>
        <w:gridCol w:w="250"/>
        <w:gridCol w:w="356"/>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w:t>
            </w:r>
          </w:p>
        </w:tc>
        <w:tc>
          <w:tcPr>
            <w:tcW w:w="132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w:t>
            </w:r>
          </w:p>
        </w:tc>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Nominating and Corporate Governance</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Security</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Archana Agrawal</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c>
          <w:tcPr>
            <w:tcW w:w="3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Roelof Botha</w:t>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c>
          <w:tcPr>
            <w:tcW w:w="1321" w:type="dxa"/>
            <w:gridSpan w:val="6"/>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Hope Cochran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190500" cy="190500"/>
                          </a:xfrm>
                          <a:prstGeom prst="rect">
                            <a:avLst/>
                          </a:prstGeom>
                        </pic:spPr>
                      </pic:pic>
                    </a:graphicData>
                  </a:graphic>
                </wp:inline>
              </w:drawing>
            </w:r>
            <w:bookmarkStart w:id="2" w:name="i-3"/>
            <w:bookmarkEnd w:id="2"/>
          </w:p>
        </w:tc>
        <w:tc>
          <w:tcPr>
            <w:tcW w:w="1321" w:type="dxa"/>
            <w:gridSpan w:val="6"/>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Francisco D’Souza</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190500" cy="190500"/>
                          </a:xfrm>
                          <a:prstGeom prst="rect">
                            <a:avLst/>
                          </a:prstGeom>
                        </pic:spPr>
                      </pic:pic>
                    </a:graphicData>
                  </a:graphic>
                </wp:inline>
              </w:drawing>
            </w:r>
            <w:bookmarkStart w:id="3" w:name="i-4"/>
            <w:bookmarkEnd w:id="3"/>
          </w:p>
        </w:tc>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 Hazard, Jr.</w:t>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222222"/>
                <w:sz w:val="24"/>
              </w:rPr>
            </w:pPr>
            <w:r>
              <w:rPr>
                <w:rFonts w:ascii="Wingdings;sans-serif" w:hAnsi="Wingdings;sans-serif"/>
                <w:b w:val="false"/>
                <w:color w:val="222222"/>
                <w:sz w:val="24"/>
              </w:rPr>
              <w:t>ü</w:t>
            </w:r>
          </w:p>
        </w:tc>
        <w:tc>
          <w:tcPr>
            <w:tcW w:w="1321" w:type="dxa"/>
            <w:gridSpan w:val="6"/>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90500" cy="190500"/>
                          </a:xfrm>
                          <a:prstGeom prst="rect">
                            <a:avLst/>
                          </a:prstGeom>
                        </pic:spPr>
                      </pic:pic>
                    </a:graphicData>
                  </a:graphic>
                </wp:inline>
              </w:drawing>
            </w:r>
            <w:bookmarkStart w:id="4" w:name="i-5"/>
            <w:bookmarkEnd w:id="4"/>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Killalea</w:t>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Wingdings;sans-serif" w:hAnsi="Wingdings;sans-serif"/>
                <w:b w:val="false"/>
                <w:color w:val="222222"/>
                <w:sz w:val="24"/>
              </w:rPr>
            </w:pPr>
            <w:r>
              <w:rPr>
                <w:rFonts w:ascii="Wingdings;sans-serif" w:hAnsi="Wingdings;sans-serif"/>
                <w:b w:val="false"/>
                <w:color w:val="222222"/>
                <w:sz w:val="24"/>
              </w:rPr>
              <w:t>ü</w:t>
            </w:r>
          </w:p>
        </w:tc>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222222"/>
                <w:sz w:val="24"/>
              </w:rPr>
            </w:pPr>
            <w:r>
              <w:rPr>
                <w:rFonts w:ascii="Wingdings;sans-serif" w:hAnsi="Wingdings;sans-serif"/>
                <w:b w:val="false"/>
                <w:color w:val="222222"/>
                <w:sz w:val="24"/>
              </w:rPr>
              <w:t>ü</w:t>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190500" cy="190500"/>
                          </a:xfrm>
                          <a:prstGeom prst="rect">
                            <a:avLst/>
                          </a:prstGeom>
                        </pic:spPr>
                      </pic:pic>
                    </a:graphicData>
                  </a:graphic>
                </wp:inline>
              </w:drawing>
            </w:r>
            <w:bookmarkStart w:id="5" w:name="i-6"/>
            <w:bookmarkEnd w:id="5"/>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 Lewnes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rFonts w:ascii="Wingdings;sans-serif" w:hAnsi="Wingdings;sans-serif"/>
                <w:b w:val="false"/>
                <w:color w:val="222222"/>
                <w:sz w:val="24"/>
              </w:rPr>
            </w:pPr>
            <w:r>
              <w:rPr>
                <w:rFonts w:ascii="Wingdings;sans-serif" w:hAnsi="Wingdings;sans-serif"/>
                <w:b w:val="false"/>
                <w:color w:val="222222"/>
                <w:sz w:val="24"/>
              </w:rPr>
              <w:t>ü</w:t>
            </w:r>
          </w:p>
        </w:tc>
        <w:tc>
          <w:tcPr>
            <w:tcW w:w="3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Dwight Merriman</w:t>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6"/>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ü</w:t>
            </w:r>
          </w:p>
        </w:tc>
      </w:tr>
      <w:tr>
        <w:trPr/>
        <w:tc>
          <w:tcPr>
            <w:tcW w:w="25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 of FY2026 Meetings</w:t>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1321"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4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8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r>
    </w:tbl>
    <w:tbl>
      <w:tblPr>
        <w:tblW w:w="1542" w:type="dxa"/>
        <w:jc w:val="center"/>
        <w:tblInd w:w="0" w:type="dxa"/>
        <w:tblLayout w:type="fixed"/>
        <w:tblCellMar>
          <w:top w:w="28" w:type="dxa"/>
          <w:left w:w="28" w:type="dxa"/>
          <w:bottom w:w="28" w:type="dxa"/>
          <w:right w:w="28" w:type="dxa"/>
        </w:tblCellMar>
      </w:tblPr>
      <w:tblGrid>
        <w:gridCol w:w="145"/>
        <w:gridCol w:w="127"/>
        <w:gridCol w:w="129"/>
        <w:gridCol w:w="334"/>
        <w:gridCol w:w="334"/>
        <w:gridCol w:w="473"/>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90500" cy="1905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190500" cy="190500"/>
                          </a:xfrm>
                          <a:prstGeom prst="rect">
                            <a:avLst/>
                          </a:prstGeom>
                        </pic:spPr>
                      </pic:pic>
                    </a:graphicData>
                  </a:graphic>
                </wp:inline>
              </w:drawing>
            </w:r>
            <w:bookmarkStart w:id="6" w:name="i-7"/>
            <w:bookmarkEnd w:id="6"/>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w:t>
            </w:r>
          </w:p>
        </w:tc>
      </w:tr>
      <w:tr>
        <w:trPr/>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w:t>
            </w:r>
          </w:p>
        </w:tc>
      </w:tr>
    </w:tbl>
    <w:p>
      <w:pPr>
        <w:pStyle w:val="TextBody"/>
        <w:bidi w:val="0"/>
        <w:spacing w:lineRule="auto" w:line="288" w:before="0" w:after="120"/>
        <w:ind w:left="0" w:right="0" w:hanging="36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3"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helping our board of directors oversee our corporate accounting and financial reporting processes, systems of internal control and financial statement audits;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managing the selection, engagement terms, fees, qualifications, independence and performance of a qualified firm to serve as the independent registered public accounting firm to audit our financial statements;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overseeing the organization and performance of our internal audit function;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developing procedures for employees to submit concerns anonymously about questionable accounting or audit matters;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our policies on risk assessment and risk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related party transactions;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overseeing and reviewing relevant elements of our enterprise risk management program;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coordinating with other committees of the board of directors to oversee environmental, social and governance ("ESG") matters, including required reports or disclosures related to ESG matters;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approving (or, as permitted, pre-approving) all audit and all permissible non-audit services, other than de minimis non-audit services, to be performed by the independent registered public accounting firm.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consists of Mses. Agrawal and Lewnes and Messrs. D’Souza and Killalea. The chair of our compensation committee is Mr. D’Souza.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determined that Mses. Agrawal and Lewnes and Messrs. D’Souza and Killalea are independent under Nasdaq listing standards and are “non-employee directors” as defined in Rule 16b-3 promulgated under the Exchange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approving corporate performance goals and objectives for our Chief Executive Officer and other executive officers, taking into account the policies of the compensation committee;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our practices and policies of employee compensation as they relate to risk management and risk-taking incentives, to determine if such compensation policies and practices are reasonably likely to have a material adverse effect on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discussing with management our compensation disclosures in the section titled “Compensation Discussion and Analysis” of this proxy statement;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approving or recommending that our board of directors approve, the compensatory arrangements of our executive officers and other senior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recommending to our board of directors the compensation of our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the implementation and effectiveness of our human capital strategies, initiatives and programs relating to our culture, talent, recruitment, retention and employee engagement;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coordinating with other committees of the board of directors to oversee ESG matters, including required reports or disclosures related to ESG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24"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adopting, amending, terminating and administering incentive compensation and stock and equity incentive plans and other benefit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reviewing and establishing general policies relating to compensation and benefits of our employees and reviewing our overall compensation philosophy.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its charter, the compensation committee may form, and delegate authority to, subcommittees as appropriate.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Committee Processes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the Nasdaq, that bear upon the adviser’s independence; however, there is no requirement that any adviser be independent.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periodically throughout the year.</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Committee Interlocks and Insider Participation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Mses. Agrawal or Lewnes or Messrs. D’Souza or Killalea, the members of the compensation committee, is currently one of our officers or employees or has at any time been one of our officers or employees or has had any relationship requiring disclosure under Item 404 of Regulations S-K.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25"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formal meeting from time to time. The agenda for each meeting is usually developed by the chairperson of the nominating and corporate governance committee, in consultation with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 responsibilities of our nominating and corporate governance committee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identifying and evaluating candidates, including the nomination of incumbent directors for reelection and nominees recommended by stockholders, to serve on our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annually reviewing the performance of our board of directors, including committees of the board of directors;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considering and making recommendations to our board of directors regarding the composition of our board of directors and its committees;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coordinating with other committees of the board of directors to oversee ESG matters, including required reports or disclosures related to ESG matters;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instituting plans or programs for the continuing education of directors and orientation of new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developing, reviewing and making recommendations to our board of directors regarding our Corporate Governance Guidelines and related corporate governance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demonstrating excellence in his or her field, having the ability to exercise sound business judgment and having the commitment to rigorously represent the long-term interests of our stockholders. These minimum qualifications may be modified from time to time. The committee typically considers potential conflicts of interest, director independence, background, age, skills and such other factors as it deems appropriate, given the current needs of our board of directors and the company, to maintain a balance of knowledge, experience and capability.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nominating and corporate governance committee </w:t>
      </w:r>
      <w:r>
        <w:rPr>
          <w:rFonts w:ascii="Times New Roman;serif" w:hAnsi="Times New Roman;serif"/>
          <w:b w:val="false"/>
          <w:color w:val="000000"/>
          <w:sz w:val="20"/>
          <w:shd w:fill="FFFFFF" w:val="clear"/>
        </w:rPr>
        <w:t xml:space="preserve">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nominating and corporate governance committee will consider stockholder recommendations of director candidates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w:t>
      </w:r>
      <w:r>
        <w:rPr>
          <w:rFonts w:ascii="Times New Roman;serif" w:hAnsi="Times New Roman;serif"/>
          <w:b w:val="false"/>
          <w:color w:val="000000"/>
          <w:sz w:val="20"/>
          <w:shd w:fill="FFFFFF" w:val="clear"/>
        </w:rPr>
        <w:t>at least 120 days prior to the anniversary date of the mailing of our proxy statement for the last annual meeting of stockholders.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may nominate directors by submitting names and other information required by applicable law and our amended and restated bylaws. Each submission must include, among other things, the name, age, business address and residence address of the proposed candidate, the principal occupation or employment of the proposed candidate, details of the proposed candidate’s ownership of our common stock, a description of the proposed candidate’s business experience for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26"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least the last five years, and a description of the proposed candidate’s qualifications as a director. Any such submission must be accompanied by the written consent of the proposed candidate to be named as a nominee and to serve as a director if elected. If you wish to nominate a director that you do not desire to be included in next year’s proxy materials, in accordance with our amended and restated bylaws, you must do so between March 2, 2027 and April 1, 2027; provided that if the date of that annual meeting of stockholders is earlier than May 31, 2027 or later than July 30, 2027, you must give the required notice not earlier than the 120th day prior to the meeting date and not later than the 90th day prior to the meeting date or, if later, the 10th day following the day on which public disclosure of that meeting date is first made.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A stockholder or group of stockholders that has owned at least three percent of the Company's common stock continuously for at least three years and satisfies certain eligibility, procedural and disclosure requirements set forth in the Company's amended and restated bylaws, may nominate and include in our proxy materials for the annual meeting certain director candidates. You should refer to our amended and restated bylaws for a complete description of the required procedures for nominating a candidate to our board of directors.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Security Committee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security committee consists of Messrs. Killalea, Hazard and Merriman, and Ms. Lewnes. The chair of our security committee is Mr. Killalea. Each member of the security committee is independent, is a non-employee director and is free from any relationship that would interfere with the exercise of his or her independent judgment, as determined by the board of directors in accordance with the applicable Nasdaq listing standards. The security committee meets at least quarterly and with greater frequency as necessary. The security committee may also act by unanimous written consent in lieu of a formal meeting from time to time. The agenda for each meeting is usually developed by the chairperson of the security committee, in consultation with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 responsibilities of our security committee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with management, at least annually, our assessment of risks related to physical security and cybersecurity threats and our management and mitigation of physical security threats, physical security incidents, cybersecurity threats and cybersecurity incidents;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with management any major physical security and cybersecurity incidents that have occurred and steps that have been taken to mitigate against reoccurrence;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evaluating the effectiveness of our risk management and data security programs measured against our cybersecurity threat landscape, including the following program components: cybersecurity risk monitoring, effectiveness testing, integrity of information security systems and controls and adequacy of resources, security awareness training and cybersecurity insurance coverage;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discussing with management the regulations, as well as key legislative and regulatory developments, that could materially impact our cybersecurity risk exposure;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evaluating the integrity of our information systems, processes, policies and controls to ensure compliance;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assessing the effectiveness of our business continuity plan and cybersecurity incident response plan, including disclosure, investigation, remediation and post-incident security measures;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and assessing our physical security and cybersecurity risk systems against industry benchmarks and best practices, and make recommendations on enhancements;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reviewing our information security planning and resources to manage changes in our cybersecurity threat landscape and assessing the potential impact of cybersecurity risk on our business, operations and reputation. </w:t>
      </w:r>
    </w:p>
    <w:p>
      <w:pPr>
        <w:pStyle w:val="TextBody"/>
        <w:bidi w:val="0"/>
        <w:spacing w:lineRule="auto" w:line="276" w:before="0" w:after="240"/>
        <w:jc w:val="both"/>
        <w:rPr>
          <w:rFonts w:ascii="Times New Roman;serif" w:hAnsi="Times New Roman;serif"/>
          <w:b/>
          <w:color w:val="000000"/>
          <w:sz w:val="20"/>
        </w:rPr>
      </w:pPr>
      <w:r>
        <w:rPr>
          <w:rFonts w:ascii="Times New Roman;serif" w:hAnsi="Times New Roman;serif"/>
          <w:b/>
          <w:color w:val="000000"/>
          <w:sz w:val="20"/>
        </w:rPr>
        <w:t>Board Skills Matrix</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comprised of a diverse group of highly qualified leaders in their respective fields. All of our directors have senior leadership experience at large public and private companies and have significant and diverse management experience. We believe the skills, qualities, attributes and experience of our directors provide us with a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27"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perspectives to effectively represent the best interests of our stockholders. The chart below summarizes our directors’ strengths.</w:t>
      </w:r>
    </w:p>
    <w:tbl>
      <w:tblPr>
        <w:tblW w:w="10205" w:type="dxa"/>
        <w:jc w:val="left"/>
        <w:tblInd w:w="0" w:type="dxa"/>
        <w:tblLayout w:type="fixed"/>
        <w:tblCellMar>
          <w:top w:w="28" w:type="dxa"/>
          <w:left w:w="28" w:type="dxa"/>
          <w:bottom w:w="28" w:type="dxa"/>
          <w:right w:w="28" w:type="dxa"/>
        </w:tblCellMar>
      </w:tblPr>
      <w:tblGrid>
        <w:gridCol w:w="449"/>
        <w:gridCol w:w="295"/>
        <w:gridCol w:w="297"/>
        <w:gridCol w:w="370"/>
        <w:gridCol w:w="370"/>
        <w:gridCol w:w="371"/>
        <w:gridCol w:w="601"/>
        <w:gridCol w:w="601"/>
        <w:gridCol w:w="602"/>
        <w:gridCol w:w="466"/>
        <w:gridCol w:w="466"/>
        <w:gridCol w:w="467"/>
        <w:gridCol w:w="387"/>
        <w:gridCol w:w="387"/>
        <w:gridCol w:w="388"/>
        <w:gridCol w:w="377"/>
        <w:gridCol w:w="377"/>
        <w:gridCol w:w="378"/>
        <w:gridCol w:w="427"/>
        <w:gridCol w:w="427"/>
        <w:gridCol w:w="428"/>
        <w:gridCol w:w="370"/>
        <w:gridCol w:w="370"/>
        <w:gridCol w:w="534"/>
      </w:tblGrid>
      <w:tr>
        <w:trPr/>
        <w:tc>
          <w:tcPr>
            <w:tcW w:w="44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Board Skills Matrix (as of May 8, 2026)</w:t>
            </w:r>
          </w:p>
        </w:tc>
      </w:tr>
      <w:tr>
        <w:trPr/>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1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w:t>
            </w:r>
          </w:p>
        </w:tc>
        <w:tc>
          <w:tcPr>
            <w:tcW w:w="18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Cybersecurity, Information Security or Privacy</w:t>
            </w:r>
          </w:p>
        </w:tc>
        <w:tc>
          <w:tcPr>
            <w:tcW w:w="13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Global Sales, Markets or Operations</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Leadership</w:t>
            </w:r>
          </w:p>
        </w:tc>
        <w:tc>
          <w:tcPr>
            <w:tcW w:w="11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Company Boards</w:t>
            </w:r>
          </w:p>
        </w:tc>
        <w:tc>
          <w:tcPr>
            <w:tcW w:w="12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 Management</w:t>
            </w:r>
          </w:p>
        </w:tc>
        <w:tc>
          <w:tcPr>
            <w:tcW w:w="12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or Accounting</w:t>
            </w:r>
          </w:p>
        </w:tc>
      </w:tr>
      <w:tr>
        <w:trPr/>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Archana Agrawal</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Roelof Botha</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Hope Cochran </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39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7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39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Francisco D'Souza</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 Hazard</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r>
      <w:tr>
        <w:trPr/>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Tom Killalea </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39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7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 Lewnes</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6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ü</w:t>
            </w:r>
          </w:p>
        </w:tc>
        <w:tc>
          <w:tcPr>
            <w:tcW w:w="128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Dwight Merriman</w:t>
            </w:r>
          </w:p>
        </w:tc>
        <w:tc>
          <w:tcPr>
            <w:tcW w:w="111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80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39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ü</w:t>
            </w:r>
          </w:p>
        </w:tc>
        <w:tc>
          <w:tcPr>
            <w:tcW w:w="113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Transactions With Related Persons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Related Person Transaction Policy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an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There were no related person transactions in fiscal year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Code of Business Conduct and Ethics and Corporate Governance Guidelines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amendments thereto and waivers thereof, and our Corporate Governance Guidelines are available in the “Corporate Governance” section of our investor relations website at </w:t>
      </w:r>
      <w:r>
        <w:rPr>
          <w:rFonts w:ascii="Times New Roman;serif" w:hAnsi="Times New Roman;serif"/>
          <w:b w:val="false"/>
          <w:i/>
          <w:color w:val="000000"/>
          <w:sz w:val="20"/>
        </w:rPr>
        <w:t>investors.mongodb.com.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28"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Communications with our Board of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 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ESG Highlights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Oversight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continue to innovate and scale, we also aim to ensure that our success is sustainable. While our management is responsible for developing our overall strategic plan, our board of directors retains oversight authority and has an enterprise-wide approach to ESG and risk management, designed to support the achievement of organizational objectives, including strategic objectives, improving long-term organizational performance, and enhancing stockholder value.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ESG governance framework, formalized in fiscal year 2024, drives the integration of sustainability and social impact across MongoDB. This structure is anchored by our ESG Steering Committee, which provides strategic oversight and is led by our Chief Legal Officer as executive sponsor. The ESG Steering Committee is supported by the ESG Operating Group and ESG Working Group, ensuring a cross-functional flow of expertise. Membership includes senior leaders from key disciplines—including Human Resources, Engineering, Finance, Cybersecurity, and Investor Relations—ensuring that ESG considerations are embedded into our core business operations.</w:t>
      </w:r>
    </w:p>
    <w:tbl>
      <w:tblPr>
        <w:tblW w:w="10205" w:type="dxa"/>
        <w:jc w:val="left"/>
        <w:tblInd w:w="0" w:type="dxa"/>
        <w:tblLayout w:type="fixed"/>
        <w:tblCellMar>
          <w:top w:w="28" w:type="dxa"/>
          <w:left w:w="28" w:type="dxa"/>
          <w:bottom w:w="28" w:type="dxa"/>
          <w:right w:w="28" w:type="dxa"/>
        </w:tblCellMar>
      </w:tblPr>
      <w:tblGrid>
        <w:gridCol w:w="531"/>
        <w:gridCol w:w="467"/>
        <w:gridCol w:w="473"/>
        <w:gridCol w:w="564"/>
        <w:gridCol w:w="564"/>
        <w:gridCol w:w="565"/>
        <w:gridCol w:w="2061"/>
        <w:gridCol w:w="2061"/>
        <w:gridCol w:w="2919"/>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Oversight</w:t>
            </w:r>
          </w:p>
        </w:tc>
        <w:tc>
          <w:tcPr>
            <w:tcW w:w="16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Board of Directors &amp; Board Committees</w:t>
            </w:r>
          </w:p>
        </w:tc>
        <w:tc>
          <w:tcPr>
            <w:tcW w:w="7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Oversee the implementation of our mission, vision, and values across all aspects of our Company. Review significant ESG goals, risks, opportunities, achievements, and strategy, including climate, sustainability, employee health and safety and human capital management.</w:t>
            </w:r>
          </w:p>
        </w:tc>
      </w:tr>
      <w:tr>
        <w:trPr/>
        <w:tc>
          <w:tcPr>
            <w:tcW w:w="1471" w:type="dxa"/>
            <w:gridSpan w:val="3"/>
            <w:vMerge w:val="restart"/>
            <w:tcBorders/>
            <w:shd w:fill="B6B6B6"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Management</w:t>
            </w:r>
          </w:p>
        </w:tc>
        <w:tc>
          <w:tcPr>
            <w:tcW w:w="16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Team</w:t>
            </w:r>
          </w:p>
        </w:tc>
        <w:tc>
          <w:tcPr>
            <w:tcW w:w="7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Integrates ESG into the overall business strategy and risk management process. Collaborates with the board to implement ESG strategies, monitor performance, and ensure alignment with our overall strategic goals.</w:t>
            </w:r>
          </w:p>
        </w:tc>
      </w:tr>
      <w:tr>
        <w:trPr/>
        <w:tc>
          <w:tcPr>
            <w:tcW w:w="1471"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1693" w:type="dxa"/>
            <w:gridSpan w:val="3"/>
            <w:tcBorders>
              <w:top w:val="dashed"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ESG Steering Committee</w:t>
            </w:r>
          </w:p>
        </w:tc>
        <w:tc>
          <w:tcPr>
            <w:tcW w:w="7041" w:type="dxa"/>
            <w:gridSpan w:val="3"/>
            <w:tcBorders>
              <w:top w:val="dashed" w:sz="8" w:space="0" w:color="000000"/>
            </w:tcBorders>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Strategizes and advises the Executive Team on sustainability initiatives and collaborative efforts on key areas of focus. Measures progress through updates from our Chief Legal Officer and other members of the ESG Steering Committee.</w:t>
            </w:r>
          </w:p>
        </w:tc>
      </w:tr>
      <w:tr>
        <w:trPr/>
        <w:tc>
          <w:tcPr>
            <w:tcW w:w="1471" w:type="dxa"/>
            <w:gridSpan w:val="3"/>
            <w:vMerge w:val="restart"/>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Implementation</w:t>
            </w:r>
          </w:p>
        </w:tc>
        <w:tc>
          <w:tcPr>
            <w:tcW w:w="16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ESG Operating Group</w:t>
            </w:r>
          </w:p>
        </w:tc>
        <w:tc>
          <w:tcPr>
            <w:tcW w:w="7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Executes strategic initiatives supporting the Company's focus on ESG-related issues. Responsible for the day-to-day progress of ESG initiatives developed by the ESG Working Group. </w:t>
            </w:r>
          </w:p>
        </w:tc>
      </w:tr>
      <w:tr>
        <w:trPr/>
        <w:tc>
          <w:tcPr>
            <w:tcW w:w="147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1693" w:type="dxa"/>
            <w:gridSpan w:val="3"/>
            <w:tcBorders>
              <w:top w:val="dashed"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ESG Working Group</w:t>
            </w:r>
          </w:p>
        </w:tc>
        <w:tc>
          <w:tcPr>
            <w:tcW w:w="7041" w:type="dxa"/>
            <w:gridSpan w:val="3"/>
            <w:tcBorders>
              <w:top w:val="dashed"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Maintains enterprise sustainability and ESG strategies through consistent monitoring of MongoDB initiatives, developments in regulations, reporting standards and stakeholder feedback.</w:t>
            </w:r>
          </w:p>
        </w:tc>
      </w:tr>
    </w:tbl>
    <w:p>
      <w:pPr>
        <w:pStyle w:val="TextBody"/>
        <w:bidi w:val="0"/>
        <w:spacing w:before="0" w:after="240"/>
        <w:ind w:left="0" w:right="0" w:firstLine="720"/>
        <w:jc w:val="both"/>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29"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Sustainability Framework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ESG strategy and reporting are informed by analysis of: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current stockholder base, as well as prospective investors, to identify key sustainability issues emphasized by our stockholders;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internal feedback from employees to help determine which sustainability topics have the greatest impact on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feedback from customers, suppliers and partners to identify market or industry trends;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research to identify sustainability policies, principles and practices of our peer companies and the best disclosure practices related to each;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key factors evaluated by the most influential rating agencies issuing ESG scores.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MongoDB Leadership Commitment, offer competitive compensation and benefits, support the health and well-being of our employees, and create an environment that supports high performance and growth for all our employees.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had a total of 5,636 employees, including 2,927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culture is critical to our success and has delivered tangible financial and operational benefits for our customers, our employees and our stockholders. Our culture is grounded in the MongoDB Leadership Commitment framework which states that all employees at MongoDB are keepers of our culture and expected to do three things to be successful: deliver the right outcomes for our customers (what we do), live our values in everything we do (why we do it), and engage with each other as leaders (how we do it).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Company Values</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Think big, go far.</w:t>
      </w:r>
      <w:r>
        <w:rPr>
          <w:color w:val="000000"/>
        </w:rPr>
        <w:t xml:space="preserve"> </w:t>
      </w:r>
      <w:r>
        <w:rPr>
          <w:rFonts w:ascii="Times New Roman;serif" w:hAnsi="Times New Roman;serif"/>
          <w:b w:val="false"/>
          <w:color w:val="000000"/>
          <w:sz w:val="20"/>
        </w:rPr>
        <w:t>We are big dreamers with a passion for creativity. We eagerly pursue new opportunities and markets through innovation and disruption. We have a pioneering spirit—always ready to forge new paths and take smart risks.</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Build together.</w:t>
      </w:r>
      <w:r>
        <w:rPr>
          <w:color w:val="000000"/>
        </w:rPr>
        <w:t xml:space="preserve"> </w:t>
      </w:r>
      <w:r>
        <w:rPr>
          <w:rFonts w:ascii="Times New Roman;serif" w:hAnsi="Times New Roman;serif"/>
          <w:b w:val="false"/>
          <w:color w:val="000000"/>
          <w:sz w:val="20"/>
        </w:rPr>
        <w:t xml:space="preserve">We achieve amazing things by connecting and leveraging the diversity of perspectives, skills, experiences and backgrounds of our entire organization. We place the interests of the company over any individual or team. We discuss things thoroughly, but prioritize commitment over consensus. </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Embrace the power of differences.</w:t>
      </w:r>
      <w:r>
        <w:rPr>
          <w:color w:val="000000"/>
        </w:rPr>
        <w:t xml:space="preserve"> </w:t>
      </w:r>
      <w:r>
        <w:rPr>
          <w:rFonts w:ascii="Times New Roman;serif" w:hAnsi="Times New Roman;serif"/>
          <w:b w:val="false"/>
          <w:color w:val="000000"/>
          <w:sz w:val="20"/>
        </w:rPr>
        <w:t xml:space="preserve">We commit to creating a culture of belonging, where people of different origins, backgrounds and experiences feel valued and heard. This is cultivated by learning from and respecting each other’s similarities and differences. We approach conversations with positive intent and believe that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0"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value the perspective we bring to the table. We recognize that a diverse workforce is the best way to broaden our perspectives, foster innovation and enable a sustainable competitive advantage.</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 xml:space="preserve">Make it matter. </w:t>
      </w:r>
      <w:r>
        <w:rPr>
          <w:rFonts w:ascii="Times New Roman;serif" w:hAnsi="Times New Roman;serif"/>
          <w:b w:val="false"/>
          <w:color w:val="000000"/>
          <w:sz w:val="20"/>
        </w:rPr>
        <w:t xml:space="preserve">We are relentless in our pursuit of meaningful impact. We think strategically and are clear on what we are and are not trying to do. We accomplish an amazing amount of important work and we are obsessed with delivering on our commitments. </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Be intellectually honest.</w:t>
      </w:r>
      <w:r>
        <w:rPr>
          <w:color w:val="000000"/>
        </w:rPr>
        <w:t xml:space="preserve"> </w:t>
      </w:r>
      <w:r>
        <w:rPr>
          <w:rFonts w:ascii="Times New Roman;serif" w:hAnsi="Times New Roman;serif"/>
          <w:b w:val="false"/>
          <w:color w:val="000000"/>
          <w:sz w:val="20"/>
        </w:rPr>
        <w:t>We embrace reality. We apply high-quality thinking and rigor and operate with transparency. We have courage in our convictions, but work hard to ensure biases or personal beliefs do not get in the way of finding the best solution.</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Own what you do.</w:t>
      </w:r>
      <w:r>
        <w:rPr>
          <w:color w:val="000000"/>
        </w:rPr>
        <w:t xml:space="preserve"> </w:t>
      </w:r>
      <w:r>
        <w:rPr>
          <w:rFonts w:ascii="Times New Roman;serif" w:hAnsi="Times New Roman;serif"/>
          <w:b w:val="false"/>
          <w:color w:val="000000"/>
          <w:sz w:val="20"/>
        </w:rPr>
        <w:t>We take ownership and are accountable for everything that we do. We empower and we are empowered to make things happen and balance independence with interdependence. We demand excellence from ourselves. We each play our own part in making MongoDB a great place to work.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embed the MongoDB Leadership Commitment, and therefore our Values, into all aspects of the employee lifecycle from recruiting to performance management to leadership development and more to build a high performance and inclusive culture.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Talent &amp; Leadership Development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 - 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Compensation and Benefits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(including our named executive officers)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401(k) retirement plan benefits and additional resources to support employees' overall well-being. While the philosophy around our benefits is the same worldwide, specific benefits may vary by country due to local regulations and preferences.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1"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three-year average annual burn rate from fiscal year 2024 through fiscal year 2026 has been 3.57%, compared to our three-year average annual burn rate of 3.23% from fiscal year 2023 through fiscal year 2025, and well below the evergreen share replenishment factor of 5.0% of common shares outstanding. We determine our “burn rate” by dividing equity awards granted during the fiscal year by the weighted average number of shares outstanding over such fiscal year.</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Health, Safety and Well-Being</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 </w:t>
      </w:r>
    </w:p>
    <w:p>
      <w:pPr>
        <w:pStyle w:val="TextBody"/>
        <w:bidi w:val="0"/>
        <w:spacing w:lineRule="auto" w:line="288" w:before="0" w:after="2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it relates to employee well-being, we offer a range of benefits under our four pillars of well-being:</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 xml:space="preserve">Physical well-being. </w:t>
      </w:r>
      <w:r>
        <w:rPr>
          <w:rFonts w:ascii="Times New Roman;serif" w:hAnsi="Times New Roman;serif"/>
          <w:b w:val="false"/>
          <w:color w:val="000000"/>
          <w:sz w:val="20"/>
        </w:rPr>
        <w:t>We offer our employees access to comprehensive and competitive medical coverage in local markets, often covering the 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Financial well-being.</w:t>
      </w:r>
      <w:r>
        <w:rPr>
          <w:color w:val="000000"/>
        </w:rPr>
        <w:t xml:space="preserve"> </w:t>
      </w:r>
      <w:r>
        <w:rPr>
          <w:rFonts w:ascii="Times New Roman;serif" w:hAnsi="Times New Roman;serif"/>
          <w:b w:val="false"/>
          <w:color w:val="000000"/>
          <w:sz w:val="20"/>
        </w:rPr>
        <w:t>We believe that financial security is an enabler of creativity and productivity, which is why we offer retirement saving options for our employees, including a 401(k) employer matching program, as well as benefits such as life insurance, disability insurance, critical illness and accident coverage.</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Emotional well-being.</w:t>
      </w:r>
      <w:r>
        <w:rPr>
          <w:color w:val="000000"/>
        </w:rPr>
        <w:t xml:space="preserve"> </w:t>
      </w:r>
      <w:r>
        <w:rPr>
          <w:rFonts w:ascii="Times New Roman;serif" w:hAnsi="Times New Roman;serif"/>
          <w:b w:val="false"/>
          <w:color w:val="000000"/>
          <w:sz w:val="20"/>
        </w:rPr>
        <w:t>Our employees and their families have 24-hour access to our Employee Assistance Program (“EAP”). Our EAP offers 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Family well-being.</w:t>
      </w:r>
      <w:r>
        <w:rPr>
          <w:color w:val="000000"/>
        </w:rPr>
        <w:t xml:space="preserve"> </w:t>
      </w:r>
      <w:r>
        <w:rPr>
          <w:rFonts w:ascii="Times New Roman;serif" w:hAnsi="Times New Roman;serif"/>
          <w:b w:val="false"/>
          <w:color w:val="000000"/>
          <w:sz w:val="20"/>
        </w:rPr>
        <w:t>We provide global fertility benefits to our employees and their partners, including fertility care, adoption and surrogacy 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Employee Engagement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 The results also drive organization-wide focus areas and commitments focused on leadership, culture and inclusion.</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2"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Environmental Initiatives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Environmental sustainability is an important consideration in how MongoDB operates. We recognize a responsibility to understand and reduce our impact where we can, from product design to office selection. As we continue to grow, we are working to embed sustainable practices into our business and to be transparent about both our progress and the challenges that remain.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disclosed our carbon footprint and updated our net-zero carbon target to 2050, aligning with science-based standards and our long-term growth trajectory. Our goal is to reduce 90% of our absolute emissions across all scopes and offset the remaining residual emissions through high-quality carbon removal credits. We are also committed to being 100% powered by renewables by the end of 2026. This target entails reducing our Scope 2 electricity emissions to zero through thoughtful sourcing of Renewable Energy Credits or on-site renewables. We have made significant progress, reaching 80% renewable power for our offices, and are on track to achieve 100% by the end of April 2026.</w:t>
      </w:r>
    </w:p>
    <w:p>
      <w:pPr>
        <w:pStyle w:val="TextBody"/>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Actions demonstrating our commitment to advancing sustainability include:</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Completing our first double materiality assessment to identify and prioritize the ESG topics most significant to our business and stakeholders.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Developing our Climate Transition Plan, outlining a clear pathway to achieve our net-zero by 2050 goal through a 90% emissions reduction.</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Expanding our renewable energy strategy through a hybrid approach combining Virtual Power Purchase Agreements ("VPPA") and Renewable Energy Certificates to accelerate progress toward 100% renewable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Entering into a long-term VPPA in India, installing two rooftop solar systems on industrial facilities, one projected to avoid 750 tCO₂/year while creating local jobs, and another enabling a facility to reduce its reliance on diesel generation.</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Achieving a CDP score of B, reflecting stronger climate disclosure and performance.</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Improving our EcoVadis sustainability rating to 60, demonstrating progress in ESG practices.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Obtaining third-party verification of our emissions data in accordance with ISO 14064.</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Broadening our renewable energy procurement into new regions, including Australia, the United Kingdom, Denmark, France, and Spain.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3"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PROPOSAL 1 –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both"/>
        <w:rPr/>
      </w:pPr>
      <w:r>
        <w:rPr>
          <w:rFonts w:ascii="Times New Roman;serif" w:hAnsi="Times New Roman;serif"/>
          <w:b w:val="false"/>
          <w:color w:val="000000"/>
          <w:sz w:val="20"/>
          <w:shd w:fill="FFFFFF" w:val="clear"/>
        </w:rPr>
        <w:t xml:space="preserve">Our board of directors is divided into three classes. </w:t>
      </w:r>
      <w:r>
        <w:rPr>
          <w:rFonts w:ascii="Times New Roman;serif" w:hAnsi="Times New Roman;serif"/>
          <w:b w:val="false"/>
          <w:color w:val="000000"/>
          <w:sz w:val="20"/>
        </w:rPr>
        <w:t>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currently consists of ten members divided into the three classes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Class I directors: Roelof Botha, Chirantan Desai, Dev Ittycheria and Ann Lewnes, whose terms will expire at the annual meeting of stockholders to be held in 2027;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Class II directors: Francisco D’Souza, Charles M. Hazard, Jr. and Tom Killalea, whose terms will expire at the annual meeting of stockholders to be held in 2028; and</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rPr>
        <w:t>Class III directors: Archana Agrawal, Hope Cochran and Dwight Merriman, whose terms will expire at the upcoming annual meeting of stockholders.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nominated Mses. Agrawal and Cochran and Mr. Merriman, each of whom is currently a director of MongoDB, for re-election to serve as Class III directors.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Mses. Agrawal and Cochran and Mr. Merriman, has agreed to stand for reelection at the meeting. Our management has no reason to believe that any nominee will be unable to serve. If elected at the meeting, each of these nominees would serve until the annual meeting of stockholders to be held in 2029 and until his or her successor has been duly elected, or if sooner, until the director’s death, resignation or removal.</w:t>
      </w:r>
    </w:p>
    <w:p>
      <w:pPr>
        <w:pStyle w:val="TextBody"/>
        <w:bidi w:val="0"/>
        <w:spacing w:lineRule="auto" w:line="288" w:before="0" w:after="220"/>
        <w:jc w:val="both"/>
        <w:rPr>
          <w:rFonts w:ascii="Times New Roman;serif" w:hAnsi="Times New Roman;serif"/>
          <w:b/>
          <w:color w:val="000000"/>
          <w:sz w:val="20"/>
        </w:rPr>
      </w:pPr>
      <w:r>
        <w:rPr>
          <w:rFonts w:ascii="Times New Roman;serif" w:hAnsi="Times New Roman;serif"/>
          <w:b/>
          <w:color w:val="000000"/>
          <w:sz w:val="20"/>
        </w:rPr>
        <w:t>Nominees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an array of perspectives, skills, experiences and backgrounds add to the overall diversity and viewpoints of the board of directors and that the current board of directors embodies the breadth of backgrounds and experience necessary for a balanced and effective board. </w:t>
      </w:r>
    </w:p>
    <w:tbl>
      <w:tblPr>
        <w:tblW w:w="9105" w:type="dxa"/>
        <w:jc w:val="left"/>
        <w:tblInd w:w="0" w:type="dxa"/>
        <w:tblLayout w:type="fixed"/>
        <w:tblCellMar>
          <w:top w:w="28" w:type="dxa"/>
          <w:left w:w="28" w:type="dxa"/>
          <w:bottom w:w="28" w:type="dxa"/>
          <w:right w:w="28" w:type="dxa"/>
        </w:tblCellMar>
      </w:tblPr>
      <w:tblGrid>
        <w:gridCol w:w="2913"/>
        <w:gridCol w:w="2559"/>
        <w:gridCol w:w="3633"/>
      </w:tblGrid>
      <w:tr>
        <w:trPr/>
        <w:tc>
          <w:tcPr>
            <w:tcW w:w="2913"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 xml:space="preserve">Our board of directors recommends a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each Class III director nominee named above.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34"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INFORMATION REGARDING DIRECTOR NOMINEES AND CURRENT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current nominees and our other directors who will continue in office after the meeting, their ages and position/office held with us as of the date of this proxy statement:</w:t>
      </w:r>
    </w:p>
    <w:tbl>
      <w:tblPr>
        <w:tblW w:w="8547" w:type="dxa"/>
        <w:jc w:val="center"/>
        <w:tblInd w:w="0" w:type="dxa"/>
        <w:tblLayout w:type="fixed"/>
        <w:tblCellMar>
          <w:top w:w="28" w:type="dxa"/>
          <w:left w:w="28" w:type="dxa"/>
          <w:bottom w:w="28" w:type="dxa"/>
          <w:right w:w="28" w:type="dxa"/>
        </w:tblCellMar>
      </w:tblPr>
      <w:tblGrid>
        <w:gridCol w:w="924"/>
        <w:gridCol w:w="810"/>
        <w:gridCol w:w="815"/>
        <w:gridCol w:w="236"/>
        <w:gridCol w:w="236"/>
        <w:gridCol w:w="238"/>
        <w:gridCol w:w="1549"/>
        <w:gridCol w:w="1549"/>
        <w:gridCol w:w="2190"/>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Age</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Position/Office Held With MongoDB</w:t>
            </w:r>
          </w:p>
        </w:tc>
      </w:tr>
      <w:tr>
        <w:trPr/>
        <w:tc>
          <w:tcPr>
            <w:tcW w:w="8547"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Class I directors, nominees for election at the 2027 Annual Meeting of Stockholders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Roelof Botha</w:t>
            </w:r>
            <w:r>
              <w:rPr>
                <w:rFonts w:ascii="Times New Roman;serif" w:hAnsi="Times New Roman;serif"/>
                <w:b w:val="false"/>
                <w:color w:val="000000"/>
                <w:sz w:val="13"/>
              </w:rPr>
              <w:t>(1)</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and former President and Chief Executive Officer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Ann Lewnes</w:t>
            </w:r>
            <w:r>
              <w:rPr>
                <w:rFonts w:ascii="Times New Roman;serif" w:hAnsi="Times New Roman;serif"/>
                <w:b w:val="false"/>
                <w:color w:val="000000"/>
                <w:sz w:val="13"/>
              </w:rPr>
              <w:t>(3)(7)</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8547"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Class II directors whose terms expire at the 2028 Annual Meeting of Stockholders</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Francisco D'Souza</w:t>
            </w:r>
            <w:r>
              <w:rPr>
                <w:rFonts w:ascii="Times New Roman;serif" w:hAnsi="Times New Roman;serif"/>
                <w:b w:val="false"/>
                <w:color w:val="000000"/>
                <w:sz w:val="13"/>
              </w:rPr>
              <w:t>(3)(4)(5)</w:t>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Charles M. Hazard, Jr.</w:t>
            </w:r>
            <w:r>
              <w:rPr>
                <w:rFonts w:ascii="Times New Roman;serif" w:hAnsi="Times New Roman;serif"/>
                <w:b w:val="false"/>
                <w:color w:val="000000"/>
                <w:sz w:val="13"/>
              </w:rPr>
              <w:t>(1)(5)(6)(7)</w:t>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Tom Killalea</w:t>
            </w:r>
            <w:r>
              <w:rPr>
                <w:rFonts w:ascii="Times New Roman;serif" w:hAnsi="Times New Roman;serif"/>
                <w:b w:val="false"/>
                <w:color w:val="000000"/>
                <w:sz w:val="13"/>
              </w:rPr>
              <w:t>(3)(5)(8)</w:t>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 of the Board</w:t>
            </w:r>
          </w:p>
        </w:tc>
      </w:tr>
      <w:tr>
        <w:trPr/>
        <w:tc>
          <w:tcPr>
            <w:tcW w:w="8547"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Class III directors whose terms expire at the 2026 Annual Meeting of Stockholders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Archana Agrawal</w:t>
            </w:r>
            <w:r>
              <w:rPr>
                <w:rFonts w:ascii="Times New Roman;serif" w:hAnsi="Times New Roman;serif"/>
                <w:b w:val="false"/>
                <w:color w:val="000000"/>
                <w:sz w:val="13"/>
              </w:rPr>
              <w:t>(3)</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Hope Cochran</w:t>
            </w:r>
            <w:r>
              <w:rPr>
                <w:rFonts w:ascii="Times New Roman;serif" w:hAnsi="Times New Roman;serif"/>
                <w:b w:val="false"/>
                <w:color w:val="000000"/>
                <w:sz w:val="13"/>
              </w:rPr>
              <w:t>(1)(2)</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Dwight Merriman</w:t>
            </w:r>
            <w:r>
              <w:rPr>
                <w:rFonts w:ascii="Times New Roman;serif" w:hAnsi="Times New Roman;serif"/>
                <w:b w:val="false"/>
                <w:color w:val="000000"/>
                <w:sz w:val="13"/>
              </w:rPr>
              <w:t>(7)</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and Director</w:t>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6"/>
        </w:rPr>
        <w:t>Audit Committee Member</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16"/>
        </w:rPr>
        <w:t>Audit Committee Chairperson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16"/>
        </w:rPr>
        <w:t>Compensation Committee Member</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16"/>
        </w:rPr>
        <w:t>Compensation Committee Chairperson</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color w:val="000000"/>
        </w:rPr>
        <w:t>    </w:t>
      </w:r>
      <w:r>
        <w:rPr>
          <w:rFonts w:ascii="Times New Roman;serif" w:hAnsi="Times New Roman;serif"/>
          <w:b w:val="false"/>
          <w:color w:val="000000"/>
          <w:sz w:val="16"/>
        </w:rPr>
        <w:t>Nominating and Corporate Governance Committee Member</w:t>
      </w:r>
    </w:p>
    <w:p>
      <w:pPr>
        <w:pStyle w:val="TextBody"/>
        <w:bidi w:val="0"/>
        <w:spacing w:lineRule="auto" w:line="288" w:before="0" w:after="0"/>
        <w:ind w:left="0" w:right="0" w:hanging="360"/>
        <w:jc w:val="left"/>
        <w:rPr/>
      </w:pPr>
      <w:r>
        <w:rPr>
          <w:rFonts w:ascii="Times New Roman;serif" w:hAnsi="Times New Roman;serif"/>
          <w:b w:val="false"/>
          <w:color w:val="000000"/>
          <w:sz w:val="13"/>
        </w:rPr>
        <w:t>(6)</w:t>
      </w:r>
      <w:r>
        <w:rPr>
          <w:color w:val="000000"/>
        </w:rPr>
        <w:t>    </w:t>
      </w:r>
      <w:r>
        <w:rPr>
          <w:rFonts w:ascii="Times New Roman;serif" w:hAnsi="Times New Roman;serif"/>
          <w:b w:val="false"/>
          <w:color w:val="000000"/>
          <w:sz w:val="16"/>
        </w:rPr>
        <w:t>Nominating and Corporate Governance Committee Chairperson</w:t>
      </w:r>
    </w:p>
    <w:p>
      <w:pPr>
        <w:pStyle w:val="TextBody"/>
        <w:bidi w:val="0"/>
        <w:spacing w:lineRule="auto" w:line="288" w:before="0" w:after="0"/>
        <w:ind w:left="0" w:right="0" w:hanging="360"/>
        <w:jc w:val="left"/>
        <w:rPr/>
      </w:pPr>
      <w:r>
        <w:rPr>
          <w:rFonts w:ascii="Times New Roman;serif" w:hAnsi="Times New Roman;serif"/>
          <w:b w:val="false"/>
          <w:color w:val="000000"/>
          <w:sz w:val="13"/>
        </w:rPr>
        <w:t>(7)</w:t>
      </w:r>
      <w:r>
        <w:rPr>
          <w:color w:val="000000"/>
        </w:rPr>
        <w:t>    </w:t>
      </w:r>
      <w:r>
        <w:rPr>
          <w:rFonts w:ascii="Times New Roman;serif" w:hAnsi="Times New Roman;serif"/>
          <w:b w:val="false"/>
          <w:color w:val="000000"/>
          <w:sz w:val="16"/>
        </w:rPr>
        <w:t>Security Committee Member</w:t>
      </w:r>
    </w:p>
    <w:p>
      <w:pPr>
        <w:pStyle w:val="TextBody"/>
        <w:bidi w:val="0"/>
        <w:spacing w:lineRule="auto" w:line="288" w:before="0" w:after="0"/>
        <w:ind w:left="0" w:right="0" w:hanging="360"/>
        <w:jc w:val="left"/>
        <w:rPr/>
      </w:pPr>
      <w:r>
        <w:rPr>
          <w:rFonts w:ascii="Times New Roman;serif" w:hAnsi="Times New Roman;serif"/>
          <w:b w:val="false"/>
          <w:color w:val="000000"/>
          <w:sz w:val="13"/>
        </w:rPr>
        <w:t>(8)</w:t>
      </w:r>
      <w:r>
        <w:rPr>
          <w:color w:val="000000"/>
        </w:rPr>
        <w:t>    </w:t>
      </w:r>
      <w:r>
        <w:rPr>
          <w:rFonts w:ascii="Times New Roman;serif" w:hAnsi="Times New Roman;serif"/>
          <w:b w:val="false"/>
          <w:color w:val="000000"/>
          <w:sz w:val="16"/>
        </w:rPr>
        <w:t>Security Committee Chairperson</w:t>
      </w:r>
    </w:p>
    <w:p>
      <w:pPr>
        <w:pStyle w:val="TextBody"/>
        <w:bidi w:val="0"/>
        <w:spacing w:before="0" w:after="0"/>
        <w:ind w:left="0" w:right="0" w:hanging="36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Nominees for Election at the 2026 Annual Meeting of Stockholders</w:t>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Archana Agrawal </w:t>
      </w:r>
      <w:r>
        <w:rPr>
          <w:rFonts w:ascii="Times New Roman;serif" w:hAnsi="Times New Roman;serif"/>
          <w:b w:val="false"/>
          <w:color w:val="000000"/>
          <w:sz w:val="20"/>
        </w:rPr>
        <w:t>has served as a member of our board of directors since August 2019. Ms. Agrawal is currently the President of Intercom, a business messaging software company, and has served in this capacity since December 2023. Ms. Agrawal served as the Chief Marketing Officer of Formagrid, Inc. d/b/a Airtable, a cloud collaboration company from March 2020 to December 2023. She served on the board of Zendesk, Inc., a public software development company from July 2020 to November 2022.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19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35"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color w:val="000000"/>
          <w:sz w:val="20"/>
        </w:rPr>
        <w:t xml:space="preserve">Hope Cochran </w:t>
      </w:r>
      <w:r>
        <w:rPr>
          <w:rFonts w:ascii="Times New Roman;serif" w:hAnsi="Times New Roman;serif"/>
          <w:b w:val="false"/>
          <w:color w:val="000000"/>
          <w:sz w:val="20"/>
        </w:rPr>
        <w:t>has served as a member of our board of directors since December 2016. Ms. Cochran is currently a Venture Partner at Madrona Venture Group, a position she has held since 2017. From September 2013 to June 2016, Ms. Cochran served as the Chief Financial Officer of the public gaming company King Digital Entertainment plc ("King Digital"),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audit committee and a member of its finance committee. She has also served on the Board of Directors of New Relic, Inc., a public software analytics company from 2018 to 2023 and was the lead independent director and a member of its audit committee.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pStyle w:val="TextBody"/>
        <w:bidi w:val="0"/>
        <w:spacing w:lineRule="auto" w:line="288" w:before="0" w:after="240"/>
        <w:ind w:left="0" w:right="0" w:firstLine="720"/>
        <w:jc w:val="both"/>
        <w:rPr/>
      </w:pPr>
      <w:r>
        <w:rPr>
          <w:rFonts w:ascii="Times New Roman;serif" w:hAnsi="Times New Roman;serif"/>
          <w:b/>
          <w:color w:val="000000"/>
          <w:sz w:val="20"/>
        </w:rPr>
        <w:t>Dwight Merriman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one of our co-founders, has served as a member of our board of directors since July 2020. Prior to joining our board, he was previously employed as an advisor to MongoDB. In 1995, he co-founded DoubleClick and served as its Chief Technology Officer for 10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Directors Continuing in Office Until the 2027 Annual Meeting of Stockholders</w:t>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Roelof Botha </w:t>
      </w:r>
      <w:r>
        <w:rPr>
          <w:rFonts w:ascii="Times New Roman;serif" w:hAnsi="Times New Roman;serif"/>
          <w:b w:val="false"/>
          <w:color w:val="000000"/>
          <w:sz w:val="20"/>
        </w:rPr>
        <w:t>has served as a member of our board of directors since December 2013. Since January 2003, Mr. Botha has served in various positions at Sequoia Capital, a venture capital firm, including as a Managing Member of Sequoia Capital Operations, LLC. From March 2000 to January 2003, Mr. Botha served in various positions at PayPal, Inc., a public online payments company, including as Chief Financial Officer. Mr. Botha has served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its compensation committee; on the board of directors of Unity Software, Inc., a public video game software development company, since 2009, and is a member of its audit committee. He also currently serves on the board of directors of a number of privately-held companies. Mr. Botha previously served on board of directors of 23andMe, Inc., a personal genetics company from September 2017 to September 2024, on the board of Eventbrite, a public global platform for live experiences from October 2009 to June 2022, and on the board of directors of Bird Global, Inc., a public electric vehicle ridesharing company from May 2018 to December 2022.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Chirantan J. Desai </w:t>
      </w:r>
      <w:r>
        <w:rPr>
          <w:rFonts w:ascii="Times New Roman;serif" w:hAnsi="Times New Roman;serif"/>
          <w:b w:val="false"/>
          <w:color w:val="000000"/>
          <w:sz w:val="20"/>
        </w:rPr>
        <w:t>has served as our President and Chief Executive Officer and as a member of our board of directors since November 2025. Prior to his appointment with the Company, Mr. Desai served as President of Product and Engineering of Cloudflare, Inc. from October 2024. Previous to that, Mr. Desai served at ServiceNow, Inc. as President and Chief Operating Officer from January 2023 to July 2024, Chief Operating Officer from January 2022 to January 2023, and Chief Product and Engineering Officer from December 2016 to January 2022. Before ServiceNow, Inc., Mr. Desai served in various roles at EMC Corporation from September 2013 to December 2016, including as the President of the Emerging Technologies Division from September 2014 to December 2016. Prior to joining EMC Corporation, Mr. Desai held several executive roles at Symantec Corporation from November 2004 to September 2013, where he ran Information Management and Enterprise Security product lines. Mr. Desai began his career with Oracle Corporation and was a key member of the team that launched Oracle’s first cloud service. Mr. Desai served on the board of Zebra Technologies from December 2015 through May 2023 and was a member of its compensation committee. Mr. Desai holds a Master’s degree in Computer Science and an MBA degree from the University of Illinois at Urbana-Champaign. We believe that Mr. Desai is qualified to serve on our board of directors because of his experience building and leading high growth businesses, his prior and current service on the boards of multiple public companies and his expertise and insight into corporate matters as our current President and Chief Executive Officer.</w:t>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36"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76" w:before="0" w:after="0"/>
        <w:ind w:left="0" w:right="0" w:firstLine="720"/>
        <w:jc w:val="both"/>
        <w:rPr/>
      </w:pPr>
      <w:r>
        <w:rPr>
          <w:rFonts w:ascii="Times New Roman;serif" w:hAnsi="Times New Roman;serif"/>
          <w:b/>
          <w:color w:val="000000"/>
          <w:sz w:val="20"/>
        </w:rPr>
        <w:t>Dev Ittycheria </w:t>
      </w:r>
      <w:r>
        <w:rPr>
          <w:rFonts w:ascii="Times New Roman;serif" w:hAnsi="Times New Roman;serif"/>
          <w:b w:val="false"/>
          <w:color w:val="000000"/>
          <w:sz w:val="20"/>
        </w:rPr>
        <w:t>served as our President and Chief Executive Officer from September 2014 to November 2025. He has been a member of our board of directors since September 2014. Prior to 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from January 2010 to August 2014; Athenahealth, Inc., a public cloud-based services company from June 2010 to February 2019; AppDynamics, Inc., a private software company from March 2011 until its acquisition by Cisco Systems, Inc. in March 2017; DataRobot, Inc., a private software company from December 2021 to March 2024; and Altimeter Growth Corporation, a blank-check company formed by an affiliate of technology focused investment firm Altimeter Capital Management, LP from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former President and Chief Executive Officer.</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Ann Lewnes </w:t>
      </w:r>
      <w:r>
        <w:rPr>
          <w:rFonts w:ascii="Times New Roman;serif" w:hAnsi="Times New Roman;serif"/>
          <w:b w:val="false"/>
          <w:color w:val="000000"/>
          <w:sz w:val="20"/>
        </w:rPr>
        <w:t xml:space="preserve">has served as a member of our board of directors since December 2023. Ms. Lewnes has significant leadership experience in branding, advertising, direct-to-consumer e-commerce, digital marketing, and corporate strategy. She brings leadership experience in driving transformative growth and global demand at large public companies, as well as experience serving on both public and non-profit boards. Ms. Lewnes served on the Board of Directors of Mattel, Inc., a public toy and entertainment company, from February 2015 to February 2024 and chaired Mattel's Governance and Social Responsibility Committee and was a member of its Executive Committee. From November 2006 to March 2023, Ms. Lewnes served as Adobe Inc.'s Chief Marketing Officer and Executive Vice President of Corporate Strategy and Development. Previously, Ms. Lewnes was at Intel Corporation where she served as their Vice President of Marketing. She currently serves on the board of directors of the Sundance Institute. Ms. Lewnes served as vice chair of the Board of Trustees of Lehigh University from 2021 to May 2025. She received her B.A. in International Relations and Journalism from Lehigh University. We believe that Ms. Lewnes is qualified to serve on our board of directors as she offers valuable insights obtained through her extensive business and marketing experience, particularly at technology companies.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Directors Continuing in Office Until the 2028 Annual Meeting of Stockholders</w:t>
      </w:r>
    </w:p>
    <w:p>
      <w:pPr>
        <w:pStyle w:val="TextBody"/>
        <w:bidi w:val="0"/>
        <w:spacing w:lineRule="auto" w:line="288" w:before="0" w:after="240"/>
        <w:ind w:left="0" w:right="0" w:firstLine="720"/>
        <w:jc w:val="both"/>
        <w:rPr/>
      </w:pPr>
      <w:r>
        <w:rPr>
          <w:rFonts w:ascii="Times New Roman;serif" w:hAnsi="Times New Roman;serif"/>
          <w:b/>
          <w:color w:val="000000"/>
          <w:sz w:val="20"/>
        </w:rPr>
        <w:t>Francisco D’Souza</w:t>
      </w:r>
      <w:r>
        <w:rPr>
          <w:color w:val="000000"/>
        </w:rPr>
        <w:t xml:space="preserve"> </w:t>
      </w:r>
      <w:r>
        <w:rPr>
          <w:rFonts w:ascii="Times New Roman;serif" w:hAnsi="Times New Roman;serif"/>
          <w:b w:val="false"/>
          <w:color w:val="000000"/>
          <w:sz w:val="20"/>
        </w:rPr>
        <w:t>has served as a member of our board of directors since November 2019. Mr. D'Souza is Managing Partner and Co-Founder of 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on the board of directors of General Electric Company from February 2013 to May 2023 and on the board of directors of Cognizant from January 2007 to March 2020 and as its Vice Chairman from June 2018 to March 2020. Mr. D’Souza serves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pStyle w:val="TextBody"/>
        <w:bidi w:val="0"/>
        <w:spacing w:lineRule="auto" w:line="288" w:before="0" w:after="240"/>
        <w:ind w:left="0" w:right="0" w:firstLine="720"/>
        <w:jc w:val="both"/>
        <w:rPr/>
      </w:pPr>
      <w:r>
        <w:rPr>
          <w:rFonts w:ascii="Times New Roman;serif" w:hAnsi="Times New Roman;serif"/>
          <w:b/>
          <w:color w:val="000000"/>
          <w:sz w:val="20"/>
        </w:rPr>
        <w:t xml:space="preserve">Charles M. Hazard, Jr. </w:t>
      </w:r>
      <w:r>
        <w:rPr>
          <w:rFonts w:ascii="Times New Roman;serif" w:hAnsi="Times New Roman;serif"/>
          <w:b w:val="false"/>
          <w:color w:val="000000"/>
          <w:sz w:val="20"/>
        </w:rPr>
        <w:t>has served as a member of our board of directors since October 2009. Mr. Hazard is a co-founder and has served as a General Partner of Flybridge Capital Partners, a venture capital firm, since May 2002. He currently represents Flybridge Capital Partners on the boards of directors of a number of privately 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37"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color w:val="000000"/>
          <w:sz w:val="20"/>
        </w:rPr>
        <w:t xml:space="preserve">Tom Killalea </w:t>
      </w:r>
      <w:r>
        <w:rPr>
          <w:rFonts w:ascii="Times New Roman;serif" w:hAnsi="Times New Roman;serif"/>
          <w:b w:val="false"/>
          <w:color w:val="000000"/>
          <w:sz w:val="20"/>
        </w:rPr>
        <w:t>has served as a member of our board of directors since December 2015 and as the chairperson of the board of directors since July 2019. He has been an advisor to technology-driven companies since November 2014.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Capital One Financial Corp., a public bank holding company, and Satellogic, Inc., a public earth observation company. Previously, he was a Director of Carbon Black, Inc. from April 2017 until its acquisition by VMware, Inc. in October 2019, and Xoom Corporation from March 2015 until its acquisition by PayPal, Inc. in November 2015. He serves on the editorial board of Association for Computing Machinery Queue.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38"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DIRECTOR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independent compensation consultant, Semler Brossy Consulting Group, LLC (“Semler Brossy”).</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Cash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non-employee directors are eligible to receive the following cash fees for service on our board of directors and its committees, as follows: </w:t>
      </w:r>
    </w:p>
    <w:tbl>
      <w:tblPr>
        <w:tblW w:w="8863" w:type="dxa"/>
        <w:jc w:val="center"/>
        <w:tblInd w:w="0" w:type="dxa"/>
        <w:tblLayout w:type="fixed"/>
        <w:tblCellMar>
          <w:top w:w="28" w:type="dxa"/>
          <w:left w:w="28" w:type="dxa"/>
          <w:bottom w:w="28" w:type="dxa"/>
          <w:right w:w="28" w:type="dxa"/>
        </w:tblCellMar>
      </w:tblPr>
      <w:tblGrid>
        <w:gridCol w:w="1130"/>
        <w:gridCol w:w="992"/>
        <w:gridCol w:w="997"/>
        <w:gridCol w:w="1096"/>
        <w:gridCol w:w="1096"/>
        <w:gridCol w:w="1107"/>
        <w:gridCol w:w="715"/>
        <w:gridCol w:w="715"/>
        <w:gridCol w:w="1015"/>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Element</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Annual Cash Retainer ($)</w:t>
            </w:r>
            <w:r>
              <w:rPr>
                <w:rFonts w:ascii="Times New Roman;serif" w:hAnsi="Times New Roman;serif"/>
                <w:b w:val="false"/>
                <w:color w:val="000000"/>
                <w:sz w:val="13"/>
              </w:rPr>
              <w:t>(1)</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Retainer</w:t>
            </w:r>
          </w:p>
        </w:tc>
        <w:tc>
          <w:tcPr>
            <w:tcW w:w="3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Chairperson Retainer</w:t>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Chair Retainer</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Non-Chair Committee Retainer</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r>
    </w:tbl>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6"/>
        </w:rPr>
        <w:t>If the relevant director elects to be paid in fully vested shares of our common stock, the number of shares granted to each such director will be based on the volume-weighted average trading price (“VWAP”) of our common stock on the Nasdaq for the 30 trading days immediately prior to the grant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reimburse our non-employee directors for any reasonable expenses incurred in connection with attending our board of directors and committee meetings.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Equity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program, for fiscal year 2026, our non-employee directors were eligible to receive restricted stock unit (“RSU”) awards for their service on our board of directors, which such number of shares underlying the RSU award granted to each director is based on the VWAP of our common stock on the Nasdaq for the 30 trading days immediately prior to the grant date,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Initial Equity Grant</w:t>
      </w:r>
      <w:r>
        <w:rPr>
          <w:rFonts w:ascii="Times New Roman;serif" w:hAnsi="Times New Roman;serif"/>
          <w:b w:val="false"/>
          <w:color w:val="000000"/>
          <w:sz w:val="20"/>
        </w:rPr>
        <w:t>. Each newly elected non-employee director was eligible to receive an initial RSU award (the “Initial Grant”). Newly elected non-employee directors were eligible to receive a number of shares equal in value to $460,000, an increase from $430,000 in fiscal year 2025. The shares underlying the Initial Grant vest in a series of three equal annual installments on each anniversary of the grant date, subject to the director’s continued service through each vesting date. We may, in our discretion, settle an Initial Grant in cash.</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Annual Equity Grant</w:t>
      </w:r>
      <w:r>
        <w:rPr>
          <w:rFonts w:ascii="Times New Roman;serif" w:hAnsi="Times New Roman;serif"/>
          <w:b w:val="false"/>
          <w:color w:val="000000"/>
          <w:sz w:val="20"/>
        </w:rPr>
        <w:t xml:space="preserve">. On the date of our annual meeting of stockholders, each incumbent, non-employee director is eligible to receive an RSU award (the “Annual Grant”). Incumbent non-employee directors were eligible to receive a number of shares equal in value to $230,000, an increase from $215,000 in fiscal year 2025. The shares underlying each Annual Grant vest on the earlier of (a) the first anniversary of the grant date and (b) our next annual meeting of stockholders, subject to the director’s continued service through such date. Newly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39"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elected directors will not be granted an Annual Grant during their first year of service. We may, in our discretion, settle an Annual Grant in cash.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as of the effective date of such termination.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total compensation of our non-employee directors for the fiscal year ended January 31, 2026. Mr. Desai serves as our President and Chief Executive Officer in addition to serving as a director and does not receive any additional compensation for his service as a director, and, accordingly, he is not included in the table below. Our former President and Chief Executive Officer, Mr. Ittycheria, likewise served as a director while serving as President and Chief Executive Officer, and will continue to do so until his resignation from the board of directors becomes effective November 9, 2026, unless otherwise extended, in accordance with the terms of his Advisory Services Agreement with the Company dated as of October 29, 2025 (the "Advisory Agreement"). Mr. Ittycheria did not receive, and continues not to receive, any additional compensation for his service as a director, and, accordingly, he is also not included in the table below.</w:t>
      </w:r>
    </w:p>
    <w:p>
      <w:pPr>
        <w:pStyle w:val="TextBody"/>
        <w:bidi w:val="0"/>
        <w:spacing w:before="0" w:after="0"/>
        <w:ind w:left="0" w:right="0" w:firstLine="72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Director Compensation</w:t>
      </w:r>
    </w:p>
    <w:tbl>
      <w:tblPr>
        <w:tblW w:w="6926" w:type="dxa"/>
        <w:jc w:val="left"/>
        <w:tblInd w:w="0" w:type="dxa"/>
        <w:tblLayout w:type="fixed"/>
        <w:tblCellMar>
          <w:top w:w="28" w:type="dxa"/>
          <w:left w:w="28" w:type="dxa"/>
          <w:bottom w:w="28" w:type="dxa"/>
          <w:right w:w="28" w:type="dxa"/>
        </w:tblCellMar>
      </w:tblPr>
      <w:tblGrid>
        <w:gridCol w:w="684"/>
        <w:gridCol w:w="600"/>
        <w:gridCol w:w="606"/>
        <w:gridCol w:w="983"/>
        <w:gridCol w:w="983"/>
        <w:gridCol w:w="988"/>
        <w:gridCol w:w="209"/>
        <w:gridCol w:w="209"/>
        <w:gridCol w:w="209"/>
        <w:gridCol w:w="209"/>
        <w:gridCol w:w="209"/>
        <w:gridCol w:w="211"/>
        <w:gridCol w:w="128"/>
        <w:gridCol w:w="128"/>
        <w:gridCol w:w="128"/>
        <w:gridCol w:w="128"/>
        <w:gridCol w:w="128"/>
        <w:gridCol w:w="186"/>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Fees Earned or Paid in Cash</w:t>
            </w:r>
            <w:r>
              <w:rPr>
                <w:color w:val="000000"/>
              </w:rPr>
              <w:t xml:space="preserve"> </w:t>
            </w:r>
            <w:r>
              <w:rPr>
                <w:rFonts w:ascii="Times New Roman;serif" w:hAnsi="Times New Roman;serif"/>
                <w:b/>
                <w:color w:val="000000"/>
                <w:sz w:val="20"/>
              </w:rPr>
              <w:t>($)</w:t>
            </w:r>
            <w:r>
              <w:rPr>
                <w:rFonts w:ascii="Times New Roman;serif" w:hAnsi="Times New Roman;serif"/>
                <w:b/>
                <w:color w:val="000000"/>
                <w:sz w:val="13"/>
              </w:rPr>
              <w:t>(1)</w:t>
            </w:r>
          </w:p>
        </w:tc>
        <w:tc>
          <w:tcPr>
            <w:tcW w:w="12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 Awards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8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Archana Agrawal</w:t>
            </w:r>
          </w:p>
        </w:tc>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47,500</w:t>
            </w:r>
          </w:p>
        </w:tc>
        <w:tc>
          <w:tcPr>
            <w:tcW w:w="125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284,789</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Roelof Botha</w:t>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25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287,289</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Hope Cochran</w:t>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65,000</w:t>
            </w:r>
          </w:p>
        </w:tc>
        <w:tc>
          <w:tcPr>
            <w:tcW w:w="125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302,289</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Francisco D’Souza</w:t>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59,000</w:t>
            </w:r>
          </w:p>
        </w:tc>
        <w:tc>
          <w:tcPr>
            <w:tcW w:w="125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296,289</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 Hazard, Jr.</w:t>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64,000</w:t>
            </w:r>
          </w:p>
        </w:tc>
        <w:tc>
          <w:tcPr>
            <w:tcW w:w="125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301,289</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Tom Killalea</w:t>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81,500</w:t>
            </w:r>
          </w:p>
        </w:tc>
        <w:tc>
          <w:tcPr>
            <w:tcW w:w="125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318,789</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 Lewnes</w:t>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51,500</w:t>
            </w:r>
          </w:p>
        </w:tc>
        <w:tc>
          <w:tcPr>
            <w:tcW w:w="125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288,789</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Dwight Merriman</w:t>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44,000</w:t>
            </w:r>
          </w:p>
        </w:tc>
        <w:tc>
          <w:tcPr>
            <w:tcW w:w="125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237,289</w:t>
            </w:r>
            <w:r>
              <w:rPr>
                <w:rFonts w:ascii="Times New Roman;serif" w:hAnsi="Times New Roman;serif"/>
                <w:b w:val="false"/>
                <w:color w:val="000000"/>
                <w:sz w:val="13"/>
              </w:rPr>
              <w:t>(2)</w:t>
            </w:r>
          </w:p>
        </w:tc>
        <w:tc>
          <w:tcPr>
            <w:tcW w:w="8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281,289</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6"/>
        </w:rPr>
        <w:t>The amounts in this column reflect the annual cash fees to which each non-employee director is entitled under our non-employee director compensation program for the fiscal year ended January 31, 2026. Our board of directors has determined that each of our non-employee directors has the option to have such cash fees be paid in the form of cash or in fully vested shares of our common stock. For the fiscal year ended January 31, 2026, several directors elected to be paid in shares. The fees earned during the first half of the fiscal year were paid in cash or, at the election of the non-employee director, shares of common stock on June 30, 2025. Each of Mses. Agrawal, Cochran and Lewnes, and Messrs. Botha, D'Souza and Hazard elected to be paid in shares of common stock for fees earned during the first half of the fiscal year ended January 31, 2026. The grant date fair value of such shares was calculated in accordance with FASB Accounting Standards Codification Topic 718 (“ASC 718”) based on the closing stock price of our common stock on the grant date. The fees earned during the second half of the fiscal year will be paid in cash or shares of common stock, at the non-employee director’s election, on June 30, 2026, the date of our 2026 annual meeting of stockholders. The number of shares of common stock granted to such director will be based on the VWAP of our common stock on the Nasdaq for the 30 trading days immediately prior to the grant date.</w:t>
      </w:r>
    </w:p>
    <w:p>
      <w:pPr>
        <w:pStyle w:val="TextBody"/>
        <w:bidi w:val="0"/>
        <w:spacing w:lineRule="auto" w:line="288" w:before="0" w:after="12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16"/>
        </w:rPr>
        <w:t xml:space="preserve">Represents the aggregate grant date fair value of RSUs granted on June 30, 2025, to each non-employee director eligible to receive an Annual Grant under the terms of our non-employee director compensation program and the 2016 Plan. The grant date fair value was computed in accordance with ASC 718 based on the closing stock price on the grant date. The assumptions used in calculating the grant date fair value of the RSUs reported in this column are set forth in Note 11 to our Consolidated Financial Statements included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0"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the aggregate number of unvested RSUs held by each non-employee director as of January 31, 2026 and (b) the aggregate number of options held by each non-employee director as of January 31, 2026.</w:t>
      </w:r>
    </w:p>
    <w:tbl>
      <w:tblPr>
        <w:tblW w:w="5217" w:type="dxa"/>
        <w:jc w:val="left"/>
        <w:tblInd w:w="0" w:type="dxa"/>
        <w:tblLayout w:type="fixed"/>
        <w:tblCellMar>
          <w:top w:w="28" w:type="dxa"/>
          <w:left w:w="28" w:type="dxa"/>
          <w:bottom w:w="28" w:type="dxa"/>
          <w:right w:w="28" w:type="dxa"/>
        </w:tblCellMar>
      </w:tblPr>
      <w:tblGrid>
        <w:gridCol w:w="700"/>
        <w:gridCol w:w="615"/>
        <w:gridCol w:w="620"/>
        <w:gridCol w:w="252"/>
        <w:gridCol w:w="252"/>
        <w:gridCol w:w="252"/>
        <w:gridCol w:w="252"/>
        <w:gridCol w:w="252"/>
        <w:gridCol w:w="252"/>
        <w:gridCol w:w="275"/>
        <w:gridCol w:w="275"/>
        <w:gridCol w:w="275"/>
        <w:gridCol w:w="275"/>
        <w:gridCol w:w="275"/>
        <w:gridCol w:w="395"/>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5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RSUs Held</w:t>
            </w:r>
          </w:p>
        </w:tc>
        <w:tc>
          <w:tcPr>
            <w:tcW w:w="17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Options Held</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Archana Agrawal</w:t>
            </w:r>
          </w:p>
        </w:tc>
        <w:tc>
          <w:tcPr>
            <w:tcW w:w="151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Roelof Botha</w:t>
            </w:r>
          </w:p>
        </w:tc>
        <w:tc>
          <w:tcPr>
            <w:tcW w:w="15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Hope Cochran</w:t>
            </w:r>
          </w:p>
        </w:tc>
        <w:tc>
          <w:tcPr>
            <w:tcW w:w="15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7,833</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Francisco D'Souza</w:t>
            </w:r>
          </w:p>
        </w:tc>
        <w:tc>
          <w:tcPr>
            <w:tcW w:w="15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Charles M. Hazard, Jr. </w:t>
            </w:r>
          </w:p>
        </w:tc>
        <w:tc>
          <w:tcPr>
            <w:tcW w:w="15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Killalea</w:t>
            </w:r>
          </w:p>
        </w:tc>
        <w:tc>
          <w:tcPr>
            <w:tcW w:w="15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 Lewnes</w:t>
            </w:r>
          </w:p>
        </w:tc>
        <w:tc>
          <w:tcPr>
            <w:tcW w:w="15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1,513</w:t>
            </w:r>
          </w:p>
        </w:tc>
        <w:tc>
          <w:tcPr>
            <w:tcW w:w="17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Dwight Merriman</w:t>
            </w:r>
          </w:p>
        </w:tc>
        <w:tc>
          <w:tcPr>
            <w:tcW w:w="15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w:t>
            </w:r>
          </w:p>
        </w:tc>
        <w:tc>
          <w:tcPr>
            <w:tcW w:w="17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40" w:after="240"/>
        <w:ind w:left="0" w:right="0" w:hanging="360"/>
        <w:jc w:val="both"/>
        <w:rPr>
          <w:rFonts w:ascii="Times New Roman;serif" w:hAnsi="Times New Roman;serif"/>
          <w:b/>
          <w:color w:val="000000"/>
          <w:sz w:val="24"/>
        </w:rPr>
      </w:pPr>
      <w:r>
        <w:rPr>
          <w:rFonts w:ascii="Times New Roman;serif" w:hAnsi="Times New Roman;serif"/>
          <w:b/>
          <w:color w:val="000000"/>
          <w:sz w:val="24"/>
        </w:rPr>
        <w:t xml:space="preserve">Changes in Director Compensation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the compensation committee engaged its compensation consultant, Semler Brossy, to review the design and competitiveness of our director compensation program. Based on the findings of the assessment, and pursuant to the recommendation of the compensation committee, the board of directors approved the following changes to the compensation for non-employee directors to better align the program with our peer group median and structure, effective as of our 2026 annual meeting of stockholders:</w:t>
      </w:r>
    </w:p>
    <w:tbl>
      <w:tblPr>
        <w:tblW w:w="10205" w:type="dxa"/>
        <w:jc w:val="center"/>
        <w:tblInd w:w="0" w:type="dxa"/>
        <w:tblLayout w:type="fixed"/>
        <w:tblCellMar>
          <w:top w:w="28" w:type="dxa"/>
          <w:left w:w="28" w:type="dxa"/>
          <w:bottom w:w="28" w:type="dxa"/>
          <w:right w:w="28" w:type="dxa"/>
        </w:tblCellMar>
      </w:tblPr>
      <w:tblGrid>
        <w:gridCol w:w="948"/>
        <w:gridCol w:w="828"/>
        <w:gridCol w:w="832"/>
        <w:gridCol w:w="903"/>
        <w:gridCol w:w="903"/>
        <w:gridCol w:w="912"/>
        <w:gridCol w:w="804"/>
        <w:gridCol w:w="804"/>
        <w:gridCol w:w="806"/>
        <w:gridCol w:w="720"/>
        <w:gridCol w:w="720"/>
        <w:gridCol w:w="1025"/>
      </w:tblGrid>
      <w:tr>
        <w:trPr/>
        <w:tc>
          <w:tcPr>
            <w:tcW w:w="94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Compensation Element</w:t>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FY2026 Fee or Equity Amounts ($)</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FY2027 Fee or Equity Amounts ($)</w:t>
            </w:r>
          </w:p>
        </w:tc>
      </w:tr>
      <w:tr>
        <w:trPr/>
        <w:tc>
          <w:tcPr>
            <w:tcW w:w="2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Retainer</w:t>
            </w:r>
          </w:p>
        </w:tc>
        <w:tc>
          <w:tcPr>
            <w:tcW w:w="2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c>
          <w:tcPr>
            <w:tcW w:w="2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40,000</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Chairperson Retainer</w:t>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Chair Retainer</w:t>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12,000</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12,000</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Non-Chair Committee Retainer</w:t>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12,000</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Initial Equity Grant</w:t>
            </w:r>
          </w:p>
        </w:tc>
        <w:tc>
          <w:tcPr>
            <w:tcW w:w="2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460,000</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520,000</w:t>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Equity Grant</w:t>
            </w:r>
          </w:p>
        </w:tc>
        <w:tc>
          <w:tcPr>
            <w:tcW w:w="2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230,000</w:t>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260,000</w:t>
            </w:r>
          </w:p>
        </w:tc>
      </w:tr>
    </w:tbl>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Stock Ownership Guidelines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 All of our current non-employee directors satisfy the ownership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1"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0"/>
        </w:rPr>
      </w:pPr>
      <w:r>
        <w:rPr>
          <w:rFonts w:ascii="Times New Roman;serif" w:hAnsi="Times New Roman;serif"/>
          <w:b/>
          <w:color w:val="000000"/>
          <w:sz w:val="30"/>
        </w:rPr>
        <w:t xml:space="preserve">PROPOSAL 2 – APPROVAL, ON A NON-BINDING ADVISORY BASIS, OF THE COMPENSATION OF OUR NAMED EXECUTIVE OFFICERS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Section 14A of the Exchange Act rules, stockholders are asked to approve the following non-binding resolution:</w:t>
      </w:r>
    </w:p>
    <w:p>
      <w:pPr>
        <w:pStyle w:val="TextBody"/>
        <w:bidi w:val="0"/>
        <w:spacing w:lineRule="auto" w:line="288" w:before="0" w:after="220"/>
        <w:jc w:val="both"/>
        <w:rPr>
          <w:color w:val="000000"/>
        </w:rPr>
      </w:pPr>
      <w:r>
        <w:rPr>
          <w:color w:val="000000"/>
        </w:rPr>
        <w:t>“</w:t>
      </w:r>
      <w:r>
        <w:rPr>
          <w:rFonts w:ascii="Times New Roman;serif" w:hAnsi="Times New Roman;serif"/>
          <w:b w:val="false"/>
          <w:color w:val="000000"/>
          <w:sz w:val="20"/>
        </w:rPr>
        <w:t>RESOLVED, that the Company’s stockholders hereby approve, on a non-binding advisory basis, the compensation of the Company’s named executive officers, as disclosed in the Company’s proxy statement for the 2026 annual meeting of stockholders, pursuant to the compensation disclosure rules of the Securities and Exchange Commission, including the Compensation Discussion and Analysis, the compensation tables and the accompanying narrative.”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 xml:space="preserve">Our board of directors recommends a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the approval of the non-binding resolution on named executive officer compensation.</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42"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EXECUTIVE OFFICERS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information for our named executive officers, as of the date of this proxy statement:</w:t>
      </w:r>
    </w:p>
    <w:tbl>
      <w:tblPr>
        <w:tblW w:w="5821" w:type="dxa"/>
        <w:jc w:val="left"/>
        <w:tblInd w:w="0" w:type="dxa"/>
        <w:tblLayout w:type="fixed"/>
        <w:tblCellMar>
          <w:top w:w="28" w:type="dxa"/>
          <w:left w:w="28" w:type="dxa"/>
          <w:bottom w:w="28" w:type="dxa"/>
          <w:right w:w="28" w:type="dxa"/>
        </w:tblCellMar>
      </w:tblPr>
      <w:tblGrid>
        <w:gridCol w:w="516"/>
        <w:gridCol w:w="453"/>
        <w:gridCol w:w="456"/>
        <w:gridCol w:w="145"/>
        <w:gridCol w:w="145"/>
        <w:gridCol w:w="146"/>
        <w:gridCol w:w="1160"/>
        <w:gridCol w:w="1160"/>
        <w:gridCol w:w="1640"/>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Age</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Position/Office Held With MongoDB</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Biographical information for Chirantan Desai is included above with the director biographies under the caption “Information Regarding Director Nominees and Current Directors.”</w:t>
      </w:r>
    </w:p>
    <w:p>
      <w:pPr>
        <w:pStyle w:val="TextBody"/>
        <w:bidi w:val="0"/>
        <w:spacing w:lineRule="auto" w:line="288" w:before="240" w:after="240"/>
        <w:ind w:left="0" w:right="0" w:firstLine="720"/>
        <w:jc w:val="both"/>
        <w:rPr/>
      </w:pPr>
      <w:r>
        <w:rPr>
          <w:rFonts w:ascii="Times New Roman;serif" w:hAnsi="Times New Roman;serif"/>
          <w:b/>
          <w:color w:val="000000"/>
          <w:sz w:val="20"/>
        </w:rPr>
        <w:t>Michael Berry</w:t>
      </w:r>
      <w:r>
        <w:rPr>
          <w:color w:val="000000"/>
        </w:rPr>
        <w:t xml:space="preserve"> </w:t>
      </w:r>
      <w:r>
        <w:rPr>
          <w:rFonts w:ascii="Times New Roman;serif" w:hAnsi="Times New Roman;serif"/>
          <w:b w:val="false"/>
          <w:color w:val="000000"/>
          <w:sz w:val="20"/>
        </w:rPr>
        <w:t>has served as our Chief Financial Officer since May 2025. Prior to joining us, Mr. Berry served as the Executive Vice President and Chief Financial Officer of NetApp, Inc. from March 2020 through May 2025. Previous to that, Mr. Berry served as Executive Vice President and Chief Financial Officer of McAfee from February 2017 to March 2020. Mr. Berry was previously employed by FireEye, Inc., where he served as Executive Vice President, Chief Financial Officer and Chief Operating Officer. Prior to FireEye, Mr. Berry served as Executive Vice President and Chief Financial Officer of Informatica Corporation from November 2014 to September 2015. Prior to that, Mr. Berry was Executive Vice President and Chief Financial Officer of IO Data Centers, LLC, now Iron Mountain Inc; SolarWinds, Inc. and i2 Technologies, Inc. and served in a variety of other operational and finance positions. Mr. Berry has served on the board of Rapid7, Inc. since November 2012 and is the chair of its audit committee. Mr. Berry has notified Rapid7, Inc., that he will not run for re-election at the company's upcoming annual stockholder meeting. Mr. Berry has served on the board of Calix, Inc., a public cloud and appliance based platform and managed services company, since May 2025 and is a member of the audit and the strategic committees and was appointed to the board of Hubspot, Inc., a public cloud-based CRM platform and customer platform, in April 2026 and is a member of the audit committee. Mr. Berry holds a Bachelor of Arts in Finance from Augsburg College and a Master of Business Administration in Finance from the University of St. Thomas.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43"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Compensation Discussion and Analysis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compensation discussion and analysis describes the material elements of our executive compensation program for the fiscal year ended January 31, 2026. It also provides an overview of our compensation philosophy and objectives, our process for setting executive compensation and how the compensation committee arrived at the specific compensation decisions for our named executive officers for the fiscal year ended January 31, 2026, including the key factors considered.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for the fiscal year ended January 31, 2026 were: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Chirantan J. Desai, President and Chief Executive Officer;</w:t>
      </w:r>
      <w:r>
        <w:rPr>
          <w:rFonts w:ascii="Times New Roman;serif" w:hAnsi="Times New Roman;serif"/>
          <w:b w:val="false"/>
          <w:color w:val="000000"/>
          <w:sz w:val="13"/>
        </w:rPr>
        <w:t>(1)</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Dev Ittycheria, Former President and Chief Executive Officer;</w:t>
      </w:r>
      <w:r>
        <w:rPr>
          <w:rFonts w:ascii="Times New Roman;serif" w:hAnsi="Times New Roman;serif"/>
          <w:b w:val="false"/>
          <w:color w:val="000000"/>
          <w:sz w:val="13"/>
        </w:rPr>
        <w:t>(1)</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Michael Berry, Chief Financial Officer;</w:t>
      </w:r>
      <w:r>
        <w:rPr>
          <w:rFonts w:ascii="Times New Roman;serif" w:hAnsi="Times New Roman;serif"/>
          <w:b w:val="false"/>
          <w:color w:val="000000"/>
          <w:sz w:val="13"/>
        </w:rPr>
        <w:t>(2)</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Srdjan Tanjga, Former Interim Chief Financial Officer;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Cedric Pech, Former President of Field Operations.</w:t>
      </w:r>
      <w:r>
        <w:rPr>
          <w:rFonts w:ascii="Times New Roman;serif" w:hAnsi="Times New Roman;serif"/>
          <w:b w:val="false"/>
          <w:color w:val="000000"/>
          <w:sz w:val="13"/>
        </w:rPr>
        <w:t>(3)</w:t>
      </w:r>
    </w:p>
    <w:p>
      <w:pPr>
        <w:pStyle w:val="TextBody"/>
        <w:bidi w:val="0"/>
        <w:spacing w:lineRule="auto" w:line="288" w:before="0" w:after="200"/>
        <w:ind w:left="0" w:right="0" w:hanging="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Effective November 9, 2025, Mr. Ittycheria resigned as Chief Executive Officer and, effective November 10, 2025, was succeeded by Mr. Desai, who was also appointed as a member of our board of directors. Pursuant to his Advisory Agreement, Mr. Ittycheria will continue to serve on our board of directors through November 9, 2026 (unless otherwise extended) as well as serve as an advisor to Mr. Desai and the rest of our executive team.</w:t>
      </w:r>
    </w:p>
    <w:p>
      <w:pPr>
        <w:pStyle w:val="TextBody"/>
        <w:bidi w:val="0"/>
        <w:spacing w:lineRule="auto" w:line="288" w:before="0" w:after="20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Mr. Tanjga served as Interim Chief Financial Officer from February 1, 2025 until his resignation on May 8, 2025. Mr. Berry succeeded Mr. Tanjga as Chief Financial Officer effective May 27, 2025.</w:t>
      </w:r>
    </w:p>
    <w:p>
      <w:pPr>
        <w:pStyle w:val="TextBody"/>
        <w:bidi w:val="0"/>
        <w:spacing w:lineRule="auto" w:line="288" w:before="0" w:after="200"/>
        <w:ind w:left="0" w:right="0" w:hanging="36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Mr. Pech served as the President of Field Operations until his resignation effective as of April 15, 2026.</w:t>
      </w: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 xml:space="preserve">Business Highlights </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foundation of our platform is the world’s leading, modern general purpose database. Built on our unique document-based architecture, our database is designed to handle unstructured data and meet the needs of organizations for performance, scalability, flexibility and reliability while maintaining the strengths of relational databases.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pStyle w:val="TextBody"/>
        <w:bidi w:val="0"/>
        <w:spacing w:before="0" w:after="0"/>
        <w:jc w:val="both"/>
        <w:rPr/>
      </w:pPr>
      <w:r>
        <w:rPr/>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Our customers can run our database in any environment, depending on their operational requirements: fully managed as a service or self-managed in the cloud, on-premises or in a hybrid environment.</w:t>
      </w:r>
    </w:p>
    <w:p>
      <w:pPr>
        <w:pStyle w:val="TextBody"/>
        <w:bidi w:val="0"/>
        <w:spacing w:lineRule="auto" w:line="288" w:before="0" w:after="220"/>
        <w:ind w:left="0" w:right="0" w:firstLine="720"/>
        <w:jc w:val="both"/>
        <w:rPr/>
      </w:pPr>
      <w:r>
        <w:rPr>
          <w:rFonts w:ascii="Times New Roman;serif" w:hAnsi="Times New Roman;serif"/>
          <w:b/>
          <w:color w:val="000000"/>
          <w:sz w:val="20"/>
        </w:rPr>
        <w:t>Atlas</w:t>
      </w:r>
      <w:r>
        <w:rPr>
          <w:color w:val="000000"/>
        </w:rPr>
        <w:t xml:space="preserve"> </w:t>
      </w:r>
      <w:r>
        <w:rPr>
          <w:rFonts w:ascii="Times New Roman;serif" w:hAnsi="Times New Roman;serif"/>
          <w:b w:val="false"/>
          <w:color w:val="000000"/>
          <w:sz w:val="20"/>
        </w:rPr>
        <w:t xml:space="preserve">is our managed multi-cloud database-as-a-service (“DBaaS”) offering that includes an integrated set of database and related services. Built for resilience, scale, and security, Atlas is available in more than 130 regions worldwide across all three major cloud providers (Amazon Web Services, Google Cloud Platform and Microsoft Azure), enabling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44"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to leverage the benefits of different cloud platforms for different use cases with broader geographic reach and helping them avoid infrastructure vendor lock-in. </w:t>
      </w:r>
    </w:p>
    <w:p>
      <w:pPr>
        <w:pStyle w:val="TextBody"/>
        <w:bidi w:val="0"/>
        <w:spacing w:lineRule="auto" w:line="288" w:before="0" w:after="220"/>
        <w:ind w:left="0" w:right="0" w:firstLine="720"/>
        <w:jc w:val="both"/>
        <w:rPr/>
      </w:pPr>
      <w:r>
        <w:rPr>
          <w:rFonts w:ascii="Times New Roman;serif" w:hAnsi="Times New Roman;serif"/>
          <w:b/>
          <w:color w:val="000000"/>
          <w:sz w:val="20"/>
        </w:rPr>
        <w:t>Enterprise Advanced</w:t>
      </w:r>
      <w:r>
        <w:rPr>
          <w:color w:val="000000"/>
        </w:rPr>
        <w:t xml:space="preserve"> </w:t>
      </w:r>
      <w:r>
        <w:rPr>
          <w:rFonts w:ascii="Times New Roman;serif" w:hAnsi="Times New Roman;serif"/>
          <w:b w:val="false"/>
          <w:color w:val="000000"/>
          <w:sz w:val="20"/>
        </w:rPr>
        <w:t>is our proprietary self-managed commercial offering for enterprise customers that can run in the cloud, on-premises or in a hybrid environment.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Some of the platform capabilities include: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Search</w:t>
      </w:r>
      <w:r>
        <w:rPr>
          <w:rFonts w:ascii="Times New Roman;serif" w:hAnsi="Times New Roman;serif"/>
          <w:b w:val="false"/>
          <w:color w:val="000000"/>
          <w:sz w:val="20"/>
        </w:rPr>
        <w:t>. Extends the developer interface for working with the database to seamlessly implement relevance-based search operations, simplifying the development of rich search experiences in applications. It also eliminates the need to run a separate search engine alongside the database and maintains the sync between the two systems.</w:t>
      </w:r>
    </w:p>
    <w:p>
      <w:pPr>
        <w:pStyle w:val="TextBody"/>
        <w:bidi w:val="0"/>
        <w:spacing w:before="0" w:after="0"/>
        <w:jc w:val="both"/>
        <w:rPr/>
      </w:pPr>
      <w:r>
        <w:rPr/>
      </w:r>
    </w:p>
    <w:p>
      <w:pPr>
        <w:pStyle w:val="TextBody"/>
        <w:bidi w:val="0"/>
        <w:spacing w:lineRule="auto" w:line="288" w:before="0" w:after="220"/>
        <w:ind w:left="0" w:right="0" w:hanging="360"/>
        <w:jc w:val="both"/>
        <w:rPr/>
      </w:pPr>
      <w:r>
        <w:rPr>
          <w:color w:val="000000"/>
        </w:rPr>
        <w:t>•</w:t>
      </w:r>
      <w:r>
        <w:rPr>
          <w:rFonts w:ascii="Times New Roman;serif" w:hAnsi="Times New Roman;serif"/>
          <w:b/>
          <w:color w:val="000000"/>
          <w:sz w:val="20"/>
        </w:rPr>
        <w:t>Vector search</w:t>
      </w:r>
      <w:r>
        <w:rPr>
          <w:rFonts w:ascii="Times New Roman;serif" w:hAnsi="Times New Roman;serif"/>
          <w:b w:val="false"/>
          <w:color w:val="000000"/>
          <w:sz w:val="20"/>
        </w:rPr>
        <w:t>. Enables customers to easily and securely use pre-trained foundation models to leverage their own proprietary, up-to-date data for more accurate and trustworthy AI applications. Atlas Vector Search allows the integration of an operational database and vector search in a unified, fully managed platform.</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Embedding and reranking models</w:t>
      </w:r>
      <w:r>
        <w:rPr>
          <w:rFonts w:ascii="Times New Roman;serif" w:hAnsi="Times New Roman;serif"/>
          <w:b w:val="false"/>
          <w:color w:val="000000"/>
          <w:sz w:val="20"/>
        </w:rPr>
        <w:t>. In February 2025, we acquired all outstanding shares of Voyage AI Innovations, Inc. (“Voyage AI”), which was a pioneer in state-of-the-art embedding and reranking models that power next-generation AI applications. These models improve the accuracy of data retrieval and reduce the risk of AI hallucinations, which has been a primary factor limiting generative AI adoption. Integrating Voyage AI’s technology with MongoDB’s data platform capabilities will enable organizations to confidently, cost effectively, and securely build trustworthy, AI powered applications that deliver more accurate and reliable results at scale.</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market for our offerings is large and growing. According to the International Data Corporation’s Worldwide Database Management Systems Software Forecast, 2025-2029, the worldwide Database Management Software market was $93 billion in 2024, growing to approximately $169 billion in 2029. This represents a 13% five-year compound annual growth rate. Over the last two years, a number of companies launched code assistant tools, which leverage generative AI to help developers write and test their code faster, thereby accelerating application development. We believe this acceleration in application development will further benefit the data management software market, by increasing the volume of new software and demand for scalable, flexible data platforms to manage the resulting growth of data. </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Fiscal Year 2026 Performance Summary </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Revenue</w:t>
      </w:r>
      <w:r>
        <w:rPr>
          <w:rFonts w:ascii="Times New Roman;serif" w:hAnsi="Times New Roman;serif"/>
          <w:b w:val="false"/>
          <w:color w:val="000000"/>
          <w:sz w:val="20"/>
        </w:rPr>
        <w:t>. Total revenue was $2.46 billion for the full year fiscal 2026, an increase of 23% year-over-year. Subscription revenue was $2.39 billion, an increase of 23% year-over-year, and services revenue was $77.8 million, an increase of 24% year-over-year.</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Gross Profit</w:t>
      </w:r>
      <w:r>
        <w:rPr>
          <w:rFonts w:ascii="Times New Roman;serif" w:hAnsi="Times New Roman;serif"/>
          <w:b w:val="false"/>
          <w:color w:val="000000"/>
          <w:sz w:val="20"/>
        </w:rPr>
        <w:t>. Gross profit was $1.77 billion for the full year fiscal 2026, representing a 72% gross margin compared to 73% in the year-ago period.</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Loss from Operations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Loss from operations was $137.0 million for the full year fiscal 2026, compared to a loss from operations of $216.1 million in the year-ago period.</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Net Loss</w:t>
      </w:r>
      <w:r>
        <w:rPr>
          <w:rFonts w:ascii="Times New Roman;serif" w:hAnsi="Times New Roman;serif"/>
          <w:b w:val="false"/>
          <w:color w:val="000000"/>
          <w:sz w:val="20"/>
        </w:rPr>
        <w:t>. Net loss was $71.2 million, or $0.88 per share, based on 81.2 million weighted-average shares outstanding, for the full year fiscal 2026. This compares to a net loss of $129.1 million, or $1.73 per share in the the year-ago period, based on 74.6 million weighted-average shares outstanding, for the full year fiscal 2025.</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Cash Flow</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During the year ended January 31, 2026, MongoDB generated $505.1 million of cash from operations compared to $150.2 million of cash from operations in the year-ago period.</w:t>
      </w:r>
    </w:p>
    <w:p>
      <w:pPr>
        <w:pStyle w:val="TextBody"/>
        <w:bidi w:val="0"/>
        <w:spacing w:lineRule="auto" w:line="288" w:before="0" w:after="200"/>
        <w:ind w:left="0" w:right="0" w:hanging="360"/>
        <w:jc w:val="both"/>
        <w:rPr/>
      </w:pPr>
      <w:r>
        <w:rPr>
          <w:color w:val="000000"/>
        </w:rPr>
        <w:t>•</w:t>
      </w:r>
      <w:r>
        <w:rPr>
          <w:rFonts w:ascii="Times New Roman;serif" w:hAnsi="Times New Roman;serif"/>
          <w:b/>
          <w:i/>
          <w:color w:val="000000"/>
          <w:sz w:val="20"/>
        </w:rPr>
        <w:t>Customers</w:t>
      </w:r>
      <w:r>
        <w:rPr>
          <w:rFonts w:ascii="Times New Roman;serif" w:hAnsi="Times New Roman;serif"/>
          <w:b w:val="false"/>
          <w:color w:val="000000"/>
          <w:sz w:val="20"/>
        </w:rPr>
        <w:t>. As of January 31, 2026, we had over 62,500 customers across a wide range of industries and in over 100 countries, compared to over 54,500 customers in the year-ago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45"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Executive Leadership Transitions in Fiscal Year 2026</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we appointed Mr. Desai as our President and Chief Executive Officer to succeed Mr. Ittycheria, who continues to serve as an advisor and on our board of directors pursuant to his Advisory Agreement with the Company. The board of directors regularly engages in succession planning, including conducting annual reviews at the full board level, to evaluate both short- and long-term leadership needs and to identify and develop potential internal and external candidates. As part of this ongoing process, the board of directors conducted a comprehensive CEO search supported by an executive search firm to identify a next-generation leader with deep experience in cloud infrastructure, AI, enterprise software, and product innovation—someone equipped to guide the Company on its continued journey towards durable, profitable growth.</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ultimately selected Mr. Desai based on his over 25 years of experience pioneering innovative technology solutions in cloud infrastructure, enterprise software, cybersecurity, AI, and large-scale SaaS platforms. Most recently, Mr. Desai served as President of Product and Engineering at Cloudflare, where he drove product strategy and execution during a period of strong revenue growth and stock performance for the company. Prior to Cloudflare, Mr. Desai served as President and Chief Operating Officer at ServiceNow, where he helped organically scale the company from $1.5 billion to over $10 billion in annualized revenue. Mr. Desai has also previously held executive roles at EMC and Symantec, and he began his career with Oracle as a key member of the team that launched the company's first cloud service.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carried out several other transitions in our executive leadership team in fiscal year 2026. In February 2025, Mr. Tanjga was appointed Interim Chief Financial Officer and served until his resignation in May 2025. Mr. Berry was appointed to succeed Mr. Tanjga as Chief Financial Officer in May 2025.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Compensation Package for our New Chief Executive Officer</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developing a compensation package for Mr. Desai in connection with his appointment as Chief Executive Officer, our board of directors and compensation committee gave careful consideration to the compensation structure that was reasonable and necessary to incentivize Mr. Desai to assume the role and drive the achievement of our strategic objectives. Our board of directors and compensation committee considered the critical nature of the role and the extremely competitive environment for public company chief executive officers in our industry, as well as Mr. Desai's qualifications and demonstrated impact. Mr. Desai's equity awards were designed to (i) incentivize the re-acceleration of growth of our business in an increasingly competitive market being disrupted by AI and other emerging technologies, (ii) encourage long-term value creation for our stockholders and (iii) compensate him for certain unvested equity awards that he forfeited upon his departure from Cloudflare, his prior employer, in connection with his decision to join MongoDB. Our board of directors and compensation committee partnered with Semler Brossy, our independent compensation consultant, to structure a compensation package that we believe aligns with such incentives.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as our President and Chief Executive Officer, Mr. Desai entered into an offer letter containing the principal terms and conditions of his employment. The offer letter provides for, among other things, (i) an annual base salary of $500,000; (ii) an annual target bonus opportunity of 70% of his annual base salary pursuant to our bonus plan; (iii) a sign-on bonus of $2,500,000 in cash, with the payment schedule described below; and (iv) other equity awards described below.</w:t>
      </w:r>
    </w:p>
    <w:p>
      <w:pPr>
        <w:pStyle w:val="TextBody"/>
        <w:bidi w:val="0"/>
        <w:spacing w:lineRule="auto" w:line="288" w:before="0" w:after="220"/>
        <w:ind w:left="0" w:right="0" w:firstLine="720"/>
        <w:jc w:val="both"/>
        <w:rPr/>
      </w:pPr>
      <w:r>
        <w:rPr>
          <w:rFonts w:ascii="Times New Roman;serif" w:hAnsi="Times New Roman;serif"/>
          <w:b/>
          <w:i/>
          <w:color w:val="000000"/>
          <w:sz w:val="20"/>
        </w:rPr>
        <w:t>Sign-On Cash Bonus.</w:t>
      </w:r>
      <w:r>
        <w:rPr>
          <w:color w:val="000000"/>
        </w:rPr>
        <w:t xml:space="preserve"> </w:t>
      </w:r>
      <w:r>
        <w:rPr>
          <w:rFonts w:ascii="Times New Roman;serif" w:hAnsi="Times New Roman;serif"/>
          <w:b w:val="false"/>
          <w:color w:val="000000"/>
          <w:sz w:val="20"/>
        </w:rPr>
        <w:t>50% of the $2,500,000 is payable following six months of continuous service and the remaining 50% is payable following twelve months of continuous service. As of January 31, 2026, neither payment had vested. The sign-on cash bonus was awarded to offset equity forfeited by Mr. Desai in connection with his departure from his prior employer.</w:t>
      </w:r>
    </w:p>
    <w:p>
      <w:pPr>
        <w:pStyle w:val="TextBody"/>
        <w:bidi w:val="0"/>
        <w:spacing w:lineRule="auto" w:line="288" w:before="0" w:after="220"/>
        <w:ind w:left="0" w:right="0" w:firstLine="720"/>
        <w:jc w:val="both"/>
        <w:rPr/>
      </w:pPr>
      <w:r>
        <w:rPr>
          <w:rFonts w:ascii="Times New Roman;serif" w:hAnsi="Times New Roman;serif"/>
          <w:b/>
          <w:i/>
          <w:color w:val="000000"/>
          <w:sz w:val="20"/>
        </w:rPr>
        <w:t xml:space="preserve">Sign-On RSU Award. </w:t>
      </w:r>
      <w:r>
        <w:rPr>
          <w:rFonts w:ascii="Times New Roman;serif" w:hAnsi="Times New Roman;serif"/>
          <w:b w:val="false"/>
          <w:color w:val="000000"/>
          <w:sz w:val="20"/>
        </w:rPr>
        <w:t xml:space="preserve">Mr. Desai received an award of RSUs with a target award value of $15,000,000, totaling 44,096 RSUs, subject to vesting over two years in eight equal quarterly installments after the first quarter following the vesting start date and standard continuous service requirements. As of January 31, 2026, none of Mr. Desai's RSUs have vested. The RSUs will also be subject to a one-year holding period following each applicable vesting date. The number of RSUs was determined based on a target dollar value, calculated using the closing stock price of the Company’s common stock on the Nasdaq on October 27, 2025. The sign-on RSU award was granted to offset equity forfeited by Mr. Desai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46"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connection with his departure from his prior employer, to induce him to join MongoDB and to create long-term alignment with our stockholders.</w:t>
      </w:r>
    </w:p>
    <w:p>
      <w:pPr>
        <w:pStyle w:val="TextBody"/>
        <w:bidi w:val="0"/>
        <w:spacing w:lineRule="auto" w:line="288" w:before="0" w:after="220"/>
        <w:ind w:left="0" w:right="0" w:firstLine="720"/>
        <w:jc w:val="both"/>
        <w:rPr/>
      </w:pPr>
      <w:r>
        <w:rPr>
          <w:rFonts w:ascii="Times New Roman;serif" w:hAnsi="Times New Roman;serif"/>
          <w:b/>
          <w:i/>
          <w:color w:val="000000"/>
          <w:sz w:val="20"/>
        </w:rPr>
        <w:t xml:space="preserve">Sign-On PSU Award. </w:t>
      </w:r>
      <w:r>
        <w:rPr>
          <w:rFonts w:ascii="Times New Roman;serif" w:hAnsi="Times New Roman;serif"/>
          <w:b w:val="false"/>
          <w:color w:val="000000"/>
          <w:sz w:val="20"/>
        </w:rPr>
        <w:t xml:space="preserve">Mr. Desai received a performance-based equity award ("PSU") with a target award value (100%) of $17,500,000, subject to the stock price targets described below. Mr. Desai is eligible to earn up to 200% of the PSU award upon achievement of the maximum attainment threshold indicated below. The PSU award intends to promote stockholder value creation by tying Mr. Desai’s payout to sustained, meaningful stock price appreciation over a performance period of up to five years. Because Mr. Desai will not realize value from the PSU award unless our stockholders also experience substantial value creation, the award directly aligns his compensation with stockholder interests. The PSU award further incentivizes significant and sustained performance, with vesting only occurring at stock price targets significantly above our current stock price (as shown in the table below) and only if the 60-day average stock price equals or exceeds the applicable thresholds, as described below. The sign-on PSU award was granted to offset equity forfeited by Mr. Desai in connection with his departure from his prior employer, to induce him to join MongoDB and as a meaningful performance incentive to drive value creation for our stockholders.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PSU award is divided into four attainment thresholds that each require achievement of a stock price as set forth in the table below. Attainment thresholds will be met if the 60-consecutive trading day average of our stock price equals or exceeds the applicable stock price threshold at the end of the trading day (the "Attainment Date") within five years of Mr. Desai's employment start date. Based on the attainment threshold achieved, Mr. Desai will be eligible to receive the corresponding percentage of PSUs. The PSUs will vest on the corresponding date below or the Attainment Date, whichever is later.</w:t>
      </w:r>
    </w:p>
    <w:tbl>
      <w:tblPr>
        <w:tblW w:w="8427" w:type="dxa"/>
        <w:jc w:val="center"/>
        <w:tblInd w:w="0" w:type="dxa"/>
        <w:tblLayout w:type="fixed"/>
        <w:tblCellMar>
          <w:top w:w="28" w:type="dxa"/>
          <w:left w:w="28" w:type="dxa"/>
          <w:bottom w:w="28" w:type="dxa"/>
          <w:right w:w="28" w:type="dxa"/>
        </w:tblCellMar>
      </w:tblPr>
      <w:tblGrid>
        <w:gridCol w:w="880"/>
        <w:gridCol w:w="772"/>
        <w:gridCol w:w="777"/>
        <w:gridCol w:w="464"/>
        <w:gridCol w:w="464"/>
        <w:gridCol w:w="466"/>
        <w:gridCol w:w="529"/>
        <w:gridCol w:w="529"/>
        <w:gridCol w:w="531"/>
        <w:gridCol w:w="882"/>
        <w:gridCol w:w="882"/>
        <w:gridCol w:w="125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Price Threshold ($)</w:t>
            </w:r>
            <w:r>
              <w:rPr>
                <w:rFonts w:ascii="Times New Roman;serif" w:hAnsi="Times New Roman;serif"/>
                <w:b/>
                <w:color w:val="000000"/>
                <w:sz w:val="13"/>
              </w:rPr>
              <w:t>(1)</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Vesting Date</w:t>
            </w:r>
            <w:r>
              <w:rPr>
                <w:rFonts w:ascii="Times New Roman;serif" w:hAnsi="Times New Roman;serif"/>
                <w:b/>
                <w:color w:val="000000"/>
                <w:sz w:val="13"/>
              </w:rPr>
              <w:t>(2)</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 of Target</w:t>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Potential Number of PSUs</w:t>
            </w:r>
            <w:r>
              <w:rPr>
                <w:rFonts w:ascii="Times New Roman;serif" w:hAnsi="Times New Roman;serif"/>
                <w:b/>
                <w:color w:val="000000"/>
                <w:sz w:val="13"/>
              </w:rPr>
              <w:t>(3)</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2027</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51,445</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2028</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64,306</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2029</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77,167</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 2029</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102,890</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The stock price threshold will be attained if the 60-consecutive trading day average equals or exceeds the applicable stock price threshold.</w:t>
      </w:r>
    </w:p>
    <w:p>
      <w:pPr>
        <w:pStyle w:val="TextBody"/>
        <w:bidi w:val="0"/>
        <w:spacing w:lineRule="auto" w:line="288" w:before="12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The PSUs will vest on the applicable vesting date or the Attainment Date, whichever is later, subject to Mr. Desai's continued service with us through each applicable vesting date or, if later, the applicable Attainment Date. Any PSUs that have not yet vested on or before November 9, 2030 shall be forfeited in full and no payout shall be made.</w:t>
      </w:r>
    </w:p>
    <w:p>
      <w:pPr>
        <w:pStyle w:val="TextBody"/>
        <w:bidi w:val="0"/>
        <w:spacing w:lineRule="auto" w:line="288" w:before="120" w:after="120"/>
        <w:ind w:left="0" w:right="0" w:hanging="360"/>
        <w:jc w:val="both"/>
        <w:rPr/>
      </w:pPr>
      <w:r>
        <w:rPr>
          <w:rFonts w:ascii="Times New Roman;serif" w:hAnsi="Times New Roman;serif"/>
          <w:b w:val="false"/>
          <w:color w:val="000000"/>
          <w:sz w:val="10"/>
        </w:rPr>
        <w:t>(3)    </w:t>
      </w:r>
      <w:r>
        <w:rPr>
          <w:rFonts w:ascii="Times New Roman;serif" w:hAnsi="Times New Roman;serif"/>
          <w:b w:val="false"/>
          <w:color w:val="000000"/>
          <w:sz w:val="16"/>
        </w:rPr>
        <w:t>Represents the total number of PSUs that may vest. At each vesting date, the number of PSUs that vest will be net of any previously vested PSUs. The number of PSUs was determined based on a target dollar value of $17,500,000, calculated using the closing share price of the Company’s common stock on the Nasdaq on October 27, 2025.</w:t>
      </w:r>
    </w:p>
    <w:p>
      <w:pPr>
        <w:pStyle w:val="TextBody"/>
        <w:bidi w:val="0"/>
        <w:spacing w:lineRule="auto" w:line="288" w:before="120" w:after="200"/>
        <w:ind w:left="0" w:right="0" w:hanging="360"/>
        <w:jc w:val="both"/>
        <w:rPr>
          <w:rFonts w:ascii="Times New Roman;serif" w:hAnsi="Times New Roman;serif"/>
          <w:b/>
          <w:color w:val="000000"/>
          <w:sz w:val="20"/>
        </w:rPr>
      </w:pPr>
      <w:r>
        <w:rPr>
          <w:rFonts w:ascii="Times New Roman;serif" w:hAnsi="Times New Roman;serif"/>
          <w:b/>
          <w:color w:val="000000"/>
          <w:sz w:val="20"/>
        </w:rPr>
        <w:t>Compensation Package for our New Chief Financial Officer</w:t>
      </w:r>
    </w:p>
    <w:p>
      <w:pPr>
        <w:pStyle w:val="TextBody"/>
        <w:bidi w:val="0"/>
        <w:spacing w:lineRule="auto" w:line="288" w:before="12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Mr. Tanjga's resignation, our board of directors appointed Mr. Berry as Chief Financial Officer in May 2025. In connection with his appointment, Mr. Berry entered into an offer letter containing the principal terms and conditions of his employment. The offer letter provides for, among other things, (i) an annual base salary of $350,000; (ii) an annual target bonus opportunity of 65% of his annual base salary pursuant to our bonus plan; and (iii) the RSU awards described below.</w:t>
      </w:r>
    </w:p>
    <w:p>
      <w:pPr>
        <w:pStyle w:val="TextBody"/>
        <w:bidi w:val="0"/>
        <w:spacing w:lineRule="auto" w:line="288" w:before="120" w:after="220"/>
        <w:ind w:left="0" w:right="0" w:firstLine="720"/>
        <w:jc w:val="both"/>
        <w:rPr/>
      </w:pPr>
      <w:r>
        <w:rPr>
          <w:rFonts w:ascii="Times New Roman;serif" w:hAnsi="Times New Roman;serif"/>
          <w:b/>
          <w:i/>
          <w:color w:val="000000"/>
          <w:sz w:val="20"/>
        </w:rPr>
        <w:t xml:space="preserve">Sign-On RSU Awards. </w:t>
      </w:r>
      <w:r>
        <w:rPr>
          <w:rFonts w:ascii="Times New Roman;serif" w:hAnsi="Times New Roman;serif"/>
          <w:b w:val="false"/>
          <w:color w:val="000000"/>
          <w:sz w:val="20"/>
        </w:rPr>
        <w:t xml:space="preserve">Mr. Berry received two RSU awards in connection with his appointment as Chief Financial Officer: a new hire grant with a target award value of $9,000,000, totaling 50,802 RSUs, and a sign-on bonus grant with a target award value of $3,000,000, totaling 16,934 RSUs. Each of the RSU awards will vest over four years, with 25% of the RSUs vesting on the 12-month anniversary of the vesting start date, and the balance vesting in equal quarterly installments, in each case, subject to continuous service on each applicable vesting date. The number of RSUs was determined based on a target dollar value, using the VWAP of our common stock on the Nasdaq for the 30-trading days immediately prior to the grant date of May 27, 2025. The sign-on RSU awards were granted to offset equity forfeited by Mr. Berry in connection with his departure from his prior employer and to induce him to join MongoDB. </w:t>
      </w:r>
    </w:p>
    <w:p>
      <w:pPr>
        <w:pStyle w:val="TextBody"/>
        <w:bidi w:val="0"/>
        <w:spacing w:before="0" w:after="240"/>
        <w:jc w:val="both"/>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7"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Executive Summary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achieve the key objectives of our executive compensation program and drive our pay-for-performance culture without incentivizing undue risk taking, the compensation committee employs the following governance practices:</w:t>
      </w:r>
    </w:p>
    <w:tbl>
      <w:tblPr>
        <w:tblW w:w="10205" w:type="dxa"/>
        <w:jc w:val="left"/>
        <w:tblInd w:w="0" w:type="dxa"/>
        <w:tblLayout w:type="fixed"/>
        <w:tblCellMar>
          <w:top w:w="28" w:type="dxa"/>
          <w:left w:w="28" w:type="dxa"/>
          <w:bottom w:w="28" w:type="dxa"/>
          <w:right w:w="28" w:type="dxa"/>
        </w:tblCellMar>
      </w:tblPr>
      <w:tblGrid>
        <w:gridCol w:w="158"/>
        <w:gridCol w:w="138"/>
        <w:gridCol w:w="140"/>
        <w:gridCol w:w="660"/>
        <w:gridCol w:w="568"/>
        <w:gridCol w:w="570"/>
        <w:gridCol w:w="2416"/>
        <w:gridCol w:w="2298"/>
        <w:gridCol w:w="325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We Do</w:t>
            </w:r>
          </w:p>
        </w:tc>
      </w:tr>
      <w:tr>
        <w:trPr/>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 for Performance</w:t>
            </w:r>
          </w:p>
        </w:tc>
        <w:tc>
          <w:tcPr>
            <w:tcW w:w="7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Tie 100% of executive annual bonus pay to company performance using annual corporate objectives selected for their ability to drive operational and financial performance. Provide 50% of the target value of long-term equity incentive compensation under our annual long-term incentive program in the form of performance stock units.</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Short- and Long-Term Compensation</w:t>
            </w:r>
          </w:p>
        </w:tc>
        <w:tc>
          <w:tcPr>
            <w:tcW w:w="7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allocation of incentives among the short-term incentive plan and the long-term incentive plan does not over-emphasize short-term performance at the expense of achieving long-term goals. For fiscal year 2026, 94.5% of our former Chief Executive Officer’s total reported compensation, 99.6% of our current Chief Executive Officer's total reported compensation and an average of 91.8% of the total reported executive compensation for our other named executive officers (excluding Mr. Tanjga) was in the form of long-term equity incentive awards.</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Multi-Year Vesting Periods for Long-Term Compensation</w:t>
            </w:r>
          </w:p>
        </w:tc>
        <w:tc>
          <w:tcPr>
            <w:tcW w:w="7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Multi-year vesting periods for awards strongly align our executive officers’ interests with those of our stockholders by providing a continuing financial incentive to maximize long-term value for our stockholders and by encouraging our executive officers to remain in our long-term employ.</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Mitigation of Risk</w:t>
            </w:r>
          </w:p>
        </w:tc>
        <w:tc>
          <w:tcPr>
            <w:tcW w:w="7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has provisions to mitigate undue risk, including caps on the maximum level of payouts, clawback provisions and multiple performance metrics.</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Clawback Policies</w:t>
            </w:r>
          </w:p>
        </w:tc>
        <w:tc>
          <w:tcPr>
            <w:tcW w:w="7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two clawback policies: one mandates recoupment of covered executive officers' incentive-based compensation in case of an accounting restatement due to material noncompliance with financial reporting requirements under U.S. securities laws under Rule 10D-1 of the Dodd-Frank Wall Street Reform and Consumer Protection Act of 2010 (the “Dodd-Frank Act”), and the other authorizes the board of directors to recoup bonus, incentive, or equity-based compensation from any of our current or former executive officers who engaged in misconduct (as described below), including in events unrelated to financial restatements.</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 Ownership Guidelines</w:t>
            </w:r>
          </w:p>
        </w:tc>
        <w:tc>
          <w:tcPr>
            <w:tcW w:w="7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officers are expected to acquire and maintain a certain level of ownership interest, in order to emphasize long-term performance and to promote alignment with stockholders.</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Engage an Independent Compensation Consultant</w:t>
            </w:r>
          </w:p>
        </w:tc>
        <w:tc>
          <w:tcPr>
            <w:tcW w:w="7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fully independent compensation committee retains an independent compensation consultant on matters pertaining to executive and non-employee director pay and governance.</w:t>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Regularly Review Share Utilization</w:t>
            </w:r>
          </w:p>
        </w:tc>
        <w:tc>
          <w:tcPr>
            <w:tcW w:w="7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and the Board regularly evaluate share utilization levels by reviewing the cost and dilutive impact of stock compensation.</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32"/>
              </w:rPr>
            </w:pPr>
            <w:r>
              <w:rPr>
                <w:rFonts w:ascii="Webdings;sans-serif" w:hAnsi="Webdings;sans-serif"/>
                <w:b/>
                <w:color w:val="000000"/>
                <w:sz w:val="32"/>
              </w:rPr>
              <w:t>a</w:t>
            </w:r>
          </w:p>
        </w:tc>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Annual Say on Pay</w:t>
            </w:r>
          </w:p>
        </w:tc>
        <w:tc>
          <w:tcPr>
            <w:tcW w:w="7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conduct an annual say-on-pay advisory vote. At our 2025 Annual Meeting of Stockholders, approximately 82% of the votes cast on the say-on-pay proposal were in favor of the fiscal year 2025 compensation of our named executive officers.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8"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
        <w:gridCol w:w="133"/>
        <w:gridCol w:w="133"/>
        <w:gridCol w:w="965"/>
        <w:gridCol w:w="756"/>
        <w:gridCol w:w="758"/>
        <w:gridCol w:w="2163"/>
        <w:gridCol w:w="2123"/>
        <w:gridCol w:w="3022"/>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What We Don't Do</w:t>
            </w:r>
          </w:p>
        </w:tc>
      </w:tr>
      <w:tr>
        <w:trPr/>
        <w:tc>
          <w:tcPr>
            <w:tcW w:w="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Webdings;sans-serif" w:hAnsi="Webdings;sans-serif"/>
                <w:b/>
                <w:color w:val="000000"/>
                <w:sz w:val="20"/>
              </w:rPr>
            </w:pPr>
            <w:r>
              <w:rPr>
                <w:rFonts w:ascii="Webdings;sans-serif" w:hAnsi="Webdings;sans-serif"/>
                <w:b/>
                <w:color w:val="000000"/>
                <w:sz w:val="20"/>
              </w:rPr>
              <w:t>r</w:t>
            </w:r>
          </w:p>
        </w:tc>
        <w:tc>
          <w:tcPr>
            <w:tcW w:w="2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Excessive Tax Gross-Ups</w:t>
            </w:r>
          </w:p>
        </w:tc>
        <w:tc>
          <w:tcPr>
            <w:tcW w:w="7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do not have any arrangements with our executive officers providing excessive tax gross-ups.</w:t>
            </w:r>
          </w:p>
        </w:tc>
      </w:tr>
      <w:tr>
        <w:trPr/>
        <w:tc>
          <w:tcPr>
            <w:tcW w:w="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color w:val="000000"/>
                <w:sz w:val="20"/>
              </w:rPr>
            </w:pPr>
            <w:r>
              <w:rPr>
                <w:rFonts w:ascii="Webdings;sans-serif" w:hAnsi="Webdings;sans-serif"/>
                <w:b/>
                <w:color w:val="000000"/>
                <w:sz w:val="20"/>
              </w:rPr>
              <w:t>r</w:t>
            </w:r>
          </w:p>
        </w:tc>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Excessive Executive Perquisites</w:t>
            </w:r>
          </w:p>
        </w:tc>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generally do not provide executive fringe benefits or perquisites such as car allowances to our executives, other than certain services related to cybersecurity, which we consider to be in our best interest.</w:t>
            </w:r>
          </w:p>
        </w:tc>
      </w:tr>
      <w:tr>
        <w:trPr/>
        <w:tc>
          <w:tcPr>
            <w:tcW w:w="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Webdings;sans-serif" w:hAnsi="Webdings;sans-serif"/>
                <w:b/>
                <w:color w:val="000000"/>
                <w:sz w:val="20"/>
              </w:rPr>
            </w:pPr>
            <w:r>
              <w:rPr>
                <w:rFonts w:ascii="Webdings;sans-serif" w:hAnsi="Webdings;sans-serif"/>
                <w:b/>
                <w:color w:val="000000"/>
                <w:sz w:val="20"/>
              </w:rPr>
              <w:t>r</w:t>
            </w:r>
          </w:p>
        </w:tc>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Hedging or Pledging of MongoDB Securities</w:t>
            </w:r>
          </w:p>
        </w:tc>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prohibit hedging and pledging of MongoDB securities by our employees, directors and consultants, except for case-by-case exceptions for employees who are not executive officers or directors, as approved by our board of directors.</w:t>
            </w:r>
          </w:p>
        </w:tc>
      </w:tr>
      <w:tr>
        <w:trPr/>
        <w:tc>
          <w:tcPr>
            <w:tcW w:w="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Webdings;sans-serif" w:hAnsi="Webdings;sans-serif"/>
                <w:b/>
                <w:color w:val="000000"/>
                <w:sz w:val="20"/>
              </w:rPr>
            </w:pPr>
            <w:r>
              <w:rPr>
                <w:rFonts w:ascii="Webdings;sans-serif" w:hAnsi="Webdings;sans-serif"/>
                <w:b/>
                <w:color w:val="000000"/>
                <w:sz w:val="20"/>
              </w:rPr>
              <w:t>r</w:t>
            </w:r>
          </w:p>
        </w:tc>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Single-trigger vesting upon change in control</w:t>
            </w:r>
          </w:p>
        </w:tc>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there is a change in control, outstanding equity will vest only if there is a termination of employment following such change in control (a “double trigger”). A change in control alone will not trigger vesting.</w:t>
            </w:r>
          </w:p>
        </w:tc>
      </w:tr>
      <w:tr>
        <w:trPr/>
        <w:tc>
          <w:tcPr>
            <w:tcW w:w="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Webdings;sans-serif" w:hAnsi="Webdings;sans-serif"/>
                <w:b/>
                <w:color w:val="000000"/>
                <w:sz w:val="20"/>
              </w:rPr>
            </w:pPr>
            <w:r>
              <w:rPr>
                <w:rFonts w:ascii="Webdings;sans-serif" w:hAnsi="Webdings;sans-serif"/>
                <w:b/>
                <w:color w:val="000000"/>
                <w:sz w:val="20"/>
              </w:rPr>
              <w:t>r</w:t>
            </w:r>
          </w:p>
        </w:tc>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Supplemental executive retirement and pension benefits </w:t>
            </w:r>
          </w:p>
        </w:tc>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do not provide supplemental executive retirement or pension benefits.</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Stockholder Engagement</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appreciate and value the views and insights of our stockholders. We believe that ongoing engagement builds mutual trust and alignment with our stockholders and is essential to our long-term success.</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Legal and Investor Relations teams, with participation by our People and Sustainability leaders, annually meet with our stockholders. We regularly communicate topics discussed with stockholders and stockholder feedback to senior management, which in turn is discussed with our board of directors. We believe that our approach to engaging directly and openly with our stockholders drives increased corporate accountability, improves decision making, and ultimately helps create sustainable long-term value for our stakeholders.</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fiscal year 2026, we reached out to stockholders owning approximately 40% of our outstanding stock (based on ownership levels as of September 30, 2025) and held conversations with stockholders owning an aggregate of approximately 11% of our outstanding stock. Through this outreach, we solicited feedback on our executive compensation practices and corporate governance, and provided updates on our culture, sustainability and AI initiatives.</w:t>
      </w:r>
    </w:p>
    <w:p>
      <w:pPr>
        <w:pStyle w:val="TextBody"/>
        <w:bidi w:val="0"/>
        <w:spacing w:lineRule="auto" w:line="288" w:before="0" w:after="2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Responsiveness to Stockholder Feedback</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 proven track record of evolving our practices based on the dialogue we maintain with our investors. Recent enhancements include:</w:t>
      </w:r>
    </w:p>
    <w:p>
      <w:pPr>
        <w:pStyle w:val="TextBody"/>
        <w:bidi w:val="0"/>
        <w:spacing w:lineRule="auto" w:line="288" w:before="0" w:after="220"/>
        <w:ind w:left="0" w:right="0" w:hanging="360"/>
        <w:jc w:val="both"/>
        <w:rPr/>
      </w:pPr>
      <w:r>
        <w:rPr>
          <w:color w:val="000000"/>
          <w:shd w:fill="FFFFFF" w:val="clear"/>
        </w:rPr>
        <w:t>•</w:t>
      </w:r>
      <w:r>
        <w:rPr>
          <w:rFonts w:ascii="Times New Roman;serif" w:hAnsi="Times New Roman;serif"/>
          <w:b/>
          <w:color w:val="000000"/>
          <w:sz w:val="20"/>
          <w:shd w:fill="FFFFFF" w:val="clear"/>
        </w:rPr>
        <w:t>Enhanced Executive Compensation Disclosures</w:t>
      </w:r>
      <w:r>
        <w:rPr>
          <w:rFonts w:ascii="Times New Roman;serif" w:hAnsi="Times New Roman;serif"/>
          <w:b w:val="false"/>
          <w:color w:val="000000"/>
          <w:sz w:val="20"/>
          <w:shd w:fill="FFFFFF" w:val="clear"/>
        </w:rPr>
        <w:t>: In this proxy statement, we expanded our executive-compensation disclosures to include greater backwards looking information of incentive program targets and actual outcomes. This expansion continues to build upon our updates in the fiscal year 2024 proxy statement, when, again in response to stockholder feedback requesting greater disclosure on named executive officer compensation calculations, we added tables indicating attainment levels of company performance metrics used to determine named executive officer compensation.</w:t>
      </w:r>
    </w:p>
    <w:p>
      <w:pPr>
        <w:pStyle w:val="TextBody"/>
        <w:bidi w:val="0"/>
        <w:spacing w:lineRule="auto" w:line="288" w:before="0" w:after="220"/>
        <w:ind w:left="0" w:right="0" w:hanging="360"/>
        <w:jc w:val="both"/>
        <w:rPr/>
      </w:pPr>
      <w:r>
        <w:rPr>
          <w:color w:val="000000"/>
          <w:shd w:fill="FFFFFF" w:val="clear"/>
        </w:rPr>
        <w:t>•</w:t>
      </w:r>
      <w:r>
        <w:rPr>
          <w:rFonts w:ascii="Times New Roman;serif" w:hAnsi="Times New Roman;serif"/>
          <w:b/>
          <w:color w:val="000000"/>
          <w:sz w:val="20"/>
          <w:shd w:fill="FFFFFF" w:val="clear"/>
        </w:rPr>
        <w:t>Implementation of Proxy Access</w:t>
      </w:r>
      <w:r>
        <w:rPr>
          <w:rFonts w:ascii="Times New Roman;serif" w:hAnsi="Times New Roman;serif"/>
          <w:b w:val="false"/>
          <w:color w:val="000000"/>
          <w:sz w:val="20"/>
          <w:shd w:fill="FFFFFF" w:val="clear"/>
        </w:rPr>
        <w:t>: In February 2026, following feedback from our stockholders regarding enhanced avenues for investor representation, the board of directors — upon recommendation from the nominating and corporate governance committee — approved amendments to our amended and restated bylaws to implement "proxy access." These provisions allow a stockholder, or group of up to 20 stockholders, owning at least 3% of our common stock continuously for at least three years, to nominate and include in our proxy materials director nominees constituting up to two directors or 20% of the Board (whichever is greater), provided certain requirements are met.</w:t>
      </w:r>
    </w:p>
    <w:p>
      <w:pPr>
        <w:pStyle w:val="TextBody"/>
        <w:bidi w:val="0"/>
        <w:spacing w:lineRule="auto" w:line="288" w:before="0" w:after="220"/>
        <w:ind w:left="0" w:right="0" w:hanging="360"/>
        <w:jc w:val="both"/>
        <w:rPr/>
      </w:pPr>
      <w:r>
        <w:rPr>
          <w:color w:val="000000"/>
          <w:shd w:fill="FFFFFF" w:val="clear"/>
        </w:rPr>
        <w:t>•</w:t>
      </w:r>
      <w:r>
        <w:rPr>
          <w:rFonts w:ascii="Times New Roman;serif" w:hAnsi="Times New Roman;serif"/>
          <w:b/>
          <w:color w:val="000000"/>
          <w:sz w:val="20"/>
          <w:shd w:fill="FFFFFF" w:val="clear"/>
        </w:rPr>
        <w:t>Enhanced Board Disclosures</w:t>
      </w:r>
      <w:r>
        <w:rPr>
          <w:rFonts w:ascii="Times New Roman;serif" w:hAnsi="Times New Roman;serif"/>
          <w:b w:val="false"/>
          <w:color w:val="000000"/>
          <w:sz w:val="20"/>
          <w:shd w:fill="FFFFFF" w:val="clear"/>
        </w:rPr>
        <w:t>: Based on investor requests for greater transparency, we added a board of directors skills matrix (beginning in fiscal year 2023) and introduced detailed tables indicating attainment levels of company performance metrics (beginning in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9"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Going forward, we will continue to maintain an active dialogue with our stockholders to evaluate feedback on issues of importance to them.</w:t>
      </w:r>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Say-on-Pay</w:t>
      </w:r>
    </w:p>
    <w:p>
      <w:pPr>
        <w:pStyle w:val="TextBody"/>
        <w:bidi w:val="0"/>
        <w:spacing w:lineRule="auto" w:line="288" w:before="0" w:after="2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the 2025 Say-on-Pay Vote</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last year’s annual meeting of stockholders, approximately 82%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 </w:t>
      </w:r>
    </w:p>
    <w:p>
      <w:pPr>
        <w:pStyle w:val="TextBody"/>
        <w:bidi w:val="0"/>
        <w:spacing w:lineRule="auto" w:line="288" w:before="0" w:after="2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Annual Say-on-Pay Frequency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Consistent with our stockholders' recommendation at our 2025 annual meeting that we solicit a say-on-pay vote on an annual basis, we will again hold a say-on-pay vote at our upcoming annual meeting. We believe an annual “say-on-pay” vote will best reinforce our desire to communicate with our stockholders and allow them to regularly express a view on our compensation policies and practices. A “say-on-frequency” vote is required every six years, and as such, our next say-on-frequency vote will be in 2031.</w:t>
      </w:r>
    </w:p>
    <w:p>
      <w:pPr>
        <w:pStyle w:val="TextBody"/>
        <w:bidi w:val="0"/>
        <w:spacing w:lineRule="auto" w:line="288" w:before="0" w:after="220"/>
        <w:jc w:val="both"/>
        <w:rPr>
          <w:rFonts w:ascii="Times New Roman;serif" w:hAnsi="Times New Roman;serif"/>
          <w:b/>
          <w:color w:val="000000"/>
          <w:sz w:val="24"/>
        </w:rPr>
      </w:pPr>
      <w:r>
        <w:rPr>
          <w:rFonts w:ascii="Times New Roman;serif" w:hAnsi="Times New Roman;serif"/>
          <w:b/>
          <w:color w:val="000000"/>
          <w:sz w:val="24"/>
        </w:rPr>
        <w:t>Executive Compensation Philosophy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 xml:space="preserve">attract, motivate, incentivize and retain a highly skilled team of executives who contribute to our long-term success; </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rPr>
        <w:t>provide compensation packages to our executive officers that are competitive and reward the achievement of our financial, operational and strategic objectives; and</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rPr>
        <w:t>effectively align our executive officers’ interests with the interests of our stockholders by focusing on long-term equity incentives that correlate with the growth of sustainable long-term value for our stockholders. The emphasis on long-term incentive compensation is illustrated in the following pay mix charts.</w:t>
      </w:r>
    </w:p>
    <w:tbl>
      <w:tblPr>
        <w:tblW w:w="5917" w:type="dxa"/>
        <w:jc w:val="left"/>
        <w:tblInd w:w="0" w:type="dxa"/>
        <w:tblLayout w:type="fixed"/>
        <w:tblCellMar>
          <w:top w:w="28" w:type="dxa"/>
          <w:left w:w="28" w:type="dxa"/>
          <w:bottom w:w="28" w:type="dxa"/>
          <w:right w:w="28" w:type="dxa"/>
        </w:tblCellMar>
      </w:tblPr>
      <w:tblGrid>
        <w:gridCol w:w="515"/>
        <w:gridCol w:w="452"/>
        <w:gridCol w:w="452"/>
        <w:gridCol w:w="452"/>
        <w:gridCol w:w="452"/>
        <w:gridCol w:w="466"/>
        <w:gridCol w:w="109"/>
        <w:gridCol w:w="109"/>
        <w:gridCol w:w="109"/>
        <w:gridCol w:w="435"/>
        <w:gridCol w:w="435"/>
        <w:gridCol w:w="435"/>
        <w:gridCol w:w="435"/>
        <w:gridCol w:w="435"/>
        <w:gridCol w:w="626"/>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7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FY 2026 Current CEO Pay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FY 2026 Former CEO Pay Mix</w:t>
            </w:r>
          </w:p>
        </w:tc>
      </w:tr>
    </w:tbl>
    <w:p>
      <w:pPr>
        <w:pStyle w:val="TextBody"/>
        <w:bidi w:val="0"/>
        <w:spacing w:lineRule="auto" w:line="288" w:before="0" w:after="240"/>
        <w:jc w:val="both"/>
        <w:rPr/>
      </w:pPr>
      <w:r>
        <w:rPr/>
        <w:drawing>
          <wp:inline distT="0" distB="0" distL="0" distR="0">
            <wp:extent cx="2971800" cy="246697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2971800" cy="2466975"/>
                    </a:xfrm>
                    <a:prstGeom prst="rect">
                      <a:avLst/>
                    </a:prstGeom>
                  </pic:spPr>
                </pic:pic>
              </a:graphicData>
            </a:graphic>
          </wp:inline>
        </w:drawing>
      </w:r>
      <w:bookmarkStart w:id="7" w:name="i-8"/>
      <w:bookmarkEnd w:id="7"/>
      <w:r>
        <w:rPr>
          <w:color w:val="000000"/>
        </w:rPr>
        <w:t xml:space="preserve"> </w:t>
      </w:r>
      <w:r>
        <w:rPr/>
        <w:drawing>
          <wp:inline distT="0" distB="0" distL="0" distR="0">
            <wp:extent cx="2971800" cy="2466975"/>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0"/>
                    <a:stretch>
                      <a:fillRect/>
                    </a:stretch>
                  </pic:blipFill>
                  <pic:spPr bwMode="auto">
                    <a:xfrm>
                      <a:off x="0" y="0"/>
                      <a:ext cx="2971800" cy="2466975"/>
                    </a:xfrm>
                    <a:prstGeom prst="rect">
                      <a:avLst/>
                    </a:prstGeom>
                  </pic:spPr>
                </pic:pic>
              </a:graphicData>
            </a:graphic>
          </wp:inline>
        </w:drawing>
      </w:r>
      <w:bookmarkStart w:id="8" w:name="i-9"/>
      <w:bookmarkEnd w:id="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2"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tbl>
      <w:tblPr>
        <w:tblW w:w="2999" w:type="dxa"/>
        <w:jc w:val="left"/>
        <w:tblInd w:w="0" w:type="dxa"/>
        <w:tblLayout w:type="fixed"/>
        <w:tblCellMar>
          <w:top w:w="28" w:type="dxa"/>
          <w:left w:w="28" w:type="dxa"/>
          <w:bottom w:w="28" w:type="dxa"/>
          <w:right w:w="28" w:type="dxa"/>
        </w:tblCellMar>
      </w:tblPr>
      <w:tblGrid>
        <w:gridCol w:w="521"/>
        <w:gridCol w:w="454"/>
        <w:gridCol w:w="454"/>
        <w:gridCol w:w="454"/>
        <w:gridCol w:w="454"/>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9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FY 2026 Pay Mix - Other NEOs</w:t>
            </w:r>
            <w:r>
              <w:rPr>
                <w:rFonts w:ascii="Times New Roman;serif" w:hAnsi="Times New Roman;serif"/>
                <w:b/>
                <w:color w:val="000000"/>
                <w:sz w:val="13"/>
              </w:rPr>
              <w:t>(3)</w:t>
            </w:r>
          </w:p>
        </w:tc>
      </w:tr>
    </w:tbl>
    <w:p>
      <w:pPr>
        <w:pStyle w:val="TextBody"/>
        <w:bidi w:val="0"/>
        <w:spacing w:before="0" w:after="240"/>
        <w:jc w:val="both"/>
        <w:rPr/>
      </w:pPr>
      <w:r>
        <w:rPr/>
        <w:drawing>
          <wp:inline distT="0" distB="0" distL="0" distR="0">
            <wp:extent cx="2971800" cy="2466975"/>
            <wp:effectExtent l="0" t="0" r="0" b="0"/>
            <wp:docPr id="5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0" descr=""/>
                    <pic:cNvPicPr>
                      <a:picLocks noChangeAspect="1" noChangeArrowheads="1"/>
                    </pic:cNvPicPr>
                  </pic:nvPicPr>
                  <pic:blipFill>
                    <a:blip r:embed="rId11"/>
                    <a:stretch>
                      <a:fillRect/>
                    </a:stretch>
                  </pic:blipFill>
                  <pic:spPr bwMode="auto">
                    <a:xfrm>
                      <a:off x="0" y="0"/>
                      <a:ext cx="2971800" cy="2466975"/>
                    </a:xfrm>
                    <a:prstGeom prst="rect">
                      <a:avLst/>
                    </a:prstGeom>
                  </pic:spPr>
                </pic:pic>
              </a:graphicData>
            </a:graphic>
          </wp:inline>
        </w:drawing>
      </w:r>
      <w:bookmarkStart w:id="9" w:name="i-10"/>
      <w:bookmarkEnd w:id="9"/>
    </w:p>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Mr. Desai's sign-on cash bonus is excluded from this table since neither cash payment vested in fiscal year 2026 and such sign-on cash bonus reflects a one-time occurrence unrelated to our existing compensation practices.</w:t>
      </w:r>
    </w:p>
    <w:p>
      <w:pPr>
        <w:pStyle w:val="TextBody"/>
        <w:bidi w:val="0"/>
        <w:spacing w:lineRule="auto" w:line="288" w:before="0" w:after="120"/>
        <w:ind w:left="0" w:right="0" w:hanging="36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Messrs. Desai and Berry, "Long Term Incentives" includes their sign-on equity awards, which are described in the section above titled "Executive Leadership Transitions in Fiscal Year 2026".</w:t>
      </w:r>
    </w:p>
    <w:p>
      <w:pPr>
        <w:pStyle w:val="TextBody"/>
        <w:bidi w:val="0"/>
        <w:spacing w:lineRule="auto" w:line="288" w:before="0" w:after="120"/>
        <w:ind w:left="0" w:right="0" w:hanging="36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Data excludes Mr. Tanjga, who resigned from MongoDB on May 8, 2025.</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pStyle w:val="TextBody"/>
        <w:bidi w:val="0"/>
        <w:spacing w:lineRule="auto" w:line="288" w:before="0" w:after="220"/>
        <w:ind w:left="0" w:right="0" w:firstLine="90"/>
        <w:jc w:val="both"/>
        <w:rPr>
          <w:rFonts w:ascii="Times New Roman;serif" w:hAnsi="Times New Roman;serif"/>
          <w:b/>
          <w:color w:val="000000"/>
          <w:sz w:val="24"/>
        </w:rPr>
      </w:pPr>
      <w:r>
        <w:rPr>
          <w:rFonts w:ascii="Times New Roman;serif" w:hAnsi="Times New Roman;serif"/>
          <w:b/>
          <w:color w:val="000000"/>
          <w:sz w:val="24"/>
        </w:rPr>
        <w:t>Process for Setting Executive Compensation</w:t>
      </w:r>
    </w:p>
    <w:p>
      <w:pPr>
        <w:pStyle w:val="TextBody"/>
        <w:bidi w:val="0"/>
        <w:spacing w:lineRule="auto" w:line="288" w:before="0" w:after="220"/>
        <w:ind w:left="0" w:right="0" w:firstLine="720"/>
        <w:jc w:val="both"/>
        <w:rPr/>
      </w:pPr>
      <w:r>
        <w:rPr>
          <w:rFonts w:ascii="Times New Roman;serif" w:hAnsi="Times New Roman;serif"/>
          <w:b/>
          <w:i/>
          <w:color w:val="000000"/>
          <w:sz w:val="20"/>
        </w:rPr>
        <w:t>Role of the Compensation Committee</w:t>
      </w:r>
      <w:r>
        <w:rPr>
          <w:rFonts w:ascii="Times New Roman;serif" w:hAnsi="Times New Roman;serif"/>
          <w:b w:val="false"/>
          <w:color w:val="000000"/>
          <w:sz w:val="20"/>
        </w:rPr>
        <w:t>. Compensation decisions for our named executive officers are determined by the compensation committee, 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and considering factors related to the performance of MongoDB. For additional information about the compensation committee, see the section titled “Board of Directors and Corporate Governance–Board Committees–Compensation Committee.”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the compensation committee’s process for determining executive compensation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 of directors' evaluation of the Chief Executive Officer’s performance. For all executives and directors, as part of its deliberations, the compensation committee may review and consider, as appropriate, materials such as financial reports and projections, operational data, executive and director stock ownership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compensation consultant.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the authority to obtain, at the expense of MongoDB, advice and assistance from its own advisors as it considers necessary or appropriate in the performance of its duties. For the fiscal year ended January 31, 2026, the compensation committee retained Semler Brossy to review and assess our executive compensation practices relative to market compensation practices and to provide market compensation data. For additional information on this engagement, see the section below titled "Role of the Compensation Consultant."</w:t>
      </w:r>
    </w:p>
    <w:p>
      <w:pPr>
        <w:pStyle w:val="TextBody"/>
        <w:bidi w:val="0"/>
        <w:spacing w:lineRule="auto" w:line="288" w:before="0" w:after="220"/>
        <w:ind w:left="0" w:right="0" w:firstLine="720"/>
        <w:jc w:val="both"/>
        <w:rPr/>
      </w:pPr>
      <w:r>
        <w:rPr>
          <w:rFonts w:ascii="Times New Roman;serif" w:hAnsi="Times New Roman;serif"/>
          <w:b/>
          <w:i/>
          <w:color w:val="000000"/>
          <w:sz w:val="20"/>
        </w:rPr>
        <w:t>Role of the Compensation Consultant</w:t>
      </w:r>
      <w:r>
        <w:rPr>
          <w:rFonts w:ascii="Times New Roman;serif" w:hAnsi="Times New Roman;serif"/>
          <w:b w:val="false"/>
          <w:color w:val="000000"/>
          <w:sz w:val="20"/>
        </w:rPr>
        <w:t>. For fiscal year 2026, the scope of the compensation consultant's engagement for the compensation committee included: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reviewing the materials prepared for the compensation committee by management relative to fiscal year 2026 compensation for the named executive officers;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advising the compensation committee on executive compensation trends;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reviewing our market equity compensation practices, including the proportion of our total shares outstanding used for annual employee long-term incentive compensation awards (our “burn rate”) and the potential voting power dilution to our stockholders (our “overhang”);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presenting market data and analysis to assist the compensation committee in setting target compensation for named executive officers;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researching, developing and reviewing the compensation peer group used for fiscal year 2026 executive compensation benchmarking;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advising on our non-employee director compensation program;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reviewing our current incentive design structures against market incentive design structures;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supporting other ad hoc matters throughout the year.</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Semler Brossy reviewed and provided input on the Compensation Discussion and Analysis section of this proxy statement. In retaining Semler Brossy, the compensation committee considered the six factors set forth in Rule 10C-1(b)(4)(i) through (vi) of the Exchange Act. After review of information provided by each of the members of the compensation committee as well as information provided by Semler Brossy, the compensation committee determined that there were no conflicts of interest raised by their work with the compensation committee.</w:t>
      </w:r>
    </w:p>
    <w:p>
      <w:pPr>
        <w:pStyle w:val="TextBody"/>
        <w:bidi w:val="0"/>
        <w:spacing w:lineRule="auto" w:line="288" w:before="0" w:after="220"/>
        <w:ind w:left="0" w:right="0" w:firstLine="720"/>
        <w:jc w:val="both"/>
        <w:rPr/>
      </w:pPr>
      <w:r>
        <w:rPr>
          <w:rFonts w:ascii="Times New Roman;serif" w:hAnsi="Times New Roman;serif"/>
          <w:b/>
          <w:i/>
          <w:color w:val="000000"/>
          <w:sz w:val="20"/>
        </w:rPr>
        <w:t>Role of Chief Executive Officer</w:t>
      </w:r>
      <w:r>
        <w:rPr>
          <w:rFonts w:ascii="Times New Roman;serif" w:hAnsi="Times New Roman;serif"/>
          <w:b w:val="false"/>
          <w:color w:val="000000"/>
          <w:sz w:val="20"/>
        </w:rPr>
        <w:t>. In discharging its responsibilities, the compensation committee works with members of our management, 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also delegated limited authority to the Chief Executive Officer to make equity grants to certain employees who are not executive officers. </w:t>
      </w:r>
    </w:p>
    <w:p>
      <w:pPr>
        <w:pStyle w:val="TextBody"/>
        <w:bidi w:val="0"/>
        <w:spacing w:lineRule="auto" w:line="288" w:before="0" w:after="220"/>
        <w:ind w:left="0" w:right="0" w:firstLine="720"/>
        <w:jc w:val="both"/>
        <w:rPr/>
      </w:pPr>
      <w:r>
        <w:rPr>
          <w:rFonts w:ascii="Times New Roman;serif" w:hAnsi="Times New Roman;serif"/>
          <w:b/>
          <w:i/>
          <w:color w:val="000000"/>
          <w:sz w:val="20"/>
        </w:rPr>
        <w:t>Use of Competitive Market Data</w:t>
      </w:r>
      <w:r>
        <w:rPr>
          <w:rFonts w:ascii="Times New Roman;serif" w:hAnsi="Times New Roman;serif"/>
          <w:b w:val="false"/>
          <w:color w:val="000000"/>
          <w:sz w:val="20"/>
        </w:rPr>
        <w:t xml:space="preserve">. Our compensation committee believes that it is important when making its compensation decisions to be informed as to the current practices of comparable public companies and companies with which we compete for top talent. This compensation peer group consists of technology companies and is determined based on several factors, including industry classification and company size based on metrics such as revenue, market capitalization and headcount along with other qualitative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year 2025, the compensation committee, in consultation with Semler Brossy, reviewed the companies in our peer group to determine if adjustments were necessary based on strategic and company size alignment. As a result of this review, the compensation committee approved the following 15-company peer group for purposes of fiscal year 2026 compensation decisions:</w:t>
      </w:r>
    </w:p>
    <w:tbl>
      <w:tblPr>
        <w:tblW w:w="5294" w:type="dxa"/>
        <w:jc w:val="left"/>
        <w:tblInd w:w="0" w:type="dxa"/>
        <w:tblLayout w:type="fixed"/>
        <w:tblCellMar>
          <w:top w:w="28" w:type="dxa"/>
          <w:left w:w="28" w:type="dxa"/>
          <w:bottom w:w="28" w:type="dxa"/>
          <w:right w:w="28" w:type="dxa"/>
        </w:tblCellMar>
      </w:tblPr>
      <w:tblGrid>
        <w:gridCol w:w="673"/>
        <w:gridCol w:w="592"/>
        <w:gridCol w:w="595"/>
        <w:gridCol w:w="569"/>
        <w:gridCol w:w="569"/>
        <w:gridCol w:w="571"/>
        <w:gridCol w:w="504"/>
        <w:gridCol w:w="504"/>
        <w:gridCol w:w="717"/>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ANSYS [ANSS]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DocuSign [DOCU]</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Samsara [IOT]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Cloudflare [NET]</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Dynatrace [DT]</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Snowflake [SNOW]</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Confluent [CFLT]</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Elastic N.V. [ESTC]</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Desk [TTD]</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Crowdstrike [CRWD]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HubSpot [HUBS]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Unity Software [U]</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Datadog [DDOG]</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Okta [OKTA]</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Zscaler [ZS]</w:t>
            </w:r>
          </w:p>
        </w:tc>
      </w:tr>
    </w:tbl>
    <w:p>
      <w:pPr>
        <w:pStyle w:val="TextBody"/>
        <w:bidi w:val="0"/>
        <w:spacing w:lineRule="auto" w:line="288" w:before="0" w:after="220"/>
        <w:ind w:left="0" w:right="0" w:firstLine="720"/>
        <w:jc w:val="both"/>
        <w:rPr/>
      </w:pPr>
      <w:r>
        <w:rPr>
          <w:rFonts w:ascii="Times New Roman;serif" w:hAnsi="Times New Roman;serif"/>
          <w:b w:val="false"/>
          <w:color w:val="000000"/>
          <w:sz w:val="20"/>
        </w:rPr>
        <w:t>As previewed in our proxy for fiscal year 2025, we removed Five9 due to its smaller market capitalization and removed New Relic as their compensation data became outdated following closure of its acquisition transaction. We added Samsara and Confluent given their comparable financial scales and relevant business dynamics. At the time of the compensation committee's approval of this peer group, relative to the companies in this peer group, MongoDB was at the 33rd percentile in terms of revenue and at the 40th percentile in terms of market capitalization.</w:t>
      </w:r>
      <w:r>
        <w:rPr>
          <w:color w:val="000000"/>
        </w:rPr>
        <w:t xml:space="preserve">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referred to compensation data from this peer group in the first quarter of fiscal year 2026 to assist with the determination of compensation for our directors and executive officers. In addition, the compensation committee used survey data from a 2024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reviews the compensation peer group at least annually to make adjustments to its composition if warranted, taking into account changes in both our business and the businesses of the companies in the peer group. In the third quarter of fiscal year 2026, the compensation committee made further adjustments to the peer group for purposes of fiscal year 2027 compensation determinations by removing Crowdstrike due to its larger market capitalization relative to MongoDB's, removing ANSYS as its compensation data became outdated following its acquisition transaction and adding Nutanix and Twilio given comparable financial scales and relevant business dynamics. At the time of the compensation committee's approval of this peer group, relative to the companies in this peer group, MongoDB was at the 39th percentile in terms of revenue and at the 41st percentile in terms of market 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Executive Compensation Program Components for FY2026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Named executive officer compensation awarded in the fiscal year ended January 31, 2026 consisted of the following components.</w:t>
      </w:r>
    </w:p>
    <w:tbl>
      <w:tblPr>
        <w:tblW w:w="10205" w:type="dxa"/>
        <w:jc w:val="left"/>
        <w:tblInd w:w="0" w:type="dxa"/>
        <w:tblLayout w:type="fixed"/>
        <w:tblCellMar>
          <w:top w:w="28" w:type="dxa"/>
          <w:left w:w="28" w:type="dxa"/>
          <w:bottom w:w="28" w:type="dxa"/>
          <w:right w:w="28" w:type="dxa"/>
        </w:tblCellMar>
      </w:tblPr>
      <w:tblGrid>
        <w:gridCol w:w="1044"/>
        <w:gridCol w:w="705"/>
        <w:gridCol w:w="644"/>
        <w:gridCol w:w="1158"/>
        <w:gridCol w:w="951"/>
        <w:gridCol w:w="953"/>
        <w:gridCol w:w="584"/>
        <w:gridCol w:w="584"/>
        <w:gridCol w:w="586"/>
        <w:gridCol w:w="872"/>
        <w:gridCol w:w="872"/>
        <w:gridCol w:w="1252"/>
      </w:tblGrid>
      <w:tr>
        <w:trPr/>
        <w:tc>
          <w:tcPr>
            <w:tcW w:w="104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0"/>
              </w:rPr>
              <w:t>Compensation Element</w:t>
            </w:r>
            <w:r>
              <w:rPr>
                <w:rFonts w:ascii="Times New Roman;serif" w:hAnsi="Times New Roman;serif"/>
                <w:b/>
                <w:color w:val="000000"/>
                <w:sz w:val="13"/>
              </w:rPr>
              <w:t>(1)</w:t>
            </w:r>
          </w:p>
        </w:tc>
        <w:tc>
          <w:tcPr>
            <w:tcW w:w="30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How Payout is Determined</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Performance Measures</w:t>
            </w:r>
          </w:p>
        </w:tc>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Purpose</w:t>
            </w:r>
          </w:p>
        </w:tc>
      </w:tr>
      <w:tr>
        <w:trPr/>
        <w:tc>
          <w:tcPr>
            <w:tcW w:w="2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 Salary</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Fixed</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Paid in cash</w:t>
            </w:r>
          </w:p>
        </w:tc>
        <w:tc>
          <w:tcPr>
            <w:tcW w:w="3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 determines salary; considers competitive market information, retention, performance, criticality of role and potential impact</w:t>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2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Provides compensation at a level consistent with competitive practices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Reflects role, responsibilities, skills, experience and performance</w:t>
            </w:r>
          </w:p>
        </w:tc>
      </w:tr>
      <w:tr>
        <w:trPr/>
        <w:tc>
          <w:tcPr>
            <w:tcW w:w="2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Performance-Based Bonus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Variable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Paid in cash or in equity pursuant to our Senior Leadership Equity Bonus Program</w:t>
            </w:r>
          </w:p>
        </w:tc>
        <w:tc>
          <w:tcPr>
            <w:tcW w:w="30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 determines executive bonus; considers performance against pre-established goals, with discretion to reduce executive bonus payout amounts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New ARR</w:t>
            </w:r>
            <w:r>
              <w:rPr>
                <w:rFonts w:ascii="Times New Roman;serif" w:hAnsi="Times New Roman;serif"/>
                <w:b w:val="false"/>
                <w:color w:val="000000"/>
                <w:sz w:val="13"/>
              </w:rPr>
              <w:t>(2)</w:t>
            </w:r>
            <w:r>
              <w:rPr>
                <w:rFonts w:ascii="Times New Roman;serif" w:hAnsi="Times New Roman;serif"/>
                <w:b w:val="false"/>
                <w:color w:val="000000"/>
                <w:sz w:val="20"/>
              </w:rPr>
              <w:t>, Non-GAAP Operating Income</w:t>
            </w:r>
            <w:r>
              <w:rPr>
                <w:rFonts w:ascii="Times New Roman;serif" w:hAnsi="Times New Roman;serif"/>
                <w:b w:val="false"/>
                <w:color w:val="000000"/>
                <w:sz w:val="13"/>
              </w:rPr>
              <w:t>(3)</w:t>
            </w:r>
            <w:r>
              <w:rPr>
                <w:rFonts w:ascii="Times New Roman;serif" w:hAnsi="Times New Roman;serif"/>
                <w:b w:val="false"/>
                <w:color w:val="000000"/>
                <w:sz w:val="20"/>
              </w:rPr>
              <w:t>, and Revenue</w:t>
            </w:r>
          </w:p>
        </w:tc>
        <w:tc>
          <w:tcPr>
            <w:tcW w:w="29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Motivates and rewards executives for achievement of annual goals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Aligns management and stockholder interests by linking pay to performance</w:t>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Equity Incentives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Variable</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i/>
                <w:color w:val="000000"/>
                <w:sz w:val="20"/>
              </w:rPr>
              <w:t>Paid in stock</w:t>
            </w:r>
          </w:p>
        </w:tc>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For RSUs: Compensation committee determines amounts and terms of RSU grants for executive officers</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For PSUs: Compensation committee determines amounts and considers performance against pre-established goals, with discretion to reduce executive bonus payout amounts</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 PSUs: ARR Growth</w:t>
            </w:r>
            <w:r>
              <w:rPr>
                <w:rFonts w:ascii="Times New Roman;serif" w:hAnsi="Times New Roman;serif"/>
                <w:b w:val="false"/>
                <w:color w:val="000000"/>
                <w:sz w:val="13"/>
              </w:rPr>
              <w:t xml:space="preserve">(4) </w:t>
            </w:r>
            <w:r>
              <w:rPr>
                <w:rFonts w:ascii="Times New Roman;serif" w:hAnsi="Times New Roman;serif"/>
                <w:b w:val="false"/>
                <w:color w:val="000000"/>
                <w:sz w:val="20"/>
              </w:rPr>
              <w:t>and Operating Cash Flow</w:t>
            </w:r>
            <w:r>
              <w:rPr>
                <w:rFonts w:ascii="Times New Roman;serif" w:hAnsi="Times New Roman;serif"/>
                <w:b w:val="false"/>
                <w:color w:val="000000"/>
                <w:sz w:val="13"/>
              </w:rPr>
              <w:t xml:space="preserve">(5) </w:t>
            </w:r>
          </w:p>
        </w:tc>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Serves a retention function</w:t>
            </w:r>
          </w:p>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Aligns management and stockholder interests by facilitating management ownership, linking pay to performance (for PSUs) and tying value of award at vesting to stock price at vesting</w:t>
            </w:r>
          </w:p>
        </w:tc>
      </w:tr>
    </w:tbl>
    <w:p>
      <w:pPr>
        <w:pStyle w:val="TextBody"/>
        <w:bidi w:val="0"/>
        <w:spacing w:lineRule="auto" w:line="288" w:before="0" w:after="120"/>
        <w:ind w:left="0" w:right="0" w:hanging="3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See section titled "Executive Compensation—Executive Leadership Transitions in Fiscal Year 2026" for non-standard award elements granted in connection with the appointment of our new named executive officers in fiscal year 2026.</w:t>
      </w:r>
    </w:p>
    <w:p>
      <w:pPr>
        <w:pStyle w:val="TextBody"/>
        <w:bidi w:val="0"/>
        <w:spacing w:lineRule="auto" w:line="288" w:before="0" w:after="120"/>
        <w:ind w:left="0" w:right="0" w:hanging="36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See definition of Net New ARR in the section titled "Executive Compensation—Annual Performance-Based Bonus Program".</w:t>
      </w:r>
    </w:p>
    <w:p>
      <w:pPr>
        <w:pStyle w:val="TextBody"/>
        <w:bidi w:val="0"/>
        <w:spacing w:lineRule="auto" w:line="288" w:before="0" w:after="120"/>
        <w:ind w:left="0" w:right="0" w:hanging="36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See definition of Non-GAAP Operating Income in the section titled "Executive Compensation—Annual Performance-Based Bonus Program".</w:t>
      </w:r>
    </w:p>
    <w:p>
      <w:pPr>
        <w:pStyle w:val="TextBody"/>
        <w:bidi w:val="0"/>
        <w:spacing w:lineRule="auto" w:line="288" w:before="0" w:after="120"/>
        <w:ind w:left="0" w:right="0" w:hanging="360"/>
        <w:jc w:val="left"/>
        <w:rPr/>
      </w:pPr>
      <w:r>
        <w:rPr>
          <w:rFonts w:ascii="Times New Roman;serif" w:hAnsi="Times New Roman;serif"/>
          <w:b w:val="false"/>
          <w:color w:val="000000"/>
          <w:sz w:val="10"/>
        </w:rPr>
        <w:t xml:space="preserve">(4) </w:t>
      </w:r>
      <w:r>
        <w:rPr>
          <w:color w:val="000000"/>
        </w:rPr>
        <w:t>    </w:t>
      </w:r>
      <w:r>
        <w:rPr>
          <w:rFonts w:ascii="Times New Roman;serif" w:hAnsi="Times New Roman;serif"/>
          <w:b w:val="false"/>
          <w:color w:val="000000"/>
          <w:sz w:val="16"/>
        </w:rPr>
        <w:t>See definition of ARR Growth in the section titled "Executive Compensation—Long-Term Equity Incentives—Performance Stock Units".</w:t>
      </w:r>
    </w:p>
    <w:p>
      <w:pPr>
        <w:pStyle w:val="TextBody"/>
        <w:bidi w:val="0"/>
        <w:spacing w:lineRule="auto" w:line="288" w:before="0" w:after="240"/>
        <w:ind w:left="0" w:right="0" w:hanging="360"/>
        <w:jc w:val="left"/>
        <w:rPr/>
      </w:pPr>
      <w:r>
        <w:rPr>
          <w:rFonts w:ascii="Times New Roman;serif" w:hAnsi="Times New Roman;serif"/>
          <w:b w:val="false"/>
          <w:color w:val="000000"/>
          <w:sz w:val="10"/>
        </w:rPr>
        <w:t xml:space="preserve">(5) </w:t>
      </w:r>
      <w:r>
        <w:rPr>
          <w:color w:val="000000"/>
        </w:rPr>
        <w:t>    </w:t>
      </w:r>
      <w:r>
        <w:rPr>
          <w:rFonts w:ascii="Times New Roman;serif" w:hAnsi="Times New Roman;serif"/>
          <w:b w:val="false"/>
          <w:color w:val="000000"/>
          <w:sz w:val="16"/>
        </w:rPr>
        <w:t>See definition of Operating Cash Flow in the section titled "Executive Compensation—Long-Term Equity Incentives—Performance Stock Units".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a position relative to the competitive market information. Base salaries are reviewed by our compensation committee annually and are adjusted from time-to-time as deemed appropriate.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fiscal year 2026, there were no adjustments to annual base salaries for any of our named executive officers. Set forth below are the base salaries for each of the named executive officers for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5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tbl>
      <w:tblPr>
        <w:tblW w:w="6014" w:type="dxa"/>
        <w:jc w:val="left"/>
        <w:tblInd w:w="0" w:type="dxa"/>
        <w:tblLayout w:type="fixed"/>
        <w:tblCellMar>
          <w:top w:w="28" w:type="dxa"/>
          <w:left w:w="28" w:type="dxa"/>
          <w:bottom w:w="28" w:type="dxa"/>
          <w:right w:w="28" w:type="dxa"/>
        </w:tblCellMar>
      </w:tblPr>
      <w:tblGrid>
        <w:gridCol w:w="815"/>
        <w:gridCol w:w="716"/>
        <w:gridCol w:w="719"/>
        <w:gridCol w:w="619"/>
        <w:gridCol w:w="619"/>
        <w:gridCol w:w="622"/>
        <w:gridCol w:w="557"/>
        <w:gridCol w:w="557"/>
        <w:gridCol w:w="790"/>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 Base Salary ($)</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Base Salary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500,000</w:t>
            </w:r>
            <w:r>
              <w:rPr>
                <w:rFonts w:ascii="Times New Roman;serif" w:hAnsi="Times New Roman;serif"/>
                <w:b w:val="false"/>
                <w:color w:val="000000"/>
                <w:sz w:val="13"/>
              </w:rPr>
              <w:t>(1)</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500,000</w:t>
            </w:r>
            <w:r>
              <w:rPr>
                <w:rFonts w:ascii="Times New Roman;serif" w:hAnsi="Times New Roman;serif"/>
                <w:b w:val="false"/>
                <w:color w:val="000000"/>
                <w:sz w:val="13"/>
              </w:rPr>
              <w:t>(2)</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350,000</w:t>
            </w:r>
            <w:r>
              <w:rPr>
                <w:rFonts w:ascii="Times New Roman;serif" w:hAnsi="Times New Roman;serif"/>
                <w:b w:val="false"/>
                <w:color w:val="000000"/>
                <w:sz w:val="13"/>
              </w:rPr>
              <w:t>(3)</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Srdjan Tanjga</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384,800</w:t>
            </w:r>
            <w:r>
              <w:rPr>
                <w:rFonts w:ascii="Times New Roman;serif" w:hAnsi="Times New Roman;serif"/>
                <w:b w:val="false"/>
                <w:color w:val="000000"/>
                <w:sz w:val="13"/>
              </w:rPr>
              <w:t>(4)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Cedric Pech</w:t>
            </w:r>
            <w:r>
              <w:rPr>
                <w:rFonts w:ascii="Times New Roman;serif" w:hAnsi="Times New Roman;serif"/>
                <w:b w:val="false"/>
                <w:color w:val="000000"/>
                <w:sz w:val="13"/>
              </w:rPr>
              <w:t>(5)</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302,500</w:t>
            </w:r>
            <w:r>
              <w:rPr>
                <w:rFonts w:ascii="Times New Roman;serif" w:hAnsi="Times New Roman;serif"/>
                <w:b w:val="false"/>
                <w:color w:val="000000"/>
                <w:sz w:val="13"/>
              </w:rPr>
              <w:t>(6)</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357,500</w:t>
            </w:r>
            <w:r>
              <w:rPr>
                <w:rFonts w:ascii="Times New Roman;serif" w:hAnsi="Times New Roman;serif"/>
                <w:b w:val="false"/>
                <w:color w:val="000000"/>
                <w:sz w:val="13"/>
              </w:rPr>
              <w:t>(7)</w:t>
            </w:r>
          </w:p>
        </w:tc>
      </w:tr>
    </w:tbl>
    <w:p>
      <w:pPr>
        <w:pStyle w:val="TextBody"/>
        <w:bidi w:val="0"/>
        <w:spacing w:lineRule="auto" w:line="288" w:before="10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Represents Mr. Desai's annualized base salary as of the date of his appointment as Chief Executive Officer effective November 10, 2025.</w:t>
      </w:r>
    </w:p>
    <w:p>
      <w:pPr>
        <w:pStyle w:val="TextBody"/>
        <w:bidi w:val="0"/>
        <w:spacing w:lineRule="auto" w:line="288" w:before="10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Represents Mr. Ittycheria's annualized base salary prior to his resignation as Chief Executive Officer effective November 9, 2025. Mr. Ittycheria remains employed as an advisor pursuant to his Advisory Agreement and, as such, he will receive an annual salary of $100,000. For additional information on this agreement, see the section below titled "Executive Compensation–Employment, Severance and Change in Control Agreements–Offer Letters and Employment Agreements."</w:t>
      </w:r>
    </w:p>
    <w:p>
      <w:pPr>
        <w:pStyle w:val="TextBody"/>
        <w:bidi w:val="0"/>
        <w:spacing w:lineRule="auto" w:line="288" w:before="10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Represents Mr. Berry's annualized base salary as of the date of his appointment as Chief Financial Officer effective May 27, 2025.</w:t>
      </w:r>
    </w:p>
    <w:p>
      <w:pPr>
        <w:pStyle w:val="TextBody"/>
        <w:bidi w:val="0"/>
        <w:spacing w:lineRule="auto" w:line="288" w:before="10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Represents Mr. Tanjga's annualized base salary during his tenure as Interim Chief Financial Officer from February 1, 2025 through May 8, 2025.</w:t>
      </w:r>
    </w:p>
    <w:p>
      <w:pPr>
        <w:pStyle w:val="TextBody"/>
        <w:bidi w:val="0"/>
        <w:spacing w:lineRule="auto" w:line="288" w:before="10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Effective April 15, 2026, Mr. Pech resigned from his position as President of Field Operations.</w:t>
      </w:r>
    </w:p>
    <w:p>
      <w:pPr>
        <w:pStyle w:val="TextBody"/>
        <w:bidi w:val="0"/>
        <w:spacing w:lineRule="auto" w:line="288" w:before="100" w:after="120"/>
        <w:ind w:left="0" w:right="0" w:hanging="360"/>
        <w:jc w:val="both"/>
        <w:rPr/>
      </w:pPr>
      <w:r>
        <w:rPr>
          <w:rFonts w:ascii="Times New Roman;serif" w:hAnsi="Times New Roman;serif"/>
          <w:b w:val="false"/>
          <w:color w:val="000000"/>
          <w:sz w:val="10"/>
        </w:rPr>
        <w:t>(6)</w:t>
      </w:r>
      <w:r>
        <w:rPr>
          <w:color w:val="000000"/>
        </w:rPr>
        <w:t>    </w:t>
      </w:r>
      <w:r>
        <w:rPr>
          <w:rFonts w:ascii="Times New Roman;serif" w:hAnsi="Times New Roman;serif"/>
          <w:b w:val="false"/>
          <w:color w:val="000000"/>
          <w:sz w:val="16"/>
        </w:rPr>
        <w:t>Mr. Pech's base salary is paid in Swiss Francs (CHF) and, for purposes of this table, is converted into U.S. dollars based on the exchange rate as of January 31, 2025 of 1.10 CHF to the U.S. Dollar.</w:t>
      </w:r>
    </w:p>
    <w:p>
      <w:pPr>
        <w:pStyle w:val="TextBody"/>
        <w:bidi w:val="0"/>
        <w:spacing w:lineRule="auto" w:line="288" w:before="100" w:after="120"/>
        <w:ind w:left="0" w:right="0" w:hanging="360"/>
        <w:jc w:val="both"/>
        <w:rPr/>
      </w:pPr>
      <w:r>
        <w:rPr>
          <w:rFonts w:ascii="Times New Roman;serif" w:hAnsi="Times New Roman;serif"/>
          <w:b w:val="false"/>
          <w:color w:val="000000"/>
          <w:sz w:val="10"/>
        </w:rPr>
        <w:t>(7)</w:t>
      </w:r>
      <w:r>
        <w:rPr>
          <w:color w:val="000000"/>
        </w:rPr>
        <w:t>    </w:t>
      </w:r>
      <w:r>
        <w:rPr>
          <w:rFonts w:ascii="Times New Roman;serif" w:hAnsi="Times New Roman;serif"/>
          <w:b w:val="false"/>
          <w:color w:val="000000"/>
          <w:sz w:val="16"/>
        </w:rPr>
        <w:t>Mr. Pech’s base salary is paid in Swiss Francs (CHF) and, for the purposes of the table, is converted into U.S. dollars based on the exchange rate as of January 31, 2026 of 1.30 CHF to the U.S. dollar.</w:t>
      </w:r>
    </w:p>
    <w:p>
      <w:pPr>
        <w:pStyle w:val="TextBody"/>
        <w:bidi w:val="0"/>
        <w:spacing w:lineRule="auto" w:line="288" w:before="0" w:after="2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actual base salary amounts paid to our named executive officers for fiscal year 2026 are set forth in the “Summary Compensation Table” below.</w:t>
      </w:r>
    </w:p>
    <w:p>
      <w:pPr>
        <w:pStyle w:val="TextBody"/>
        <w:bidi w:val="0"/>
        <w:spacing w:lineRule="auto" w:line="288" w:before="0" w:after="220"/>
        <w:jc w:val="left"/>
        <w:rPr>
          <w:rFonts w:ascii="Times New Roman;serif" w:hAnsi="Times New Roman;serif"/>
          <w:b/>
          <w:color w:val="000000"/>
          <w:sz w:val="20"/>
        </w:rPr>
      </w:pPr>
      <w:r>
        <w:rPr>
          <w:rFonts w:ascii="Times New Roman;serif" w:hAnsi="Times New Roman;serif"/>
          <w:b/>
          <w:color w:val="000000"/>
          <w:sz w:val="20"/>
        </w:rPr>
        <w:t>Annual Performance-Based Bonus Program</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is paid out in cash.</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interim nature of Mr. Tanjga's appointment, Mr. Tanjga was enrolled in our Management by Objectives Plan ("MBO Plan"), which we offer to eligible employees, and not in our annual performance-based bonus program for named executive officers.</w:t>
      </w:r>
    </w:p>
    <w:p>
      <w:pPr>
        <w:pStyle w:val="TextBody"/>
        <w:bidi w:val="0"/>
        <w:spacing w:lineRule="auto" w:line="288" w:before="0" w:after="220"/>
        <w:ind w:left="0" w:right="0" w:firstLine="720"/>
        <w:jc w:val="both"/>
        <w:rPr/>
      </w:pPr>
      <w:r>
        <w:rPr>
          <w:rFonts w:ascii="Times New Roman;serif" w:hAnsi="Times New Roman;serif"/>
          <w:b/>
          <w:i/>
          <w:color w:val="000000"/>
          <w:sz w:val="20"/>
        </w:rPr>
        <w:t>Target Award Opportunities</w:t>
      </w:r>
      <w:r>
        <w:rPr>
          <w:rFonts w:ascii="Times New Roman;serif" w:hAnsi="Times New Roman;serif"/>
          <w:b w:val="false"/>
          <w:color w:val="000000"/>
          <w:sz w:val="20"/>
        </w:rPr>
        <w:t>. In fiscal year 2026, there were no adjustments to target bonus opportunities for any of our named executive officers. The target annual performance-based bonus award opportunities for Messrs. Ittycheria, Tanjga and Pech were determined by the compensation committee in the first quarter of fiscal year 2026, and at hire for Messrs. Desai and Berry, and are expressed as a percentage of their annual base salary, as follows:</w:t>
      </w:r>
    </w:p>
    <w:tbl>
      <w:tblPr>
        <w:tblW w:w="9075" w:type="dxa"/>
        <w:jc w:val="left"/>
        <w:tblInd w:w="0" w:type="dxa"/>
        <w:tblLayout w:type="fixed"/>
        <w:tblCellMar>
          <w:top w:w="28" w:type="dxa"/>
          <w:left w:w="28" w:type="dxa"/>
          <w:bottom w:w="28" w:type="dxa"/>
          <w:right w:w="28" w:type="dxa"/>
        </w:tblCellMar>
      </w:tblPr>
      <w:tblGrid>
        <w:gridCol w:w="815"/>
        <w:gridCol w:w="716"/>
        <w:gridCol w:w="719"/>
        <w:gridCol w:w="1144"/>
        <w:gridCol w:w="1144"/>
        <w:gridCol w:w="1147"/>
        <w:gridCol w:w="991"/>
        <w:gridCol w:w="991"/>
        <w:gridCol w:w="140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FY2026 Target Bonus Opportunity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FY2026 Target Bonus Opportunity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286,848</w:t>
            </w:r>
            <w:r>
              <w:rPr>
                <w:rFonts w:ascii="Times New Roman;serif" w:hAnsi="Times New Roman;serif"/>
                <w:b w:val="false"/>
                <w:color w:val="000000"/>
                <w:sz w:val="13"/>
              </w:rPr>
              <w:t>(1)</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227,500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(2)</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115,440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Cedric Pech</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500,500</w:t>
            </w:r>
            <w:r>
              <w:rPr>
                <w:rFonts w:ascii="Times New Roman;serif" w:hAnsi="Times New Roman;serif"/>
                <w:b w:val="false"/>
                <w:color w:val="000000"/>
                <w:sz w:val="13"/>
              </w:rPr>
              <w:t>(3)</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 xml:space="preserve">Represents a prorated target bonus opportunity amount, reflecting Mr. Ittycheria's salary change effective November 10, 2025. For additional information about this salary change, see the section below titled "Executive Compensation–Employment, Severance and Change in Control Agreements–Offer Letters and Employment Agreements." </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Represents Mr. Tanjga's bonus opportunities pursuant to our MBO Plan.</w:t>
      </w:r>
    </w:p>
    <w:p>
      <w:pPr>
        <w:pStyle w:val="TextBody"/>
        <w:bidi w:val="0"/>
        <w:spacing w:lineRule="auto" w:line="288" w:before="0" w:after="2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Mr. Pech’s bonus is paid in Swiss Francs (CHF) and, for the purposes of the table, is converted into U.S. dollars based on the exchange rate as of January 31, 2026 of 1.30 CHF to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5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firstLine="720"/>
        <w:jc w:val="both"/>
        <w:rPr/>
      </w:pPr>
      <w:r>
        <w:rPr>
          <w:rFonts w:ascii="Times New Roman;serif" w:hAnsi="Times New Roman;serif"/>
          <w:b/>
          <w:i/>
          <w:color w:val="000000"/>
          <w:sz w:val="20"/>
        </w:rPr>
        <w:t>Executive Bonus Goal Setting</w:t>
      </w:r>
      <w:r>
        <w:rPr>
          <w:rFonts w:ascii="Times New Roman;serif" w:hAnsi="Times New Roman;serif"/>
          <w:b w:val="false"/>
          <w:color w:val="000000"/>
          <w:sz w:val="20"/>
        </w:rPr>
        <w:t xml:space="preserve">. The compensation committee approved the performance metrics and their relative weighting for fiscal year 2026 performance-based bonus awards in the first quarter of fiscal year 2026. The targets against which performance is measured are generated through our annual budget and strategic planning process, which was reviewed with our board of directors and finalized in the first quarter of fiscal year 2026. For fiscal year 2026, the compensation committee again determined that the performance goals for our named executive officers would be comprised entirely of corporate performance goals. The compensation committee believes that these goals represent rigorous objectives for our named executive officers and align with stockholder interests.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diagram below illustrates the mechanics of our annual performance-based bonus program. </w:t>
      </w:r>
    </w:p>
    <w:p>
      <w:pPr>
        <w:pStyle w:val="TextBody"/>
        <w:bidi w:val="0"/>
        <w:spacing w:before="0" w:after="120"/>
        <w:jc w:val="both"/>
        <w:rPr/>
      </w:pPr>
      <w:r>
        <w:rPr/>
        <w:drawing>
          <wp:inline distT="0" distB="0" distL="0" distR="0">
            <wp:extent cx="6400800" cy="1047750"/>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12"/>
                    <a:stretch>
                      <a:fillRect/>
                    </a:stretch>
                  </pic:blipFill>
                  <pic:spPr bwMode="auto">
                    <a:xfrm>
                      <a:off x="0" y="0"/>
                      <a:ext cx="6400800" cy="1047750"/>
                    </a:xfrm>
                    <a:prstGeom prst="rect">
                      <a:avLst/>
                    </a:prstGeom>
                  </pic:spPr>
                </pic:pic>
              </a:graphicData>
            </a:graphic>
          </wp:inline>
        </w:drawing>
      </w:r>
      <w:bookmarkStart w:id="10" w:name="i-11"/>
      <w:bookmarkEnd w:id="10"/>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Unlike our annual performance-based program for named executive officers, our MBO Plan bases annual bonuses on both the company's overall performance and the individual's performance. The MBO Plan uses the same performance goals, weighting, and similar performance accelerators and decelerators as our annual performance-based program. Mr. Tanjga's bonus would have been based on the overall company goal attainment, as described in this section, weighted at 75%, and his individual performance as set by his manager, weighted at 25%. Mr. Tanjga's maximum potential payout is (i) 120% of target with respect to his corporate performance (ii) and 130% of target for his individual performance goal.</w:t>
      </w:r>
    </w:p>
    <w:p>
      <w:pPr>
        <w:pStyle w:val="TextBody"/>
        <w:bidi w:val="0"/>
        <w:spacing w:lineRule="auto" w:line="288" w:before="22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executive bonus program, no bonus is payable under a particular performance goal if achievement falls below the performance thresholds indicated below. If, however, Net New ARR, Non-GAAP Operating Income or Revenue is achieved at or above the threshold value or percentage indicated below, the payout with respect to those measures is between 40% and 200% of the target bonus.</w:t>
      </w:r>
    </w:p>
    <w:p>
      <w:pPr>
        <w:pStyle w:val="TextBody"/>
        <w:bidi w:val="0"/>
        <w:spacing w:lineRule="auto" w:line="288" w:before="22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fiscal year 2027, the compensation committee determined that our company's financial performance was equal to 117%, 198% and 104% of Net New ARR, Non-GAAP Operating Income and Revenue targets for fiscal year 2026, respectively. As a result, the weighted payout for fiscal year 2026 applicable to our named executive officers was equal to 146.34% of target. </w:t>
      </w:r>
    </w:p>
    <w:tbl>
      <w:tblPr>
        <w:tblW w:w="10205" w:type="dxa"/>
        <w:jc w:val="left"/>
        <w:tblInd w:w="0" w:type="dxa"/>
        <w:tblLayout w:type="fixed"/>
        <w:tblCellMar>
          <w:top w:w="28" w:type="dxa"/>
          <w:left w:w="28" w:type="dxa"/>
          <w:bottom w:w="28" w:type="dxa"/>
          <w:right w:w="28" w:type="dxa"/>
        </w:tblCellMar>
      </w:tblPr>
      <w:tblGrid>
        <w:gridCol w:w="504"/>
        <w:gridCol w:w="443"/>
        <w:gridCol w:w="444"/>
        <w:gridCol w:w="330"/>
        <w:gridCol w:w="330"/>
        <w:gridCol w:w="331"/>
        <w:gridCol w:w="516"/>
        <w:gridCol w:w="516"/>
        <w:gridCol w:w="517"/>
        <w:gridCol w:w="492"/>
        <w:gridCol w:w="492"/>
        <w:gridCol w:w="493"/>
        <w:gridCol w:w="503"/>
        <w:gridCol w:w="503"/>
        <w:gridCol w:w="504"/>
        <w:gridCol w:w="442"/>
        <w:gridCol w:w="442"/>
        <w:gridCol w:w="444"/>
        <w:gridCol w:w="347"/>
        <w:gridCol w:w="347"/>
        <w:gridCol w:w="348"/>
        <w:gridCol w:w="265"/>
        <w:gridCol w:w="265"/>
        <w:gridCol w:w="387"/>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Performance Goal</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Threshold Performance (40%-70% Payout</w:t>
            </w:r>
            <w:r>
              <w:rPr>
                <w:rFonts w:ascii="Times New Roman;serif" w:hAnsi="Times New Roman;serif"/>
                <w:b/>
                <w:color w:val="000000"/>
                <w:sz w:val="13"/>
              </w:rPr>
              <w:t>(1)</w:t>
            </w:r>
            <w:r>
              <w:rPr>
                <w:rFonts w:ascii="Times New Roman;serif" w:hAnsi="Times New Roman;serif"/>
                <w:b/>
                <w:color w:val="000000"/>
                <w:sz w:val="20"/>
              </w:rPr>
              <w:t>) ($)</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Target Performance (100% Payout) ($)</w:t>
            </w:r>
            <w:r>
              <w:rPr>
                <w:rFonts w:ascii="Times New Roman;serif" w:hAnsi="Times New Roman;serif"/>
                <w:b/>
                <w:color w:val="000000"/>
                <w:sz w:val="13"/>
              </w:rPr>
              <w:t>(2)</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Performance (200% Payout) ($)</w:t>
            </w:r>
            <w:r>
              <w:rPr>
                <w:rFonts w:ascii="Times New Roman;serif" w:hAnsi="Times New Roman;serif"/>
                <w:b/>
                <w:color w:val="000000"/>
                <w:sz w:val="13"/>
              </w:rPr>
              <w:t>(2)</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Actual Performance ($)</w:t>
            </w:r>
            <w:r>
              <w:rPr>
                <w:rFonts w:ascii="Times New Roman;serif" w:hAnsi="Times New Roman;serif"/>
                <w:b/>
                <w:color w:val="000000"/>
                <w:sz w:val="13"/>
              </w:rPr>
              <w:t>(2)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 Impact (%)</w:t>
            </w:r>
            <w:r>
              <w:rPr>
                <w:rFonts w:ascii="Times New Roman;serif" w:hAnsi="Times New Roman;serif"/>
                <w:b/>
                <w:color w:val="000000"/>
                <w:sz w:val="13"/>
              </w:rPr>
              <w:t>(3)</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Payout Percent (%)</w:t>
            </w:r>
          </w:p>
        </w:tc>
      </w:tr>
      <w:tr>
        <w:trPr/>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New ARR</w:t>
            </w:r>
            <w:r>
              <w:rPr>
                <w:rFonts w:ascii="Times New Roman;serif" w:hAnsi="Times New Roman;serif"/>
                <w:b w:val="false"/>
                <w:color w:val="000000"/>
                <w:sz w:val="13"/>
              </w:rPr>
              <w:t>(4)</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334</w:t>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446</w:t>
            </w:r>
          </w:p>
        </w:tc>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609</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520</w:t>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48.87</w:t>
            </w:r>
          </w:p>
        </w:tc>
        <w:tc>
          <w:tcPr>
            <w:tcW w:w="9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146.34</w:t>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Income</w:t>
            </w:r>
            <w:r>
              <w:rPr>
                <w:rFonts w:ascii="Times New Roman;serif" w:hAnsi="Times New Roman;serif"/>
                <w:b w:val="false"/>
                <w:color w:val="000000"/>
                <w:sz w:val="13"/>
              </w:rPr>
              <w:t>(5)</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456</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c>
          <w:tcPr>
            <w:tcW w:w="9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2,063</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2,380</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3,253</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2,464</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37.47</w:t>
            </w:r>
          </w:p>
        </w:tc>
        <w:tc>
          <w:tcPr>
            <w:tcW w:w="9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TextBody"/>
        <w:bidi w:val="0"/>
        <w:spacing w:lineRule="auto" w:line="288" w:before="4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shd w:fill="FFFFFF" w:val="clear"/>
        </w:rPr>
        <w:t>Threshold payout for Net New ARR, Non-GAAP Operating Income, and Revenue was 40%, 50% and 70%, respectively. Amounts are in $MM.</w:t>
      </w:r>
    </w:p>
    <w:p>
      <w:pPr>
        <w:pStyle w:val="TextBody"/>
        <w:bidi w:val="0"/>
        <w:spacing w:lineRule="auto" w:line="288" w:before="4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shd w:fill="FFFFFF" w:val="clear"/>
        </w:rPr>
        <w:t>Amounts are in $MM.</w:t>
      </w:r>
    </w:p>
    <w:p>
      <w:pPr>
        <w:pStyle w:val="TextBody"/>
        <w:bidi w:val="0"/>
        <w:spacing w:lineRule="auto" w:line="288" w:before="4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shd w:fill="FFFFFF" w:val="clear"/>
        </w:rPr>
        <w:t xml:space="preserve">For purposes of calculating the bonus payout amount, </w:t>
      </w:r>
      <w:r>
        <w:rPr>
          <w:rFonts w:ascii="Times New Roman;serif" w:hAnsi="Times New Roman;serif"/>
          <w:b w:val="false"/>
          <w:color w:val="000000"/>
          <w:sz w:val="16"/>
        </w:rPr>
        <w:t xml:space="preserve">when the executive’s attainment exceeds the target performance, accelerators are triggered in order to reward the higher-than-expected performance, while decelerators are applied if the actual results are lower than the performance target. Potential payout is capped at 200% and ranges between </w:t>
      </w:r>
      <w:r>
        <w:rPr>
          <w:rFonts w:ascii="Times New Roman;serif" w:hAnsi="Times New Roman;serif"/>
          <w:b w:val="false"/>
          <w:color w:val="000000"/>
          <w:sz w:val="16"/>
          <w:shd w:fill="FFFFFF" w:val="clear"/>
        </w:rPr>
        <w:t>0-200% of the executive’s target bonus opportunity</w:t>
      </w:r>
      <w:r>
        <w:rPr>
          <w:color w:val="000000"/>
        </w:rPr>
        <w:t xml:space="preserve"> </w:t>
      </w:r>
      <w:r>
        <w:rPr>
          <w:rFonts w:ascii="Times New Roman;serif" w:hAnsi="Times New Roman;serif"/>
          <w:b w:val="false"/>
          <w:color w:val="000000"/>
          <w:sz w:val="16"/>
          <w:shd w:fill="FFFFFF" w:val="clear"/>
        </w:rPr>
        <w:t xml:space="preserve">(after applying the decelerator/accelerator factor). </w:t>
      </w:r>
      <w:r>
        <w:rPr>
          <w:rFonts w:ascii="Times New Roman;serif" w:hAnsi="Times New Roman;serif"/>
          <w:b w:val="false"/>
          <w:color w:val="000000"/>
          <w:sz w:val="16"/>
        </w:rPr>
        <w:t>Actual payouts for fiscal year 2026 are included in this section under the heading "FY2026 Bonus Payouts".</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Net New ARR is defined as the net change of annualized recurring revenue ("ARR") over a given time period. ARR includes the revenue we expect to receive from our customers over the following 12 months based on contractual commitments and, in the case of customers to whom MongoDB Atlas was sold, through our direct sales force and channel partners, by annualizing the prior 90 days of their actual consumption of MongoDB Atlas, assuming no increases or reductions in their subscriptions or usage. ARR excludes professional services.</w:t>
      </w:r>
    </w:p>
    <w:p>
      <w:pPr>
        <w:pStyle w:val="TextBody"/>
        <w:bidi w:val="0"/>
        <w:spacing w:lineRule="auto" w:line="288" w:before="0" w:after="24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Non-GAAP income from operations ("Non-GAAP Operating Income") is defined as GAAP operating income adjusted for stock-based compensation expense and amortization of intangible assets and post-combination compensation expense associated with prior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i/>
          <w:color w:val="000000"/>
          <w:sz w:val="20"/>
        </w:rPr>
        <w:t>FY2026 Bonus Payouts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For our named executive officers, the compensation committee generally considers 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w:t>
      </w:r>
      <w:r>
        <w:rPr>
          <w:rFonts w:ascii="Times New Roman;serif" w:hAnsi="Times New Roman;serif"/>
          <w:b w:val="false"/>
          <w:color w:val="000000"/>
          <w:sz w:val="20"/>
          <w:shd w:fill="FFFFFF" w:val="clear"/>
        </w:rPr>
        <w:t xml:space="preserve">Conversely, in the event </w:t>
      </w:r>
      <w:r>
        <w:rPr>
          <w:rFonts w:ascii="Times New Roman;serif" w:hAnsi="Times New Roman;serif"/>
          <w:b w:val="false"/>
          <w:color w:val="000000"/>
          <w:sz w:val="20"/>
        </w:rPr>
        <w:t xml:space="preserve">the amounts determined and paid for the first half of the fiscal year </w:t>
      </w:r>
      <w:r>
        <w:rPr>
          <w:rFonts w:ascii="Times New Roman;serif" w:hAnsi="Times New Roman;serif"/>
          <w:b w:val="false"/>
          <w:color w:val="000000"/>
          <w:sz w:val="20"/>
          <w:shd w:fill="FFFFFF" w:val="clear"/>
        </w:rPr>
        <w:t xml:space="preserve">are subsequently determined to be higher than the amounts earned based on full year performance, such excess amounts may be deducted from the year-end payouts at the compensation committee’s discretion.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compensation committee reviewed proposed payouts for the first half of fiscal year 2026 for our named executive officers and concluded that while achievement of the corporate performance goals for the first half of fiscal year 2026 was determined to be 121.58% of target, it was prudent to provide payouts for the first half of fiscal year 2026 at 100% and true up, as necessary, at the end of fiscal year 2026. In February 2026, achievement of the corporate performance goals for fiscal year 2026 for these named executive officers was determined to be 136.5% of target, which, due to accelerators, resulted in a 146.34% payout. The compensation committee reviewed and approved the bonus payments to these executives for fiscal year 2026, as set forth in the table below. </w:t>
      </w:r>
    </w:p>
    <w:tbl>
      <w:tblPr>
        <w:tblW w:w="10205" w:type="dxa"/>
        <w:jc w:val="left"/>
        <w:tblInd w:w="0" w:type="dxa"/>
        <w:tblLayout w:type="fixed"/>
        <w:tblCellMar>
          <w:top w:w="28" w:type="dxa"/>
          <w:left w:w="28" w:type="dxa"/>
          <w:bottom w:w="28" w:type="dxa"/>
          <w:right w:w="28" w:type="dxa"/>
        </w:tblCellMar>
      </w:tblPr>
      <w:tblGrid>
        <w:gridCol w:w="521"/>
        <w:gridCol w:w="457"/>
        <w:gridCol w:w="459"/>
        <w:gridCol w:w="666"/>
        <w:gridCol w:w="666"/>
        <w:gridCol w:w="668"/>
        <w:gridCol w:w="621"/>
        <w:gridCol w:w="621"/>
        <w:gridCol w:w="623"/>
        <w:gridCol w:w="703"/>
        <w:gridCol w:w="703"/>
        <w:gridCol w:w="704"/>
        <w:gridCol w:w="527"/>
        <w:gridCol w:w="470"/>
        <w:gridCol w:w="472"/>
        <w:gridCol w:w="384"/>
        <w:gridCol w:w="384"/>
        <w:gridCol w:w="556"/>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Named Executive Officer</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FY2026 Target Bonus Opportunity (%)</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FY2026 Target Bonus Opportunity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FY2026 Bonus – Corporate Performance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Achievement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Annual Bonus Earned</w:t>
              <w:br/>
              <w:t>($)</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Actual Annual Bonus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 % of Target Bonus)</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114,133</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32.61</w:t>
            </w:r>
            <w:r>
              <w:rPr>
                <w:rFonts w:ascii="Times New Roman;serif" w:hAnsi="Times New Roman;serif"/>
                <w:b w:val="false"/>
                <w:color w:val="000000"/>
                <w:sz w:val="13"/>
              </w:rPr>
              <w:t>(1)</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286,848</w:t>
            </w:r>
            <w:r>
              <w:rPr>
                <w:rFonts w:ascii="Times New Roman;serif" w:hAnsi="Times New Roman;serif"/>
                <w:b w:val="false"/>
                <w:color w:val="000000"/>
                <w:sz w:val="13"/>
              </w:rPr>
              <w:t>(2)</w:t>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419,787</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227,500</w:t>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226,581</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99.60</w:t>
            </w:r>
            <w:r>
              <w:rPr>
                <w:rFonts w:ascii="Times New Roman;serif" w:hAnsi="Times New Roman;serif"/>
                <w:b w:val="false"/>
                <w:color w:val="000000"/>
                <w:sz w:val="13"/>
              </w:rPr>
              <w:t>(3)</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(4)</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115,440</w:t>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114.77</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Cedric Pech</w:t>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500,500</w:t>
            </w:r>
            <w:r>
              <w:rPr>
                <w:rFonts w:ascii="Times New Roman;serif" w:hAnsi="Times New Roman;serif"/>
                <w:b w:val="false"/>
                <w:color w:val="000000"/>
                <w:sz w:val="13"/>
              </w:rPr>
              <w:t>(2)</w:t>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732,456</w:t>
            </w:r>
            <w:r>
              <w:rPr>
                <w:rFonts w:ascii="Times New Roman;serif" w:hAnsi="Times New Roman;serif"/>
                <w:b w:val="false"/>
                <w:color w:val="000000"/>
                <w:sz w:val="13"/>
              </w:rPr>
              <w:t>(5)</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146.34</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Mr. Desai's actual annual bonus was prorated from 146.34% to 32.61% of his target bonus based on his time in his role during the performance period (November 10, 2025 through January 31, 2026) during the fiscal year 2026 performance period ending on January 31,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 xml:space="preserve">As described above in the section above titled "Executive Compensation–Executive Compensation Program Components for FY2026–Annual Performance-Based Bonus Program–Target Award Opportunities", this reflects a prorated target bonus opportunity amount. Mr. Ittycheria was paid in performance stock units in lieu of cash, pursuant to the Senior Leadership Equity Bonus Program described below. </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Mr. Berry's actual bonus was prorated from 146.34% to 99.60% of his target bonus based on his time in his role during the performance period (May 27, 2025 through January 31, 2026) during the fiscal year 2026 performance period ending on January 31,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Mr. Tanjga resigned effective May 8, 2025 and thus was ineligible for the August 2025 and February 2026 bonus payout dates. Because Mr. Tanjga participated in our MBO plan during his service as Interim Chief Financial Officer from February 1, 2025 until his resignation, rather than in our executive bonus plan, his corporate performance achievement percentage reflects the distinct metrics and weightings applicable under the MBO Plan, as described above in the section titled "Executive Compensation—Executive Compensation Program Components for FY2026—Annual Performance-Based Bonus Program—Target Award Opportunities".</w:t>
      </w:r>
    </w:p>
    <w:p>
      <w:pPr>
        <w:pStyle w:val="TextBody"/>
        <w:bidi w:val="0"/>
        <w:spacing w:lineRule="auto" w:line="288" w:before="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 xml:space="preserve">Mr. Pech’s cash bonus is set and paid in Swiss Francs (CHF) and, for the purposes of the table, is converted into U.S. dollars based on the exchange rate as of January 31, 2026 of 1.30 CHF to the U.S. dollar. </w:t>
      </w:r>
    </w:p>
    <w:p>
      <w:pPr>
        <w:pStyle w:val="TextBody"/>
        <w:bidi w:val="0"/>
        <w:spacing w:lineRule="auto" w:line="288" w:before="0" w:after="240"/>
        <w:ind w:left="0" w:right="0" w:firstLine="720"/>
        <w:jc w:val="both"/>
        <w:rPr/>
      </w:pPr>
      <w:r>
        <w:rPr>
          <w:rFonts w:ascii="Times New Roman;serif" w:hAnsi="Times New Roman;serif"/>
          <w:b/>
          <w:i/>
          <w:color w:val="000000"/>
          <w:sz w:val="20"/>
        </w:rPr>
        <w:t>Senior Leadership Equity Bonus Program.</w:t>
      </w:r>
      <w:r>
        <w:rPr>
          <w:color w:val="000000"/>
        </w:rPr>
        <w:t xml:space="preserve"> </w:t>
      </w:r>
      <w:r>
        <w:rPr>
          <w:rFonts w:ascii="Times New Roman;serif" w:hAnsi="Times New Roman;serif"/>
          <w:b w:val="false"/>
          <w:color w:val="000000"/>
          <w:sz w:val="20"/>
        </w:rPr>
        <w:t>Under the Senior Leadership Equity Bonus Program, certain senior executives, including our named executive officers, could elect, at the beginning of the fiscal year, to have their target performance-based bonus award structured as a stock-settled award (the “bonus stock award”) in the form described below, rather than being paid in cash. Under the terms of the program, senior executives who elect to receive their target annual incentive award as a bonus stock award will receive a performance stock unit award that vests in two installments following the determinations of the award's achievement of performance for the first half and second half of the fiscal year. The target grant date value of the bonus stock awards received by participants in the program is equal to 100% of the target cash bonus exchanged, without premium, calculated based on the closing price of our common stock on a date shortly prior to the grant date. The bonus stock awards for fiscal year 2026 were granted on March 15,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year 2027, our compensation committee determined to discontinue the program effective fiscal year 2027; therefore, no further grants under this program shall be made going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Ittycheria and Mr. Tanjga elected to participate in the program with respect to their fiscal year 2026 bonus awards; however, Mr. Tanjga left before any of his shares vested and therefore forfeited his award.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the details of the bonus stock awards issued to Mr. Ittycheria and Mr. Tanjga pursuant to the program.</w:t>
      </w:r>
    </w:p>
    <w:tbl>
      <w:tblPr>
        <w:tblW w:w="10205" w:type="dxa"/>
        <w:jc w:val="left"/>
        <w:tblInd w:w="0" w:type="dxa"/>
        <w:tblLayout w:type="fixed"/>
        <w:tblCellMar>
          <w:top w:w="28" w:type="dxa"/>
          <w:left w:w="28" w:type="dxa"/>
          <w:bottom w:w="28" w:type="dxa"/>
          <w:right w:w="28" w:type="dxa"/>
        </w:tblCellMar>
      </w:tblPr>
      <w:tblGrid>
        <w:gridCol w:w="527"/>
        <w:gridCol w:w="463"/>
        <w:gridCol w:w="465"/>
        <w:gridCol w:w="670"/>
        <w:gridCol w:w="670"/>
        <w:gridCol w:w="672"/>
        <w:gridCol w:w="1203"/>
        <w:gridCol w:w="1203"/>
        <w:gridCol w:w="1208"/>
        <w:gridCol w:w="912"/>
        <w:gridCol w:w="912"/>
        <w:gridCol w:w="130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Named Executive Officer</w:t>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FY2026 Target Bonus Opportunity ($) </w:t>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Target Number of Shares Granted Under FY2026 Bonus Stock Awards in Lieu of Cash Bonus</w:t>
            </w:r>
            <w:r>
              <w:rPr>
                <w:rFonts w:ascii="Times New Roman;serif" w:hAnsi="Times New Roman;serif"/>
                <w:b/>
                <w:color w:val="000000"/>
                <w:sz w:val="13"/>
              </w:rPr>
              <w:t>(1)</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Shares Earned under Bonus Stock Awards in Lieu of Cash Payout</w:t>
            </w:r>
            <w:r>
              <w:rPr>
                <w:rFonts w:ascii="Times New Roman;serif" w:hAnsi="Times New Roman;serif"/>
                <w:b/>
                <w:color w:val="000000"/>
                <w:sz w:val="13"/>
              </w:rPr>
              <w:t>(2)</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 Ittycheria</w:t>
            </w:r>
            <w:r>
              <w:rPr>
                <w:rFonts w:ascii="Times New Roman;serif" w:hAnsi="Times New Roman;serif"/>
                <w:b w:val="false"/>
                <w:color w:val="000000"/>
                <w:sz w:val="13"/>
              </w:rPr>
              <w:t>(3)</w:t>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286,848</w:t>
            </w:r>
          </w:p>
        </w:tc>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w:t>
            </w:r>
          </w:p>
        </w:tc>
        <w:tc>
          <w:tcPr>
            <w:tcW w:w="3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(4)</w:t>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115,440</w:t>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589</w:t>
            </w:r>
          </w:p>
        </w:tc>
        <w:tc>
          <w:tcPr>
            <w:tcW w:w="3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target number of performance stock units to be awarded was determined by dividing the named executive officer's target bonus opportunity by $196.12, the closing stock price as of March 12, 2025. The value shown here may differ from the grant date fair value shown in the applicable compensation tables because of the accounting methodology required in those tables in accordance with Financial Accounting Standards Board ("FASB") Accounting Standards Codification ("ASC") Topic 718.</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 xml:space="preserve">Consistent with the cash bonus program, the executive may vest in up to 200% of the target number of shares underlying the bonus stock award, including the effect of the accelerators. For Mr. Ittycheria, 2,141 shares underlying the bonus stock award vested for fiscal year 2026. </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 xml:space="preserve">For Mr. Ittycheria, our compensation committee originally approved a target bonus amount of $350,000 and a corresponding target number of shares of 1,785; however these figures were prorated to reflect Mr. Ittycheria's salary change effective November 10, 2025. For additional information about Mr. Ittycheria's salary change, see the section below titled "Executive Compensation–Employment, Severance and Change in Control Agreements–Offer Letters and Employment Agreements." </w:t>
      </w:r>
    </w:p>
    <w:p>
      <w:pPr>
        <w:pStyle w:val="TextBody"/>
        <w:bidi w:val="0"/>
        <w:spacing w:lineRule="auto" w:line="288" w:before="0" w:after="24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Mr. Tanjga resigned effective May 8, 2025 and thus was ineligible for the August 2025 and February 2026 payout dates.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performance-based bonus award payments made to our named executive officers for fiscal year 2026 are set forth in the “Summary Compensation Table” below.</w:t>
      </w:r>
    </w:p>
    <w:p>
      <w:pPr>
        <w:pStyle w:val="TextBody"/>
        <w:bidi w:val="0"/>
        <w:spacing w:lineRule="auto" w:line="288" w:before="0" w:after="220"/>
        <w:jc w:val="both"/>
        <w:rPr>
          <w:rFonts w:ascii="Times New Roman;serif" w:hAnsi="Times New Roman;serif"/>
          <w:b/>
          <w:color w:val="000000"/>
          <w:sz w:val="20"/>
        </w:rPr>
      </w:pPr>
      <w:r>
        <w:rPr>
          <w:rFonts w:ascii="Times New Roman;serif" w:hAnsi="Times New Roman;serif"/>
          <w:b/>
          <w:color w:val="000000"/>
          <w:sz w:val="20"/>
        </w:rPr>
        <w:t>Long-Term Equity Incentives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2026 was provided in the form of long-term equity awards.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annually approves long term equity incentive compensation to our named executive officers consisting of RSUs and PSUs. The target value of long-term equity awards under our annual long-term incentive program is weighted 50% in the form of PSUs and 50% in the form of RSUs. The RSUs vest subject to service requirements while PSUs are earned contingent upon achievement of ARR Growth and Operating Cash Flow performance targets and vest subject to service requirements.</w:t>
      </w:r>
    </w:p>
    <w:p>
      <w:pPr>
        <w:pStyle w:val="TextBody"/>
        <w:bidi w:val="0"/>
        <w:spacing w:lineRule="auto" w:line="288" w:before="0" w:after="220"/>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6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grants some or all of our executive officers time-vesting RSUs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 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 The compensation committee independently determines the long-term incentive awards for the Chief Executive Officer.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RSU is the economic equivalent of one share of our common stock and is settled in shares of our common stock. Since the value of the RSU awards increases with any increase in the value of the underlying shares, they serve as an incentive that aligns the interests of our executive officers with the long-term interests of our stockholders. In addition, because they are subject to a multi-year vesting requirement, RSU awards serve our retention objectives since our executive officers generally must remain continuously employed by us through the applicable vesting dates to fully earn these awards. Unlike stock options, RSUs have real economic value when they vest even if the market price of our common stock declines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2"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or stays flat, thus delivering more predictable and durable value to our executive officers. Additionally, because of their “full value” nature, RSU awards deliver the desired grant date fair value using a lesser number of shares than an equivalent stock option, thereby enabling us to reduce the dilutive impact of our long-term incentive award mix and to use our equity compensation resources more efficiently.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standard annual RSU awards granted to our named executive officers during fiscal year 2026, as approved by the compensation committee.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Mr. Ittycheria's and Mr. Pech's regular four-year vesting schedule described below, 10,159 of Mr. Ittycheria's RSUs have vested and 5,362 of Mr. Pech's RSUs have vested as of the date of this proxy statement. Mr. Ittycheria's RSUs will continue to vest until October 2, 2026 in connection with his Advisory Agreement, and the remaining 16,086 of Mr. Pech's shares were forfeited in connection with his Separation Agreement, effective February 27, 2026 ("Separation Agreement"). For more information, please see the section titled “Executive Compensation—Employment, Severance and Change in Control Agreements—Offer Letters and Employment Agreements”.</w:t>
      </w:r>
    </w:p>
    <w:tbl>
      <w:tblPr>
        <w:tblW w:w="5023" w:type="dxa"/>
        <w:jc w:val="left"/>
        <w:tblInd w:w="0" w:type="dxa"/>
        <w:tblLayout w:type="fixed"/>
        <w:tblCellMar>
          <w:top w:w="28" w:type="dxa"/>
          <w:left w:w="28" w:type="dxa"/>
          <w:bottom w:w="28" w:type="dxa"/>
          <w:right w:w="28" w:type="dxa"/>
        </w:tblCellMar>
      </w:tblPr>
      <w:tblGrid>
        <w:gridCol w:w="815"/>
        <w:gridCol w:w="716"/>
        <w:gridCol w:w="719"/>
        <w:gridCol w:w="559"/>
        <w:gridCol w:w="559"/>
        <w:gridCol w:w="561"/>
        <w:gridCol w:w="320"/>
        <w:gridCol w:w="320"/>
        <w:gridCol w:w="4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Time-Based</w:t>
              <w:br/>
              <w:t>RSUs</w:t>
              <w:br/>
              <w:t>(number of shares)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3"/>
              </w:rPr>
              <w:t>(1)</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Chirantan Desai</w:t>
            </w:r>
            <w:r>
              <w:rPr>
                <w:rFonts w:ascii="Times New Roman;serif" w:hAnsi="Times New Roman;serif"/>
                <w:b w:val="false"/>
                <w:color w:val="000000"/>
                <w:sz w:val="13"/>
              </w:rPr>
              <w:t>(2)</w:t>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40,638</w:t>
            </w:r>
            <w:r>
              <w:rPr>
                <w:rFonts w:ascii="Times New Roman;serif" w:hAnsi="Times New Roman;serif"/>
                <w:b w:val="false"/>
                <w:color w:val="000000"/>
                <w:sz w:val="13"/>
              </w:rPr>
              <w:t>(3)</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7,692,773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Berry</w:t>
            </w:r>
            <w:r>
              <w:rPr>
                <w:rFonts w:ascii="Times New Roman;serif" w:hAnsi="Times New Roman;serif"/>
                <w:b w:val="false"/>
                <w:color w:val="000000"/>
                <w:sz w:val="13"/>
              </w:rPr>
              <w:t>(2)</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(4)</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Cedric Pech</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21,448</w:t>
            </w:r>
            <w:r>
              <w:rPr>
                <w:rFonts w:ascii="Times New Roman;serif" w:hAnsi="Times New Roman;serif"/>
                <w:b w:val="false"/>
                <w:color w:val="000000"/>
                <w:sz w:val="13"/>
              </w:rPr>
              <w:t>(3)</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4,060,106</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in accordance with FASB ASC Topic 718.</w:t>
      </w:r>
    </w:p>
    <w:p>
      <w:pPr>
        <w:pStyle w:val="TextBody"/>
        <w:bidi w:val="0"/>
        <w:spacing w:lineRule="auto" w:line="288" w:before="120" w:after="12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Messrs. Desai and Berry did not receive standard, long-term RSU grants because they were not executive officers as of the date of grant and instead received grants of sign-on RSU awards. They will be eligible to receive standard, long-term RSU awards beginning fiscal year 2027. For more information regarding the sign-on awards, please see the section of the proxy statement entitled "Executive Leadership Transitions in Fiscal Year 2026" above.</w:t>
      </w:r>
    </w:p>
    <w:p>
      <w:pPr>
        <w:pStyle w:val="TextBody"/>
        <w:bidi w:val="0"/>
        <w:spacing w:lineRule="auto" w:line="288" w:before="0" w:after="120"/>
        <w:ind w:left="0" w:right="0" w:hanging="360"/>
        <w:jc w:val="both"/>
        <w:rPr/>
      </w:pPr>
      <w:r>
        <w:rPr>
          <w:rFonts w:ascii="Times New Roman;serif" w:hAnsi="Times New Roman;serif"/>
          <w:b w:val="false"/>
          <w:color w:val="000000"/>
          <w:sz w:val="10"/>
        </w:rPr>
        <w:t>(3)    </w:t>
      </w:r>
      <w:r>
        <w:rPr>
          <w:rFonts w:ascii="Times New Roman;serif" w:hAnsi="Times New Roman;serif"/>
          <w:b w:val="false"/>
          <w:color w:val="000000"/>
          <w:sz w:val="16"/>
        </w:rPr>
        <w:t xml:space="preserve">The number of RSUs was determined based on a target dollar value, calculated using the 30-day VWAP of our stock during the period ending on, or a few days prior to, the grant date. </w:t>
      </w:r>
    </w:p>
    <w:p>
      <w:pPr>
        <w:pStyle w:val="TextBody"/>
        <w:bidi w:val="0"/>
        <w:spacing w:lineRule="auto" w:line="288" w:before="0" w:after="22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 xml:space="preserve">Given the interim nature of his appointment, Mr. Tanjga did not receive a long-term RSU grant. </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RSUs granted to Messrs. Ittycheria and Pech for fiscal year 2026 are subject to time-based vesting over four years, with 1/16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shares granted vesting each quarter following April 1, 2025, contingent on their continued employment with us through each vesting date. </w:t>
      </w:r>
    </w:p>
    <w:p>
      <w:pPr>
        <w:pStyle w:val="TextBody"/>
        <w:bidi w:val="0"/>
        <w:spacing w:lineRule="auto" w:line="288" w:before="0" w:after="220"/>
        <w:ind w:left="0" w:right="0" w:firstLine="72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PSU is the economic equivalent of one share of our common stock and is settled in shares of our common stock. PSUs may be earned over a one-year performance period based upon satisfaction of certain performance metrics (as described below), and are subject to three-year ratable service-based vesting from the grant date, except that the first vesting date is the later of April 1, 2025 and the date of certification by the compensation committee of the applicable performance metrics.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standard PSU awards (reflected at target of 100%) granted to our named executive officers during fiscal year 2026, as approved by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3"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tbl>
      <w:tblPr>
        <w:tblW w:w="6733" w:type="dxa"/>
        <w:jc w:val="left"/>
        <w:tblInd w:w="0" w:type="dxa"/>
        <w:tblLayout w:type="fixed"/>
        <w:tblCellMar>
          <w:top w:w="28" w:type="dxa"/>
          <w:left w:w="28" w:type="dxa"/>
          <w:bottom w:w="28" w:type="dxa"/>
          <w:right w:w="28" w:type="dxa"/>
        </w:tblCellMar>
      </w:tblPr>
      <w:tblGrid>
        <w:gridCol w:w="815"/>
        <w:gridCol w:w="716"/>
        <w:gridCol w:w="719"/>
        <w:gridCol w:w="804"/>
        <w:gridCol w:w="804"/>
        <w:gridCol w:w="806"/>
        <w:gridCol w:w="605"/>
        <w:gridCol w:w="605"/>
        <w:gridCol w:w="85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Performance-Based</w:t>
              <w:br/>
              <w:t>PSUs</w:t>
              <w:br/>
              <w:t>(number of shares)</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w:t>
            </w:r>
          </w:p>
          <w:p>
            <w:pPr>
              <w:pStyle w:val="TableContents"/>
              <w:bidi w:val="0"/>
              <w:spacing w:lineRule="auto" w:line="240" w:before="0" w:after="0"/>
              <w:jc w:val="center"/>
              <w:rPr/>
            </w:pPr>
            <w:r>
              <w:rPr>
                <w:rFonts w:ascii="Times New Roman;serif" w:hAnsi="Times New Roman;serif"/>
                <w:b/>
                <w:color w:val="000000"/>
                <w:sz w:val="20"/>
              </w:rPr>
              <w:t>Fair Value at Target</w:t>
            </w:r>
            <w:r>
              <w:rPr>
                <w:rFonts w:ascii="Times New Roman;serif" w:hAnsi="Times New Roman;serif"/>
                <w:b/>
                <w:color w:val="000000"/>
                <w:sz w:val="13"/>
              </w:rPr>
              <w:t>(1)</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Chirantan Desai</w:t>
            </w:r>
            <w:r>
              <w:rPr>
                <w:rFonts w:ascii="Times New Roman;serif" w:hAnsi="Times New Roman;serif"/>
                <w:b w:val="false"/>
                <w:color w:val="000000"/>
                <w:sz w:val="13"/>
              </w:rPr>
              <w:t>(2)</w:t>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40,638</w:t>
            </w:r>
            <w:r>
              <w:rPr>
                <w:rFonts w:ascii="Times New Roman;serif" w:hAnsi="Times New Roman;serif"/>
                <w:b w:val="false"/>
                <w:color w:val="000000"/>
                <w:sz w:val="13"/>
              </w:rPr>
              <w:t>(3)</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7,692,773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Berry</w:t>
            </w:r>
            <w:r>
              <w:rPr>
                <w:rFonts w:ascii="Times New Roman;serif" w:hAnsi="Times New Roman;serif"/>
                <w:b w:val="false"/>
                <w:color w:val="000000"/>
                <w:sz w:val="13"/>
              </w:rPr>
              <w:t>(2)</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(4)</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Cedric Pech</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21,448</w:t>
            </w:r>
            <w:r>
              <w:rPr>
                <w:rFonts w:ascii="Times New Roman;serif" w:hAnsi="Times New Roman;serif"/>
                <w:b w:val="false"/>
                <w:color w:val="000000"/>
                <w:sz w:val="13"/>
              </w:rPr>
              <w:t>(3)</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4,060,106</w:t>
            </w:r>
          </w:p>
        </w:tc>
      </w:tr>
    </w:tbl>
    <w:p>
      <w:pPr>
        <w:pStyle w:val="TextBody"/>
        <w:bidi w:val="0"/>
        <w:spacing w:lineRule="auto" w:line="288" w:before="12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 xml:space="preserve">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w:t>
      </w:r>
    </w:p>
    <w:p>
      <w:pPr>
        <w:pStyle w:val="TextBody"/>
        <w:bidi w:val="0"/>
        <w:spacing w:lineRule="auto" w:line="288" w:before="0" w:after="12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Messrs. Desai and Berry did not receive standard, long-term PSU grants because they were not executive officers as of the grant date. Mr. Desai instead received a sign-on PSU award in connection with his appointment as our President and Chief Executive Officer. Messrs. Desai and Berry will be eligible to receive standard, long-term PSU awards in fiscal year 2027. For more information regarding the sign-on awards, please see the section of the proxy statement entitled "Executive Leadership Transitions in Fiscal Year 2026" above.</w:t>
      </w:r>
    </w:p>
    <w:p>
      <w:pPr>
        <w:pStyle w:val="TextBody"/>
        <w:bidi w:val="0"/>
        <w:spacing w:lineRule="auto" w:line="288" w:before="0" w:after="120"/>
        <w:ind w:left="0" w:right="0" w:hanging="360"/>
        <w:jc w:val="both"/>
        <w:rPr/>
      </w:pPr>
      <w:r>
        <w:rPr>
          <w:rFonts w:ascii="Times New Roman;serif" w:hAnsi="Times New Roman;serif"/>
          <w:b w:val="false"/>
          <w:color w:val="000000"/>
          <w:sz w:val="10"/>
        </w:rPr>
        <w:t>(3)    </w:t>
      </w:r>
      <w:r>
        <w:rPr>
          <w:rFonts w:ascii="Times New Roman;serif" w:hAnsi="Times New Roman;serif"/>
          <w:b w:val="false"/>
          <w:color w:val="000000"/>
          <w:sz w:val="16"/>
        </w:rPr>
        <w:t>The number of PSUs was determined based on a target dollar value, calculated using the 30-day VWAP of our stock during the period ending on, or a few days prior to, the grant date. In accordance with Mr. Pech's fiscal year 2026 PSU payout described below, on April 1, 2026, 10,794 PSUs vested. The remaining 21,588 shares were forfeited in connection with the termination of Mr. Pech's Separation Agreement. For more information, please see the section titled "Executive Compensation—Employment, Severance and Change in Control Agreements—Offer Letters and Employment Agreements”.</w:t>
      </w:r>
    </w:p>
    <w:p>
      <w:pPr>
        <w:pStyle w:val="TextBody"/>
        <w:bidi w:val="0"/>
        <w:spacing w:lineRule="auto" w:line="288" w:before="0" w:after="22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Given the interim nature of Mr. Tanjga's appointment, Mr. Tanjga did not receive an annual long-term PSU grant.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PSUs granted in fiscal year 2026 were eligible to be earned between 0% and 200% ("Performance Target Ranges") based on the percentage growths of our ARR (“ARR Growth”) and cash generated by our regular operating activities ("Operating Cash Flow"), each from February 1, 2025 through January 31, 2026. Consistent with fiscal year 2025, in fiscal year 2026, we used Operating Cash Flow as a sliding metric to determine whether any PSUs would be eligible for vesting based on achievement of a predetermined Operating Cash Flow level.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considered a variety of factors, including our continued growth, our dynamic, highly competitive industry and the difficulty of predicting future performance in such an environment, and concluded that ARR Growth and Operating Cash Flow were most directly linked to our long-term growth plan and, as a result, their performance drive stockholder value and align the interests of our management with those of our stockholders.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shows the threshold, target and maximum ARR Growth and Operating Cash Flow metrics used to determine PSU payouts for fiscal year 2026.</w:t>
      </w:r>
    </w:p>
    <w:tbl>
      <w:tblPr>
        <w:tblW w:w="10205" w:type="dxa"/>
        <w:jc w:val="left"/>
        <w:tblInd w:w="0" w:type="dxa"/>
        <w:tblLayout w:type="fixed"/>
        <w:tblCellMar>
          <w:top w:w="28" w:type="dxa"/>
          <w:left w:w="28" w:type="dxa"/>
          <w:bottom w:w="28" w:type="dxa"/>
          <w:right w:w="28" w:type="dxa"/>
        </w:tblCellMar>
      </w:tblPr>
      <w:tblGrid>
        <w:gridCol w:w="846"/>
        <w:gridCol w:w="744"/>
        <w:gridCol w:w="746"/>
        <w:gridCol w:w="330"/>
        <w:gridCol w:w="330"/>
        <w:gridCol w:w="331"/>
        <w:gridCol w:w="669"/>
        <w:gridCol w:w="669"/>
        <w:gridCol w:w="671"/>
        <w:gridCol w:w="943"/>
        <w:gridCol w:w="943"/>
        <w:gridCol w:w="946"/>
        <w:gridCol w:w="594"/>
        <w:gridCol w:w="594"/>
        <w:gridCol w:w="849"/>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Company Performance Goal</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Threshold Performance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(50% Payout)</w:t>
            </w:r>
          </w:p>
        </w:tc>
        <w:tc>
          <w:tcPr>
            <w:tcW w:w="2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Target Performance (100% Payout)</w:t>
            </w:r>
          </w:p>
        </w:tc>
        <w:tc>
          <w:tcPr>
            <w:tcW w:w="20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Maximum Performance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 Payout)</w:t>
            </w:r>
          </w:p>
        </w:tc>
      </w:tr>
      <w:tr>
        <w:trPr/>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ARR Growth</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(40)</w:t>
            </w:r>
            <w:r>
              <w:rPr>
                <w:rFonts w:ascii="Times New Roman;serif" w:hAnsi="Times New Roman;serif"/>
                <w:b w:val="false"/>
                <w:color w:val="000000"/>
                <w:sz w:val="13"/>
              </w:rPr>
              <w:t>(1)</w:t>
            </w:r>
          </w:p>
        </w:tc>
        <w:tc>
          <w:tcPr>
            <w:tcW w:w="2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68</w:t>
            </w:r>
            <w:r>
              <w:rPr>
                <w:rFonts w:ascii="Times New Roman;serif" w:hAnsi="Times New Roman;serif"/>
                <w:b w:val="false"/>
                <w:color w:val="000000"/>
                <w:sz w:val="13"/>
              </w:rPr>
              <w:t>(1)</w:t>
            </w:r>
          </w:p>
        </w:tc>
        <w:tc>
          <w:tcPr>
            <w:tcW w:w="2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260</w:t>
            </w:r>
            <w:r>
              <w:rPr>
                <w:rFonts w:ascii="Times New Roman;serif" w:hAnsi="Times New Roman;serif"/>
                <w:b w:val="false"/>
                <w:color w:val="000000"/>
                <w:sz w:val="13"/>
              </w:rPr>
              <w:t>(1)</w:t>
            </w:r>
          </w:p>
        </w:tc>
      </w:tr>
    </w:tbl>
    <w:p>
      <w:pPr>
        <w:pStyle w:val="TextBody"/>
        <w:bidi w:val="0"/>
        <w:spacing w:lineRule="auto" w:line="288" w:before="0" w:after="2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Amounts are in $MM.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achievement of the corporate performance goals for fiscal year 2026 for our remaining named executive officers was determined to be 151% of target in the aggregate. The compensation committee accordingly reviewed and approved PSU achievement at 151% of target for fiscal year 2026. The table below indicates actual attainment levels of corporate performance metrics for fiscal year 2026.</w:t>
      </w:r>
    </w:p>
    <w:tbl>
      <w:tblPr>
        <w:tblW w:w="10205" w:type="dxa"/>
        <w:jc w:val="center"/>
        <w:tblInd w:w="0" w:type="dxa"/>
        <w:tblLayout w:type="fixed"/>
        <w:tblCellMar>
          <w:top w:w="28" w:type="dxa"/>
          <w:left w:w="28" w:type="dxa"/>
          <w:bottom w:w="28" w:type="dxa"/>
          <w:right w:w="28" w:type="dxa"/>
        </w:tblCellMar>
      </w:tblPr>
      <w:tblGrid>
        <w:gridCol w:w="781"/>
        <w:gridCol w:w="687"/>
        <w:gridCol w:w="689"/>
        <w:gridCol w:w="412"/>
        <w:gridCol w:w="412"/>
        <w:gridCol w:w="414"/>
        <w:gridCol w:w="550"/>
        <w:gridCol w:w="550"/>
        <w:gridCol w:w="552"/>
        <w:gridCol w:w="543"/>
        <w:gridCol w:w="543"/>
        <w:gridCol w:w="545"/>
        <w:gridCol w:w="537"/>
        <w:gridCol w:w="537"/>
        <w:gridCol w:w="538"/>
        <w:gridCol w:w="558"/>
        <w:gridCol w:w="558"/>
        <w:gridCol w:w="79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 Performance Goal</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Weighting (%)</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Target Performance</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Actual Performance</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 Impact (%)</w:t>
            </w:r>
          </w:p>
        </w:tc>
        <w:tc>
          <w:tcPr>
            <w:tcW w:w="1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Payout Percentage (%)</w:t>
            </w:r>
            <w:r>
              <w:rPr>
                <w:rFonts w:ascii="Times New Roman;serif" w:hAnsi="Times New Roman;serif"/>
                <w:b/>
                <w:color w:val="000000"/>
                <w:sz w:val="13"/>
              </w:rPr>
              <w:t>(1)</w:t>
            </w:r>
          </w:p>
        </w:tc>
      </w:tr>
      <w:tr>
        <w:trPr/>
        <w:tc>
          <w:tcPr>
            <w:tcW w:w="2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ARR Growth</w:t>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19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$68</w:t>
            </w:r>
            <w:r>
              <w:rPr>
                <w:rFonts w:ascii="Times New Roman;serif" w:hAnsi="Times New Roman;serif"/>
                <w:b w:val="false"/>
                <w:color w:val="000000"/>
                <w:sz w:val="13"/>
              </w:rPr>
              <w:t>(2)</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$505</w:t>
            </w:r>
            <w:r>
              <w:rPr>
                <w:rFonts w:ascii="Times New Roman;serif" w:hAnsi="Times New Roman;serif"/>
                <w:b w:val="false"/>
                <w:color w:val="000000"/>
                <w:sz w:val="13"/>
              </w:rPr>
              <w:t>(2)</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9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4"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shd w:fill="FFFFFF" w:val="clear"/>
        </w:rPr>
        <w:t xml:space="preserve">For purposes of calculating the bonus payout amount, </w:t>
      </w:r>
      <w:r>
        <w:rPr>
          <w:rFonts w:ascii="Times New Roman;serif" w:hAnsi="Times New Roman;serif"/>
          <w:b w:val="false"/>
          <w:color w:val="000000"/>
          <w:sz w:val="16"/>
        </w:rPr>
        <w:t xml:space="preserve">when the executive’s attainment exceeds the performance target, accelerators are triggered in order to reward the higher-than-expected performance, while decelerators are applied if the actual results are lower than the performance target. Potential payout ranges between </w:t>
      </w:r>
      <w:r>
        <w:rPr>
          <w:rFonts w:ascii="Times New Roman;serif" w:hAnsi="Times New Roman;serif"/>
          <w:b w:val="false"/>
          <w:color w:val="000000"/>
          <w:sz w:val="16"/>
          <w:shd w:fill="FFFFFF" w:val="clear"/>
        </w:rPr>
        <w:t>0-200% of the executive’s target bonus opportunity</w:t>
      </w:r>
      <w:r>
        <w:rPr>
          <w:color w:val="000000"/>
        </w:rPr>
        <w:t xml:space="preserve"> </w:t>
      </w:r>
      <w:r>
        <w:rPr>
          <w:rFonts w:ascii="Times New Roman;serif" w:hAnsi="Times New Roman;serif"/>
          <w:b w:val="false"/>
          <w:color w:val="000000"/>
          <w:sz w:val="16"/>
          <w:shd w:fill="FFFFFF" w:val="clear"/>
        </w:rPr>
        <w:t xml:space="preserve">(after applying the decelerator/accelerator factor). </w:t>
      </w:r>
    </w:p>
    <w:p>
      <w:pPr>
        <w:pStyle w:val="TextBody"/>
        <w:bidi w:val="0"/>
        <w:spacing w:lineRule="auto" w:line="288" w:before="0" w:after="2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Amounts are in $MM.</w:t>
      </w:r>
    </w:p>
    <w:p>
      <w:pPr>
        <w:pStyle w:val="TextBody"/>
        <w:bidi w:val="0"/>
        <w:spacing w:lineRule="auto" w:line="288" w:before="0" w:after="240"/>
        <w:ind w:left="0" w:right="0" w:firstLine="720"/>
        <w:jc w:val="both"/>
        <w:rPr/>
      </w:pPr>
      <w:r>
        <w:rPr>
          <w:rFonts w:ascii="Times New Roman;serif" w:hAnsi="Times New Roman;serif"/>
          <w:b/>
          <w:i/>
          <w:color w:val="000000"/>
          <w:sz w:val="20"/>
        </w:rPr>
        <w:t>Equity Grant Practices</w:t>
      </w:r>
      <w:r>
        <w:rPr>
          <w:rFonts w:ascii="Times New Roman;serif" w:hAnsi="Times New Roman;serif"/>
          <w:b/>
          <w:color w:val="000000"/>
          <w:sz w:val="20"/>
        </w:rPr>
        <w:t xml:space="preserve">. </w:t>
      </w:r>
      <w:r>
        <w:rPr>
          <w:rFonts w:ascii="Times New Roman;serif" w:hAnsi="Times New Roman;serif"/>
          <w:b w:val="false"/>
          <w:color w:val="000000"/>
          <w:sz w:val="20"/>
          <w:shd w:fill="FFFFFF" w:val="clear"/>
        </w:rPr>
        <w:t xml:space="preserve">We have the following practices regarding equity compensation grants: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do not strategically time long-term incentive awards in coordination with the release of material non-public information ("MNPI") and have never had a practice of doing so. Accordingly, we have no additional disclosure pursuant to Item 402(x) of Regulation S-K.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We have never timed and do not plan to time the release of MNPI for the purpose of affecting the value of executive compensation.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shd w:fill="FFFFFF" w:val="clear"/>
        </w:rPr>
        <w:t>For equity grants to be granted to our non-employee directors at our 2026 annual meeting and to our executive officers and other employees for fiscal year 2027, we determined the number of shares based on a target dollar value, calculated using the 30-day VWAP of our stock during the period ending on, or a few days prior to, the grant date. We believe that using the VWAP mitigates the effect of any variations in stock price that may occur in the final minutes of trading if the closing price were used.</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We do not currently grant stock options, stock appreciation rights (SARs) or similar awards with "option-like" features, and thus we have not adopted a policy regarding the timing of any such awards in connection with the disclosure of MNPI.</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accounting for equity awards granted by us is compliant with accounting principles generally accepted in the United States and is disclosed in our annual and quarterly financial reports filed with the SEC.</w:t>
      </w:r>
    </w:p>
    <w:p>
      <w:pPr>
        <w:pStyle w:val="TextBody"/>
        <w:bidi w:val="0"/>
        <w:spacing w:lineRule="auto" w:line="288" w:before="0" w:after="220"/>
        <w:jc w:val="both"/>
        <w:rPr>
          <w:rFonts w:ascii="Times New Roman;serif" w:hAnsi="Times New Roman;serif"/>
          <w:b/>
          <w:color w:val="000000"/>
          <w:sz w:val="20"/>
        </w:rPr>
      </w:pPr>
      <w:r>
        <w:rPr>
          <w:rFonts w:ascii="Times New Roman;serif" w:hAnsi="Times New Roman;serif"/>
          <w:b/>
          <w:color w:val="000000"/>
          <w:sz w:val="20"/>
        </w:rPr>
        <w:t>Health and Welfare Plans; Retirement Plans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are eligible to receive the same employee benefits that are generally available to all full-time employees in their respective jurisdictions, subject to the satisfaction of certain eligibility requirements.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U.S.-based named executive officers (Messrs. Desai, Ittycheria, Berry and Tanjga),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Starting on January 1, 2026, we began matching employee contributions up to 6% of eligible compensation, capped at $5,000 annually. Matching contributions will vest after one year of employment.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pStyle w:val="TextBody"/>
        <w:bidi w:val="0"/>
        <w:spacing w:lineRule="auto" w:line="288" w:before="0" w:after="220"/>
        <w:jc w:val="both"/>
        <w:rPr>
          <w:rFonts w:ascii="Times New Roman;serif" w:hAnsi="Times New Roman;serif"/>
          <w:b/>
          <w:color w:val="000000"/>
          <w:sz w:val="20"/>
        </w:rPr>
      </w:pPr>
      <w:r>
        <w:rPr>
          <w:rFonts w:ascii="Times New Roman;serif" w:hAnsi="Times New Roman;serif"/>
          <w:b/>
          <w:color w:val="000000"/>
          <w:sz w:val="20"/>
        </w:rPr>
        <w:t>Perquisites and Other Personal Benefits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each of our named executive officers, we have engaged CyberWa, Inc., a cyber-protective service company, to analyze (on a monthly basis) the IT equipment used by all of our named executive officers to ensure the data privacy and cybersecurity of our named executive officers. We believe that, due to the nature of our business, such services are essential to the protection of our data, and have required all named executive officers to remain compliant with cybersecurity protocols. Based on assessments conducted to evaluate our security measures, at times, we may provide enhancements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5"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 xml:space="preserve">security measures taken with respect to our named executive officers in order to protect them from certain risks associated with their position, including enhancing security at the named executive officer's personal residence.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6"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left"/>
        <w:rPr>
          <w:rFonts w:ascii="Times New Roman;serif" w:hAnsi="Times New Roman;serif"/>
          <w:b/>
          <w:color w:val="000000"/>
          <w:sz w:val="20"/>
        </w:rPr>
      </w:pPr>
      <w:r>
        <w:rPr>
          <w:rFonts w:ascii="Times New Roman;serif" w:hAnsi="Times New Roman;serif"/>
          <w:b/>
          <w:color w:val="000000"/>
          <w:sz w:val="20"/>
        </w:rPr>
        <w:t>Employment, Severance and Change in Control Agreements</w:t>
      </w:r>
    </w:p>
    <w:p>
      <w:pPr>
        <w:pStyle w:val="TextBody"/>
        <w:bidi w:val="0"/>
        <w:spacing w:lineRule="auto" w:line="288" w:before="0" w:after="220"/>
        <w:jc w:val="left"/>
        <w:rPr>
          <w:rFonts w:ascii="Times New Roman;serif" w:hAnsi="Times New Roman;serif"/>
          <w:b/>
          <w:i/>
          <w:color w:val="000000"/>
          <w:sz w:val="20"/>
        </w:rPr>
      </w:pPr>
      <w:r>
        <w:rPr>
          <w:rFonts w:ascii="Times New Roman;serif" w:hAnsi="Times New Roman;serif"/>
          <w:b/>
          <w:i/>
          <w:color w:val="000000"/>
          <w:sz w:val="20"/>
        </w:rPr>
        <w:t>Offer Letters and Employment Agreements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The key terms of employment with our named executive officers are described below.</w:t>
      </w:r>
    </w:p>
    <w:p>
      <w:pPr>
        <w:pStyle w:val="TextBody"/>
        <w:bidi w:val="0"/>
        <w:spacing w:lineRule="auto" w:line="288" w:before="0" w:after="220"/>
        <w:ind w:left="0" w:right="0" w:firstLine="90"/>
        <w:jc w:val="both"/>
        <w:rPr>
          <w:rFonts w:ascii="Times New Roman;serif" w:hAnsi="Times New Roman;serif"/>
          <w:b w:val="false"/>
          <w:i/>
          <w:color w:val="000000"/>
          <w:sz w:val="20"/>
        </w:rPr>
      </w:pPr>
      <w:r>
        <w:rPr>
          <w:rFonts w:ascii="Times New Roman;serif" w:hAnsi="Times New Roman;serif"/>
          <w:b w:val="false"/>
          <w:i/>
          <w:color w:val="000000"/>
          <w:sz w:val="20"/>
        </w:rPr>
        <w:t>Chirantan Desai</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offer letter with Chirantan Desai, our President and Chief Executive Officer, dated October 29, 2025, which sets forth the terms and conditions of his employment with the Company. Mr. Desai’s offer letter sets forth (i) an annual base salary of $500,000 (as may be amended from time to time); (ii) an annual target bonus of 70% of his annual base salary (as may be amended from time to time) pursuant to our bonus plan; (iii) a sign-on bonus of $2,500,000 in cash, with 50% payable following six months of continuous service and the remaining 50% payable following twelve months of continuous service; and (iv) a sign-on grant of RSUs and PSUs as described in the section titled "Executive Compensation—Executive Leadership Transitions in Fiscal Year 2026" above. Mr. Desai’s employment is at will and may be terminated at any time, with or without cause.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offer letter agreement with Mr. Desai provides that, if we terminate Mr. Desai for any reason other than for “cause” or due to Mr. Desai's death or disability, or if Mr. Desai resigns his position with us for “good reason” (as such terms are defined in his offer letter), Mr. Desai would be entitled to receive payment of his then-current base salary for a period of 12 months following his termination date in accordance with our regular payroll practices, and company-paid health insurance coverage for a period of up to 12 months following his termination date. In addition, if such termination or resignation occurs either in connection with, or within three months prior to or 12 months after, a change in control, Mr. Desai would also be entitled to receive (i) payment of an amount equal to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and a prorated bonus for the year in which the termination occurred, (ii) 100% acceleration of vesting of all then-outstanding time-based unvested equity awards held by Mr. Desai and (iii) acceleration of vesting of then-outstanding performance-based unvested equity awards held by Mr. Desai based on the greater of target performance or actual performance. Payment of any of the above-described severance benefits is conditioned on the delivery and non-revocation of a general release of claims in our favor within 50 days after Mr. Desai's termination.</w:t>
      </w:r>
    </w:p>
    <w:p>
      <w:pPr>
        <w:pStyle w:val="TextBody"/>
        <w:bidi w:val="0"/>
        <w:spacing w:lineRule="auto" w:line="288" w:before="0" w:after="220"/>
        <w:ind w:left="0" w:right="0" w:firstLine="90"/>
        <w:jc w:val="both"/>
        <w:rPr>
          <w:rFonts w:ascii="Times New Roman;serif" w:hAnsi="Times New Roman;serif"/>
          <w:b w:val="false"/>
          <w:i/>
          <w:color w:val="000000"/>
          <w:sz w:val="20"/>
        </w:rPr>
      </w:pPr>
      <w:r>
        <w:rPr>
          <w:rFonts w:ascii="Times New Roman;serif" w:hAnsi="Times New Roman;serif"/>
          <w:b w:val="false"/>
          <w:i/>
          <w:color w:val="000000"/>
          <w:sz w:val="20"/>
        </w:rPr>
        <w:t>Dev Ittycheria</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amended and restated offer letter with Dev Ittycheria, our former President and Chief Executive Officer, dated September 29, 2017, as further amended and restated in December 2021 which sets forth the terms and conditions of his employment with us. Mr. Ittycheria’s annual base salary pursuant to his amended and restated offer letter is $400,000 (as may be amended from time to time). Mr. Ittycheria is also eligible to receive an annual target bonus of $280,000 (as may be amended from time to time) pursuant to our bonus plan. Mr. Ittycheria’s employment is at will and may be terminated at any time, with or without cause.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offer letter agreement with Mr. Ittycheria provides that, if we terminate Mr. Ittycheria for any reason other than for “cause” or due to Mr. Ittycheria's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an amount equal to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Ittycheria stepped down as our President and Chief Executive Officer on November 9, 2025. He did not receive any severance in connection with his resignation. Pursuant to his Advisory Agreement dated as of October 29, 2025, following his resignation, Mr. Ittycheria continues to be an employee of MongoDB through November 9, 2026 (unless otherwise extended) as an advisor to the President and Chief Executive Officer, executive team and the board of directors. Mr. Ittycheria will receive an annual salary of $100,000 and may receive an annual bonus to be targeted at seventy percent (70%) of the base salary for fiscal year 2026. Following January 31, 2026, he will no longer be eligible for any bonus. In addition, Mr. Ittycheria's outstanding service-based awards will continue to vest until October 2, 2026 subject to his continuous service. Mr. Ittycheria is not entitled to severance in connection with a termination of employment; however, the Advisory Agreement cannot be terminated other than for “cause” prior to November 9, 2026.</w:t>
      </w:r>
    </w:p>
    <w:p>
      <w:pPr>
        <w:pStyle w:val="TextBody"/>
        <w:bidi w:val="0"/>
        <w:spacing w:lineRule="auto" w:line="288" w:before="0" w:after="220"/>
        <w:ind w:left="0" w:right="0" w:firstLine="90"/>
        <w:jc w:val="both"/>
        <w:rPr>
          <w:rFonts w:ascii="Times New Roman;serif" w:hAnsi="Times New Roman;serif"/>
          <w:b w:val="false"/>
          <w:i/>
          <w:color w:val="000000"/>
          <w:sz w:val="20"/>
        </w:rPr>
      </w:pPr>
      <w:r>
        <w:rPr>
          <w:rFonts w:ascii="Times New Roman;serif" w:hAnsi="Times New Roman;serif"/>
          <w:b w:val="false"/>
          <w:i/>
          <w:color w:val="000000"/>
          <w:sz w:val="20"/>
        </w:rPr>
        <w:t>Michael J. Berry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offer letter with Michael J. Berry, our Chief Financial Officer, dated April 14, 2025, which sets forth the terms and conditions of his employment with the Company. Mr. Berry's annual base salary pursuant to his offer letter is $350,000 (as may be amended from time to time). Mr. Berry is also eligible to receive an annual target bonus of 65% of his annual base salary (as may be amended from time to time) pursuant to our bonus plan. Mr. Berry received two grants of service-vesting RSUs in connection with his appointment as described in the section titled "Executive Compensation—Executive Leadership Transitions in Fiscal Year 2026" above. Mr. Berry's employment is at will and may be terminated at any time, with or without cause.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offer letter agreement with Mr. Berry provides that, if we terminate Mr. Berry for any reason other than for “cause” or due to Mr. Berry's death or disability, or if Mr. Berry resigns his position with us for “good reason” (as such terms are defined in his offer letter), Mr. Berry would be entitled to receive payment of his then-current base salary for a period of six months following his termination date in accordance with our regular payroll practices, and company-paid health insurance coverage for a period of up to six months following his termination date. In addition, if such termination or resignation occurs either in connection with, or within three months prior to or 12 months after, a change in control, Mr. Berry would also be entitled to receive (i) payment of an amount equal to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and a prorated bonus for the year in which the termination occurred, (ii) 100% acceleration of vesting of all then-outstanding time-based unvested equity awards held by Mr. Berry and acceleration of vesting of then-outstanding performance-based unvested equity awards held by Mr. Berry based on the greater of target performance or actual performance. Payment of any of the above-described severance benefits is conditioned on the delivery and non-revocation of a general release of claims in our favor within 50 days after Mr. Berry's termination.</w:t>
      </w:r>
    </w:p>
    <w:p>
      <w:pPr>
        <w:pStyle w:val="TextBody"/>
        <w:bidi w:val="0"/>
        <w:spacing w:lineRule="auto" w:line="288" w:before="0" w:after="220"/>
        <w:jc w:val="both"/>
        <w:rPr>
          <w:rFonts w:ascii="Times New Roman;serif" w:hAnsi="Times New Roman;serif"/>
          <w:b w:val="false"/>
          <w:i/>
          <w:color w:val="000000"/>
          <w:sz w:val="20"/>
        </w:rPr>
      </w:pPr>
      <w:r>
        <w:rPr>
          <w:rFonts w:ascii="Times New Roman;serif" w:hAnsi="Times New Roman;serif"/>
          <w:b w:val="false"/>
          <w:i/>
          <w:color w:val="000000"/>
          <w:sz w:val="20"/>
        </w:rPr>
        <w:t>Srdjan Tanjga</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Tanjga is not a party to, and did not enter into, any new arrangements with us in connection with his service as Interim Chief Financial Officer. Mr. Tanjga entered into a standard employee offer letter that provided for at-will employment and did not provide any termination benefits. Mr. Tanjga did not receive, and was not entitled to, any compensation or benefits in connection with his termination of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Cedric Pech</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a Swiss-law governed employment agreement with Cedric Pech, our former President of Field Operations and former Chief Revenue Officer, with an effective date of February 11, 2019, as further amended and restated in January 2022, which sets forth the terms and conditions of his employment with us. Mr. Pech’s annual base salary pursuant to his amended and restated employment agreement is CHF 252,033 ($327,644) (as may be amended from time to time). Mr. Pech is also eligible to receive annual target sales compensation of CHF 352,846 ($458,700) (as may be amended from time to time) pursuant to our variable compensation plan. The initial terms and conditions of Mr. Pech’s employment are set forth in his written employment agreement. Mr. Pech’s base salary and target sales compensation were set and paid in CHF and converted into U.S. dollars for purposes of these disclosures based on the exchange rate as of January 31, 2026 of 1.30 CHF to the U.S. dollar, as reflected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68"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employment agreement with Mr. Pech provides that, if we terminate Mr. Pech for any reason other than for “cause” or due to Mr. Pech's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Pech stepped down as our President of Field Operations effective April 15, 2026. He did not receive any severance in connection with his resignation. Pursuant to his Separation Agreement, effective February 27, 2026 with a term ended April 15, 2026, Mr. Pech remained an employee and provided advisory services and continued to receive his base salary through April 15, 2026. Mr. Pech also remained eligible to receive his fiscal year 2026 bonus. Mr. Pech's outstanding unvested equity awards under the 2016 Plan continued to vest until April 1,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Tax and Accounting Implications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Accounting for Stock-Based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ASC 718, we are required to estimate and record an expense for each award of equity compensation over the vesting period of the award. We record share-based compensation expense on an ongoing basis according to ASC 718.</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6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Deductibility of Executive Compensation</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pStyle w:val="TextBody"/>
        <w:bidi w:val="0"/>
        <w:spacing w:lineRule="auto" w:line="288" w:before="0" w:after="220"/>
        <w:jc w:val="both"/>
        <w:rPr>
          <w:rFonts w:ascii="Times New Roman;serif" w:hAnsi="Times New Roman;serif"/>
          <w:b/>
          <w:color w:val="000000"/>
          <w:sz w:val="20"/>
        </w:rPr>
      </w:pPr>
      <w:r>
        <w:rPr>
          <w:rFonts w:ascii="Times New Roman;serif" w:hAnsi="Times New Roman;serif"/>
          <w:b/>
          <w:color w:val="000000"/>
          <w:sz w:val="20"/>
        </w:rPr>
        <w:t>Additional Compensation Policies and Practices</w:t>
      </w:r>
    </w:p>
    <w:p>
      <w:pPr>
        <w:pStyle w:val="TextBody"/>
        <w:bidi w:val="0"/>
        <w:spacing w:lineRule="auto" w:line="288" w:before="0" w:after="220"/>
        <w:jc w:val="left"/>
        <w:rPr>
          <w:rFonts w:ascii="Times New Roman;serif" w:hAnsi="Times New Roman;serif"/>
          <w:b/>
          <w:i/>
          <w:color w:val="000000"/>
          <w:sz w:val="20"/>
        </w:rPr>
      </w:pPr>
      <w:r>
        <w:rPr>
          <w:rFonts w:ascii="Times New Roman;serif" w:hAnsi="Times New Roman;serif"/>
          <w:b/>
          <w:i/>
          <w:color w:val="000000"/>
          <w:sz w:val="20"/>
        </w:rPr>
        <w:t>Executive Officer Recoupment (“Clawback”) Policy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fiscal year 2024, our board of directors adopted the MongoDB, Inc. Financial Restatement Compensation Recoupment Policy (the “Recoupment Policy”) in accordance with Rule 10D-1 of the Dodd-Frank Act. Under the Recoupment Policy, our compensation committee will, to the extent permitted by law, recoup any incentive compensation (cash and equity) received by the executive officers in the event of a restatement of our financial statements (regardless of whether detrimental conduct has occurred). In the case of a restatement of our financial statements, the board of directors will reasonably promptly recover the amount by which the incentive compensation received exceeds the amount that would have been received if the error had not been made within the three years preceding the date on which the board of directors determines that the financial measure contains a material error.</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maintain a separate misconduct compensation recoupment policy (the “Misconduct Recoupment Policy”) which provides that our compensation committee may exercise its discretion to require any of our executive officers to reimburse bonus, incentive or equity-based compensation awarded to such executive officer, up to 100% of such compensation, if such executive officer (i) engages in intentional misconduct or gross negligence that results, in whole or in part, in a financial restatement, (ii) commits any act or omission that constitutes or, if it occurred during the executive officer’s employment, would constitute, “cause”, (iii) been aware of or willfully blind to any act or omission that would constitute “misconduct” under the Misconduct Recoupment Policy that occurred in an area over which the executive officer had supervisory authority or (iv) violated any restrictive covenants applicable to the executive officer.</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Insider Trading Policy; Policy Prohibiting Hedging and Pledging of Our Equity Securities</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While MongoDB itself is not subject to the Insider Trading Policy, MongoDB does not trade in its securities when it is in possession of material nonpublic information except as may be pursuant to an appropriately adopted Rule 10b5-1 trading plan. </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insider trading policy also prohibits all of our employees, directors and consultants from pledging or engaging in hedging or similar transactions in our stock, such as prepaid variable forwards, equity swaps, collars, puts, calls and short sales, except for case-by-case exceptions for employees who are not officers or directors, as approved by our board of directors.</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 xml:space="preserve">Stock Ownership Guidelines </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In 2019, the board of directors adopted stock ownership guidelines for our executive officers. The guidelines </w:t>
      </w:r>
      <w:r>
        <w:rPr>
          <w:rFonts w:ascii="Times New Roman;serif" w:hAnsi="Times New Roman;serif"/>
          <w:b w:val="false"/>
          <w:color w:val="000000"/>
          <w:sz w:val="20"/>
          <w:shd w:fill="FFFFFF" w:val="clear"/>
        </w:rPr>
        <w:t xml:space="preserve">require that, </w:t>
      </w:r>
      <w:r>
        <w:rPr>
          <w:rFonts w:ascii="Times New Roman;serif" w:hAnsi="Times New Roman;serif"/>
          <w:b w:val="false"/>
          <w:color w:val="000000"/>
          <w:sz w:val="20"/>
        </w:rPr>
        <w:t>within five years of the date the guidelines were adopted or five years of first becoming one of our executive officers,</w:t>
      </w:r>
      <w:r>
        <w:rPr>
          <w:color w:val="000000"/>
          <w:shd w:fill="FFFFFF" w:val="clear"/>
        </w:rPr>
        <w:t xml:space="preserve"> </w:t>
      </w:r>
      <w:r>
        <w:rPr>
          <w:rFonts w:ascii="Times New Roman;serif" w:hAnsi="Times New Roman;serif"/>
          <w:b w:val="false"/>
          <w:color w:val="000000"/>
          <w:sz w:val="20"/>
          <w:shd w:fill="FFFFFF" w:val="clear"/>
        </w:rPr>
        <w:t>each executive officer own at least a number of shares of common stock equal to a multiple of the executive’s base salary, as follows:</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shd w:fill="FFFFFF" w:val="clear"/>
        </w:rPr>
        <w:t xml:space="preserve">Chief Executive Officer: must hold shares of MongoDB common stock with a value equal to five times his base salary; and </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shd w:fill="FFFFFF" w:val="clear"/>
        </w:rPr>
        <w:t>All other executive officers: must hold shares of MongoDB common stock with a value equal to three times their base salary.</w:t>
      </w:r>
    </w:p>
    <w:p>
      <w:pPr>
        <w:pStyle w:val="TextBody"/>
        <w:bidi w:val="0"/>
        <w:spacing w:lineRule="auto" w:line="288" w:before="0" w:after="2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shares of our common stock count towards compliance with the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Shares owned by the executive officer;</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Shares owned jointly by the executive officer and spouse;</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Shares held in a trust established by the executive officer for the benefit of the executive officer and/or family members;</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 xml:space="preserve">Shares equal to the number of vested deferred stock units credited to the executive officer under any arrangement maintained by us; </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Shares credited to the executive officer’s 401(k) plan account; and</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Vested shares of time-based restricted stock/restricted stock units to the extent they have not yet settled.</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Unvested and unearned performance-vesting shares/units, unvested restricted shares/units and unexercised stock options (whether vested or unvested) do not count towards director or executive officers’ compliance with the guidelines. </w:t>
      </w:r>
    </w:p>
    <w:p>
      <w:pPr>
        <w:pStyle w:val="TextBody"/>
        <w:bidi w:val="0"/>
        <w:spacing w:lineRule="auto" w:line="288" w:before="0" w:after="2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date of this Proxy Statement, all of our current executive officers satisfy the ownership requirements or have a period of time remaining to meet the required ownership level.</w:t>
      </w:r>
    </w:p>
    <w:p>
      <w:pPr>
        <w:pStyle w:val="TextBody"/>
        <w:bidi w:val="0"/>
        <w:spacing w:lineRule="auto" w:line="288" w:before="0" w:after="2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Compensation Risk Assessment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pStyle w:val="TextBody"/>
        <w:bidi w:val="0"/>
        <w:spacing w:lineRule="auto" w:line="288" w:before="0" w:after="220"/>
        <w:ind w:left="0" w:right="0" w:hanging="360"/>
        <w:jc w:val="both"/>
        <w:rPr/>
      </w:pPr>
      <w:r>
        <w:rPr>
          <w:color w:val="000000"/>
        </w:rPr>
        <w:t>•</w:t>
      </w:r>
      <w:r>
        <w:rPr>
          <w:rFonts w:ascii="Times New Roman;serif" w:hAnsi="Times New Roman;serif"/>
          <w:b w:val="false"/>
          <w:color w:val="000000"/>
          <w:sz w:val="20"/>
        </w:rPr>
        <w:t>the balance between fixed and variable compensation, short and long-term compensation, and cash and equity payouts; and</w:t>
      </w:r>
    </w:p>
    <w:p>
      <w:pPr>
        <w:pStyle w:val="TextBody"/>
        <w:bidi w:val="0"/>
        <w:spacing w:lineRule="auto" w:line="288" w:before="0" w:after="220"/>
        <w:ind w:left="0" w:right="0" w:hanging="360"/>
        <w:jc w:val="left"/>
        <w:rPr/>
      </w:pPr>
      <w:r>
        <w:rPr>
          <w:color w:val="000000"/>
        </w:rPr>
        <w:t>•</w:t>
      </w:r>
      <w:r>
        <w:rPr>
          <w:rFonts w:ascii="Times New Roman;serif" w:hAnsi="Times New Roman;serif"/>
          <w:b w:val="false"/>
          <w:color w:val="000000"/>
          <w:sz w:val="20"/>
        </w:rPr>
        <w:t>regular review of the executive compensation program by an independent compensation consultant.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also has oversight over our responsibility to review all our compensation policies and procedures, including the incentives that they create, to determine whether they present a significant risk. In consultation with management and Semler Brossy, in May 2025,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COMPENSATION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section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Respectfully submitted by the members of the compensation committee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Francisco D'Souza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Archana Agrawal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Tom Killalea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 Lewnes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i/>
          <w:color w:val="000000"/>
          <w:sz w:val="20"/>
        </w:rPr>
        <w:t>The material in this report is not “soliciting material,” is not deemed “filed” with, the SEC and is not to be incorporated by reference in any filing of MongoDB under the Securities Act or the Exchange Act, other than our Annual Report on Form 10</w:t>
      </w:r>
      <w:r>
        <w:rPr>
          <w:color w:val="000000"/>
        </w:rPr>
        <w:noBreakHyphen/>
      </w:r>
      <w:r>
        <w:rPr>
          <w:rFonts w:ascii="Times New Roman;serif" w:hAnsi="Times New Roman;serif"/>
          <w:b w:val="false"/>
          <w:i/>
          <w:color w:val="000000"/>
          <w:sz w:val="20"/>
        </w:rPr>
        <w:t>K, where it shall be deemed to be “furnished,”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8"/>
        </w:rPr>
      </w:pPr>
      <w:r>
        <w:rPr>
          <w:rFonts w:ascii="Times New Roman;serif" w:hAnsi="Times New Roman;serif"/>
          <w:b/>
          <w:color w:val="000000"/>
          <w:sz w:val="28"/>
        </w:rPr>
        <w:t>Executive Compensation Tables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Summary Compensation Table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compensation of our named executive officers for our fiscal year ended January 31, 2026 in accordance with SEC rules.</w:t>
      </w:r>
    </w:p>
    <w:tbl>
      <w:tblPr>
        <w:tblW w:w="10205" w:type="dxa"/>
        <w:jc w:val="left"/>
        <w:tblInd w:w="0" w:type="dxa"/>
        <w:tblLayout w:type="fixed"/>
        <w:tblCellMar>
          <w:top w:w="28" w:type="dxa"/>
          <w:left w:w="28" w:type="dxa"/>
          <w:bottom w:w="28" w:type="dxa"/>
          <w:right w:w="28" w:type="dxa"/>
        </w:tblCellMar>
      </w:tblPr>
      <w:tblGrid>
        <w:gridCol w:w="1416"/>
        <w:gridCol w:w="1246"/>
        <w:gridCol w:w="1249"/>
        <w:gridCol w:w="205"/>
        <w:gridCol w:w="205"/>
        <w:gridCol w:w="206"/>
        <w:gridCol w:w="259"/>
        <w:gridCol w:w="259"/>
        <w:gridCol w:w="263"/>
        <w:gridCol w:w="389"/>
        <w:gridCol w:w="389"/>
        <w:gridCol w:w="394"/>
        <w:gridCol w:w="440"/>
        <w:gridCol w:w="440"/>
        <w:gridCol w:w="441"/>
        <w:gridCol w:w="440"/>
        <w:gridCol w:w="440"/>
        <w:gridCol w:w="441"/>
        <w:gridCol w:w="315"/>
        <w:gridCol w:w="315"/>
        <w:gridCol w:w="453"/>
      </w:tblGrid>
      <w:tr>
        <w:trPr/>
        <w:tc>
          <w:tcPr>
            <w:tcW w:w="14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and Principal Position</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w:t>
              <w:br/>
              <w:t>Year</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Salary</w:t>
              <w:br/>
              <w:t>($)</w:t>
            </w:r>
          </w:p>
        </w:tc>
        <w:tc>
          <w:tcPr>
            <w:tcW w:w="11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Awards</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(1)</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Non-Equity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Incentive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(2)</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 Other</w:t>
              <w:br/>
              <w:t>Compensation</w:t>
              <w:br/>
              <w:t>($)</w:t>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w:t>
            </w:r>
          </w:p>
        </w:tc>
      </w:tr>
      <w:tr>
        <w:trPr/>
        <w:tc>
          <w:tcPr>
            <w:tcW w:w="3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 xml:space="preserve">Chirantan Desai </w:t>
            </w:r>
            <w:r>
              <w:rPr>
                <w:rFonts w:ascii="Times New Roman;serif" w:hAnsi="Times New Roman;serif"/>
                <w:b w:val="false"/>
                <w:i/>
                <w:color w:val="000000"/>
                <w:sz w:val="20"/>
              </w:rPr>
              <w:t>President and Chief Executive Officer</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114,583</w:t>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52,601,945</w:t>
            </w:r>
            <w:r>
              <w:rPr>
                <w:rFonts w:ascii="Times New Roman;serif" w:hAnsi="Times New Roman;serif"/>
                <w:b w:val="false"/>
                <w:color w:val="000000"/>
                <w:sz w:val="13"/>
              </w:rPr>
              <w:t>(3)</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114,133</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52,830,661</w:t>
            </w:r>
          </w:p>
        </w:tc>
      </w:tr>
      <w:tr>
        <w:trPr/>
        <w:tc>
          <w:tcPr>
            <w:tcW w:w="391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 Ittycheria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Former President and Chief Executive Officer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408,333</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15,735,621</w:t>
            </w:r>
            <w:r>
              <w:rPr>
                <w:rFonts w:ascii="Times New Roman;serif" w:hAnsi="Times New Roman;serif"/>
                <w:b w:val="false"/>
                <w:color w:val="000000"/>
                <w:sz w:val="13"/>
              </w:rPr>
              <w:t>(3)</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129,993</w:t>
            </w:r>
            <w:r>
              <w:rPr>
                <w:rFonts w:ascii="Times New Roman;serif" w:hAnsi="Times New Roman;serif"/>
                <w:b w:val="false"/>
                <w:color w:val="000000"/>
                <w:sz w:val="13"/>
              </w:rPr>
              <w:t>(4)</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16,273,947</w:t>
            </w:r>
          </w:p>
        </w:tc>
      </w:tr>
      <w:tr>
        <w:trPr/>
        <w:tc>
          <w:tcPr>
            <w:tcW w:w="391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15,046,370</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296,975</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15,843,345</w:t>
            </w:r>
          </w:p>
        </w:tc>
      </w:tr>
      <w:tr>
        <w:trPr/>
        <w:tc>
          <w:tcPr>
            <w:tcW w:w="3911"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400,000</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14,825,835</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65,612</w:t>
            </w:r>
            <w:r>
              <w:rPr>
                <w:rFonts w:ascii="Times New Roman;serif" w:hAnsi="Times New Roman;serif"/>
                <w:b w:val="false"/>
                <w:color w:val="000000"/>
                <w:sz w:val="13"/>
              </w:rPr>
              <w:t>(5)</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15,291,447</w:t>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238,718</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12,798,717</w:t>
            </w:r>
            <w:r>
              <w:rPr>
                <w:rFonts w:ascii="Times New Roman;serif" w:hAnsi="Times New Roman;serif"/>
                <w:b w:val="false"/>
                <w:color w:val="000000"/>
                <w:sz w:val="13"/>
              </w:rPr>
              <w:t>(3)</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226,581</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12,412</w:t>
            </w:r>
            <w:r>
              <w:rPr>
                <w:rFonts w:ascii="Times New Roman;serif" w:hAnsi="Times New Roman;serif"/>
                <w:b w:val="false"/>
                <w:color w:val="000000"/>
                <w:sz w:val="13"/>
              </w:rPr>
              <w:t>(4)</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13,276,428</w:t>
            </w:r>
          </w:p>
        </w:tc>
      </w:tr>
      <w:tr>
        <w:trPr/>
        <w:tc>
          <w:tcPr>
            <w:tcW w:w="39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Srdjan Tanjga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Former Interim Chief Financial Officer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104,945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115,515</w:t>
            </w:r>
            <w:r>
              <w:rPr>
                <w:rFonts w:ascii="Times New Roman;serif" w:hAnsi="Times New Roman;serif"/>
                <w:b w:val="false"/>
                <w:color w:val="000000"/>
                <w:sz w:val="13"/>
              </w:rPr>
              <w:t>(3)</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691</w:t>
            </w:r>
            <w:r>
              <w:rPr>
                <w:rFonts w:ascii="Times New Roman;serif" w:hAnsi="Times New Roman;serif"/>
                <w:b w:val="false"/>
                <w:color w:val="000000"/>
                <w:sz w:val="13"/>
              </w:rPr>
              <w:t>(4)</w:t>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221,151</w:t>
            </w:r>
          </w:p>
        </w:tc>
      </w:tr>
      <w:tr>
        <w:trPr/>
        <w:tc>
          <w:tcPr>
            <w:tcW w:w="3911"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Cedric Pech</w:t>
            </w:r>
          </w:p>
          <w:p>
            <w:pPr>
              <w:pStyle w:val="TableContents"/>
              <w:bidi w:val="0"/>
              <w:spacing w:lineRule="auto" w:line="288" w:before="0" w:after="0"/>
              <w:jc w:val="left"/>
              <w:rPr/>
            </w:pPr>
            <w:r>
              <w:rPr>
                <w:rFonts w:ascii="Times New Roman;serif" w:hAnsi="Times New Roman;serif"/>
                <w:b w:val="false"/>
                <w:i/>
                <w:color w:val="000000"/>
                <w:sz w:val="20"/>
              </w:rPr>
              <w:t>President of Field Operations</w:t>
            </w:r>
            <w:r>
              <w:rPr>
                <w:rFonts w:ascii="Times New Roman;serif" w:hAnsi="Times New Roman;serif"/>
                <w:b w:val="false"/>
                <w:color w:val="000000"/>
                <w:sz w:val="13"/>
              </w:rPr>
              <w:t>(6)</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357,500</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8,120,213</w:t>
            </w:r>
            <w:r>
              <w:rPr>
                <w:rFonts w:ascii="Times New Roman;serif" w:hAnsi="Times New Roman;serif"/>
                <w:b w:val="false"/>
                <w:color w:val="000000"/>
                <w:sz w:val="13"/>
              </w:rPr>
              <w:t>(3)</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732,456</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111,896</w:t>
            </w:r>
            <w:r>
              <w:rPr>
                <w:rFonts w:ascii="Times New Roman;serif" w:hAnsi="Times New Roman;serif"/>
                <w:b w:val="false"/>
                <w:color w:val="000000"/>
                <w:sz w:val="13"/>
              </w:rPr>
              <w:t>(7)</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9,322,065</w:t>
            </w:r>
          </w:p>
        </w:tc>
      </w:tr>
      <w:tr>
        <w:trPr/>
        <w:tc>
          <w:tcPr>
            <w:tcW w:w="39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302,500</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6,920,163</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448,252</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114,683</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7,785,598</w:t>
            </w:r>
          </w:p>
        </w:tc>
      </w:tr>
      <w:tr>
        <w:trPr/>
        <w:tc>
          <w:tcPr>
            <w:tcW w:w="39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292,358</w:t>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7,107,244</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613,952</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140,829</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8,154,383</w:t>
            </w:r>
          </w:p>
        </w:tc>
      </w:tr>
    </w:tbl>
    <w:p>
      <w:pPr>
        <w:pStyle w:val="TextBody"/>
        <w:bidi w:val="0"/>
        <w:spacing w:lineRule="auto" w:line="288" w:before="10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amounts in this column represent the grant date fair value of equity awards granted during the year. These amounts do not necessarily correspond to the actual value recognized or that may be recognized by the named executive officers. Equity awards granted under the 2016 Plan during each year include: (a) awards of time-based RSUs; (b) awards of PSUs pursuant to the Senior Leadership Equity Bonus Program; (c) awards of PSUs under our long-term incentive program; (d) for Mr. Desai, one-time sign-on awards of RSUs and PSUs in connection with his appointment as Chief Executive Officer and (e) for Mr. Berry, two one-time sign-on awards of RSUs in connection with his appointment as Chief Financial Officer. RSU and PSU awards are valued based on the closing price of our common stock on the grant date in accordance with ASC 718. The assumptions used in calculating the grant date fair value of the RSUs and PSUs reported in this column are set forth in Note 11 to our Consolidated Financial Statements included in our Annual Report on Form 10-K for the applicable fiscal year. In the case of PSUs pursuant to the Senior Leadership Equity Bonus Program and the long-term incentive program, the grant date fair value was determined based on the applicable performance conditions being achieved at the target payout level, which we determined to be the probable outcome as of the grant date. In the case of the one-time sign-on award of PSUs granted to Mr. Desai, the grant date fair value was calculated based on the application of a Monte Carlo simulation model to determine the probable outcome of the market-based performance conditions based on the applicable performance conditions being achieved at the maximum payout level (200%), which we determined to be the probable outcome as of the grant date. The grant date fair value shown here may differ from the approved value shown in the Compensation Discussion and Analysis because of the accounting methodology required in this table.</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Messrs. Desai and Berry, such amounts are prorated to reflect their period of service with the Company during fiscal year 2026. For fiscal year 2026, Messrs. Ittycheria and Tanjga did not receive a performance-based cash bonus award, as they elected to be paid in equity in lieu of cash. Please see the section titled “Senior Leadership Equity Bonus Program” in our Compensation Discussion and Analysis for additional details.</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 xml:space="preserve">Includes (i) in the case of Mr. Ittycheria, an award of PSUs granted pursuant to the executive's election to receive a bonus stock award under the Senior Leadership Equity Bonus Program in lieu of fiscal year 2026 non-equity incentive compensation; (ii) in the case of Mr. Tanjga, an award of PSUs pursuant to our MBO Plan; (iii) in the case of each of Messrs. Ittycheria and Pech, an award of RSUs and PSUs granted pursuant to our long-term incentive program; (iv) in the case of Mr. Desai, one-time awards of RSUs and PSUs in connection with his appointment as Chief Executive Officer, and (v) in the case of Mr. Berry, two one-time RSU awards in connection with his appointment as Chief Financial Officer. For Mr. Desai, includes 44,096 RSUs with a grant date fair value of $16,487,053 and 102,890 PSUs with a grant date fair value of $36,114,892 in connection with his appointment as Chief Executive Officer. For Mr. Ittycheria, includes 1,785 PSUs with a grant date fair value of $350,075 granted pursuant to the Senior Leadership Equity Bonus Program and, pursuant to our long-term incentive program, 40,638 RSUs with a grant date fair value of $7,692,773 and 40,638 PSUs with a grant date fair value of $7,692,773. Mr. Ittycheria's 1,785 PSUs were later prorated to a target stock amount of 1,463 given his salary change effective November 10, 2025. For Mr. Berry, includes 50,802 RSUs with a grant date fair value of $9,599,038 and 16,934 RSUs with a grant date fair value of $3,199,679 granted in connection with his appointment as Chief Financial Officer. For Mr. Tanjga, includes 589 PSUs with a grant date fair value of $115,515, granted pursuant to the MBO Plan. Mr. Tanjga’s PSUs that were granted in fiscal year 2026 and which remained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unvested as of his separation on May 8, 2025 were forfeited. For Mr. Pech, includes 21,448 RSUs with a grant date fair value of $4,060,106 and 21,448 PSUs with a grant date fair value of $4,060,106 granted pursuant to our long-term incentive program. Each of the foregoing grant date fair values was determined based on the applicable performance conditions being achieved at the target payout level, which we determined to be the probable outcome as of the grant date. Assuming that maximum performance is achieved under the Senior Leadership Equity Program and corresponding MBO Plan for Mr. Tanjga, the value of the PSUs made to Mr. Ittycheria and Mr. Tanjga at the date of grant would have been $700,148 and $141,599, respectively. Assuming that maximum performance is achieved under the long-term incentive program, the value of the PSUs made to Messrs. Ittycheria and Pech at the date of grant for fiscal year 2026 would have been $15,385,547 and $8,120,213, respectively. Please see the sections titled “Senior Leadership Equity Bonus Program” and "Long-Term Equity Incentives" in our Compensation Discussion and Analysis and the “Grants of Plan-Based Awards” table for additional details.</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 xml:space="preserve">Represents (i) expenses incurred by us related to a cybersecurity assessment and related services (“Cybersecurity Services”) at the executive’s personal residence in the amount of $16,667 for Mr. Ittycheria and $10,000 for Mr. Berry; (ii) gross-up payment for food vouchers offered to all U.S. based employees; (iii) $113,296 incurred by us related to security enhancements for Mr. Ittycheria's personal residence and (iv) in the case of Mr. Berry, our Section 401(k) matching contributions (which vest after one year of service). </w:t>
      </w:r>
    </w:p>
    <w:p>
      <w:pPr>
        <w:pStyle w:val="TextBody"/>
        <w:bidi w:val="0"/>
        <w:spacing w:lineRule="auto" w:line="288" w:before="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In addition to amounts previously reported in fiscal year 2024, Mr. Ittycheria received personal security services valued at $33,726.</w:t>
      </w:r>
    </w:p>
    <w:p>
      <w:pPr>
        <w:pStyle w:val="TextBody"/>
        <w:bidi w:val="0"/>
        <w:spacing w:lineRule="auto" w:line="288" w:before="0" w:after="120"/>
        <w:ind w:left="0" w:right="0" w:hanging="360"/>
        <w:jc w:val="both"/>
        <w:rPr/>
      </w:pPr>
      <w:r>
        <w:rPr>
          <w:rFonts w:ascii="Times New Roman;serif" w:hAnsi="Times New Roman;serif"/>
          <w:b w:val="false"/>
          <w:color w:val="000000"/>
          <w:sz w:val="10"/>
        </w:rPr>
        <w:t>(6)</w:t>
      </w:r>
      <w:r>
        <w:rPr>
          <w:color w:val="000000"/>
        </w:rPr>
        <w:t>    </w:t>
      </w:r>
      <w:r>
        <w:rPr>
          <w:rFonts w:ascii="Times New Roman;serif" w:hAnsi="Times New Roman;serif"/>
          <w:b w:val="false"/>
          <w:color w:val="000000"/>
          <w:sz w:val="16"/>
        </w:rPr>
        <w:t xml:space="preserve">Mr. Pech’s cash compensation was paid in CHF and, for the purposes of the table, converted into U.S. dollars based on the exchange rate as of January 31, 2026 of 1.30 CHF to U.S. dollar for fiscal year 2026 (except for Cybersecurity Services which were paid in U.S. dollars). Values for fiscal year 2025 were calculated based on the exchange rate of January 31, 2025 of 1.10 CHF to U.S. dollar (except for the Cybersecurity Services which were paid in U.S. dollars). Values for fiscal year 2024 were calculated based on the exchange rate of January 31, 2024 of 1.16 CHF to U.S. dollar (except for the Cybersecurity Services which were paid in U.S. dollars). </w:t>
      </w:r>
    </w:p>
    <w:p>
      <w:pPr>
        <w:pStyle w:val="TextBody"/>
        <w:bidi w:val="0"/>
        <w:spacing w:lineRule="auto" w:line="288" w:before="0" w:after="240"/>
        <w:ind w:left="0" w:right="0" w:hanging="360"/>
        <w:jc w:val="both"/>
        <w:rPr/>
      </w:pPr>
      <w:r>
        <w:rPr>
          <w:rFonts w:ascii="Times New Roman;serif" w:hAnsi="Times New Roman;serif"/>
          <w:b w:val="false"/>
          <w:color w:val="000000"/>
          <w:sz w:val="10"/>
        </w:rPr>
        <w:t>(7)</w:t>
      </w:r>
      <w:r>
        <w:rPr>
          <w:color w:val="000000"/>
        </w:rPr>
        <w:t>    </w:t>
      </w:r>
      <w:r>
        <w:rPr>
          <w:rFonts w:ascii="Times New Roman;serif" w:hAnsi="Times New Roman;serif"/>
          <w:b w:val="false"/>
          <w:color w:val="000000"/>
          <w:sz w:val="16"/>
        </w:rPr>
        <w:t>Represents (i) a monthly housing and health coverage allowance of $47,175, (ii) a health allowance of $6,864, (iii) $20,000 of expenses incurred by us for Cybersecurity Services at the executive’s personal residence, (iv) employer contributions to a Swiss pension (defined contribution) plan of $35,706 and (v) life insurance (or similar risk insurance) premiums paid by us of $2,151.</w:t>
      </w:r>
    </w:p>
    <w:p>
      <w:pPr>
        <w:pStyle w:val="TextBody"/>
        <w:bidi w:val="0"/>
        <w:spacing w:lineRule="auto" w:line="288" w:before="0" w:after="120"/>
        <w:ind w:left="0" w:right="0" w:hanging="360"/>
        <w:jc w:val="left"/>
        <w:rPr>
          <w:rFonts w:ascii="Times New Roman;serif" w:hAnsi="Times New Roman;serif"/>
          <w:b/>
          <w:color w:val="000000"/>
          <w:sz w:val="24"/>
        </w:rPr>
      </w:pPr>
      <w:r>
        <w:rPr>
          <w:rFonts w:ascii="Times New Roman;serif" w:hAnsi="Times New Roman;serif"/>
          <w:b/>
          <w:color w:val="000000"/>
          <w:sz w:val="24"/>
        </w:rPr>
        <w:t>Grants of Plan-Based Awards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each plan-based award granted to our named executive officers during the fiscal year ended January 31, 2026.</w:t>
      </w:r>
    </w:p>
    <w:tbl>
      <w:tblPr>
        <w:tblW w:w="10205" w:type="dxa"/>
        <w:jc w:val="left"/>
        <w:tblInd w:w="0" w:type="dxa"/>
        <w:tblLayout w:type="fixed"/>
        <w:tblCellMar>
          <w:top w:w="28" w:type="dxa"/>
          <w:left w:w="28" w:type="dxa"/>
          <w:bottom w:w="28" w:type="dxa"/>
          <w:right w:w="28" w:type="dxa"/>
        </w:tblCellMar>
      </w:tblPr>
      <w:tblGrid>
        <w:gridCol w:w="323"/>
        <w:gridCol w:w="283"/>
        <w:gridCol w:w="286"/>
        <w:gridCol w:w="212"/>
        <w:gridCol w:w="212"/>
        <w:gridCol w:w="213"/>
        <w:gridCol w:w="247"/>
        <w:gridCol w:w="235"/>
        <w:gridCol w:w="236"/>
        <w:gridCol w:w="518"/>
        <w:gridCol w:w="206"/>
        <w:gridCol w:w="206"/>
        <w:gridCol w:w="494"/>
        <w:gridCol w:w="206"/>
        <w:gridCol w:w="206"/>
        <w:gridCol w:w="575"/>
        <w:gridCol w:w="232"/>
        <w:gridCol w:w="206"/>
        <w:gridCol w:w="282"/>
        <w:gridCol w:w="282"/>
        <w:gridCol w:w="197"/>
        <w:gridCol w:w="276"/>
        <w:gridCol w:w="228"/>
        <w:gridCol w:w="143"/>
        <w:gridCol w:w="281"/>
        <w:gridCol w:w="281"/>
        <w:gridCol w:w="184"/>
        <w:gridCol w:w="505"/>
        <w:gridCol w:w="505"/>
        <w:gridCol w:w="507"/>
        <w:gridCol w:w="542"/>
        <w:gridCol w:w="364"/>
        <w:gridCol w:w="532"/>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Future Payouts Under Non-Equity Incentive Plan Awards</w:t>
            </w:r>
            <w:r>
              <w:rPr>
                <w:rFonts w:ascii="Times New Roman;serif" w:hAnsi="Times New Roman;serif"/>
                <w:b/>
                <w:color w:val="000000"/>
                <w:sz w:val="10"/>
              </w:rPr>
              <w:t>(1)</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Future Payouts Under</w:t>
            </w:r>
          </w:p>
          <w:p>
            <w:pPr>
              <w:pStyle w:val="TableContents"/>
              <w:bidi w:val="0"/>
              <w:spacing w:lineRule="auto" w:line="240" w:before="0" w:after="0"/>
              <w:jc w:val="center"/>
              <w:rPr/>
            </w:pPr>
            <w:r>
              <w:rPr>
                <w:rFonts w:ascii="Times New Roman;serif" w:hAnsi="Times New Roman;serif"/>
                <w:b/>
                <w:color w:val="000000"/>
                <w:sz w:val="16"/>
              </w:rPr>
              <w:t>Equity Incentive Plan Awards</w:t>
            </w:r>
            <w:r>
              <w:rPr>
                <w:rFonts w:ascii="Times New Roman;serif" w:hAnsi="Times New Roman;serif"/>
                <w:b/>
                <w:color w:val="000000"/>
                <w:sz w:val="10"/>
              </w:rPr>
              <w:t>(2)</w:t>
            </w:r>
          </w:p>
        </w:tc>
        <w:tc>
          <w:tcPr>
            <w:tcW w:w="151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 Stock Awards: Number of Shares of Stock or Units</w:t>
              <w:br/>
              <w:t>(#)</w:t>
            </w:r>
          </w:p>
        </w:tc>
        <w:tc>
          <w:tcPr>
            <w:tcW w:w="143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Grant Date Fair Value of Stock Awards</w:t>
            </w:r>
            <w:r>
              <w:rPr>
                <w:rFonts w:ascii="Times New Roman;serif" w:hAnsi="Times New Roman;serif"/>
                <w:b/>
                <w:color w:val="000000"/>
                <w:sz w:val="10"/>
              </w:rPr>
              <w:t>(3)</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 Type</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Threshold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br/>
              <w:t>($)</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Maximum ($)</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Threshold (#)</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Target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 (#)</w:t>
            </w:r>
          </w:p>
        </w:tc>
        <w:tc>
          <w:tcPr>
            <w:tcW w:w="15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7"/>
              </w:rPr>
            </w:pPr>
            <w:r>
              <w:rPr>
                <w:rFonts w:ascii="Times New Roman;serif" w:hAnsi="Times New Roman;serif"/>
                <w:b w:val="false"/>
                <w:color w:val="000000"/>
                <w:sz w:val="17"/>
              </w:rPr>
              <w:t xml:space="preserve">Chirantan Desai </w:t>
            </w:r>
          </w:p>
        </w:tc>
        <w:tc>
          <w:tcPr>
            <w:tcW w:w="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11/10/2025</w:t>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PSU</w:t>
            </w:r>
            <w:r>
              <w:rPr>
                <w:rFonts w:ascii="Times New Roman;serif" w:hAnsi="Times New Roman;serif"/>
                <w:b/>
                <w:color w:val="000000"/>
                <w:sz w:val="11"/>
              </w:rPr>
              <w:t>(4)</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51,445</w:t>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102,890</w:t>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36,114,892</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11/10/2025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RSU</w:t>
            </w:r>
            <w:r>
              <w:rPr>
                <w:rFonts w:ascii="Times New Roman;serif" w:hAnsi="Times New Roman;serif"/>
                <w:b/>
                <w:color w:val="000000"/>
                <w:sz w:val="11"/>
              </w:rPr>
              <w:t>(4)</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44,096</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16,487,053</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11/10/2025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Annual Cash</w:t>
            </w:r>
            <w:r>
              <w:rPr>
                <w:rFonts w:ascii="Times New Roman;serif" w:hAnsi="Times New Roman;serif"/>
                <w:b/>
                <w:color w:val="000000"/>
                <w:sz w:val="11"/>
              </w:rPr>
              <w:t>(5)</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175,000</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350,000</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700,000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Dev Ittycheria</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3/15/2025</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PSU</w:t>
            </w:r>
            <w:r>
              <w:rPr>
                <w:rFonts w:ascii="Times New Roman;serif" w:hAnsi="Times New Roman;serif"/>
                <w:b/>
                <w:color w:val="000000"/>
                <w:sz w:val="11"/>
              </w:rPr>
              <w:t>(6)</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893</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1,785</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3,570</w:t>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350,074</w:t>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3/20/2025</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RSU</w:t>
            </w:r>
            <w:r>
              <w:rPr>
                <w:rFonts w:ascii="Times New Roman;serif" w:hAnsi="Times New Roman;serif"/>
                <w:b/>
                <w:color w:val="000000"/>
                <w:sz w:val="11"/>
              </w:rPr>
              <w:t>(7)</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40,638</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7,692,773</w:t>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3/20/2025</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PSU</w:t>
            </w:r>
            <w:r>
              <w:rPr>
                <w:rFonts w:ascii="Times New Roman;serif" w:hAnsi="Times New Roman;serif"/>
                <w:b/>
                <w:color w:val="000000"/>
                <w:sz w:val="11"/>
              </w:rPr>
              <w:t>(7)</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20,319</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40,638</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81,276</w:t>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7,692,773</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Michael Berry</w:t>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5/27/2025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RSU</w:t>
            </w:r>
            <w:r>
              <w:rPr>
                <w:rFonts w:ascii="Times New Roman;serif" w:hAnsi="Times New Roman;serif"/>
                <w:b/>
                <w:color w:val="000000"/>
                <w:sz w:val="11"/>
              </w:rPr>
              <w:t>(8)</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50,802</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9,599,038</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5/27/2025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RSU</w:t>
            </w:r>
            <w:r>
              <w:rPr>
                <w:rFonts w:ascii="Times New Roman;serif" w:hAnsi="Times New Roman;serif"/>
                <w:b/>
                <w:color w:val="000000"/>
                <w:sz w:val="11"/>
              </w:rPr>
              <w:t>(8)</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16,934</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3,199,679</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5/27/2025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Annual Cash</w:t>
            </w:r>
            <w:r>
              <w:rPr>
                <w:rFonts w:ascii="Times New Roman;serif" w:hAnsi="Times New Roman;serif"/>
                <w:b/>
                <w:color w:val="000000"/>
                <w:sz w:val="11"/>
              </w:rPr>
              <w:t>(5)</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113,750</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227,500</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455,000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Srdjan Tanjga</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3/15/2025</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PSU</w:t>
            </w:r>
            <w:r>
              <w:rPr>
                <w:rFonts w:ascii="Times New Roman;serif" w:hAnsi="Times New Roman;serif"/>
                <w:b/>
                <w:color w:val="000000"/>
                <w:sz w:val="11"/>
              </w:rPr>
              <w:t>(6)</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489</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589</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722</w:t>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115,515</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Cedric Pech</w:t>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3/15/2025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Annual Cash</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250,250</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500,500</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1,001,000</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3/20/2025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RSU</w:t>
            </w:r>
            <w:r>
              <w:rPr>
                <w:rFonts w:ascii="Times New Roman;serif" w:hAnsi="Times New Roman;serif"/>
                <w:b/>
                <w:color w:val="000000"/>
                <w:sz w:val="11"/>
              </w:rPr>
              <w:t>(7)</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21,448</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4,060,106</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3/20/2025</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PSU</w:t>
            </w:r>
            <w:r>
              <w:rPr>
                <w:rFonts w:ascii="Times New Roman;serif" w:hAnsi="Times New Roman;serif"/>
                <w:b/>
                <w:color w:val="000000"/>
                <w:sz w:val="11"/>
              </w:rPr>
              <w:t>(7)</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10,724</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21,448</w:t>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42,896</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4,060,106</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Mr. Pech’s annual cash bonus target is set and paid in CHF and, for the purposes of the table, converted into U.S. dollars based on the exchange rate as of January 31, 2026 of 1.30 CHF to the U.S. dollar. Actual payout is reported in the “Summary Compensation Table” in the “Non-Equity Incentive Plan Compensation” column.</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 xml:space="preserve">Amounts represent the threshold, target and maximum number of shares that could be earned pursuant to (i) PSUs granted under the long-term incentive program granted on March 20, 2025; (ii) the Senior Leadership Equity Bonus Program in lieu of fiscal year 2026 non-equity incentive compensation on March 15, 2025 and (iii) PSUs granted to Mr. Desai as a one-time sign-on award. </w:t>
      </w:r>
    </w:p>
    <w:p>
      <w:pPr>
        <w:pStyle w:val="TextBody"/>
        <w:bidi w:val="0"/>
        <w:spacing w:lineRule="auto" w:line="26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 xml:space="preserve">Time-based RSU awards and performance-based PSU awards are valued based on the grant date fair value. The assumptions used in calculating the grant date fair value of the RSUs and PSUs reported in this column are set forth in Note 11 to our Consolidated Financial Statements included in our Annual Report on Form 10-K for the applicable fiscal year. In the case of PSUs granted to Mr. Desai as a one-time sign-on award, the grant date fair value was calculated based on the application of a Monte Carlo simulation model to determine the probable outcome of the market-based performance conditions based on the applicable performance conditions being achieved at the maximum payout level, which we determined to be the probable outcome as of the grant date. In the case of PSUs granted pursuant to the Senior Leadership Equity Bonus Program and our long-term equity program, the grant date fair value was determined based on the applicable performance conditions being achieved at the target payout level,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4"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120"/>
        <w:jc w:val="both"/>
        <w:rPr>
          <w:rFonts w:ascii="Times New Roman;serif" w:hAnsi="Times New Roman;serif"/>
          <w:b w:val="false"/>
          <w:color w:val="000000"/>
          <w:sz w:val="16"/>
        </w:rPr>
      </w:pPr>
      <w:r>
        <w:rPr>
          <w:rFonts w:ascii="Times New Roman;serif" w:hAnsi="Times New Roman;serif"/>
          <w:b w:val="false"/>
          <w:color w:val="000000"/>
          <w:sz w:val="16"/>
        </w:rPr>
        <w:t>determined to be the probable outcome as of the grant date. Assuming that maximum performance is achieved under the Senior Leadership Equity Program and corresponding MBO Plan for Mr. Tanjga, the value of the PSUs made to Messrs. Ittycheria and Tanjga at the date of grant would have been $700,148 and $141,599, respectively. The stock price at the grant date was based on the closing price of our common stock on the grant date, as reported on the Nasdaq as follows: March 15, 2025 ($196.12). Assuming that maximum performance is achieved under the long-term incentive program, the value of the PSUs made to Messrs. Ittycheria and Pech at the date of grant for fiscal year 2026 would have been $15,385,547 and $8,120,213, respectively. The stock price at the grant dates was based on the closing price per share of our common stock on the grant date, as reported on the Nasdaq as follows: March 20, 2025 ($189.30). RSUs for Messrs. Ittycheria and Pech will vest in quarterly installments over four years. RSUs for Mr. Pech vested in quarterly installments until April 15, 2026, and the remaining shares were forfeited in connection with his Separation Agreement. Mr. Ittycheria's RSUs will continue to vest until October 2, 2026 in connection with his Advisory Agreement. One-third of the PSUs granted to Messrs. Ittycheria and Pech under our long-term incentive program vested on April 1, 2026 following the determination by our compensation committee regarding the underlying performance conditions. For Mr. Ittycheria, the remaining two-thirds of his PSUs will be forfeited upon the termination of his Advisory Agreement, and for Mr. Pech, the remaining two-thirds of his PSUs were forfeited pursuant to his Separation Agreement. PSUs for Messrs. Ittycheria granted under our Senior Leadership Equity Bonus Program vested on April 1, 2026, following the determinations of the award achieved for the full fiscal year 2026. Mr. Tanjga's PSUs were forfeited in connection with his resignation effective May 8, 2025.</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The RSUs and PSUs granted to Mr. Desai on November 11, 2025 under the 2016 Plan were pursuant to one-time sign-on awards.</w:t>
      </w:r>
    </w:p>
    <w:p>
      <w:pPr>
        <w:pStyle w:val="TextBody"/>
        <w:bidi w:val="0"/>
        <w:spacing w:lineRule="auto" w:line="288" w:before="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Reflects the target bonus opportunity granted to Messrs. Desai and Berry. Their actual bonus amounts were prorated based on their time in their time in their respective roles during the performance period.</w:t>
      </w:r>
    </w:p>
    <w:p>
      <w:pPr>
        <w:pStyle w:val="TextBody"/>
        <w:bidi w:val="0"/>
        <w:spacing w:lineRule="auto" w:line="288" w:before="0" w:after="120"/>
        <w:ind w:left="0" w:right="0" w:hanging="360"/>
        <w:jc w:val="both"/>
        <w:rPr/>
      </w:pPr>
      <w:r>
        <w:rPr>
          <w:rFonts w:ascii="Times New Roman;serif" w:hAnsi="Times New Roman;serif"/>
          <w:b w:val="false"/>
          <w:color w:val="000000"/>
          <w:sz w:val="10"/>
        </w:rPr>
        <w:t>(6)</w:t>
      </w:r>
      <w:r>
        <w:rPr>
          <w:color w:val="000000"/>
        </w:rPr>
        <w:t>    </w:t>
      </w:r>
      <w:r>
        <w:rPr>
          <w:rFonts w:ascii="Times New Roman;serif" w:hAnsi="Times New Roman;serif"/>
          <w:b w:val="false"/>
          <w:color w:val="000000"/>
          <w:sz w:val="16"/>
        </w:rPr>
        <w:t>The PSUs granted to Messrs. Ittycheria and Tanjga on March 15, 2025 under the 2016 Plan were pursuant to the Senior Leadership Equity Bonus Program and corresponding MBO Plan for Mr. Tanjga.</w:t>
      </w:r>
    </w:p>
    <w:p>
      <w:pPr>
        <w:pStyle w:val="TextBody"/>
        <w:bidi w:val="0"/>
        <w:spacing w:lineRule="auto" w:line="288" w:before="0" w:after="120"/>
        <w:ind w:left="0" w:right="0" w:hanging="360"/>
        <w:jc w:val="both"/>
        <w:rPr/>
      </w:pPr>
      <w:r>
        <w:rPr>
          <w:rFonts w:ascii="Times New Roman;serif" w:hAnsi="Times New Roman;serif"/>
          <w:b w:val="false"/>
          <w:color w:val="000000"/>
          <w:sz w:val="10"/>
        </w:rPr>
        <w:t>(7)</w:t>
      </w:r>
      <w:r>
        <w:rPr>
          <w:color w:val="000000"/>
        </w:rPr>
        <w:t>    </w:t>
      </w:r>
      <w:r>
        <w:rPr>
          <w:rFonts w:ascii="Times New Roman;serif" w:hAnsi="Times New Roman;serif"/>
          <w:b w:val="false"/>
          <w:color w:val="000000"/>
          <w:sz w:val="16"/>
        </w:rPr>
        <w:t xml:space="preserve">The time-based RSUs and PSUs granted to Messrs. Ittycheria and Pech on March 20, 2025 under the 2016 Plan were pursuant to our long-term equity incentive program. </w:t>
      </w:r>
    </w:p>
    <w:p>
      <w:pPr>
        <w:pStyle w:val="TextBody"/>
        <w:bidi w:val="0"/>
        <w:spacing w:lineRule="auto" w:line="268" w:before="0" w:after="220"/>
        <w:ind w:left="0" w:right="0" w:hanging="360"/>
        <w:jc w:val="both"/>
        <w:rPr/>
      </w:pPr>
      <w:r>
        <w:rPr>
          <w:rFonts w:ascii="Times New Roman;serif" w:hAnsi="Times New Roman;serif"/>
          <w:b w:val="false"/>
          <w:color w:val="000000"/>
          <w:sz w:val="10"/>
        </w:rPr>
        <w:t>(8)</w:t>
      </w:r>
      <w:r>
        <w:rPr>
          <w:color w:val="000000"/>
        </w:rPr>
        <w:t>    </w:t>
      </w:r>
      <w:r>
        <w:rPr>
          <w:rFonts w:ascii="Times New Roman;serif" w:hAnsi="Times New Roman;serif"/>
          <w:b w:val="false"/>
          <w:color w:val="000000"/>
          <w:sz w:val="16"/>
        </w:rPr>
        <w:t xml:space="preserve">The RSU awards granted to Mr. Berry on May 27, 2025 under the 2016 Plan were pursuant to one-time sign-on awards. </w:t>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TextBody"/>
        <w:bidi w:val="0"/>
        <w:spacing w:before="0" w:after="24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5"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before="0" w:after="240"/>
        <w:ind w:left="0" w:right="0" w:hanging="360"/>
        <w:jc w:val="both"/>
        <w:rPr/>
      </w:pPr>
      <w:r>
        <w:rPr/>
      </w:r>
    </w:p>
    <w:p>
      <w:pPr>
        <w:pStyle w:val="TextBody"/>
        <w:bidi w:val="0"/>
        <w:spacing w:lineRule="auto" w:line="288" w:before="0" w:after="240"/>
        <w:ind w:left="0" w:right="0" w:hanging="360"/>
        <w:jc w:val="both"/>
        <w:rPr>
          <w:rFonts w:ascii="Times New Roman;serif" w:hAnsi="Times New Roman;serif"/>
          <w:b/>
          <w:color w:val="000000"/>
          <w:sz w:val="24"/>
        </w:rPr>
      </w:pPr>
      <w:r>
        <w:rPr>
          <w:rFonts w:ascii="Times New Roman;serif" w:hAnsi="Times New Roman;serif"/>
          <w:b/>
          <w:color w:val="000000"/>
          <w:sz w:val="24"/>
        </w:rPr>
        <w:t>Outstanding Equity Awards at Fiscal Year-End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regarding outstanding equity awards held by our named executive officers as of January 31, 2026. Mr. Tanjga, who resigned effective May 8, 2025, held no outstanding equity awards as of January 31, 2026 and is therefore not included in the table below. All awards were granted under our 2008 Stock Plan (the “2008 Plan”) or the 2016 Plan. </w:t>
      </w:r>
    </w:p>
    <w:tbl>
      <w:tblPr>
        <w:tblW w:w="10205" w:type="dxa"/>
        <w:jc w:val="left"/>
        <w:tblInd w:w="0" w:type="dxa"/>
        <w:tblLayout w:type="fixed"/>
        <w:tblCellMar>
          <w:top w:w="28" w:type="dxa"/>
          <w:left w:w="28" w:type="dxa"/>
          <w:bottom w:w="28" w:type="dxa"/>
          <w:right w:w="28" w:type="dxa"/>
        </w:tblCellMar>
      </w:tblPr>
      <w:tblGrid>
        <w:gridCol w:w="289"/>
        <w:gridCol w:w="254"/>
        <w:gridCol w:w="256"/>
        <w:gridCol w:w="186"/>
        <w:gridCol w:w="186"/>
        <w:gridCol w:w="187"/>
        <w:gridCol w:w="201"/>
        <w:gridCol w:w="201"/>
        <w:gridCol w:w="202"/>
        <w:gridCol w:w="410"/>
        <w:gridCol w:w="410"/>
        <w:gridCol w:w="411"/>
        <w:gridCol w:w="470"/>
        <w:gridCol w:w="470"/>
        <w:gridCol w:w="471"/>
        <w:gridCol w:w="239"/>
        <w:gridCol w:w="239"/>
        <w:gridCol w:w="240"/>
        <w:gridCol w:w="298"/>
        <w:gridCol w:w="298"/>
        <w:gridCol w:w="299"/>
        <w:gridCol w:w="109"/>
        <w:gridCol w:w="109"/>
        <w:gridCol w:w="109"/>
        <w:gridCol w:w="245"/>
        <w:gridCol w:w="245"/>
        <w:gridCol w:w="246"/>
        <w:gridCol w:w="499"/>
        <w:gridCol w:w="232"/>
        <w:gridCol w:w="233"/>
        <w:gridCol w:w="296"/>
        <w:gridCol w:w="296"/>
        <w:gridCol w:w="297"/>
        <w:gridCol w:w="382"/>
        <w:gridCol w:w="278"/>
        <w:gridCol w:w="412"/>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 Date</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Award Type</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Securities Underlying Unexercised Options</w:t>
            </w:r>
            <w:r>
              <w:rPr>
                <w:color w:val="000000"/>
              </w:rPr>
              <w:t xml:space="preserve"> </w:t>
            </w:r>
            <w:r>
              <w:rPr>
                <w:rFonts w:ascii="Times New Roman;serif" w:hAnsi="Times New Roman;serif"/>
                <w:b/>
                <w:color w:val="000000"/>
                <w:sz w:val="16"/>
              </w:rPr>
              <w:t>(#) Exercisable</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Securities Underlying Unexercised Options</w:t>
            </w:r>
            <w:r>
              <w:rPr>
                <w:color w:val="000000"/>
              </w:rPr>
              <w:t xml:space="preserve"> </w:t>
            </w:r>
            <w:r>
              <w:rPr>
                <w:rFonts w:ascii="Times New Roman;serif" w:hAnsi="Times New Roman;serif"/>
                <w:b/>
                <w:color w:val="000000"/>
                <w:sz w:val="16"/>
              </w:rPr>
              <w:t>(#) Unexercisable</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Exercise Price ($)</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Number of Shares or Units of Stock That Have Not Vested</w:t>
            </w:r>
            <w:r>
              <w:rPr>
                <w:color w:val="000000"/>
              </w:rPr>
              <w:t xml:space="preserve"> </w:t>
            </w:r>
            <w:r>
              <w:rPr>
                <w:rFonts w:ascii="Times New Roman;serif" w:hAnsi="Times New Roman;serif"/>
                <w:b/>
                <w:color w:val="000000"/>
                <w:sz w:val="16"/>
              </w:rPr>
              <w:t>(#)</w:t>
            </w:r>
            <w:r>
              <w:rPr>
                <w:rFonts w:ascii="Times New Roman;serif" w:hAnsi="Times New Roman;serif"/>
                <w:b/>
                <w:color w:val="000000"/>
                <w:sz w:val="10"/>
              </w:rPr>
              <w:t>(1)(3)</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Market Value of Shares or Units of Stock That Have Not Vested</w:t>
            </w:r>
            <w:r>
              <w:rPr>
                <w:color w:val="000000"/>
              </w:rPr>
              <w:t xml:space="preserve"> </w:t>
            </w:r>
            <w:r>
              <w:rPr>
                <w:rFonts w:ascii="Times New Roman;serif" w:hAnsi="Times New Roman;serif"/>
                <w:b/>
                <w:color w:val="000000"/>
                <w:sz w:val="16"/>
              </w:rPr>
              <w:t>($)</w:t>
            </w:r>
            <w:r>
              <w:rPr>
                <w:rFonts w:ascii="Times New Roman;serif" w:hAnsi="Times New Roman;serif"/>
                <w:b/>
                <w:color w:val="000000"/>
                <w:sz w:val="10"/>
              </w:rPr>
              <w:t>(2)(3)</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Equity Incentive Plan Awards: Number of Unearned Shares, Units or Rights That Have Not Vested (#)</w:t>
            </w:r>
            <w:r>
              <w:rPr>
                <w:rFonts w:ascii="Times New Roman;serif" w:hAnsi="Times New Roman;serif"/>
                <w:b/>
                <w:color w:val="000000"/>
                <w:sz w:val="10"/>
              </w:rPr>
              <w:t>(4)</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Equity Incentive Plan Awards: Market or Payout Value of Unearned Shares, Units or Other Rights That Have Not Vested ($)</w:t>
            </w:r>
            <w:r>
              <w:rPr>
                <w:rFonts w:ascii="Times New Roman;serif" w:hAnsi="Times New Roman;serif"/>
                <w:b/>
                <w:color w:val="000000"/>
                <w:sz w:val="10"/>
              </w:rPr>
              <w:t>(2)(3)</w:t>
            </w:r>
          </w:p>
        </w:tc>
      </w:tr>
      <w:tr>
        <w:trPr/>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Chirantan Desai</w:t>
            </w:r>
          </w:p>
        </w:tc>
        <w:tc>
          <w:tcPr>
            <w:tcW w:w="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11/10/2025</w:t>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51,445</w:t>
            </w:r>
            <w:r>
              <w:rPr>
                <w:rFonts w:ascii="Times New Roman;serif" w:hAnsi="Times New Roman;serif"/>
                <w:b w:val="false"/>
                <w:color w:val="000000"/>
                <w:sz w:val="10"/>
              </w:rPr>
              <w:t>(4)</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19,103,072</w:t>
            </w:r>
          </w:p>
        </w:tc>
      </w:tr>
      <w:tr>
        <w:trPr/>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11/10/2025</w:t>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44,096</w:t>
            </w:r>
            <w:r>
              <w:rPr>
                <w:rFonts w:ascii="Times New Roman;serif" w:hAnsi="Times New Roman;serif"/>
                <w:b w:val="false"/>
                <w:color w:val="000000"/>
                <w:sz w:val="10"/>
              </w:rPr>
              <w:t>(5)</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16,374,168</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Dev Ittycheria</w:t>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1,222</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453,765</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3/24/2023</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11,402</w:t>
            </w:r>
            <w:r>
              <w:rPr>
                <w:rFonts w:ascii="Times New Roman;serif" w:hAnsi="Times New Roman;serif"/>
                <w:b w:val="false"/>
                <w:color w:val="000000"/>
                <w:sz w:val="10"/>
              </w:rPr>
              <w:t>(6)</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4,233,905</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3/24/2023</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10,480</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3,891,538</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13,789</w:t>
            </w:r>
            <w:r>
              <w:rPr>
                <w:rFonts w:ascii="Times New Roman;serif" w:hAnsi="Times New Roman;serif"/>
                <w:b w:val="false"/>
                <w:color w:val="000000"/>
                <w:sz w:val="10"/>
              </w:rPr>
              <w:t>(7)</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5,120,269</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11,635</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4,320,425</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1,249</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463,791</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3/20/2025</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61,364</w:t>
            </w:r>
            <w:r>
              <w:rPr>
                <w:rFonts w:ascii="Times New Roman;serif" w:hAnsi="Times New Roman;serif"/>
                <w:b w:val="false"/>
                <w:color w:val="000000"/>
                <w:sz w:val="10"/>
              </w:rPr>
              <w:t>(8)</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22,786,294</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3/20/2025</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33,019</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12,260,945</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Michael Berry</w:t>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5/27/2025</w:t>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50,802</w:t>
            </w:r>
            <w:r>
              <w:rPr>
                <w:rFonts w:ascii="Times New Roman;serif" w:hAnsi="Times New Roman;serif"/>
                <w:b w:val="false"/>
                <w:color w:val="000000"/>
                <w:sz w:val="10"/>
              </w:rPr>
              <w:t>(9)</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18,864,307</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5/27/2025</w:t>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16,934</w:t>
            </w:r>
            <w:r>
              <w:rPr>
                <w:rFonts w:ascii="Times New Roman;serif" w:hAnsi="Times New Roman;serif"/>
                <w:b w:val="false"/>
                <w:color w:val="000000"/>
                <w:sz w:val="10"/>
              </w:rPr>
              <w:t>(9)</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6,288,102</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Cedric Pech</w:t>
            </w:r>
          </w:p>
        </w:tc>
        <w:tc>
          <w:tcPr>
            <w:tcW w:w="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3/11/2022</w:t>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683</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253,618</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5,574</w:t>
            </w:r>
            <w:r>
              <w:rPr>
                <w:rFonts w:ascii="Times New Roman;serif" w:hAnsi="Times New Roman;serif"/>
                <w:b w:val="false"/>
                <w:color w:val="000000"/>
                <w:sz w:val="10"/>
              </w:rPr>
              <w:t>(6)</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2,069,793</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3/24/2023</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5,123</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1,902,324</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6,489</w:t>
            </w:r>
            <w:r>
              <w:rPr>
                <w:rFonts w:ascii="Times New Roman;serif" w:hAnsi="Times New Roman;serif"/>
                <w:b w:val="false"/>
                <w:color w:val="000000"/>
                <w:sz w:val="10"/>
              </w:rPr>
              <w:t>(7)</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2,409,560</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3/22/2024</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5,475</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2,033,032</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3/20/2025</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PSU</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32,387</w:t>
            </w:r>
            <w:r>
              <w:rPr>
                <w:rFonts w:ascii="Times New Roman;serif" w:hAnsi="Times New Roman;serif"/>
                <w:b w:val="false"/>
                <w:color w:val="000000"/>
                <w:sz w:val="10"/>
              </w:rPr>
              <w:t>(8)</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12,026,265</w:t>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7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3/20/2025</w:t>
            </w:r>
          </w:p>
        </w:tc>
        <w:tc>
          <w:tcPr>
            <w:tcW w:w="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7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17,427</w:t>
            </w:r>
          </w:p>
        </w:tc>
        <w:tc>
          <w:tcPr>
            <w:tcW w:w="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6,471,168</w:t>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 xml:space="preserve">The RSUs granted to Messrs. Ittycheria and Pech on March 11, 2022 vest in quarterly installments over four years measured from April 1, 2022. The RSUs granted to Messrs. Ittycheria and Pech on March 24, 2023 vest in quarterly installments over four years measured from April 1, 2023. The RSUs granted to Messrs. Ittycheria and Pech on March 22, 2024 vest in quarterly installments over four years measured from April 1, 2024. The RSUs granted to Messrs. Ittycheria and Pech on March 20, 2025 vest in quarterly installments over four years measured from April 1, 2025. </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Market value is calculated based on the closing price of our common stock on January 30, 2026 ($371.33), as reported on the Nasdaq.</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 xml:space="preserve">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 including performance-based awards that will accelerate and vest based on the greater of the award recipient’s target performance rate or actual performance as of the award recipient’s date of termination. </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PSUs granted to Mr. Desai pursuant to his sign-on PSU award that are earned, if at all, based upon certain achievement levels related to our stock price during the five year performance period, as described in the section titled "Executive Compensation—Executive Leadership Transitions in Fiscal Year 2026" above. The number of shares is reported assuming target (100%) achievement for PSUs since no shares have vested as of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6"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The RSUs granted to Mr. Desai vest over two years in eight equal quarterly installments measured from April 1, 2026. The RSUs are also subject to a one-year holding period following each such RSU’s applicable vesting date.</w:t>
      </w:r>
    </w:p>
    <w:p>
      <w:pPr>
        <w:pStyle w:val="TextBody"/>
        <w:bidi w:val="0"/>
        <w:spacing w:lineRule="auto" w:line="288" w:before="0" w:after="120"/>
        <w:ind w:left="0" w:right="0" w:hanging="360"/>
        <w:jc w:val="both"/>
        <w:rPr/>
      </w:pPr>
      <w:r>
        <w:rPr>
          <w:rFonts w:ascii="Times New Roman;serif" w:hAnsi="Times New Roman;serif"/>
          <w:b w:val="false"/>
          <w:color w:val="000000"/>
          <w:sz w:val="10"/>
        </w:rPr>
        <w:t xml:space="preserve">(6) </w:t>
      </w:r>
      <w:r>
        <w:rPr>
          <w:color w:val="000000"/>
        </w:rPr>
        <w:t>    </w:t>
      </w:r>
      <w:r>
        <w:rPr>
          <w:rFonts w:ascii="Times New Roman;serif" w:hAnsi="Times New Roman;serif"/>
          <w:b w:val="false"/>
          <w:color w:val="000000"/>
          <w:sz w:val="16"/>
        </w:rPr>
        <w:t>The PSUs granted to Messrs. Ittycheria and Pech pursuant to our long-term incentive program vest in equal, annual installments over three years measured from April 1, 2023 and subject to Company performance. Amounts reported represent 151% achievement of corporate performance goals for fiscal year 2024.</w:t>
      </w:r>
    </w:p>
    <w:p>
      <w:pPr>
        <w:pStyle w:val="TextBody"/>
        <w:bidi w:val="0"/>
        <w:spacing w:lineRule="auto" w:line="288" w:before="0" w:after="120"/>
        <w:ind w:left="0" w:right="0" w:hanging="360"/>
        <w:jc w:val="both"/>
        <w:rPr/>
      </w:pPr>
      <w:r>
        <w:rPr>
          <w:rFonts w:ascii="Times New Roman;serif" w:hAnsi="Times New Roman;serif"/>
          <w:b w:val="false"/>
          <w:color w:val="000000"/>
          <w:sz w:val="10"/>
        </w:rPr>
        <w:t>(7)     </w:t>
      </w:r>
      <w:r>
        <w:rPr>
          <w:rFonts w:ascii="Times New Roman;serif" w:hAnsi="Times New Roman;serif"/>
          <w:b w:val="false"/>
          <w:color w:val="000000"/>
          <w:sz w:val="16"/>
        </w:rPr>
        <w:t>The PSUs granted to Messrs. Ittycheria and Pech pursuant to our long-term incentive program vest in equal, annual installments over three years measured from April 1, 2024 and subject to Company performance. Amounts reported represent 82% achievement of corporate performance goals for fiscal year 2025.</w:t>
      </w:r>
    </w:p>
    <w:p>
      <w:pPr>
        <w:pStyle w:val="TextBody"/>
        <w:bidi w:val="0"/>
        <w:spacing w:lineRule="auto" w:line="288" w:before="0" w:after="120"/>
        <w:ind w:left="0" w:right="0" w:hanging="360"/>
        <w:jc w:val="both"/>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The PSUs granted to Messrs. Ittycheria and Pech pursuant to our long-term incentive program vest in equal, annual installments over three years measured from April 1, 2025 and subject to Company performance. Amounts reported represent 151% achievement of corporate performance goals for fiscal year 2026.</w:t>
      </w:r>
    </w:p>
    <w:p>
      <w:pPr>
        <w:pStyle w:val="TextBody"/>
        <w:bidi w:val="0"/>
        <w:spacing w:lineRule="auto" w:line="288" w:before="0" w:after="220"/>
        <w:ind w:left="0" w:right="0" w:hanging="360"/>
        <w:jc w:val="both"/>
        <w:rPr/>
      </w:pPr>
      <w:r>
        <w:rPr>
          <w:rFonts w:ascii="Times New Roman;serif" w:hAnsi="Times New Roman;serif"/>
          <w:b w:val="false"/>
          <w:color w:val="000000"/>
          <w:sz w:val="10"/>
        </w:rPr>
        <w:t xml:space="preserve">(9) </w:t>
      </w:r>
      <w:r>
        <w:rPr>
          <w:color w:val="000000"/>
        </w:rPr>
        <w:t>    </w:t>
      </w:r>
      <w:r>
        <w:rPr>
          <w:rFonts w:ascii="Times New Roman;serif" w:hAnsi="Times New Roman;serif"/>
          <w:b w:val="false"/>
          <w:color w:val="000000"/>
          <w:sz w:val="16"/>
        </w:rPr>
        <w:t xml:space="preserve">Each of the RSU awards granted to Mr. Berry on May 27, 2025 vests over four years, with 25% of the RSU vesting after 12 months of continuous service from the vesting start date of July 1, 2025, and the balance vesting in quarterly installments over the remaining 12 quarters of continuous service.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Option Exercises and Stock Vested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concerning the exercise of all stock options and vesting of all stock awards for the named executive officers during the fiscal year ended January 31, 2026.</w:t>
      </w:r>
    </w:p>
    <w:tbl>
      <w:tblPr>
        <w:tblW w:w="10205" w:type="dxa"/>
        <w:jc w:val="left"/>
        <w:tblInd w:w="0" w:type="dxa"/>
        <w:tblLayout w:type="fixed"/>
        <w:tblCellMar>
          <w:top w:w="28" w:type="dxa"/>
          <w:left w:w="28" w:type="dxa"/>
          <w:bottom w:w="28" w:type="dxa"/>
          <w:right w:w="28" w:type="dxa"/>
        </w:tblCellMar>
      </w:tblPr>
      <w:tblGrid>
        <w:gridCol w:w="429"/>
        <w:gridCol w:w="377"/>
        <w:gridCol w:w="379"/>
        <w:gridCol w:w="808"/>
        <w:gridCol w:w="808"/>
        <w:gridCol w:w="810"/>
        <w:gridCol w:w="667"/>
        <w:gridCol w:w="624"/>
        <w:gridCol w:w="633"/>
        <w:gridCol w:w="109"/>
        <w:gridCol w:w="109"/>
        <w:gridCol w:w="109"/>
        <w:gridCol w:w="790"/>
        <w:gridCol w:w="790"/>
        <w:gridCol w:w="792"/>
        <w:gridCol w:w="641"/>
        <w:gridCol w:w="547"/>
        <w:gridCol w:w="783"/>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Exercise (#)</w:t>
            </w:r>
          </w:p>
        </w:tc>
        <w:tc>
          <w:tcPr>
            <w:tcW w:w="1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Value Realized on Exercise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Vesting (#)</w:t>
            </w:r>
          </w:p>
        </w:tc>
        <w:tc>
          <w:tcPr>
            <w:tcW w:w="1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Value Realized on Vesting ($)</w:t>
            </w:r>
            <w:r>
              <w:rPr>
                <w:rFonts w:ascii="Times New Roman;serif" w:hAnsi="Times New Roman;serif"/>
                <w:b/>
                <w:color w:val="000000"/>
                <w:sz w:val="13"/>
              </w:rPr>
              <w:t>(2)</w:t>
            </w:r>
          </w:p>
        </w:tc>
      </w:tr>
      <w:tr>
        <w:trPr/>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Chirantan Desai</w:t>
            </w:r>
          </w:p>
        </w:tc>
        <w:tc>
          <w:tcPr>
            <w:tcW w:w="2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21,366</w:t>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5,139,843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58,079</w:t>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13,266,379</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Berry</w:t>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Srdjan Tanjga</w:t>
            </w:r>
          </w:p>
        </w:tc>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1,279</w:t>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224,337</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Cedric Pech</w:t>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28,677</w:t>
            </w:r>
          </w:p>
        </w:tc>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6,542,839</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The value realized on vesting is calculated by multiplying the number of shares of common stock by the market value of our common stock on the applicable vesting date and does not reflect actual proceeds received.</w:t>
      </w:r>
    </w:p>
    <w:p>
      <w:pPr>
        <w:pStyle w:val="TextBody"/>
        <w:bidi w:val="0"/>
        <w:spacing w:before="0" w:after="12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7"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rFonts w:ascii="Times New Roman;serif" w:hAnsi="Times New Roman;serif"/>
          <w:b/>
          <w:color w:val="000000"/>
          <w:sz w:val="24"/>
        </w:rPr>
      </w:pPr>
      <w:r>
        <w:rPr>
          <w:rFonts w:ascii="Times New Roman;serif" w:hAnsi="Times New Roman;serif"/>
          <w:b/>
          <w:color w:val="000000"/>
          <w:sz w:val="24"/>
        </w:rPr>
        <w:t>Potential Payments Upon Termination or Change in Control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2026, including in connection with a change in control as of January 31, 2026. There are no potential payments or benefits in the case of termination for cause, voluntary termination, disability or death. </w:t>
      </w:r>
    </w:p>
    <w:tbl>
      <w:tblPr>
        <w:tblW w:w="10205" w:type="dxa"/>
        <w:jc w:val="left"/>
        <w:tblInd w:w="0" w:type="dxa"/>
        <w:tblLayout w:type="fixed"/>
        <w:tblCellMar>
          <w:top w:w="28" w:type="dxa"/>
          <w:left w:w="28" w:type="dxa"/>
          <w:bottom w:w="28" w:type="dxa"/>
          <w:right w:w="28" w:type="dxa"/>
        </w:tblCellMar>
      </w:tblPr>
      <w:tblGrid>
        <w:gridCol w:w="342"/>
        <w:gridCol w:w="289"/>
        <w:gridCol w:w="292"/>
        <w:gridCol w:w="831"/>
        <w:gridCol w:w="831"/>
        <w:gridCol w:w="834"/>
        <w:gridCol w:w="299"/>
        <w:gridCol w:w="229"/>
        <w:gridCol w:w="230"/>
        <w:gridCol w:w="249"/>
        <w:gridCol w:w="231"/>
        <w:gridCol w:w="223"/>
        <w:gridCol w:w="449"/>
        <w:gridCol w:w="449"/>
        <w:gridCol w:w="450"/>
        <w:gridCol w:w="491"/>
        <w:gridCol w:w="491"/>
        <w:gridCol w:w="492"/>
        <w:gridCol w:w="510"/>
        <w:gridCol w:w="510"/>
        <w:gridCol w:w="512"/>
        <w:gridCol w:w="279"/>
        <w:gridCol w:w="279"/>
        <w:gridCol w:w="413"/>
      </w:tblGrid>
      <w:tr>
        <w:trPr/>
        <w:tc>
          <w:tcPr>
            <w:tcW w:w="3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Base Salary</w:t>
              <w:br/>
              <w:t>($)</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Bonus</w:t>
            </w:r>
            <w:r>
              <w:rPr>
                <w:rFonts w:ascii="Times New Roman;serif" w:hAnsi="Times New Roman;serif"/>
                <w:b/>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Cash-Eligible Bonus ($)</w:t>
            </w:r>
            <w:r>
              <w:rPr>
                <w:rFonts w:ascii="Times New Roman;serif" w:hAnsi="Times New Roman;serif"/>
                <w:b/>
                <w:color w:val="000000"/>
                <w:sz w:val="12"/>
              </w:rPr>
              <w:t>(2)</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Accelerated Vesting of Equity Awards</w:t>
            </w:r>
            <w:r>
              <w:rPr>
                <w:rFonts w:ascii="Times New Roman;serif" w:hAnsi="Times New Roman;serif"/>
                <w:b/>
                <w:color w:val="000000"/>
                <w:sz w:val="12"/>
              </w:rPr>
              <w:t>(3)</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Continuation of Insurance Coverage</w:t>
              <w:br/>
              <w:t>($)</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w:t>
            </w:r>
          </w:p>
        </w:tc>
      </w:tr>
      <w:tr>
        <w:trPr/>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Chirantan Desai</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Resignation for Good Reason</w:t>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500,000</w:t>
            </w:r>
          </w:p>
        </w:tc>
        <w:tc>
          <w:tcPr>
            <w:tcW w:w="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39,774</w:t>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539,774</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Without Cause or Resignation for Good Reason in Connection with a Change in Control</w:t>
            </w:r>
            <w:r>
              <w:rPr>
                <w:rFonts w:ascii="Times New Roman;serif" w:hAnsi="Times New Roman;serif"/>
                <w:b w:val="false"/>
                <w:color w:val="000000"/>
                <w:sz w:val="12"/>
              </w:rPr>
              <w:t>(4)(5)</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500,000</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114,133</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350,000</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35,477,240</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39,774</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36,481,147</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Dev Ittycheria</w:t>
            </w:r>
            <w:r>
              <w:rPr>
                <w:rFonts w:ascii="Times New Roman;serif" w:hAnsi="Times New Roman;serif"/>
                <w:b w:val="false"/>
                <w:color w:val="000000"/>
                <w:sz w:val="12"/>
              </w:rPr>
              <w:t>(6)</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Resignation for Good Reason</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Without Cause or Resignation for Good Reason in Connection with a Change in Control</w:t>
            </w:r>
            <w:r>
              <w:rPr>
                <w:rFonts w:ascii="Times New Roman;serif" w:hAnsi="Times New Roman;serif"/>
                <w:b w:val="false"/>
                <w:color w:val="000000"/>
                <w:sz w:val="12"/>
              </w:rPr>
              <w:t>(4)(5)</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Berry</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Resignation for Good Reason</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175,000</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11,038</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186,038</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Without Cause or Resignation for Good Reason in Connection with a Change in Control</w:t>
            </w:r>
            <w:r>
              <w:rPr>
                <w:rFonts w:ascii="Times New Roman;serif" w:hAnsi="Times New Roman;serif"/>
                <w:b w:val="false"/>
                <w:color w:val="000000"/>
                <w:sz w:val="12"/>
              </w:rPr>
              <w:t>(4)(5)</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175,000</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226,581</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113,750</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25,152,409</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11,038</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25,678,778</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Srdjan Tanjga</w:t>
            </w:r>
            <w:r>
              <w:rPr>
                <w:rFonts w:ascii="Times New Roman;serif" w:hAnsi="Times New Roman;serif"/>
                <w:b w:val="false"/>
                <w:color w:val="000000"/>
                <w:sz w:val="12"/>
              </w:rPr>
              <w:t>(7)</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Resignation for Good Reason</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Without Cause or Resignation for Good Reason in Connection with a Change in Control</w:t>
            </w:r>
            <w:r>
              <w:rPr>
                <w:rFonts w:ascii="Times New Roman;serif" w:hAnsi="Times New Roman;serif"/>
                <w:b w:val="false"/>
                <w:color w:val="000000"/>
                <w:sz w:val="12"/>
              </w:rPr>
              <w:t>(4)(5)</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Cedric Pech</w:t>
            </w:r>
            <w:r>
              <w:rPr>
                <w:rFonts w:ascii="Times New Roman;serif" w:hAnsi="Times New Roman;serif"/>
                <w:b w:val="false"/>
                <w:color w:val="000000"/>
                <w:sz w:val="12"/>
              </w:rPr>
              <w:t>(4)(8)</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Resignation for Good Reason</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178,750</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3,501</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182,251</w:t>
            </w:r>
          </w:p>
        </w:tc>
      </w:tr>
      <w:tr>
        <w:trPr/>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Termination Without Cause or Resignation for Good Reason in Connection with a Change in Control</w:t>
            </w:r>
            <w:r>
              <w:rPr>
                <w:rFonts w:ascii="Times New Roman;serif" w:hAnsi="Times New Roman;serif"/>
                <w:b w:val="false"/>
                <w:color w:val="000000"/>
                <w:sz w:val="12"/>
              </w:rPr>
              <w:t>(4)(5)</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178,750</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732,456</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250,250</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27,165,760</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3,501</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28,330,717</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Represents an amount equivalent to the NEO’s annual bonus for the fiscal year in which the termination of employment occurs, prorated to the date of such termination of employment and determined at the greater of target performance and actual performance. In the case of Mr. Pech, this amount represents 146.34% of his target annual bonus amount for fiscal year 2026 which was his actual bonus for fiscal year 2026. In the case of each of Messrs. Desai and Berry this amount represents 32.61% and 99.60%, respectively, of each of their target annual bonus for fiscal year 2026, which was each of their actual bonus for fiscal year 2026, each prorated for their respective time in office, as described in the section above titled "Executive Compensation—Annual Performance-Based Bonus Program".</w:t>
      </w:r>
    </w:p>
    <w:p>
      <w:pPr>
        <w:pStyle w:val="TextBody"/>
        <w:bidi w:val="0"/>
        <w:spacing w:lineRule="auto" w:line="288" w:before="0" w:after="12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Represents an amount equivalent to the NEO’s "cash-eligible" annual target bonus, which is equal to twelve months of Mr. Desai's target annual bonus amount paid in equal installments on the Company's normal payroll schedule over the twelve-month period immediately following the date of such termination of employment. In the case of Messrs. Berry and Pech, this amount represents six months of each of their target annual bonus amounts and paid in equal installments on the Company's normal payroll schedule over the six-month period immediately following the date of such termination of employment.</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 value of accelerated vesting of unvested RSUs and PSUs is based upon the closing price of our common stock on January 30, 2026 ($371.33), as reported on the Nasdaq, multiplied by the number of units. PSU awards will accelerate and vest based on the greater of the target number of units or the number of PSUs earned based on actual performance during the truncated performance period. In the case of sign-on PSUs granted to Mr. Desai, the amounts in the column above are based on payout at 100% of target, which reflects the target amount since Mr. Desai did not earn any of these PSUs in fiscal year 2026. In the case of PSUs granted to Mr. Pech under our long-term incentive program, the amounts in the column above are based on payout at 151% of target, which reflected the actual level earned for such PSUs for fiscal year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Represents change in control (as defined in the 2016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(3) months prior to or twelve (12) months following, a change of control of MongoDB.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8"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rFonts w:ascii="Times New Roman;serif" w:hAnsi="Times New Roman;serif"/>
          <w:b w:val="false"/>
          <w:color w:val="000000"/>
          <w:sz w:val="10"/>
        </w:rPr>
        <w:t>(5)</w:t>
      </w:r>
      <w:r>
        <w:rPr>
          <w:color w:val="000000"/>
        </w:rPr>
        <w:t>    </w:t>
      </w:r>
      <w:r>
        <w:rPr>
          <w:rFonts w:ascii="Times New Roman;serif" w:hAnsi="Times New Roman;serif"/>
          <w:b w:val="false"/>
          <w:color w:val="000000"/>
          <w:sz w:val="16"/>
        </w:rPr>
        <w:t>Following a change in control, any payments received by our named executive officers may be reduced to the extent the amount received by the applicable named executive officer would result in a loss of tax deduction under Section 280G of the Code. Pursuant to their employment agreements, each of the named executive officers are entitled to the greater of the full amount of such severance and the largest possible payout without imposition of an excise tax under Section 4999 of the Code. None of our NEOs are entitled to a gross up of any excise taxes that could become owed under Section 4999 of the Code.</w:t>
      </w:r>
    </w:p>
    <w:p>
      <w:pPr>
        <w:pStyle w:val="TextBody"/>
        <w:bidi w:val="0"/>
        <w:spacing w:lineRule="auto" w:line="288" w:before="0" w:after="120"/>
        <w:ind w:left="0" w:right="0" w:hanging="360"/>
        <w:jc w:val="both"/>
        <w:rPr/>
      </w:pPr>
      <w:r>
        <w:rPr>
          <w:rFonts w:ascii="Times New Roman;serif" w:hAnsi="Times New Roman;serif"/>
          <w:b w:val="false"/>
          <w:color w:val="000000"/>
          <w:sz w:val="10"/>
        </w:rPr>
        <w:t>(6)</w:t>
      </w:r>
      <w:r>
        <w:rPr>
          <w:color w:val="000000"/>
        </w:rPr>
        <w:t>    </w:t>
      </w:r>
      <w:r>
        <w:rPr>
          <w:rFonts w:ascii="Times New Roman;serif" w:hAnsi="Times New Roman;serif"/>
          <w:b w:val="false"/>
          <w:color w:val="000000"/>
          <w:sz w:val="16"/>
        </w:rPr>
        <w:t xml:space="preserve">Effective November 9, 2025, Mr. Ittycheria resigned from his role as Chief Executive Officer, and did not receive any severance in connection with resignation, nor is he entitled to any change in control payments. Additionally, Mr. Ittycheria is not entitled to any benefits nor any change in control payments pursuant to his Advisory Agreement effective as of November 10, 2025, thus, he would not have been entitled to any change in control payments assuming his employment was terminated as of January 31, 2026. </w:t>
      </w:r>
    </w:p>
    <w:p>
      <w:pPr>
        <w:pStyle w:val="TextBody"/>
        <w:bidi w:val="0"/>
        <w:spacing w:lineRule="auto" w:line="288" w:before="0" w:after="120"/>
        <w:ind w:left="0" w:right="0" w:hanging="360"/>
        <w:jc w:val="both"/>
        <w:rPr/>
      </w:pPr>
      <w:r>
        <w:rPr>
          <w:rFonts w:ascii="Times New Roman;serif" w:hAnsi="Times New Roman;serif"/>
          <w:b w:val="false"/>
          <w:color w:val="000000"/>
          <w:sz w:val="10"/>
        </w:rPr>
        <w:t>(7)</w:t>
      </w:r>
      <w:r>
        <w:rPr>
          <w:color w:val="000000"/>
        </w:rPr>
        <w:t>    </w:t>
      </w:r>
      <w:r>
        <w:rPr>
          <w:rFonts w:ascii="Times New Roman;serif" w:hAnsi="Times New Roman;serif"/>
          <w:b w:val="false"/>
          <w:color w:val="000000"/>
          <w:sz w:val="16"/>
        </w:rPr>
        <w:t xml:space="preserve">Given the interim nature of Mr. Tanjga's appointment, he was not subject to an executive offer letter and was not entitled to any change in control benefits during his tenure as Interim Chief Financial Officer. </w:t>
      </w:r>
    </w:p>
    <w:p>
      <w:pPr>
        <w:pStyle w:val="TextBody"/>
        <w:bidi w:val="0"/>
        <w:spacing w:lineRule="auto" w:line="288" w:before="0" w:after="120"/>
        <w:ind w:left="0" w:right="0" w:hanging="360"/>
        <w:jc w:val="both"/>
        <w:rPr/>
      </w:pPr>
      <w:r>
        <w:rPr>
          <w:rFonts w:ascii="Times New Roman;serif" w:hAnsi="Times New Roman;serif"/>
          <w:b w:val="false"/>
          <w:color w:val="000000"/>
          <w:sz w:val="10"/>
        </w:rPr>
        <w:t>(8)</w:t>
      </w:r>
      <w:r>
        <w:rPr>
          <w:color w:val="000000"/>
        </w:rPr>
        <w:t>    </w:t>
      </w:r>
      <w:r>
        <w:rPr>
          <w:rFonts w:ascii="Times New Roman;serif" w:hAnsi="Times New Roman;serif"/>
          <w:b w:val="false"/>
          <w:color w:val="000000"/>
          <w:sz w:val="16"/>
        </w:rPr>
        <w:t>Mr. Pech’s potential non-equity payments and benefits are set in CHF and, for the purposes of the table, converted into U.S. dollars based on the exchange rate as of January 31, 2026 of 1.30 CHF to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79"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CEO Pay Ratio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identified our median compensated employee from all full-time and part-time workers who were included as employees on our payroll records as of a determination date of December 1, 2025, based on annual base salary, target bonuses and commissions, and grant date fair value of equity awards granted in the fiscal year ended January 31, 2026. Conforming adjustments were made for employees who were hired during that period and did not receive pay for the full period, and international employees’ pay was converted to U.S. dollar equivalents using exchange rates as of the determination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two individuals serve as CEO during fiscal year 2026. For purposes of calculating the CEO pay ratio, we annualized the total base salary and non-equity incentive compensation of our current CEO, Mr. Desai, who began serving in his role on November 10, 2025, and we included all other components of his compensation in the same amounts as disclosed in the Summary Compensation Table. Mr. Desai's annualized base salary was $500,000 (representing his fiscal year 2026 base salary), and his annualized non-equity incentive compensation was $512,190. Accordingly, Mr. Desai's annual total compensation was $53,614,135. The fiscal year ended January 31, 2026 annual total compensation as determined under Item 402 of Regulation S-K for our median employee was $290,954. The ratio of our CEO's annual total compensation to our median employee’s annual total compensation for fiscal year ended January 31, 2026 is 184 to 1. This pay ratio is significantly higher than our historical pay ratios as it reflects the total compensation package provided to Mr. Desai in connection with his CEO appointment, as described in detail in the section titled "Compensation Discussion and Analysis" above.</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Pay Versus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by Section 953(a) of the Dodd-Frank Wall Street Reform and Consumer Protection Act, and Item 402(v) of Regulation S-K, we are providing the following information about the relationship between executive compensation actually paid, as defined by the SEC’s regulations (“CAP”), and certain financial performance of the Company. For additional information regarding our compensation philosophy, objectives and structure of our performance-based compensation programs, and compensation decisions, please refer to "Compensation Discussion and Analysis".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compensation for our current and former Chief Executive Officers (“CEOs”) and the average compensation for our other Named Executive Officers (“Other NEOs”) for the fiscal years ended January 31, 2026, January 31, 2025, January 31, 2024, January 31, 2023 and January 31, 2022 (each, a “Covered Year”), in each case as reported in the Summary Compensation Table (“SCT”) and with certain adjustments to reflect the “compensation actually paid” to such individuals, as calculated in accordance with rules adopted by the SEC. “Compensation actually paid” ("CAP") does not reflect amounts actually realized by our current and former CEOs and Other NEOs and may be higher or lower than the amounts, if any, that are ultimately realized by such individuals. </w:t>
      </w:r>
    </w:p>
    <w:p>
      <w:pPr>
        <w:pStyle w:val="TextBody"/>
        <w:bidi w:val="0"/>
        <w:spacing w:before="0" w:after="0"/>
        <w:ind w:left="0" w:right="0" w:firstLine="720"/>
        <w:jc w:val="both"/>
        <w:rPr/>
      </w:pPr>
      <w:r>
        <w:rPr/>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also provides information for each Covered Year on our cumulative Total Shareholder Return (“TSR”) and the cumulative TSR of our peer group, the Nasdaq Computer Index (with each such TSR determined for the period commencing on January 31, 2021), our Net Loss and our Revenue. We selected Revenue as our “most important financial performance measure” used to link CAP to our current and former CEOs and Other NEOs to our performance for the fiscal year ended January 31, 2026.</w:t>
      </w:r>
    </w:p>
    <w:tbl>
      <w:tblPr>
        <w:tblW w:w="10421" w:type="dxa"/>
        <w:jc w:val="left"/>
        <w:tblInd w:w="0" w:type="dxa"/>
        <w:tblLayout w:type="fixed"/>
        <w:tblCellMar>
          <w:top w:w="28" w:type="dxa"/>
          <w:left w:w="28" w:type="dxa"/>
          <w:bottom w:w="28" w:type="dxa"/>
          <w:right w:w="28" w:type="dxa"/>
        </w:tblCellMar>
      </w:tblPr>
      <w:tblGrid>
        <w:gridCol w:w="196"/>
        <w:gridCol w:w="172"/>
        <w:gridCol w:w="173"/>
        <w:gridCol w:w="455"/>
        <w:gridCol w:w="230"/>
        <w:gridCol w:w="231"/>
        <w:gridCol w:w="475"/>
        <w:gridCol w:w="220"/>
        <w:gridCol w:w="221"/>
        <w:gridCol w:w="380"/>
        <w:gridCol w:w="380"/>
        <w:gridCol w:w="381"/>
        <w:gridCol w:w="380"/>
        <w:gridCol w:w="380"/>
        <w:gridCol w:w="381"/>
        <w:gridCol w:w="345"/>
        <w:gridCol w:w="240"/>
        <w:gridCol w:w="241"/>
        <w:gridCol w:w="380"/>
        <w:gridCol w:w="380"/>
        <w:gridCol w:w="381"/>
        <w:gridCol w:w="606"/>
        <w:gridCol w:w="235"/>
        <w:gridCol w:w="150"/>
        <w:gridCol w:w="606"/>
        <w:gridCol w:w="234"/>
        <w:gridCol w:w="151"/>
        <w:gridCol w:w="295"/>
        <w:gridCol w:w="295"/>
        <w:gridCol w:w="296"/>
        <w:gridCol w:w="272"/>
        <w:gridCol w:w="272"/>
        <w:gridCol w:w="38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SCT Total for Current CEO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SCT Total for Former CEO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 Actually Paid to Current CEO</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(1)(2)</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 Actually Paid to Former CEO</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(1)(2)</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SCT Average Total for Other NEOs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Compensation Actually Paid to Other NEOs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(2)(4)</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 Total Shareholder Return</w:t>
              <w:b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Peer Group Total Shareholder Return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(5)</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(Loss) Income (thousands)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Revenue (thousands)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(7)</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52,830,661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16,273,947</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52,241,394</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40,896,851</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7,606,548</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15,037,801</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227</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(71,151)</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2,463,797</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15,843,345</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(1,260,121)</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7,544,277</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(2,113,422)</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289</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(129,072)</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2,006,443</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15,291,447</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44,853,129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7,487,213</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10,599,236</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244</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(176,600)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1,683,011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13,229,190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(1,158,813)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6,426,612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(140,152)</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(345,398)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1,284,040</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10,566,757</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17,742,233</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5,346,033</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7,074,336</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247</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(306,866)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873,782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13"/>
        </w:rPr>
        <w:t>(1)    </w:t>
      </w:r>
      <w:r>
        <w:rPr>
          <w:rFonts w:ascii="Times New Roman;serif" w:hAnsi="Times New Roman;serif"/>
          <w:b w:val="false"/>
          <w:color w:val="000000"/>
          <w:sz w:val="20"/>
        </w:rPr>
        <w:t>The following table shows, for each Covered Year, the adjustments made to the total compensation shown for our current and former CEOs, Chirantan Desai and Dev Ittycheria, on the SCT to arrive at CAP as reflected on the table above: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12"/>
        <w:gridCol w:w="756"/>
        <w:gridCol w:w="760"/>
        <w:gridCol w:w="538"/>
        <w:gridCol w:w="355"/>
        <w:gridCol w:w="357"/>
        <w:gridCol w:w="547"/>
        <w:gridCol w:w="350"/>
        <w:gridCol w:w="352"/>
        <w:gridCol w:w="576"/>
        <w:gridCol w:w="323"/>
        <w:gridCol w:w="324"/>
        <w:gridCol w:w="520"/>
        <w:gridCol w:w="323"/>
        <w:gridCol w:w="324"/>
        <w:gridCol w:w="576"/>
        <w:gridCol w:w="323"/>
        <w:gridCol w:w="324"/>
        <w:gridCol w:w="380"/>
        <w:gridCol w:w="341"/>
        <w:gridCol w:w="142"/>
        <w:gridCol w:w="142"/>
        <w:gridCol w:w="142"/>
        <w:gridCol w:w="218"/>
      </w:tblGrid>
      <w:tr>
        <w:trPr/>
        <w:tc>
          <w:tcPr>
            <w:tcW w:w="1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Adjustments to Determine Current and Former CEO Compensation Actually Paid</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January 31, 2026 (Current CEO)</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January 31, 2026 (Former CEO)</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January 31, 2025</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January 31, 2024</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January 31, 2023</w:t>
            </w:r>
          </w:p>
        </w:tc>
        <w:tc>
          <w:tcPr>
            <w:tcW w:w="136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br/>
              <w:t>January 31, 2022</w:t>
            </w:r>
          </w:p>
        </w:tc>
      </w:tr>
      <w:tr>
        <w:trPr/>
        <w:tc>
          <w:tcPr>
            <w:tcW w:w="2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SCT total amount</w:t>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52,830,661</w:t>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16,273,947</w:t>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15,843,345</w:t>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15,291,447</w:t>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13,229,190</w:t>
            </w:r>
          </w:p>
        </w:tc>
        <w:tc>
          <w:tcPr>
            <w:tcW w:w="136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10,566,757</w:t>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Subtract</w:t>
            </w:r>
            <w:r>
              <w:rPr>
                <w:color w:val="000000"/>
              </w:rPr>
              <w:t xml:space="preserve"> </w:t>
            </w:r>
            <w:r>
              <w:rPr>
                <w:rFonts w:ascii="Times New Roman;serif" w:hAnsi="Times New Roman;serif"/>
                <w:b w:val="false"/>
                <w:color w:val="000000"/>
                <w:sz w:val="20"/>
              </w:rPr>
              <w:t>Amounts Reported under “Option Awards” and “Stock Awards” Columns in SCT for the Covered Year</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52,601,945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15,735,621</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15,046,370</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14,825,835</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12,797,690</w:t>
            </w:r>
          </w:p>
        </w:tc>
        <w:tc>
          <w:tcPr>
            <w:tcW w:w="13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10,135,257</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w:t>
            </w:r>
            <w:r>
              <w:rPr>
                <w:color w:val="000000"/>
              </w:rPr>
              <w:t xml:space="preserve"> </w:t>
            </w:r>
            <w:r>
              <w:rPr>
                <w:rFonts w:ascii="Times New Roman;serif" w:hAnsi="Times New Roman;serif"/>
                <w:b w:val="false"/>
                <w:color w:val="000000"/>
                <w:sz w:val="20"/>
              </w:rPr>
              <w:t>Year-end Fair Value of Options Awards and Stock Awards Granted during Covered Year that Remain Unvested as of Year-end</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52,012,678</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35,511,031</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9,398,928</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31,722,922</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7,806,455</w:t>
            </w:r>
          </w:p>
        </w:tc>
        <w:tc>
          <w:tcPr>
            <w:tcW w:w="13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8,787,241</w:t>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w:t>
            </w:r>
            <w:r>
              <w:rPr>
                <w:color w:val="000000"/>
              </w:rPr>
              <w:t xml:space="preserve"> </w:t>
            </w:r>
            <w:r>
              <w:rPr>
                <w:rFonts w:ascii="Times New Roman;serif" w:hAnsi="Times New Roman;serif"/>
                <w:b w:val="false"/>
                <w:color w:val="000000"/>
                <w:sz w:val="20"/>
              </w:rPr>
              <w:t>Fair Value on Vesting of Option Awards and Stock Awards Granted during Covered Year that Vested during Covered Year</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2,674,347</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1,072,206</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2,670,818</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889,080</w:t>
            </w:r>
          </w:p>
        </w:tc>
        <w:tc>
          <w:tcPr>
            <w:tcW w:w="13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2,388,178</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 change (positive or negative)</w:t>
            </w:r>
            <w:r>
              <w:rPr>
                <w:color w:val="000000"/>
              </w:rPr>
              <w:t xml:space="preserve"> </w:t>
            </w:r>
            <w:r>
              <w:rPr>
                <w:rFonts w:ascii="Times New Roman;serif" w:hAnsi="Times New Roman;serif"/>
                <w:b w:val="false"/>
                <w:color w:val="000000"/>
                <w:sz w:val="20"/>
              </w:rPr>
              <w:t>in Fair Value from Prior Year-end to Covered Year-end of Option Awards and Stock Awards Granted Prior to Covered Year that were Outstanding and Unvested as of Covered Year-end</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5,083,093</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(8,527,742)</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6,507,392</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(6,596,740)</w:t>
            </w:r>
          </w:p>
        </w:tc>
        <w:tc>
          <w:tcPr>
            <w:tcW w:w="13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2,449,600</w:t>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 change (positive or negative)</w:t>
            </w:r>
            <w:r>
              <w:rPr>
                <w:color w:val="000000"/>
              </w:rPr>
              <w:t xml:space="preserve"> </w:t>
            </w:r>
            <w:r>
              <w:rPr>
                <w:rFonts w:ascii="Times New Roman;serif" w:hAnsi="Times New Roman;serif"/>
                <w:b w:val="false"/>
                <w:color w:val="000000"/>
                <w:sz w:val="20"/>
              </w:rPr>
              <w:t xml:space="preserve">in Fair Value from Prior Year-end to Vesting Date of Option Awards and Stock Awards Granted Prior to Covered Year that Vested during Covered Year </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(2,909,945)</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(4,000,488)</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3,486,384</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(3,689,107)</w:t>
            </w:r>
          </w:p>
        </w:tc>
        <w:tc>
          <w:tcPr>
            <w:tcW w:w="13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3,752,557</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Subtract</w:t>
            </w:r>
            <w:r>
              <w:rPr>
                <w:color w:val="000000"/>
              </w:rPr>
              <w:t xml:space="preserve"> </w:t>
            </w:r>
            <w:r>
              <w:rPr>
                <w:rFonts w:ascii="Times New Roman;serif" w:hAnsi="Times New Roman;serif"/>
                <w:b w:val="false"/>
                <w:color w:val="000000"/>
                <w:sz w:val="20"/>
              </w:rPr>
              <w:t>Fair Value of forfeited Stock Awards during Covered Year</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(8)</w:t>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(589,267)</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24,622,904</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(17,103,466)</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29,561,682</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(14,388,003)</w:t>
            </w:r>
          </w:p>
        </w:tc>
        <w:tc>
          <w:tcPr>
            <w:tcW w:w="136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7,175,476</w:t>
            </w:r>
          </w:p>
        </w:tc>
      </w:tr>
      <w:tr>
        <w:trPr/>
        <w:tc>
          <w:tcPr>
            <w:tcW w:w="27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COMPENSATION ACTUALLY PAID:</w:t>
            </w:r>
          </w:p>
        </w:tc>
        <w:tc>
          <w:tcPr>
            <w:tcW w:w="12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52,241,394</w:t>
            </w:r>
          </w:p>
        </w:tc>
        <w:tc>
          <w:tcPr>
            <w:tcW w:w="12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40,896,851</w:t>
            </w:r>
          </w:p>
        </w:tc>
        <w:tc>
          <w:tcPr>
            <w:tcW w:w="12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(1,260,121)</w:t>
            </w:r>
          </w:p>
        </w:tc>
        <w:tc>
          <w:tcPr>
            <w:tcW w:w="116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44,853,129</w:t>
            </w:r>
          </w:p>
        </w:tc>
        <w:tc>
          <w:tcPr>
            <w:tcW w:w="122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(1,158,813)</w:t>
            </w:r>
          </w:p>
        </w:tc>
        <w:tc>
          <w:tcPr>
            <w:tcW w:w="1365"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17,742,233</w:t>
            </w:r>
          </w:p>
        </w:tc>
      </w:tr>
    </w:tbl>
    <w:p>
      <w:pPr>
        <w:pStyle w:val="TextBody"/>
        <w:bidi w:val="0"/>
        <w:spacing w:before="0" w:after="0"/>
        <w:jc w:val="left"/>
        <w:rPr/>
      </w:pPr>
      <w:r>
        <w:rPr/>
      </w:r>
    </w:p>
    <w:p>
      <w:pPr>
        <w:pStyle w:val="TextBody"/>
        <w:bidi w:val="0"/>
        <w:spacing w:lineRule="auto" w:line="240" w:before="0" w:after="24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For purposes of the adjustments to determine CAP, we computed the fair value of stock option awards and other stock awards in accordance with FASB ASC Topic 718 as of the end of the relevant fiscal year, other than the fair values of equity awards that vested in the Covered Year, which are valued as of the applicable vesting date. The valuation assumptions used in the calculation of such amounts are set forth in Note 11— Equity in our Annual Report on Form 10-K for the fiscal year ended January 31, 2026.</w:t>
      </w:r>
    </w:p>
    <w:p>
      <w:pPr>
        <w:pStyle w:val="TextBody"/>
        <w:bidi w:val="0"/>
        <w:spacing w:lineRule="auto" w:line="240" w:before="0" w:after="240"/>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The Other NEOs for the fiscal year ended January 31, 2026 were Michael Berry, Srdjan Tanjga and Cedric Pech. The Other NEOs for the fiscal year ended January 31, 2025 were Michael Gordon and Cedric Pech. The Other NEOs for the fiscal year ended January 31, 2024, January 31, 2023 and January 31, 2022 were Michael Gordon, Cedric Pech and Mark Porter.</w:t>
      </w:r>
    </w:p>
    <w:p>
      <w:pPr>
        <w:pStyle w:val="TextBody"/>
        <w:bidi w:val="0"/>
        <w:spacing w:lineRule="auto" w:line="240" w:before="0" w:after="240"/>
        <w:ind w:left="0" w:right="0" w:hanging="360"/>
        <w:jc w:val="both"/>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The following table shows, for each Covered Year, the adjustments made to the average of the total compensation shown for the Other NEOs on the SCT to arrive at CAP as reflected on the table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3"/>
        <w:gridCol w:w="590"/>
        <w:gridCol w:w="591"/>
        <w:gridCol w:w="109"/>
        <w:gridCol w:w="109"/>
        <w:gridCol w:w="109"/>
        <w:gridCol w:w="507"/>
        <w:gridCol w:w="153"/>
        <w:gridCol w:w="153"/>
        <w:gridCol w:w="153"/>
        <w:gridCol w:w="153"/>
        <w:gridCol w:w="157"/>
        <w:gridCol w:w="109"/>
        <w:gridCol w:w="109"/>
        <w:gridCol w:w="109"/>
        <w:gridCol w:w="425"/>
        <w:gridCol w:w="284"/>
        <w:gridCol w:w="223"/>
        <w:gridCol w:w="142"/>
        <w:gridCol w:w="142"/>
        <w:gridCol w:w="146"/>
        <w:gridCol w:w="109"/>
        <w:gridCol w:w="109"/>
        <w:gridCol w:w="109"/>
        <w:gridCol w:w="394"/>
        <w:gridCol w:w="331"/>
        <w:gridCol w:w="208"/>
        <w:gridCol w:w="142"/>
        <w:gridCol w:w="142"/>
        <w:gridCol w:w="146"/>
        <w:gridCol w:w="109"/>
        <w:gridCol w:w="109"/>
        <w:gridCol w:w="109"/>
        <w:gridCol w:w="443"/>
        <w:gridCol w:w="285"/>
        <w:gridCol w:w="286"/>
        <w:gridCol w:w="109"/>
        <w:gridCol w:w="109"/>
        <w:gridCol w:w="109"/>
        <w:gridCol w:w="253"/>
        <w:gridCol w:w="253"/>
        <w:gridCol w:w="173"/>
        <w:gridCol w:w="139"/>
        <w:gridCol w:w="139"/>
        <w:gridCol w:w="214"/>
      </w:tblGrid>
      <w:tr>
        <w:trPr/>
        <w:tc>
          <w:tcPr>
            <w:tcW w:w="1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Determine Average of Other NEOs' Compensation Actually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b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br/>
              <w:t>January 31, 2022</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SCT total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7,606,548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7,544,277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7,487,213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6,426,612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5,346,033</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Subtract</w:t>
            </w:r>
            <w:r>
              <w:rPr>
                <w:color w:val="000000"/>
              </w:rPr>
              <w:t xml:space="preserve"> </w:t>
            </w:r>
            <w:r>
              <w:rPr>
                <w:rFonts w:ascii="Times New Roman;serif" w:hAnsi="Times New Roman;serif"/>
                <w:b w:val="false"/>
                <w:color w:val="000000"/>
                <w:sz w:val="20"/>
              </w:rPr>
              <w:t>Amounts Reported under “Option Awards” and “Stock Awards” Columns in SCT for the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7,011,482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6,922,864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6,912,855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5,974,289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4,694,131</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w:t>
            </w:r>
            <w:r>
              <w:rPr>
                <w:color w:val="000000"/>
              </w:rPr>
              <w:t xml:space="preserve"> </w:t>
            </w:r>
            <w:r>
              <w:rPr>
                <w:rFonts w:ascii="Times New Roman;serif" w:hAnsi="Times New Roman;serif"/>
                <w:b w:val="false"/>
                <w:color w:val="000000"/>
                <w:sz w:val="20"/>
              </w:rPr>
              <w:t>Year-end Fair Value of Options Awards and Stock Awards Granted during Covered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14,426,171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3,626,273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10,317,641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3,642,784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4,295,795</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w:t>
            </w:r>
            <w:r>
              <w:rPr>
                <w:color w:val="000000"/>
              </w:rPr>
              <w:t xml:space="preserve"> </w:t>
            </w:r>
            <w:r>
              <w:rPr>
                <w:rFonts w:ascii="Times New Roman;serif" w:hAnsi="Times New Roman;serif"/>
                <w:b w:val="false"/>
                <w:color w:val="000000"/>
                <w:sz w:val="20"/>
              </w:rPr>
              <w:t>Fair Value on Vesting of Option Awards and Stock Awards Granted during Covered Year that Vested during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482,817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957,110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872,769</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 change (positive or negative)</w:t>
            </w:r>
            <w:r>
              <w:rPr>
                <w:color w:val="000000"/>
              </w:rPr>
              <w:t xml:space="preserve"> </w:t>
            </w:r>
            <w:r>
              <w:rPr>
                <w:rFonts w:ascii="Times New Roman;serif" w:hAnsi="Times New Roman;serif"/>
                <w:b w:val="false"/>
                <w:color w:val="000000"/>
                <w:sz w:val="20"/>
              </w:rPr>
              <w:t>in Fair Value from Prior Year-end to Covered Year-end of Option Awards and Stock Awards Granted Prior to Covered Year that were Outstanding and Unvested as of Covered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817,371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(3,696,618)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2,243,152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(3,143,169)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829,978</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Add change (positive or negative)</w:t>
            </w:r>
            <w:r>
              <w:rPr>
                <w:color w:val="000000"/>
              </w:rPr>
              <w:t xml:space="preserve"> </w:t>
            </w:r>
            <w:r>
              <w:rPr>
                <w:rFonts w:ascii="Times New Roman;serif" w:hAnsi="Times New Roman;serif"/>
                <w:b w:val="false"/>
                <w:color w:val="000000"/>
                <w:sz w:val="20"/>
              </w:rPr>
              <w:t>in Fair Value from Prior Year-end to Vesting Date of Option Awards and Stock Awards Granted Prior to Covered Year that Vested during Covered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(1,997,051)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1,339,649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(1,508,880)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440,771</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Subtract</w:t>
            </w:r>
            <w:r>
              <w:rPr>
                <w:color w:val="000000"/>
              </w:rPr>
              <w:t xml:space="preserve"> </w:t>
            </w:r>
            <w:r>
              <w:rPr>
                <w:rFonts w:ascii="Times New Roman;serif" w:hAnsi="Times New Roman;serif"/>
                <w:b w:val="false"/>
                <w:color w:val="000000"/>
                <w:sz w:val="20"/>
              </w:rPr>
              <w:t>Fair Value of forfeited Stock Awards during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699,586</w:t>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1,150,256</w:t>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4,832,674</w:t>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16,880</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(d)</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7,431,253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(9,657,699)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(6,566,765)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1,728,303</w:t>
            </w:r>
          </w:p>
        </w:tc>
      </w:tr>
      <w:tr>
        <w:trPr/>
        <w:tc>
          <w:tcPr>
            <w:tcW w:w="23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15,037,801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(2,113,422)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10,599,236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7,074,336</w:t>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Reflects the forfeiture of equity awards by Mr. Tanjga upon his stepping down as our Interim Chief Financial Officer, effective May 8, 2025.</w:t>
      </w:r>
    </w:p>
    <w:p>
      <w:pPr>
        <w:pStyle w:val="TextBody"/>
        <w:bidi w:val="0"/>
        <w:spacing w:lineRule="auto" w:line="268" w:before="0" w:after="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Reflects the forfeiture of equity awards by Mr. Gordon upon his stepping down as our Chief Operating Officer and Chief Financial Officer, effective January 31, 2025.</w:t>
      </w:r>
    </w:p>
    <w:p>
      <w:pPr>
        <w:pStyle w:val="TextBody"/>
        <w:bidi w:val="0"/>
        <w:spacing w:lineRule="auto" w:line="268" w:before="0" w:after="0"/>
        <w:ind w:left="0" w:right="0" w:hanging="3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rPr>
        <w:t>Reflects the forfeiture of equity awards by Mr. Porter upon his stepping down as our Chief Technology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July 2023.</w:t>
      </w:r>
    </w:p>
    <w:p>
      <w:pPr>
        <w:pStyle w:val="TextBody"/>
        <w:bidi w:val="0"/>
        <w:spacing w:lineRule="auto" w:line="268" w:before="0" w:after="0"/>
        <w:ind w:left="0" w:right="0" w:hanging="360"/>
        <w:jc w:val="both"/>
        <w:rPr/>
      </w:pPr>
      <w:r>
        <w:rPr>
          <w:rFonts w:ascii="Times New Roman;serif" w:hAnsi="Times New Roman;serif"/>
          <w:b w:val="false"/>
          <w:color w:val="000000"/>
          <w:sz w:val="13"/>
        </w:rPr>
        <w:t>(d)</w:t>
      </w:r>
      <w:r>
        <w:rPr>
          <w:color w:val="000000"/>
        </w:rPr>
        <w:t>    </w:t>
      </w:r>
      <w:r>
        <w:rPr>
          <w:rFonts w:ascii="Times New Roman;serif" w:hAnsi="Times New Roman;serif"/>
          <w:b w:val="false"/>
          <w:color w:val="000000"/>
          <w:sz w:val="20"/>
        </w:rPr>
        <w:t>Reflects performance-based stock awards that were forfeited as a result of attainment of company performance targets at a level that resulted in less than full vesting.</w:t>
      </w:r>
    </w:p>
    <w:p>
      <w:pPr>
        <w:pStyle w:val="TextBody"/>
        <w:bidi w:val="0"/>
        <w:spacing w:before="0" w:after="0"/>
        <w:ind w:left="0" w:right="0" w:hanging="360"/>
        <w:jc w:val="both"/>
        <w:rPr/>
      </w:pPr>
      <w:r>
        <w:rPr/>
      </w:r>
    </w:p>
    <w:p>
      <w:pPr>
        <w:pStyle w:val="TextBody"/>
        <w:bidi w:val="0"/>
        <w:spacing w:lineRule="auto" w:line="268" w:before="0" w:after="120"/>
        <w:ind w:left="0" w:right="0" w:hanging="360"/>
        <w:jc w:val="both"/>
        <w:rPr/>
      </w:pPr>
      <w:r>
        <w:rPr>
          <w:rFonts w:ascii="Times New Roman;serif" w:hAnsi="Times New Roman;serif"/>
          <w:b w:val="false"/>
          <w:color w:val="000000"/>
          <w:sz w:val="13"/>
        </w:rPr>
        <w:t>(5)</w:t>
      </w:r>
      <w:r>
        <w:rPr>
          <w:color w:val="000000"/>
        </w:rPr>
        <w:t>    </w:t>
      </w:r>
      <w:r>
        <w:rPr>
          <w:rFonts w:ascii="Times New Roman;serif" w:hAnsi="Times New Roman;serif"/>
          <w:b w:val="false"/>
          <w:color w:val="000000"/>
          <w:sz w:val="20"/>
        </w:rPr>
        <w:t>Total Shareholder Return shown in this table utilizes our cumulative total return to shareholders of our common stock relative to the Nasdaq Computer Index, which is the index included in the stock performance graph required by Item 201(e) of Regulation S-K in our Annual Report on Form 10-K for the fiscal year ended January 31, 2026. The comparison assumes $100 was invested in our common stock and in the Nasdaq Computer Index for the period commencing on January 31, 2021 and ending on January 31 of each Covered Year. All dollar values assume reinvestment of the gross dividends paid by companies included in the Nasdaq Computer Index. The stock price performance shown in the graph represents past performance and should not be considered an indication of future stock price performance.</w:t>
      </w:r>
    </w:p>
    <w:p>
      <w:pPr>
        <w:pStyle w:val="TextBody"/>
        <w:bidi w:val="0"/>
        <w:spacing w:lineRule="auto" w:line="268" w:before="0" w:after="120"/>
        <w:ind w:left="0" w:right="0" w:hanging="360"/>
        <w:jc w:val="both"/>
        <w:rPr/>
      </w:pPr>
      <w:r>
        <w:rPr>
          <w:rFonts w:ascii="Times New Roman;serif" w:hAnsi="Times New Roman;serif"/>
          <w:b w:val="false"/>
          <w:color w:val="000000"/>
          <w:sz w:val="13"/>
        </w:rPr>
        <w:t>(6)</w:t>
      </w:r>
      <w:r>
        <w:rPr>
          <w:color w:val="000000"/>
        </w:rPr>
        <w:t>    </w:t>
      </w:r>
      <w:r>
        <w:rPr>
          <w:rFonts w:ascii="Times New Roman;serif" w:hAnsi="Times New Roman;serif"/>
          <w:b w:val="false"/>
          <w:color w:val="000000"/>
          <w:sz w:val="20"/>
        </w:rPr>
        <w:t>Reflects “Net Loss” for each Covered Year as set forth in our Consolidated Statements of Operations included in our Annual Report on Form 10-K for each of the Covered Years. For the avoidance of doubt, “Net Loss” is a GAAP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120"/>
        <w:ind w:left="0" w:right="0" w:hanging="360"/>
        <w:jc w:val="both"/>
        <w:rPr/>
      </w:pPr>
      <w:r>
        <w:rPr>
          <w:rFonts w:ascii="Times New Roman;serif" w:hAnsi="Times New Roman;serif"/>
          <w:b w:val="false"/>
          <w:color w:val="000000"/>
          <w:sz w:val="13"/>
        </w:rPr>
        <w:t>(7)</w:t>
      </w:r>
      <w:r>
        <w:rPr>
          <w:color w:val="000000"/>
        </w:rPr>
        <w:t>    </w:t>
      </w:r>
      <w:r>
        <w:rPr>
          <w:rFonts w:ascii="Times New Roman;serif" w:hAnsi="Times New Roman;serif"/>
          <w:b w:val="false"/>
          <w:color w:val="000000"/>
          <w:sz w:val="20"/>
        </w:rPr>
        <w:t>Reflects “Revenue” for each Covered Year as set forth in our Consolidated Statements of Operations included in our Annual Report on Form 10-K for each of the Covered Years. For the avoidance of doubt, “Revenue” is a GAAP measure.</w:t>
      </w:r>
    </w:p>
    <w:p>
      <w:pPr>
        <w:pStyle w:val="TextBody"/>
        <w:bidi w:val="0"/>
        <w:spacing w:lineRule="auto" w:line="268" w:before="0" w:after="120"/>
        <w:ind w:left="0" w:right="0" w:hanging="360"/>
        <w:jc w:val="both"/>
        <w:rPr/>
      </w:pPr>
      <w:r>
        <w:rPr>
          <w:rFonts w:ascii="Times New Roman;serif" w:hAnsi="Times New Roman;serif"/>
          <w:b w:val="false"/>
          <w:color w:val="000000"/>
          <w:sz w:val="13"/>
        </w:rPr>
        <w:t>(8)</w:t>
      </w:r>
      <w:r>
        <w:rPr>
          <w:color w:val="000000"/>
        </w:rPr>
        <w:t>    </w:t>
      </w:r>
      <w:r>
        <w:rPr>
          <w:rFonts w:ascii="Times New Roman;serif" w:hAnsi="Times New Roman;serif"/>
          <w:b w:val="false"/>
          <w:color w:val="000000"/>
          <w:sz w:val="20"/>
        </w:rPr>
        <w:t xml:space="preserve">Reflects performance-based stock awards that were forfeited as a result of attainment of company performance targets at a level that resulted in less than full vesting.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Discussion of Compensation Actually Paid</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graph below illustrates the TSR on a fixed $100 investment made as of January 31, 2021 in shares of our common stock and in the Nasdaq Computer Index. The stock price performance shown in the graph represents past performance and should not be considered an indication of future stock price performance.</w:t>
      </w:r>
    </w:p>
    <w:p>
      <w:pPr>
        <w:pStyle w:val="TextBody"/>
        <w:bidi w:val="0"/>
        <w:spacing w:before="0" w:after="0"/>
        <w:jc w:val="center"/>
        <w:rPr/>
      </w:pPr>
      <w:r>
        <w:rPr/>
        <w:drawing>
          <wp:inline distT="0" distB="0" distL="0" distR="0">
            <wp:extent cx="4762500" cy="3476625"/>
            <wp:effectExtent l="0" t="0" r="0" b="0"/>
            <wp:docPr id="8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2" descr=""/>
                    <pic:cNvPicPr>
                      <a:picLocks noChangeAspect="1" noChangeArrowheads="1"/>
                    </pic:cNvPicPr>
                  </pic:nvPicPr>
                  <pic:blipFill>
                    <a:blip r:embed="rId13"/>
                    <a:stretch>
                      <a:fillRect/>
                    </a:stretch>
                  </pic:blipFill>
                  <pic:spPr bwMode="auto">
                    <a:xfrm>
                      <a:off x="0" y="0"/>
                      <a:ext cx="4762500" cy="3476625"/>
                    </a:xfrm>
                    <a:prstGeom prst="rect">
                      <a:avLst/>
                    </a:prstGeom>
                  </pic:spPr>
                </pic:pic>
              </a:graphicData>
            </a:graphic>
          </wp:inline>
        </w:drawing>
      </w:r>
      <w:bookmarkStart w:id="11" w:name="i-12"/>
      <w:bookmarkEnd w:id="11"/>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(i) the CAP of our CEO and the average CAP of our Other NEOs against (ii) our cumulative TSR for each Covered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drawing>
          <wp:inline distT="0" distB="0" distL="0" distR="0">
            <wp:extent cx="4762500" cy="3476625"/>
            <wp:effectExtent l="0" t="0" r="0" b="0"/>
            <wp:docPr id="8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3" descr=""/>
                    <pic:cNvPicPr>
                      <a:picLocks noChangeAspect="1" noChangeArrowheads="1"/>
                    </pic:cNvPicPr>
                  </pic:nvPicPr>
                  <pic:blipFill>
                    <a:blip r:embed="rId14"/>
                    <a:stretch>
                      <a:fillRect/>
                    </a:stretch>
                  </pic:blipFill>
                  <pic:spPr bwMode="auto">
                    <a:xfrm>
                      <a:off x="0" y="0"/>
                      <a:ext cx="4762500" cy="3476625"/>
                    </a:xfrm>
                    <a:prstGeom prst="rect">
                      <a:avLst/>
                    </a:prstGeom>
                  </pic:spPr>
                </pic:pic>
              </a:graphicData>
            </a:graphic>
          </wp:inline>
        </w:drawing>
      </w:r>
      <w:bookmarkStart w:id="12" w:name="i-13"/>
      <w:bookmarkEnd w:id="12"/>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(i) the CAP of our CEO and the average CAP of our Other NEOs (as shown in the left axis) against (ii) Revenue and (iii) Net Loss on the right axis, for each Covered Year.</w:t>
      </w:r>
    </w:p>
    <w:p>
      <w:pPr>
        <w:pStyle w:val="TextBody"/>
        <w:bidi w:val="0"/>
        <w:spacing w:before="0" w:after="0"/>
        <w:jc w:val="center"/>
        <w:rPr/>
      </w:pPr>
      <w:r>
        <w:rPr/>
        <w:drawing>
          <wp:inline distT="0" distB="0" distL="0" distR="0">
            <wp:extent cx="4762500" cy="3619500"/>
            <wp:effectExtent l="0" t="0" r="0" b="0"/>
            <wp:docPr id="8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4" descr=""/>
                    <pic:cNvPicPr>
                      <a:picLocks noChangeAspect="1" noChangeArrowheads="1"/>
                    </pic:cNvPicPr>
                  </pic:nvPicPr>
                  <pic:blipFill>
                    <a:blip r:embed="rId15"/>
                    <a:stretch>
                      <a:fillRect/>
                    </a:stretch>
                  </pic:blipFill>
                  <pic:spPr bwMode="auto">
                    <a:xfrm>
                      <a:off x="0" y="0"/>
                      <a:ext cx="4762500" cy="3619500"/>
                    </a:xfrm>
                    <a:prstGeom prst="rect">
                      <a:avLst/>
                    </a:prstGeom>
                  </pic:spPr>
                </pic:pic>
              </a:graphicData>
            </a:graphic>
          </wp:inline>
        </w:drawing>
      </w:r>
      <w:bookmarkStart w:id="13" w:name="i-14"/>
      <w:bookmarkEnd w:id="13"/>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 is influenced by numerous factors, including but not limited to the timing of new grant issuances and award vesting, share price volatility during the fiscal year, our mix of performance metrics and other factors. Because our executive compensation program incentivizes and rewards executives primarily through long-term incentives in the form of PSU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8"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RSU equity awards, CAP is most significantly impacted by changes in our stock price over the vesting period of the equity awards.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review of our financial performance measures, our process for setting executive compensation and how our executive compensation design reinforces our compensation philosophy, refer to “Executive Compensation—Compensation Discussion and Analysis.”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Most Important Performance Measures for Fiscal Year Ended January 31,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an unranked list of the performance measures which we view as the “most important” measures for linking CAP to our current and former CEO and Other NEOs for the fiscal year ended January 31, 2026 to Company performance:</w:t>
      </w:r>
    </w:p>
    <w:p>
      <w:pPr>
        <w:pStyle w:val="TextBody"/>
        <w:bidi w:val="0"/>
        <w:spacing w:before="0" w:after="0"/>
        <w:jc w:val="both"/>
        <w:rPr/>
      </w:pPr>
      <w:r>
        <w:rPr/>
      </w:r>
    </w:p>
    <w:tbl>
      <w:tblPr>
        <w:tblW w:w="8667" w:type="dxa"/>
        <w:jc w:val="left"/>
        <w:tblInd w:w="0" w:type="dxa"/>
        <w:tblLayout w:type="fixed"/>
        <w:tblCellMar>
          <w:top w:w="28" w:type="dxa"/>
          <w:left w:w="28" w:type="dxa"/>
          <w:bottom w:w="28" w:type="dxa"/>
          <w:right w:w="28" w:type="dxa"/>
        </w:tblCellMar>
      </w:tblPr>
      <w:tblGrid>
        <w:gridCol w:w="918"/>
        <w:gridCol w:w="807"/>
        <w:gridCol w:w="810"/>
        <w:gridCol w:w="109"/>
        <w:gridCol w:w="109"/>
        <w:gridCol w:w="109"/>
        <w:gridCol w:w="1697"/>
        <w:gridCol w:w="1697"/>
        <w:gridCol w:w="241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it Measures</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growth in ARR over a given time period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New ARR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net change in ARR over a given time period </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we generate adjusted for non-cash or irregular expenses</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generated by our operating activities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we generate through our subscriptions and services offerings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89"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EQUITY COMPENSATION PLAN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January 31, 2026.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651"/>
        <w:gridCol w:w="527"/>
        <w:gridCol w:w="464"/>
        <w:gridCol w:w="862"/>
        <w:gridCol w:w="862"/>
        <w:gridCol w:w="865"/>
        <w:gridCol w:w="782"/>
        <w:gridCol w:w="782"/>
        <w:gridCol w:w="784"/>
        <w:gridCol w:w="1060"/>
        <w:gridCol w:w="1060"/>
        <w:gridCol w:w="1506"/>
      </w:tblGrid>
      <w:tr>
        <w:trPr/>
        <w:tc>
          <w:tcPr>
            <w:tcW w:w="6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25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 Number of Securities to be Issued Upon Exercise of Outstanding Options, Warrants and Rights</w:t>
            </w:r>
            <w:r>
              <w:rPr>
                <w:rFonts w:ascii="Times New Roman;serif" w:hAnsi="Times New Roman;serif"/>
                <w:b/>
                <w:color w:val="000000"/>
                <w:sz w:val="13"/>
              </w:rPr>
              <w:t>(1)</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 Weighted Average Exercise Price of Outstanding Options, Warrants and Rights</w:t>
            </w:r>
            <w:r>
              <w:rPr>
                <w:rFonts w:ascii="Times New Roman;serif" w:hAnsi="Times New Roman;serif"/>
                <w:b/>
                <w:color w:val="000000"/>
                <w:sz w:val="13"/>
              </w:rPr>
              <w:t>(2)</w:t>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 Number of Securities Remaining Available for Future Issuance Under Equity Compensation Plans (Excluding Securities Reflected in Column (a))</w:t>
            </w:r>
            <w:r>
              <w:rPr>
                <w:rFonts w:ascii="Times New Roman;serif" w:hAnsi="Times New Roman;serif"/>
                <w:b/>
                <w:color w:val="000000"/>
                <w:sz w:val="13"/>
              </w:rPr>
              <w:t>(3)</w:t>
            </w:r>
          </w:p>
        </w:tc>
      </w:tr>
      <w:tr>
        <w:trPr/>
        <w:tc>
          <w:tcPr>
            <w:tcW w:w="1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plans approved by stockholders</w:t>
            </w:r>
          </w:p>
        </w:tc>
        <w:tc>
          <w:tcPr>
            <w:tcW w:w="2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4,654,250</w:t>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w:t>
            </w:r>
          </w:p>
        </w:tc>
        <w:tc>
          <w:tcPr>
            <w:tcW w:w="3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22,930,429</w:t>
            </w:r>
          </w:p>
        </w:tc>
      </w:tr>
      <w:tr>
        <w:trPr/>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plans not approved by stockholders</w:t>
            </w:r>
          </w:p>
        </w:tc>
        <w:tc>
          <w:tcPr>
            <w:tcW w:w="25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The weighted average exercise price is calculated based solely on outstanding stock options and does not take into account stock underlying restricted stock units, which have no exercise price.</w:t>
      </w:r>
    </w:p>
    <w:p>
      <w:pPr>
        <w:pStyle w:val="TextBody"/>
        <w:bidi w:val="0"/>
        <w:spacing w:lineRule="auto" w:line="28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Includes the 2016 Plan and ESPP. Stock options or other stock awards granted under the 2008 Plan that are forfeited, terminated, expired or repurchased become available for issuance under the 2016 Plan. The 2016 Plan provides that the total number of shares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 (b) 995,000 shares; provided that the board of directors or a committee thereof may determine that such increase will be less than the amount set forth above. Accordingly, on February 1, 2026, the number of shares of our common stock available for issuance under our 2016 Plan and our ESPP increased by 4,164,624 shares and 832,725 shares, respectively, pursuant to these provisions. These increases are not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0"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PROPOSAL 3 – RATIFICATION OF SELECTION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Our board of directors has selected PricewaterhouseCoopers LLP as our independent registered public accounting firm for the fiscal year ending January 31, 2027 and has further directed that management submit this selection for ratification by the stockholders at the meeting. PricewaterhouseCoopers LLP has served as our independent registered public accounting firm since 2013. Representatives of</w:t>
      </w:r>
      <w:r>
        <w:rPr>
          <w:color w:val="000000"/>
        </w:rPr>
        <w:t> </w:t>
      </w:r>
      <w:r>
        <w:rPr>
          <w:rFonts w:ascii="Times New Roman;serif" w:hAnsi="Times New Roman;serif"/>
          <w:b w:val="false"/>
          <w:color w:val="000000"/>
          <w:sz w:val="20"/>
        </w:rPr>
        <w:t>PricewaterhouseCoopers LLP are expected to be present during the meeting, where they will be available to respond to appropriate questions and, if they desire, to make a statement.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Principal Accountant Fees and Services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aggregate fees for services provided by PricewaterhouseCoopers LLP for the fiscal years ended January 31, 2026 and 2025.</w:t>
      </w:r>
    </w:p>
    <w:tbl>
      <w:tblPr>
        <w:tblW w:w="5807" w:type="dxa"/>
        <w:jc w:val="left"/>
        <w:tblInd w:w="0" w:type="dxa"/>
        <w:tblLayout w:type="fixed"/>
        <w:tblCellMar>
          <w:top w:w="28" w:type="dxa"/>
          <w:left w:w="28" w:type="dxa"/>
          <w:bottom w:w="28" w:type="dxa"/>
          <w:right w:w="28" w:type="dxa"/>
        </w:tblCellMar>
      </w:tblPr>
      <w:tblGrid>
        <w:gridCol w:w="623"/>
        <w:gridCol w:w="547"/>
        <w:gridCol w:w="554"/>
        <w:gridCol w:w="184"/>
        <w:gridCol w:w="184"/>
        <w:gridCol w:w="184"/>
        <w:gridCol w:w="495"/>
        <w:gridCol w:w="496"/>
        <w:gridCol w:w="184"/>
        <w:gridCol w:w="184"/>
        <w:gridCol w:w="184"/>
        <w:gridCol w:w="184"/>
        <w:gridCol w:w="184"/>
        <w:gridCol w:w="184"/>
        <w:gridCol w:w="184"/>
        <w:gridCol w:w="495"/>
        <w:gridCol w:w="496"/>
        <w:gridCol w:w="261"/>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January 31,</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4,173,800 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3,821,950 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(3)</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w:t>
            </w:r>
          </w:p>
        </w:tc>
        <w:tc>
          <w:tcPr>
            <w:tcW w:w="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4,711,710</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4,009,480</w:t>
            </w: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pStyle w:val="TextBody"/>
        <w:bidi w:val="0"/>
        <w:spacing w:lineRule="auto" w:line="288" w:before="0" w:after="12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Audit-related fees consist of fees billed in fiscal year ended January 31, 2026 for system pre-implementation services. </w:t>
      </w:r>
    </w:p>
    <w:p>
      <w:pPr>
        <w:pStyle w:val="TextBody"/>
        <w:bidi w:val="0"/>
        <w:spacing w:lineRule="auto" w:line="26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Tax fees consist of fees billed in fiscal years ended January 31, 2026 and 2025 for transfer pricing services and tax compliance and consulting services.</w:t>
      </w:r>
    </w:p>
    <w:p>
      <w:pPr>
        <w:pStyle w:val="TextBody"/>
        <w:bidi w:val="0"/>
        <w:spacing w:lineRule="auto" w:line="288" w:before="0" w:after="120"/>
        <w:ind w:left="0" w:right="0" w:hanging="360"/>
        <w:jc w:val="both"/>
        <w:rPr/>
      </w:pPr>
      <w:r>
        <w:rPr>
          <w:rFonts w:ascii="Times New Roman;serif" w:hAnsi="Times New Roman;serif"/>
          <w:b w:val="false"/>
          <w:color w:val="000000"/>
          <w:sz w:val="10"/>
        </w:rPr>
        <w:t>(4)</w:t>
      </w:r>
      <w:r>
        <w:rPr>
          <w:color w:val="000000"/>
        </w:rPr>
        <w:t>    </w:t>
      </w:r>
      <w:r>
        <w:rPr>
          <w:rFonts w:ascii="Times New Roman;serif" w:hAnsi="Times New Roman;serif"/>
          <w:b w:val="false"/>
          <w:color w:val="000000"/>
          <w:sz w:val="16"/>
        </w:rPr>
        <w:t>All other fees billed for the fiscal years ended January 31, 2026 and 2025 were related to fees for access to online accounting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1"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services provided by PricewaterhouseCoopers LLP for our fiscal year ended January 31, 2026,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 xml:space="preserve">Our board of directors recommends a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the ratification of the selection of PricewaterhouseCoopers LLP as our independent registered public accounting firm for the fiscal year ending January 31, 2027.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2"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color w:val="000000"/>
          <w:sz w:val="32"/>
        </w:rPr>
      </w:pPr>
      <w:r>
        <w:rPr>
          <w:rFonts w:ascii="Times New Roman;serif" w:hAnsi="Times New Roman;serif"/>
          <w:b/>
          <w:color w:val="000000"/>
          <w:sz w:val="32"/>
        </w:rPr>
        <w:t>PROPOSAL 4 – APPROVAL OF AN AMENDMENT TO OUR AMENDED AND RESTATED CERTIFICATE OF INCORPORATION TO ELIMINATE SUPERMAJORITY VOTE REQUIREMENTS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having determined that it is in the best interests of the Company and its stockholders, has approved, adopted and declared advisable, and recommends that the Company’s stockholders approve and adopt amendments to the Company's Amended and Restated Certificate of Incorporation (the "Charter") to eliminate the supermajority vote requirements in the Charter and replace them with majority vote standards (the "Supermajority Removal Amendment").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Current Status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VII, Section 7.5 of the Charter currently provides that a director may be removed with cause by the affirmative vote of the holders of at least 66 2/3% of the voting power of all then-outstanding shares of capital stock of the Company entitled to vote generally at an election of directors.</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Effect of the Supermajority Removal Amendment Proposal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Supermajority Removal Amendment would amend Article VII, Section 7.5 so that directors may be removed with cause by a majority (instead of 66 2/3%) of the shares of the Company’s then-outstanding shares of capital stock of the Company entitled to vote generally at an election of directors.</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Rationale for the Proposal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believes the Supermajority Removal Amendment is advisable and in the best interests of the Company and its stockholders because it is reflective of prevailing market practice. The board of directors believes that the supermajority provisions are potentially unduly restrictive of stockholder participation in the affected areas when weighed against the stability that the provisions were intended to facilitate. The board of directors has carefully considered the advantages and disadvantages of maintaining the supermajority voting provisions and has determined that it is in the best interests of the Company and its stockholders to approve and recommend that stockholders adopt the amendments described below to eliminate supermajority vote requirements from the Charter and replace them with majority vote standards.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Supermajority Removal Amendment would become effective upon the filing of an Amended and Restated Certificate of Incorporation with the Secretary of State of the State of Delaware reflecting the changes in Annex A to this Proxy Statement, which we expect would be filed by the Company promptly following the Annual Meeting if our stockholders approve the Supermajority Removal Amendment. The descriptions of the Supermajority Removal Amendment are qualified in their entirety by reference to the text of the proposed revisions, which are set forth in Annex A to this Proxy Statement, with deletions indicated by strikeouts and additions indicated by underlining.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previously amended the Charter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 the total number of authorized shares of Common Stock of the Company so that the total number of authorized shares of Common Stock of the Company is 1,000,000,000 and eliminated Class B Common Stock in 2020 (the “Certificate of Retirement of Class B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the exculpation of executive officers in 2025 (the “Exculpation of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stockholders approve the Supermajority Removal Amendment, the Company intends to file an Amended and Restated Certificate of Incorporation that will amend, restate and integrate the Certificate of Retirement of Class B Shares, the Exculpation of Officers and the Supermajority Removal Amendment (as set forth in Annex A), along with certain conforming changes.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Supermajority Removal Amendment is not approved, the Company will not file an Amended and Restated Certificate of Incorporation. The adoption of the Supermajority Removal Amendment is not contingent on the approval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3"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other proposal described in this Proxy Statement. The board of directors reserves the right to elect to abandon the Supermajority Removal Amendment prior to its implementation, if it determines, in its sole discretion, that the Supermajority Removal Amendment is no longer in the best interests of the Company and its stockholders.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 xml:space="preserve">Our board of directors recommends a vote </w:t>
            </w:r>
            <w:r>
              <w:rPr>
                <w:rFonts w:ascii="Times New Roman;serif" w:hAnsi="Times New Roman;serif"/>
                <w:b/>
                <w:color w:val="000000"/>
                <w:sz w:val="24"/>
              </w:rPr>
              <w:t>FOR</w:t>
            </w:r>
            <w:r>
              <w:rPr>
                <w:color w:val="000000"/>
              </w:rPr>
              <w:t xml:space="preserve"> </w:t>
            </w:r>
            <w:r>
              <w:rPr>
                <w:rFonts w:ascii="Times New Roman;serif" w:hAnsi="Times New Roman;serif"/>
                <w:b w:val="false"/>
                <w:color w:val="000000"/>
                <w:sz w:val="24"/>
              </w:rPr>
              <w:t>the approval of an amendment to our Amended and Restated Certificate of Incorporation to eliminate supermajority vote requirements.</w:t>
            </w:r>
          </w:p>
        </w:tc>
      </w:tr>
    </w:tbl>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4"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AUDIT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reviewed and discussed the audited financial statements for the fiscal year ended January 31, 2026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2026, for filing with the SEC.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Audit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Hope Cochran (Chair)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Roelof Botha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Charles M. Hazard, Jr.</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5"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SECURITY OWNERSHIP OF CERTAIN BENEFICIAL OWNERS AND 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as of May 1, 2026,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shares beneficially owned shown in the table is based on 80,499,934 shares of our common stock outstanding as of May 1, 2026.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May 1, 2026 and any shares of common stock issuable upon the vesting of RSUs within 60 days after May 1, 2026. However, we did not deem such shares of our common stock outstanding for the purpose of computing the percentage ownership of any other person.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noted below, the address for persons listed in the table is c/o MongoDB, Inc., 1633 Broadway, 38th Floor, New York, New York 10019.</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Certain Beneficial Owners</w:t>
      </w:r>
    </w:p>
    <w:tbl>
      <w:tblPr>
        <w:tblW w:w="8534" w:type="dxa"/>
        <w:jc w:val="left"/>
        <w:tblInd w:w="0" w:type="dxa"/>
        <w:tblLayout w:type="fixed"/>
        <w:tblCellMar>
          <w:top w:w="28" w:type="dxa"/>
          <w:left w:w="28" w:type="dxa"/>
          <w:bottom w:w="28" w:type="dxa"/>
          <w:right w:w="28" w:type="dxa"/>
        </w:tblCellMar>
      </w:tblPr>
      <w:tblGrid>
        <w:gridCol w:w="1791"/>
        <w:gridCol w:w="1575"/>
        <w:gridCol w:w="1583"/>
        <w:gridCol w:w="109"/>
        <w:gridCol w:w="109"/>
        <w:gridCol w:w="109"/>
        <w:gridCol w:w="180"/>
        <w:gridCol w:w="180"/>
        <w:gridCol w:w="180"/>
        <w:gridCol w:w="180"/>
        <w:gridCol w:w="180"/>
        <w:gridCol w:w="180"/>
        <w:gridCol w:w="180"/>
        <w:gridCol w:w="180"/>
        <w:gridCol w:w="180"/>
        <w:gridCol w:w="112"/>
        <w:gridCol w:w="112"/>
        <w:gridCol w:w="112"/>
        <w:gridCol w:w="138"/>
        <w:gridCol w:w="138"/>
        <w:gridCol w:w="138"/>
        <w:gridCol w:w="138"/>
        <w:gridCol w:w="138"/>
        <w:gridCol w:w="138"/>
        <w:gridCol w:w="138"/>
        <w:gridCol w:w="138"/>
        <w:gridCol w:w="198"/>
      </w:tblGrid>
      <w:tr>
        <w:trPr/>
        <w:tc>
          <w:tcPr>
            <w:tcW w:w="179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Beneficially Owned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 of Beneficial Owner - 5% or Greater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Ownership %</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BlackRock, Inc.</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4,692,038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Vanguard Portfolio Management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4,512,140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Vanguard Capital Management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4,228,919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bl>
    <w:p>
      <w:pPr>
        <w:pStyle w:val="TextBody"/>
        <w:bidi w:val="0"/>
        <w:spacing w:before="0" w:after="0"/>
        <w:jc w:val="center"/>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6"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Named Executive Officers, Directors and Director Nominees</w:t>
      </w:r>
    </w:p>
    <w:tbl>
      <w:tblPr>
        <w:tblW w:w="9342" w:type="dxa"/>
        <w:jc w:val="left"/>
        <w:tblInd w:w="0" w:type="dxa"/>
        <w:tblLayout w:type="fixed"/>
        <w:tblCellMar>
          <w:top w:w="28" w:type="dxa"/>
          <w:left w:w="28" w:type="dxa"/>
          <w:bottom w:w="28" w:type="dxa"/>
          <w:right w:w="28" w:type="dxa"/>
        </w:tblCellMar>
      </w:tblPr>
      <w:tblGrid>
        <w:gridCol w:w="2070"/>
        <w:gridCol w:w="1820"/>
        <w:gridCol w:w="1825"/>
        <w:gridCol w:w="109"/>
        <w:gridCol w:w="109"/>
        <w:gridCol w:w="109"/>
        <w:gridCol w:w="135"/>
        <w:gridCol w:w="135"/>
        <w:gridCol w:w="135"/>
        <w:gridCol w:w="135"/>
        <w:gridCol w:w="135"/>
        <w:gridCol w:w="135"/>
        <w:gridCol w:w="135"/>
        <w:gridCol w:w="135"/>
        <w:gridCol w:w="135"/>
        <w:gridCol w:w="135"/>
        <w:gridCol w:w="135"/>
        <w:gridCol w:w="135"/>
        <w:gridCol w:w="109"/>
        <w:gridCol w:w="109"/>
        <w:gridCol w:w="109"/>
        <w:gridCol w:w="109"/>
        <w:gridCol w:w="109"/>
        <w:gridCol w:w="109"/>
        <w:gridCol w:w="109"/>
        <w:gridCol w:w="109"/>
        <w:gridCol w:w="109"/>
        <w:gridCol w:w="109"/>
        <w:gridCol w:w="109"/>
        <w:gridCol w:w="109"/>
        <w:gridCol w:w="109"/>
        <w:gridCol w:w="109"/>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Beneficially Owned</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Named Executive Officers and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Ownership %</w:t>
            </w:r>
          </w:p>
        </w:tc>
      </w:tr>
      <w:tr>
        <w:trPr/>
        <w:tc>
          <w:tcPr>
            <w:tcW w:w="5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Archana Agrawal</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Berry</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Roelof Botha</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Hope Cochran</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pPr>
            <w:r>
              <w:rPr>
                <w:rFonts w:ascii="Times New Roman;serif" w:hAnsi="Times New Roman;serif"/>
                <w:b w:val="false"/>
                <w:color w:val="000000"/>
                <w:sz w:val="20"/>
              </w:rPr>
              <w:t>Chirantan Desai</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Francisco D’Souza</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Charles M. Hazard, Jr.</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 Ittycheria</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Tom Killalea</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 Lewnes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Dwight Merriman</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1,561,474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Cedric Pech</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Srdjan Tanjga</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current executive officers and directors as a group (11 persons)</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lineRule="auto" w:line="288" w:before="0" w:after="120"/>
        <w:ind w:left="0" w:right="0" w:hanging="360"/>
        <w:jc w:val="both"/>
        <w:rPr/>
      </w:pPr>
      <w:r>
        <w:rPr>
          <w:rFonts w:ascii="Times New Roman;serif" w:hAnsi="Times New Roman;serif"/>
          <w:b/>
          <w:color w:val="000000"/>
          <w:sz w:val="13"/>
        </w:rPr>
        <w:t>*    </w:t>
      </w:r>
      <w:r>
        <w:rPr>
          <w:rFonts w:ascii="Times New Roman;serif" w:hAnsi="Times New Roman;serif"/>
          <w:b w:val="false"/>
          <w:color w:val="000000"/>
          <w:sz w:val="16"/>
        </w:rPr>
        <w:t>Represents beneficial ownership of less than 1%</w:t>
      </w:r>
    </w:p>
    <w:p>
      <w:pPr>
        <w:pStyle w:val="TextBody"/>
        <w:bidi w:val="0"/>
        <w:spacing w:lineRule="auto" w:line="268" w:before="0" w:after="12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Based upon the information provided by BlackRock, Inc. (“BlackRock”) in a Schedule 13G/A filed on April 23, 2025, and reporting ownership as of March 31, 2025. The principal business address of BlackRock is 50 Hudson Yards, New York, NY 10001. BlackRock has sole voting power over 4,292,036 shares of common stock, shared voting power over zero shares of common stock, sole dispositive power over 4,692,038 shares of common stock and shared dispositive power over zero shares of common stock.</w:t>
      </w:r>
    </w:p>
    <w:p>
      <w:pPr>
        <w:pStyle w:val="TextBody"/>
        <w:bidi w:val="0"/>
        <w:spacing w:lineRule="auto" w:line="268" w:before="0" w:after="12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Based upon the information provided by Vanguard Portfolio Management LLC (“Vanguard Portfolio”) in a Schedule 13G filed on April 29, 2026, and reporting ownership as of March 31, 2026. Vanguard Portfolio had sole voting power over 10,618 shares of common stock, shared voting power over zero shares of common stock, sole dispositive power over 4,512,140 shares of common stock and shared dispositive power over zero shares of common stock.</w:t>
      </w:r>
    </w:p>
    <w:p>
      <w:pPr>
        <w:pStyle w:val="TextBody"/>
        <w:bidi w:val="0"/>
        <w:spacing w:lineRule="auto" w:line="268" w:before="0" w:after="12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Based upon the information provided by Vanguard Capital Management LLC (“Vanguard Capital”) in a Schedule 13G filed on April 30, 2026, and reporting ownership as of March 31, 2026. Vanguard Capital had sole voting power over 710,080 shares of common stock, shared voting power over zero shares of common stock, sole dispositive power over 4,228,919 shares of common stock and shared dispositive power over zero shares of common stock.</w:t>
      </w:r>
    </w:p>
    <w:p>
      <w:pPr>
        <w:pStyle w:val="TextBody"/>
        <w:bidi w:val="0"/>
        <w:spacing w:lineRule="auto" w:line="288" w:before="0" w:after="12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Consists of (a) 3,431 shares of common stock owned directly by Ms. Agrawal and (b) 1,130 shares of common stock issuable upon the vesting of RSUs within 60 days of May 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(5)    </w:t>
      </w:r>
      <w:r>
        <w:rPr>
          <w:rFonts w:ascii="Times New Roman;serif" w:hAnsi="Times New Roman;serif"/>
          <w:b w:val="false"/>
          <w:color w:val="000000"/>
          <w:sz w:val="16"/>
        </w:rPr>
        <w:t>Consists of (a) 50 shares of common stock owned directly by Mr. Berry and (b) 11,500 shares of common stock owned by The Berry Family Trust, of which Mr. Berry is a Trustee.</w:t>
      </w:r>
    </w:p>
    <w:p>
      <w:pPr>
        <w:pStyle w:val="TextBody"/>
        <w:bidi w:val="0"/>
        <w:spacing w:lineRule="auto" w:line="288" w:before="0" w:after="120"/>
        <w:ind w:left="0" w:right="0" w:hanging="360"/>
        <w:jc w:val="both"/>
        <w:rPr/>
      </w:pPr>
      <w:r>
        <w:rPr>
          <w:rFonts w:ascii="Times New Roman;serif" w:hAnsi="Times New Roman;serif"/>
          <w:b w:val="false"/>
          <w:color w:val="000000"/>
          <w:sz w:val="10"/>
        </w:rPr>
        <w:t>(6)    </w:t>
      </w:r>
      <w:r>
        <w:rPr>
          <w:rFonts w:ascii="Times New Roman;serif" w:hAnsi="Times New Roman;serif"/>
          <w:b w:val="false"/>
          <w:color w:val="000000"/>
          <w:sz w:val="16"/>
        </w:rPr>
        <w:t xml:space="preserve">Consists of (a) 194,600 shares of common stock owned by estate planning vehicles for the benefit of Mr. Botha and (c) 1,130 shares of common stock issuable upon the vesting of RSUs within 60 days of May 1, 2026. </w:t>
      </w:r>
    </w:p>
    <w:p>
      <w:pPr>
        <w:pStyle w:val="TextBody"/>
        <w:bidi w:val="0"/>
        <w:spacing w:lineRule="auto" w:line="288" w:before="0" w:after="120"/>
        <w:ind w:left="0" w:right="0" w:hanging="360"/>
        <w:jc w:val="both"/>
        <w:rPr/>
      </w:pPr>
      <w:r>
        <w:rPr>
          <w:rFonts w:ascii="Times New Roman;serif" w:hAnsi="Times New Roman;serif"/>
          <w:b w:val="false"/>
          <w:color w:val="000000"/>
          <w:sz w:val="10"/>
        </w:rPr>
        <w:t>(7)    </w:t>
      </w:r>
      <w:r>
        <w:rPr>
          <w:rFonts w:ascii="Times New Roman;serif" w:hAnsi="Times New Roman;serif"/>
          <w:b w:val="false"/>
          <w:color w:val="000000"/>
          <w:sz w:val="16"/>
        </w:rPr>
        <w:t xml:space="preserve">Consists of (a) 26,880 shares of common stock owned directly by Ms. Cochran, (b) 3,916 shares of common stock issuable upon the exercise of options exercisable within 60 days of May 1, 2026 and (c) 1,130 shares of common stock issuable upon the vesting of RSUs within 60 days of May 1, 2026. </w:t>
      </w:r>
    </w:p>
    <w:p>
      <w:pPr>
        <w:pStyle w:val="TextBody"/>
        <w:bidi w:val="0"/>
        <w:spacing w:lineRule="auto" w:line="288" w:before="0" w:after="120"/>
        <w:ind w:left="0" w:right="0" w:hanging="360"/>
        <w:jc w:val="both"/>
        <w:rPr/>
      </w:pPr>
      <w:r>
        <w:rPr>
          <w:rFonts w:ascii="Times New Roman;serif" w:hAnsi="Times New Roman;serif"/>
          <w:b w:val="false"/>
          <w:color w:val="000000"/>
          <w:sz w:val="10"/>
        </w:rPr>
        <w:t>(8)    </w:t>
      </w:r>
      <w:r>
        <w:rPr>
          <w:rFonts w:ascii="Times New Roman;serif" w:hAnsi="Times New Roman;serif"/>
          <w:b w:val="false"/>
          <w:color w:val="000000"/>
          <w:sz w:val="16"/>
        </w:rPr>
        <w:t>Consists of 3,250 shares of common stock owned directly by Mr. Desai.</w:t>
      </w:r>
    </w:p>
    <w:p>
      <w:pPr>
        <w:pStyle w:val="TextBody"/>
        <w:bidi w:val="0"/>
        <w:spacing w:lineRule="auto" w:line="288" w:before="0" w:after="120"/>
        <w:ind w:left="0" w:right="0" w:hanging="360"/>
        <w:jc w:val="both"/>
        <w:rPr/>
      </w:pPr>
      <w:r>
        <w:rPr>
          <w:rFonts w:ascii="Times New Roman;serif" w:hAnsi="Times New Roman;serif"/>
          <w:b w:val="false"/>
          <w:color w:val="000000"/>
          <w:sz w:val="10"/>
        </w:rPr>
        <w:t>(9)    </w:t>
      </w:r>
      <w:r>
        <w:rPr>
          <w:rFonts w:ascii="Times New Roman;serif" w:hAnsi="Times New Roman;serif"/>
          <w:b w:val="false"/>
          <w:color w:val="000000"/>
          <w:sz w:val="16"/>
        </w:rPr>
        <w:t>Consists of (a) 6,525 shares of common stock owned directly by Mr. D’Souza and (b) 1,130 shares of common stock issuable upon the vesting of RSUs within 60 days of May 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(10)    </w:t>
      </w:r>
      <w:r>
        <w:rPr>
          <w:rFonts w:ascii="Times New Roman;serif" w:hAnsi="Times New Roman;serif"/>
          <w:b w:val="false"/>
          <w:color w:val="000000"/>
          <w:sz w:val="16"/>
        </w:rPr>
        <w:t>Consists of (a) 43,737 shares of common stock owned directly by Mr. Hazard, (b) 13,995 shares of common stock owned by The Narragansett Bay Children’s Trust, of which Mr. Hazard is a Trustee and (c) 1,130 shares of common stock issuable upon the vesting of RSUs within 60 days of May 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(11)    </w:t>
      </w:r>
      <w:r>
        <w:rPr>
          <w:rFonts w:ascii="Times New Roman;serif" w:hAnsi="Times New Roman;serif"/>
          <w:b w:val="false"/>
          <w:color w:val="000000"/>
          <w:sz w:val="16"/>
        </w:rPr>
        <w:t>Consists of 152,557 shares of stock owned directly by Mr. Ittycheria.</w:t>
      </w:r>
    </w:p>
    <w:p>
      <w:pPr>
        <w:pStyle w:val="TextBody"/>
        <w:bidi w:val="0"/>
        <w:spacing w:lineRule="auto" w:line="288" w:before="0" w:after="120"/>
        <w:ind w:left="0" w:right="0" w:hanging="360"/>
        <w:jc w:val="both"/>
        <w:rPr/>
      </w:pPr>
      <w:r>
        <w:rPr>
          <w:rFonts w:ascii="Times New Roman;serif" w:hAnsi="Times New Roman;serif"/>
          <w:b w:val="false"/>
          <w:color w:val="000000"/>
          <w:sz w:val="10"/>
        </w:rPr>
        <w:t>(12)    </w:t>
      </w:r>
      <w:r>
        <w:rPr>
          <w:rFonts w:ascii="Times New Roman;serif" w:hAnsi="Times New Roman;serif"/>
          <w:b w:val="false"/>
          <w:color w:val="000000"/>
          <w:sz w:val="16"/>
        </w:rPr>
        <w:t>Consists of (a) 61,163 shares of common stock owned directly by Mr. Killalea, (b) 5,000 shares of common stock owned by the UAISLE Trust U/A DTD 11/15/2021 for the benefit of his children, (c) 5,000 shares of common stock owned by the BREOGA Trust U/A DTD 11/15/2021 for the benefit of his children, (d) 5,000 shares of common stock owned by the CEANSA Trust U/A DTD 11/15/2021 for the benefit of his children, (e) 5,000 shares of common stock owned by the AOGALL Trust U/A DTD 11/15/2021 for the benefit of his children and (f) 1,130 shares of common stock issuable upon the vesting of RSUs within 60 days of May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7"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360"/>
        <w:jc w:val="both"/>
        <w:rPr/>
      </w:pPr>
      <w:r>
        <w:rPr>
          <w:rFonts w:ascii="Times New Roman;serif" w:hAnsi="Times New Roman;serif"/>
          <w:b w:val="false"/>
          <w:color w:val="000000"/>
          <w:sz w:val="10"/>
        </w:rPr>
        <w:t>(13)    </w:t>
      </w:r>
      <w:r>
        <w:rPr>
          <w:rFonts w:ascii="Times New Roman;serif" w:hAnsi="Times New Roman;serif"/>
          <w:b w:val="false"/>
          <w:color w:val="000000"/>
          <w:sz w:val="16"/>
        </w:rPr>
        <w:t>Consists of (a) 1,015 shares of common stock owned directly by Ms. Lewnes and (b) 1,130 shares of common stock issuable upon the vesting of RSUs within 60 days of May 1,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(14)    </w:t>
      </w:r>
      <w:r>
        <w:rPr>
          <w:rFonts w:ascii="Times New Roman;serif" w:hAnsi="Times New Roman;serif"/>
          <w:b w:val="false"/>
          <w:color w:val="000000"/>
          <w:sz w:val="16"/>
        </w:rPr>
        <w:t xml:space="preserve">Consists of (a) 1,004,186 shares of common stock owned directly by Mr. Merriman, (b) 476,896 shares of common stock held by The Dwight A. Merriman 2012 Trust for the benefit of his children, (c) 79,262 shares of common stock held by the Dwight A. Merriman Charitable Foundation, a Delaware nonstock nonprofit corporation and (d) 1,130 shares of common stock issuable upon the vesting of RSUs within 60 days of May 1, 2026. </w:t>
      </w:r>
    </w:p>
    <w:p>
      <w:pPr>
        <w:pStyle w:val="TextBody"/>
        <w:bidi w:val="0"/>
        <w:spacing w:lineRule="auto" w:line="288" w:before="0" w:after="120"/>
        <w:ind w:left="0" w:right="0" w:hanging="360"/>
        <w:jc w:val="both"/>
        <w:rPr/>
      </w:pPr>
      <w:r>
        <w:rPr>
          <w:rFonts w:ascii="Times New Roman;serif" w:hAnsi="Times New Roman;serif"/>
          <w:b w:val="false"/>
          <w:color w:val="000000"/>
          <w:sz w:val="10"/>
        </w:rPr>
        <w:t>(15)    </w:t>
      </w:r>
      <w:r>
        <w:rPr>
          <w:rFonts w:ascii="Times New Roman;serif" w:hAnsi="Times New Roman;serif"/>
          <w:b w:val="false"/>
          <w:color w:val="000000"/>
          <w:sz w:val="16"/>
        </w:rPr>
        <w:t>Consists of (a) 3,309 shares of common stock owned directly by Mr. Pech and (b) 47,693 shares of common stock held in a custodial account over which Mr. Pech retains beneficial ownership, including voting and investment power. Based on information known to the Company as of April 15, 2026.</w:t>
      </w:r>
    </w:p>
    <w:p>
      <w:pPr>
        <w:pStyle w:val="TextBody"/>
        <w:bidi w:val="0"/>
        <w:spacing w:lineRule="auto" w:line="288" w:before="0" w:after="120"/>
        <w:ind w:left="0" w:right="0" w:hanging="360"/>
        <w:jc w:val="both"/>
        <w:rPr/>
      </w:pPr>
      <w:r>
        <w:rPr>
          <w:rFonts w:ascii="Times New Roman;serif" w:hAnsi="Times New Roman;serif"/>
          <w:b w:val="false"/>
          <w:color w:val="000000"/>
          <w:sz w:val="10"/>
        </w:rPr>
        <w:t>(16)    </w:t>
      </w:r>
      <w:r>
        <w:rPr>
          <w:rFonts w:ascii="Times New Roman;serif" w:hAnsi="Times New Roman;serif"/>
          <w:b w:val="false"/>
          <w:color w:val="000000"/>
          <w:sz w:val="16"/>
        </w:rPr>
        <w:t>Consists of 754 shares of common stock owned by Mr. Tanjga. Based on information known to the Company as of May 8, 2025.</w:t>
      </w:r>
    </w:p>
    <w:p>
      <w:pPr>
        <w:pStyle w:val="TextBody"/>
        <w:bidi w:val="0"/>
        <w:spacing w:lineRule="auto" w:line="288" w:before="0" w:after="120"/>
        <w:ind w:left="0" w:right="0" w:hanging="360"/>
        <w:jc w:val="both"/>
        <w:rPr/>
      </w:pPr>
      <w:r>
        <w:rPr>
          <w:rFonts w:ascii="Times New Roman;serif" w:hAnsi="Times New Roman;serif"/>
          <w:b w:val="false"/>
          <w:color w:val="000000"/>
          <w:sz w:val="10"/>
        </w:rPr>
        <w:t>(17)    </w:t>
      </w:r>
      <w:r>
        <w:rPr>
          <w:rFonts w:ascii="Times New Roman;serif" w:hAnsi="Times New Roman;serif"/>
          <w:b w:val="false"/>
          <w:color w:val="000000"/>
          <w:sz w:val="16"/>
        </w:rPr>
        <w:t>Consists of (a) 2,099,047 shares of common stock, (b) 3,916 shares of common stock issuable upon the exercise of options exercisable within 60 days of May 1, 2026 and (c) 9,040 shares of common stock issuable upon the vesting of RSUs within 60 days of May 1, 2026 (excluding Messrs. Tanjga and Pech).</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Delinquent Section 16(a) Reports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executive officers, directors, and persons who own more than 10% of a registered class of our equity securities to file reports of ownership on Form 3 and changes in ownership on Form 4 or Form 5 with the SEC. Such executive officers, directors and 10% shareholders are also required by securities laws to furnish us with copies of all Section 16(a) forms they file.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solely on our review of copies of these reports, or written representations from reporting persons, we believe that during the fiscal year ended January 31, 2026, our executive officers, directors and persons who own more than 10% of a registered class of our equity securities filed under Section 16(a) on a timely basis, except for one Form 4 reporting one late transaction for Mr. Tom Killalea and one Form 4 reporting one late transaction for Mr. Dev Ittycheria, both due to administrative delays.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8"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32"/>
        </w:rPr>
      </w:pPr>
      <w:r>
        <w:rPr>
          <w:rFonts w:ascii="Times New Roman;serif" w:hAnsi="Times New Roman;serif"/>
          <w:b/>
          <w:color w:val="000000"/>
          <w:sz w:val="32"/>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pStyle w:val="TextBody"/>
        <w:bidi w:val="0"/>
        <w:spacing w:before="0" w:after="0"/>
        <w:jc w:val="left"/>
        <w:rPr/>
      </w:pPr>
      <w:r>
        <w:rPr/>
      </w:r>
    </w:p>
    <w:p>
      <w:pPr>
        <w:pStyle w:val="TextBody"/>
        <w:bidi w:val="0"/>
        <w:spacing w:before="0" w:after="240"/>
        <w:ind w:left="0" w:right="0" w:firstLine="540"/>
        <w:jc w:val="both"/>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45" w:before="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have filed our Annual Report on Form 10-K for the fiscal year ended January 31, 2026 with the SEC. It is available free of charge at the SEC’s website at www.sec.gov. Stockholders can also access this proxy statement and our Annual Report on Form 10-K at investors.mongodb.com, or a copy of our Annual Report on Form 10-K for the fiscal year ended January 31, 2026 is available without charge upon written request to our Secretary at 499 Hamilton Ave, Palo Alto, CA 94301, Attention: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99"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lineRule="auto" w:line="345" w:before="0" w:after="240"/>
        <w:jc w:val="left"/>
        <w:rPr>
          <w:rFonts w:ascii="Times New Roman;serif" w:hAnsi="Times New Roman;serif"/>
          <w:b/>
          <w:color w:val="000000"/>
          <w:sz w:val="32"/>
        </w:rPr>
      </w:pPr>
      <w:r>
        <w:rPr>
          <w:rFonts w:ascii="Times New Roman;serif" w:hAnsi="Times New Roman;serif"/>
          <w:b/>
          <w:color w:val="000000"/>
          <w:sz w:val="32"/>
        </w:rPr>
        <w:t>ANNEX A: Proposed Amendments to the Amended and Restated Certificate of Incorporation Pursuant to Proposal 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Certificate of Incorporation shall be amended as follows. The text of the proposed amendment is marked to reflect the proposed changes.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ARTICLE VII</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BOARD AUTHORITY AND STOCKHOLDER ACTIONS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7.5 Subject to any limitation imposed by applicable law and subject to the rights of the holders of any series of Preferred Stock, any individual director or directors may be removed with cause by the affirmative vote of the holders of </w:t>
      </w:r>
      <w:r>
        <w:rPr>
          <w:rFonts w:ascii="Times New Roman;serif" w:hAnsi="Times New Roman;serif"/>
          <w:b/>
          <w:strike/>
          <w:color w:val="EE2724"/>
          <w:sz w:val="20"/>
        </w:rPr>
        <w:t xml:space="preserve">at least 66 2/3% </w:t>
      </w:r>
      <w:r>
        <w:rPr>
          <w:rFonts w:ascii="Times New Roman;serif" w:hAnsi="Times New Roman;serif"/>
          <w:b/>
          <w:color w:val="3051F2"/>
          <w:sz w:val="20"/>
          <w:u w:val="single"/>
        </w:rPr>
        <w:t>a majority</w:t>
      </w:r>
      <w:r>
        <w:rPr>
          <w:color w:val="000000"/>
        </w:rPr>
        <w:t xml:space="preserve"> </w:t>
      </w:r>
      <w:r>
        <w:rPr>
          <w:rFonts w:ascii="Times New Roman;serif" w:hAnsi="Times New Roman;serif"/>
          <w:b w:val="false"/>
          <w:color w:val="000000"/>
          <w:sz w:val="20"/>
        </w:rPr>
        <w:t>of the voting power of all then-outstanding shares of capital stock of the Company entitled to vote generally at an election of directors.</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0"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drawing>
          <wp:inline distT="0" distB="0" distL="0" distR="0">
            <wp:extent cx="6400800" cy="7810500"/>
            <wp:effectExtent l="0" t="0" r="0" b="0"/>
            <wp:docPr id="10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5" descr=""/>
                    <pic:cNvPicPr>
                      <a:picLocks noChangeAspect="1" noChangeArrowheads="1"/>
                    </pic:cNvPicPr>
                  </pic:nvPicPr>
                  <pic:blipFill>
                    <a:blip r:embed="rId16"/>
                    <a:stretch>
                      <a:fillRect/>
                    </a:stretch>
                  </pic:blipFill>
                  <pic:spPr bwMode="auto">
                    <a:xfrm>
                      <a:off x="0" y="0"/>
                      <a:ext cx="6400800" cy="7810500"/>
                    </a:xfrm>
                    <a:prstGeom prst="rect">
                      <a:avLst/>
                    </a:prstGeom>
                  </pic:spPr>
                </pic:pic>
              </a:graphicData>
            </a:graphic>
          </wp:inline>
        </w:drawing>
      </w:r>
      <w:bookmarkStart w:id="14" w:name="i-15"/>
      <w:bookmarkEnd w:id="14"/>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eda04bb2d7247d99d2b17bd229fbbb6_7">
        <w:r>
          <w:rPr>
            <w:rStyle w:val="InternetLink"/>
            <w:rFonts w:ascii="Times New Roman;serif" w:hAnsi="Times New Roman;serif"/>
            <w:b w:val="false"/>
            <w:color w:val="0000FF"/>
            <w:sz w:val="18"/>
            <w:u w:val="single"/>
          </w:rPr>
          <w:t>Table of Contents</w:t>
        </w:r>
      </w:hyperlink>
    </w:p>
    <w:p>
      <w:pPr>
        <w:pStyle w:val="TextBody"/>
        <w:bidi w:val="0"/>
        <w:jc w:val="center"/>
        <w:rPr/>
      </w:pPr>
      <w:r>
        <w:rPr/>
        <w:drawing>
          <wp:inline distT="0" distB="0" distL="0" distR="0">
            <wp:extent cx="6400800" cy="7829550"/>
            <wp:effectExtent l="0" t="0" r="0" b="0"/>
            <wp:docPr id="1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6" descr=""/>
                    <pic:cNvPicPr>
                      <a:picLocks noChangeAspect="1" noChangeArrowheads="1"/>
                    </pic:cNvPicPr>
                  </pic:nvPicPr>
                  <pic:blipFill>
                    <a:blip r:embed="rId17"/>
                    <a:stretch>
                      <a:fillRect/>
                    </a:stretch>
                  </pic:blipFill>
                  <pic:spPr bwMode="auto">
                    <a:xfrm>
                      <a:off x="0" y="0"/>
                      <a:ext cx="6400800" cy="7829550"/>
                    </a:xfrm>
                    <a:prstGeom prst="rect">
                      <a:avLst/>
                    </a:prstGeom>
                  </pic:spPr>
                </pic:pic>
              </a:graphicData>
            </a:graphic>
          </wp:inline>
        </w:drawing>
      </w:r>
      <w:bookmarkStart w:id="15" w:name="i-16"/>
      <w:bookmarkEnd w:id="15"/>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3.gif"/><Relationship Id="rId8" Type="http://schemas.openxmlformats.org/officeDocument/2006/relationships/image" Target="media/image3.gif"/><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42851</Words>
  <Characters>235789</Characters>
  <CharactersWithSpaces>276979</CharactersWithSpaces>
  <Paragraphs>2488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