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Arial" w:cs="Arial" w:eastAsia="Arial" w:hAnsi="Arial"/>
          <w:sz w:val="16"/>
          <w:szCs w:val="16"/>
          <w:color w:val="auto"/>
        </w:rPr>
        <w:t>As filed with the U.S. Securities and Exchange Commission on April 1, 2019 Registration No. 333-</w:t>
      </w:r>
    </w:p>
    <w:p>
      <w:pPr>
        <w:spacing w:after="0" w:line="289" w:lineRule="exact"/>
        <w:rPr>
          <w:sz w:val="24"/>
          <w:szCs w:val="24"/>
          <w:color w:val="auto"/>
        </w:rPr>
      </w:pPr>
    </w:p>
    <w:p>
      <w:pPr>
        <w:jc w:val="center"/>
        <w:ind w:right="320"/>
        <w:spacing w:after="0"/>
        <w:rPr>
          <w:sz w:val="20"/>
          <w:szCs w:val="20"/>
          <w:color w:val="auto"/>
        </w:rPr>
      </w:pPr>
      <w:r>
        <w:rPr>
          <w:rFonts w:ascii="Arial" w:cs="Arial" w:eastAsia="Arial" w:hAnsi="Arial"/>
          <w:sz w:val="27"/>
          <w:szCs w:val="27"/>
          <w:b w:val="1"/>
          <w:bCs w:val="1"/>
          <w:color w:val="auto"/>
        </w:rPr>
        <w:t>UNITED STATES</w:t>
      </w:r>
    </w:p>
    <w:p>
      <w:pPr>
        <w:spacing w:after="0" w:line="68" w:lineRule="exact"/>
        <w:rPr>
          <w:sz w:val="24"/>
          <w:szCs w:val="24"/>
          <w:color w:val="auto"/>
        </w:rPr>
      </w:pPr>
    </w:p>
    <w:p>
      <w:pPr>
        <w:jc w:val="center"/>
        <w:ind w:right="320"/>
        <w:spacing w:after="0"/>
        <w:rPr>
          <w:sz w:val="20"/>
          <w:szCs w:val="20"/>
          <w:color w:val="auto"/>
        </w:rPr>
      </w:pPr>
      <w:r>
        <w:rPr>
          <w:rFonts w:ascii="Arial" w:cs="Arial" w:eastAsia="Arial" w:hAnsi="Arial"/>
          <w:sz w:val="27"/>
          <w:szCs w:val="27"/>
          <w:b w:val="1"/>
          <w:bCs w:val="1"/>
          <w:color w:val="auto"/>
        </w:rPr>
        <w:t>SECURITIES AND EXCHANGE COMMISSION</w:t>
      </w:r>
    </w:p>
    <w:p>
      <w:pPr>
        <w:spacing w:after="0" w:line="74" w:lineRule="exact"/>
        <w:rPr>
          <w:sz w:val="24"/>
          <w:szCs w:val="24"/>
          <w:color w:val="auto"/>
        </w:rPr>
      </w:pPr>
    </w:p>
    <w:p>
      <w:pPr>
        <w:jc w:val="center"/>
        <w:ind w:right="320"/>
        <w:spacing w:after="0"/>
        <w:rPr>
          <w:sz w:val="20"/>
          <w:szCs w:val="20"/>
          <w:color w:val="auto"/>
        </w:rPr>
      </w:pPr>
      <w:r>
        <w:rPr>
          <w:rFonts w:ascii="Arial" w:cs="Arial" w:eastAsia="Arial" w:hAnsi="Arial"/>
          <w:sz w:val="22"/>
          <w:szCs w:val="22"/>
          <w:color w:val="auto"/>
        </w:rPr>
        <w:t>Washington, D.C. 20549</w:t>
      </w:r>
    </w:p>
    <w:p>
      <w:pPr>
        <w:spacing w:after="0" w:line="106" w:lineRule="exact"/>
        <w:rPr>
          <w:sz w:val="24"/>
          <w:szCs w:val="24"/>
          <w:color w:val="auto"/>
        </w:rPr>
      </w:pPr>
    </w:p>
    <w:p>
      <w:pPr>
        <w:jc w:val="center"/>
        <w:ind w:right="320"/>
        <w:spacing w:after="0"/>
        <w:rPr>
          <w:sz w:val="20"/>
          <w:szCs w:val="20"/>
          <w:color w:val="auto"/>
        </w:rPr>
      </w:pPr>
      <w:r>
        <w:rPr>
          <w:rFonts w:ascii="Arial" w:cs="Arial" w:eastAsia="Arial" w:hAnsi="Arial"/>
          <w:sz w:val="27"/>
          <w:szCs w:val="27"/>
          <w:b w:val="1"/>
          <w:bCs w:val="1"/>
          <w:color w:val="auto"/>
        </w:rPr>
        <w:t>FORM S-8</w:t>
      </w:r>
    </w:p>
    <w:p>
      <w:pPr>
        <w:spacing w:after="0" w:line="12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REGISTRATION STATEMENT</w:t>
      </w:r>
    </w:p>
    <w:p>
      <w:pPr>
        <w:spacing w:after="0" w:line="58"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UNDER</w:t>
      </w:r>
    </w:p>
    <w:p>
      <w:pPr>
        <w:spacing w:after="0" w:line="31" w:lineRule="exact"/>
        <w:rPr>
          <w:sz w:val="24"/>
          <w:szCs w:val="24"/>
          <w:color w:val="auto"/>
        </w:rPr>
      </w:pPr>
    </w:p>
    <w:p>
      <w:pPr>
        <w:jc w:val="center"/>
        <w:ind w:right="320"/>
        <w:spacing w:after="0"/>
        <w:rPr>
          <w:sz w:val="20"/>
          <w:szCs w:val="20"/>
          <w:color w:val="auto"/>
        </w:rPr>
      </w:pPr>
      <w:r>
        <w:rPr>
          <w:rFonts w:ascii="Arial" w:cs="Arial" w:eastAsia="Arial" w:hAnsi="Arial"/>
          <w:sz w:val="22"/>
          <w:szCs w:val="22"/>
          <w:color w:val="auto"/>
        </w:rPr>
        <w:t>THE SECURITIES ACT OF 1933</w:t>
      </w:r>
    </w:p>
    <w:p>
      <w:pPr>
        <w:spacing w:after="0" w:line="36" w:lineRule="exact"/>
        <w:rPr>
          <w:sz w:val="24"/>
          <w:szCs w:val="24"/>
          <w:color w:val="auto"/>
        </w:rPr>
      </w:pPr>
    </w:p>
    <w:p>
      <w:pPr>
        <w:jc w:val="center"/>
        <w:ind w:right="320"/>
        <w:spacing w:after="0"/>
        <w:rPr>
          <w:sz w:val="20"/>
          <w:szCs w:val="20"/>
          <w:color w:val="auto"/>
        </w:rPr>
      </w:pPr>
      <w:r>
        <w:rPr>
          <w:rFonts w:ascii="Arial" w:cs="Arial" w:eastAsia="Arial" w:hAnsi="Arial"/>
          <w:sz w:val="43"/>
          <w:szCs w:val="43"/>
          <w:b w:val="1"/>
          <w:bCs w:val="1"/>
          <w:color w:val="auto"/>
        </w:rPr>
        <w:t>MongoDB, Inc.</w:t>
      </w:r>
    </w:p>
    <w:p>
      <w:pPr>
        <w:spacing w:after="0" w:line="111" w:lineRule="exact"/>
        <w:rPr>
          <w:sz w:val="24"/>
          <w:szCs w:val="24"/>
          <w:color w:val="auto"/>
        </w:rPr>
      </w:pPr>
    </w:p>
    <w:p>
      <w:pPr>
        <w:jc w:val="center"/>
        <w:ind w:right="3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60"/>
          </w:cols>
          <w:pgMar w:left="580" w:top="719" w:right="259" w:bottom="1440" w:gutter="0" w:footer="0" w:header="0"/>
        </w:sectPr>
      </w:pPr>
    </w:p>
    <w:p>
      <w:pPr>
        <w:spacing w:after="0" w:line="195" w:lineRule="exact"/>
        <w:rPr>
          <w:sz w:val="24"/>
          <w:szCs w:val="24"/>
          <w:color w:val="auto"/>
        </w:rPr>
      </w:pPr>
    </w:p>
    <w:p>
      <w:pPr>
        <w:ind w:left="18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26-1463205</w:t>
      </w:r>
    </w:p>
    <w:p>
      <w:pPr>
        <w:spacing w:after="0" w:line="126" w:lineRule="exact"/>
        <w:rPr>
          <w:sz w:val="24"/>
          <w:szCs w:val="24"/>
          <w:color w:val="auto"/>
        </w:rPr>
      </w:pPr>
    </w:p>
    <w:p>
      <w:pPr>
        <w:sectPr>
          <w:pgSz w:w="11900" w:h="16838" w:orient="portrait"/>
          <w:cols w:equalWidth="0" w:num="2">
            <w:col w:w="7820" w:space="720"/>
            <w:col w:w="2520"/>
          </w:cols>
          <w:pgMar w:left="580" w:top="719" w:right="259" w:bottom="1440" w:gutter="0" w:footer="0" w:header="0"/>
          <w:type w:val="continuous"/>
        </w:sectPr>
      </w:pPr>
    </w:p>
    <w:p>
      <w:pPr>
        <w:ind w:left="2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84" w:lineRule="exact"/>
        <w:rPr>
          <w:sz w:val="24"/>
          <w:szCs w:val="24"/>
          <w:color w:val="auto"/>
        </w:rPr>
      </w:pPr>
    </w:p>
    <w:p>
      <w:pPr>
        <w:sectPr>
          <w:pgSz w:w="11900" w:h="16838" w:orient="portrait"/>
          <w:cols w:equalWidth="0" w:num="2">
            <w:col w:w="7040" w:space="720"/>
            <w:col w:w="3300"/>
          </w:cols>
          <w:pgMar w:left="580" w:top="719" w:right="259" w:bottom="1440" w:gutter="0" w:footer="0" w:header="0"/>
          <w:type w:val="continuous"/>
        </w:sectPr>
      </w:pPr>
    </w:p>
    <w:p>
      <w:pPr>
        <w:jc w:val="center"/>
        <w:ind w:right="30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6"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New York, NY 10019</w:t>
      </w:r>
    </w:p>
    <w:p>
      <w:pPr>
        <w:spacing w:after="0" w:line="3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646-727-4092</w:t>
      </w:r>
    </w:p>
    <w:p>
      <w:pPr>
        <w:spacing w:after="0" w:line="49"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(Address of principal executive offices) (Zip code)</w:t>
      </w:r>
    </w:p>
    <w:p>
      <w:pPr>
        <w:spacing w:after="0" w:line="29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MongoDB, Inc. 2016 Equity Incentive Plan</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MongoDB, Inc. 2017 Employee Stock Purchase Plan</w:t>
      </w:r>
    </w:p>
    <w:p>
      <w:pPr>
        <w:spacing w:after="0" w:line="49"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(Full titles of the plans)</w:t>
      </w:r>
    </w:p>
    <w:p>
      <w:pPr>
        <w:spacing w:after="0" w:line="46"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w:t>
      </w:r>
    </w:p>
    <w:p>
      <w:pPr>
        <w:spacing w:after="0" w:line="46"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Dev Ittycheria</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New York, NY 10019</w:t>
      </w:r>
    </w:p>
    <w:p>
      <w:pPr>
        <w:spacing w:after="0" w:line="3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646-727-4092</w:t>
      </w:r>
    </w:p>
    <w:p>
      <w:pPr>
        <w:spacing w:after="0" w:line="27" w:lineRule="exact"/>
        <w:rPr>
          <w:sz w:val="24"/>
          <w:szCs w:val="24"/>
          <w:color w:val="auto"/>
        </w:rPr>
      </w:pPr>
    </w:p>
    <w:p>
      <w:pPr>
        <w:ind w:left="244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16"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Copies to:</w:t>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Nicole Brookshire</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Cooley LLP</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1114 Avenue of the Americas</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New York, NY 10036</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212-479-6000</w:t>
      </w:r>
    </w:p>
    <w:p>
      <w:pPr>
        <w:spacing w:after="0" w:line="54" w:lineRule="exact"/>
        <w:rPr>
          <w:sz w:val="24"/>
          <w:szCs w:val="24"/>
          <w:color w:val="auto"/>
        </w:rPr>
      </w:pPr>
    </w:p>
    <w:p>
      <w:pPr>
        <w:ind w:right="180"/>
        <w:spacing w:after="0" w:line="31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80" w:type="dxa"/>
        <w:tblCellMar>
          <w:top w:w="0" w:type="dxa"/>
          <w:left w:w="0" w:type="dxa"/>
          <w:bottom w:w="0" w:type="dxa"/>
          <w:right w:w="0" w:type="dxa"/>
        </w:tblCellMar>
      </w:tblPr>
      <w:tr>
        <w:trPr>
          <w:trHeight w:val="348"/>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262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55"/>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20" w:type="dxa"/>
            <w:vAlign w:val="bottom"/>
          </w:tcPr>
          <w:p>
            <w:pPr>
              <w:ind w:left="4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(Do not check if a smaller reporting company)</w:t>
            </w:r>
          </w:p>
        </w:tc>
        <w:tc>
          <w:tcPr>
            <w:tcW w:w="262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1" w:lineRule="exact"/>
        <w:rPr>
          <w:sz w:val="24"/>
          <w:szCs w:val="24"/>
          <w:color w:val="auto"/>
        </w:rPr>
      </w:pPr>
    </w:p>
    <w:p>
      <w:pPr>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1060"/>
          </w:cols>
          <w:pgMar w:left="580" w:top="71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59"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680" w:type="dxa"/>
            <w:vAlign w:val="bottom"/>
            <w:tcBorders>
              <w:top w:val="single" w:sz="8" w:color="auto"/>
              <w:bottom w:val="single" w:sz="8" w:color="auto"/>
            </w:tcBorders>
          </w:tcPr>
          <w:p>
            <w:pPr>
              <w:spacing w:after="0"/>
              <w:rPr>
                <w:sz w:val="3"/>
                <w:szCs w:val="3"/>
                <w:color w:val="auto"/>
              </w:rPr>
            </w:pPr>
          </w:p>
        </w:tc>
        <w:tc>
          <w:tcPr>
            <w:tcW w:w="296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80" w:type="dxa"/>
            <w:vAlign w:val="bottom"/>
          </w:tcPr>
          <w:p>
            <w:pPr>
              <w:spacing w:after="0"/>
              <w:rPr>
                <w:sz w:val="20"/>
                <w:szCs w:val="20"/>
                <w:color w:val="auto"/>
              </w:rPr>
            </w:pPr>
          </w:p>
        </w:tc>
        <w:tc>
          <w:tcPr>
            <w:tcW w:w="296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b w:val="1"/>
                <w:bCs w:val="1"/>
                <w:color w:val="auto"/>
                <w:w w:val="89"/>
              </w:rPr>
              <w:t>Title of Securities</w:t>
            </w:r>
          </w:p>
        </w:tc>
        <w:tc>
          <w:tcPr>
            <w:tcW w:w="22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960" w:type="dxa"/>
            <w:vAlign w:val="bottom"/>
            <w:tcBorders>
              <w:right w:val="single" w:sz="8" w:color="auto"/>
            </w:tcBorders>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88"/>
        </w:trPr>
        <w:tc>
          <w:tcPr>
            <w:tcW w:w="68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7"/>
              </w:rPr>
              <w:t>to be Registered</w:t>
            </w:r>
          </w:p>
        </w:tc>
        <w:tc>
          <w:tcPr>
            <w:tcW w:w="2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Amount to be Registered</w:t>
            </w:r>
            <w:r>
              <w:rPr>
                <w:rFonts w:ascii="Arial" w:cs="Arial" w:eastAsia="Arial" w:hAnsi="Arial"/>
                <w:sz w:val="25"/>
                <w:szCs w:val="25"/>
                <w:b w:val="1"/>
                <w:bCs w:val="1"/>
                <w:color w:val="auto"/>
                <w:w w:val="89"/>
                <w:vertAlign w:val="superscript"/>
              </w:rPr>
              <w:t>(1)</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22"/>
        </w:trPr>
        <w:tc>
          <w:tcPr>
            <w:tcW w:w="36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Class A Common Stock, par value $0.001 per</w:t>
            </w:r>
          </w:p>
        </w:tc>
        <w:tc>
          <w:tcPr>
            <w:tcW w:w="22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80"/>
              <w:spacing w:after="0"/>
              <w:rPr>
                <w:sz w:val="20"/>
                <w:szCs w:val="20"/>
                <w:color w:val="auto"/>
              </w:rPr>
            </w:pPr>
            <w:r>
              <w:rPr>
                <w:rFonts w:ascii="Arial" w:cs="Arial" w:eastAsia="Arial" w:hAnsi="Arial"/>
                <w:sz w:val="18"/>
                <w:szCs w:val="18"/>
                <w:color w:val="auto"/>
              </w:rPr>
              <w:t>share</w:t>
            </w:r>
          </w:p>
        </w:tc>
        <w:tc>
          <w:tcPr>
            <w:tcW w:w="29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80" w:type="dxa"/>
            <w:vAlign w:val="bottom"/>
            <w:tcBorders>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 2016</w:t>
            </w:r>
          </w:p>
        </w:tc>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 xml:space="preserve">3,225,850 </w:t>
            </w:r>
            <w:r>
              <w:rPr>
                <w:rFonts w:ascii="Arial" w:cs="Arial" w:eastAsia="Arial" w:hAnsi="Arial"/>
                <w:sz w:val="25"/>
                <w:szCs w:val="25"/>
                <w:color w:val="auto"/>
                <w:w w:val="85"/>
                <w:vertAlign w:val="superscript"/>
              </w:rPr>
              <w:t>(2)</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 xml:space="preserve">$150.81 </w:t>
            </w:r>
            <w:r>
              <w:rPr>
                <w:rFonts w:ascii="Arial" w:cs="Arial" w:eastAsia="Arial" w:hAnsi="Arial"/>
                <w:sz w:val="25"/>
                <w:szCs w:val="25"/>
                <w:color w:val="auto"/>
                <w:w w:val="83"/>
                <w:vertAlign w:val="superscript"/>
              </w:rPr>
              <w:t>(4)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$486,490,439</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$58,962.65</w:t>
            </w:r>
          </w:p>
        </w:tc>
        <w:tc>
          <w:tcPr>
            <w:tcW w:w="0" w:type="dxa"/>
            <w:vAlign w:val="bottom"/>
          </w:tcPr>
          <w:p>
            <w:pPr>
              <w:spacing w:after="0"/>
              <w:rPr>
                <w:sz w:val="1"/>
                <w:szCs w:val="1"/>
                <w:color w:val="auto"/>
              </w:rPr>
            </w:pPr>
          </w:p>
        </w:tc>
      </w:tr>
      <w:tr>
        <w:trPr>
          <w:trHeight w:val="318"/>
        </w:trPr>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 2017</w:t>
            </w:r>
          </w:p>
        </w:tc>
        <w:tc>
          <w:tcPr>
            <w:tcW w:w="296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88"/>
              </w:rPr>
              <w:t>Employee Stock Purchase Plan</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 xml:space="preserve">543,218 </w:t>
            </w:r>
            <w:r>
              <w:rPr>
                <w:rFonts w:ascii="Arial" w:cs="Arial" w:eastAsia="Arial" w:hAnsi="Arial"/>
                <w:sz w:val="25"/>
                <w:szCs w:val="25"/>
                <w:color w:val="auto"/>
                <w:w w:val="83"/>
                <w:vertAlign w:val="superscript"/>
              </w:rPr>
              <w:t>(3)</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 xml:space="preserve">$128.19 </w:t>
            </w:r>
            <w:r>
              <w:rPr>
                <w:rFonts w:ascii="Arial" w:cs="Arial" w:eastAsia="Arial" w:hAnsi="Arial"/>
                <w:sz w:val="25"/>
                <w:szCs w:val="25"/>
                <w:color w:val="auto"/>
                <w:w w:val="83"/>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$69,635,116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$8,439.78</w:t>
            </w:r>
          </w:p>
        </w:tc>
        <w:tc>
          <w:tcPr>
            <w:tcW w:w="0" w:type="dxa"/>
            <w:vAlign w:val="bottom"/>
          </w:tcPr>
          <w:p>
            <w:pPr>
              <w:spacing w:after="0"/>
              <w:rPr>
                <w:sz w:val="1"/>
                <w:szCs w:val="1"/>
                <w:color w:val="auto"/>
              </w:rPr>
            </w:pPr>
          </w:p>
        </w:tc>
      </w:tr>
      <w:tr>
        <w:trPr>
          <w:trHeight w:val="237"/>
        </w:trPr>
        <w:tc>
          <w:tcPr>
            <w:tcW w:w="680" w:type="dxa"/>
            <w:vAlign w:val="bottom"/>
          </w:tcPr>
          <w:p>
            <w:pPr>
              <w:ind w:left="80"/>
              <w:spacing w:after="0"/>
              <w:rPr>
                <w:sz w:val="20"/>
                <w:szCs w:val="20"/>
                <w:color w:val="auto"/>
              </w:rPr>
            </w:pPr>
            <w:r>
              <w:rPr>
                <w:rFonts w:ascii="Arial" w:cs="Arial" w:eastAsia="Arial" w:hAnsi="Arial"/>
                <w:sz w:val="18"/>
                <w:szCs w:val="18"/>
                <w:color w:val="auto"/>
              </w:rPr>
              <w:t>Total</w:t>
            </w:r>
          </w:p>
        </w:tc>
        <w:tc>
          <w:tcPr>
            <w:tcW w:w="29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3,769,068</w:t>
            </w:r>
          </w:p>
        </w:tc>
        <w:tc>
          <w:tcPr>
            <w:tcW w:w="21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$556,125,555</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$67,402.43</w:t>
            </w:r>
          </w:p>
        </w:tc>
        <w:tc>
          <w:tcPr>
            <w:tcW w:w="0" w:type="dxa"/>
            <w:vAlign w:val="bottom"/>
          </w:tcPr>
          <w:p>
            <w:pPr>
              <w:spacing w:after="0"/>
              <w:rPr>
                <w:sz w:val="1"/>
                <w:szCs w:val="1"/>
                <w:color w:val="auto"/>
              </w:rPr>
            </w:pPr>
          </w:p>
        </w:tc>
      </w:tr>
      <w:tr>
        <w:trPr>
          <w:trHeight w:val="54"/>
        </w:trPr>
        <w:tc>
          <w:tcPr>
            <w:tcW w:w="680" w:type="dxa"/>
            <w:vAlign w:val="bottom"/>
            <w:tcBorders>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60" w:hanging="652"/>
        <w:spacing w:after="0" w:line="30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Class A common stock that become issuable under the plans set forth herein by reason of any stock dividend, stock split, recapitalization, or other similar transaction effected that results in an increase to the number of outstanding shares of Registrant’s Class A common stock.</w:t>
      </w:r>
    </w:p>
    <w:p>
      <w:pPr>
        <w:spacing w:after="0" w:line="146" w:lineRule="exact"/>
        <w:rPr>
          <w:rFonts w:ascii="Arial" w:cs="Arial" w:eastAsia="Arial" w:hAnsi="Arial"/>
          <w:sz w:val="18"/>
          <w:szCs w:val="18"/>
          <w:color w:val="auto"/>
        </w:rPr>
      </w:pPr>
    </w:p>
    <w:p>
      <w:pPr>
        <w:jc w:val="both"/>
        <w:ind w:left="660" w:hanging="652"/>
        <w:spacing w:after="0" w:line="30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an automatic annual increase equal to 5%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2016 Equity Incentive Plan (as amended, the “</w:t>
      </w:r>
      <w:r>
        <w:rPr>
          <w:rFonts w:ascii="Arial" w:cs="Arial" w:eastAsia="Arial" w:hAnsi="Arial"/>
          <w:sz w:val="18"/>
          <w:szCs w:val="18"/>
          <w:b w:val="1"/>
          <w:bCs w:val="1"/>
          <w:i w:val="1"/>
          <w:iCs w:val="1"/>
          <w:color w:val="auto"/>
        </w:rPr>
        <w:t>2016 Plan</w:t>
      </w:r>
      <w:r>
        <w:rPr>
          <w:rFonts w:ascii="Arial" w:cs="Arial" w:eastAsia="Arial" w:hAnsi="Arial"/>
          <w:sz w:val="18"/>
          <w:szCs w:val="18"/>
          <w:color w:val="auto"/>
        </w:rPr>
        <w:t>”) plus (ii) 509,760 shares of the Registrant's Class A common stock that have become available for issuance under the 2016 Plan as a result of the forfeiture, termination, expiration or repurchase of stock options or other stock awards that had been granted under the Registrant's 2008 Stock Incentive Plan (the “</w:t>
      </w:r>
      <w:r>
        <w:rPr>
          <w:rFonts w:ascii="Arial" w:cs="Arial" w:eastAsia="Arial" w:hAnsi="Arial"/>
          <w:sz w:val="18"/>
          <w:szCs w:val="18"/>
          <w:b w:val="1"/>
          <w:bCs w:val="1"/>
          <w:i w:val="1"/>
          <w:iCs w:val="1"/>
          <w:color w:val="auto"/>
        </w:rPr>
        <w:t>2008 Plan</w:t>
      </w:r>
      <w:r>
        <w:rPr>
          <w:rFonts w:ascii="Arial" w:cs="Arial" w:eastAsia="Arial" w:hAnsi="Arial"/>
          <w:sz w:val="18"/>
          <w:szCs w:val="18"/>
          <w:color w:val="auto"/>
        </w:rPr>
        <w:t>”), pursuant to the terms of the 2016 Plan.</w:t>
      </w:r>
    </w:p>
    <w:p>
      <w:pPr>
        <w:spacing w:after="0" w:line="152" w:lineRule="exact"/>
        <w:rPr>
          <w:rFonts w:ascii="Arial" w:cs="Arial" w:eastAsia="Arial" w:hAnsi="Arial"/>
          <w:sz w:val="18"/>
          <w:szCs w:val="18"/>
          <w:color w:val="auto"/>
        </w:rPr>
      </w:pPr>
    </w:p>
    <w:p>
      <w:pPr>
        <w:jc w:val="both"/>
        <w:ind w:left="660" w:right="20" w:hanging="652"/>
        <w:spacing w:after="0" w:line="31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equal to 1%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2017 Employee Stock Purchase Plan (the “</w:t>
      </w:r>
      <w:r>
        <w:rPr>
          <w:rFonts w:ascii="Arial" w:cs="Arial" w:eastAsia="Arial" w:hAnsi="Arial"/>
          <w:sz w:val="18"/>
          <w:szCs w:val="18"/>
          <w:b w:val="1"/>
          <w:bCs w:val="1"/>
          <w:i w:val="1"/>
          <w:iCs w:val="1"/>
          <w:color w:val="auto"/>
        </w:rPr>
        <w:t>2017 ESPP</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hanging="652"/>
        <w:spacing w:after="0" w:line="357"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457(c) and (h) solely for purposes of calculating the registration fee on the basis of $150.81, the average of the high and low prices of the Registrant’s Class A common stock as reported on the Nasdaq Global Select Market on March 26, 2019.</w:t>
      </w:r>
    </w:p>
    <w:p>
      <w:pPr>
        <w:spacing w:after="0" w:line="107" w:lineRule="exact"/>
        <w:rPr>
          <w:rFonts w:ascii="Arial" w:cs="Arial" w:eastAsia="Arial" w:hAnsi="Arial"/>
          <w:sz w:val="17"/>
          <w:szCs w:val="17"/>
          <w:color w:val="auto"/>
        </w:rPr>
      </w:pPr>
    </w:p>
    <w:p>
      <w:pPr>
        <w:jc w:val="both"/>
        <w:ind w:left="660" w:hanging="652"/>
        <w:spacing w:after="0" w:line="31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$128.19, the average of the high and low prices of the Registrant’s Class A common stock as reported on the Nasdaq Global Select Market on March 26, 2019, multiplied by 85%, which is the percentage of the price per share applicable to purchases under the 2017 ESPP.</w:t>
      </w:r>
    </w:p>
    <w:p>
      <w:pPr>
        <w:sectPr>
          <w:pgSz w:w="11900" w:h="16838" w:orient="portrait"/>
          <w:cols w:equalWidth="0" w:num="1">
            <w:col w:w="11420"/>
          </w:cols>
          <w:pgMar w:left="240" w:top="580" w:right="239" w:bottom="1440" w:gutter="0" w:footer="0" w:header="0"/>
        </w:sectPr>
      </w:pPr>
    </w:p>
    <w:bookmarkStart w:id="2" w:name="page3"/>
    <w:bookmarkEnd w:id="2"/>
    <w:p>
      <w:pPr>
        <w:ind w:left="3880"/>
        <w:spacing w:after="0"/>
        <w:rPr>
          <w:sz w:val="20"/>
          <w:szCs w:val="20"/>
          <w:color w:val="auto"/>
        </w:rPr>
      </w:pPr>
      <w:r>
        <w:rPr>
          <w:rFonts w:ascii="Arial" w:cs="Arial" w:eastAsia="Arial" w:hAnsi="Arial"/>
          <w:sz w:val="18"/>
          <w:szCs w:val="18"/>
          <w:b w:val="1"/>
          <w:bCs w:val="1"/>
          <w:color w:val="auto"/>
        </w:rPr>
        <w:t>REGISTRATION OF ADDITIONAL SHARES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PURSUANT TO GENERAL INSTRUCTION E</w:t>
      </w:r>
    </w:p>
    <w:p>
      <w:pPr>
        <w:spacing w:after="0" w:line="310" w:lineRule="exact"/>
        <w:rPr>
          <w:sz w:val="20"/>
          <w:szCs w:val="20"/>
          <w:color w:val="auto"/>
        </w:rPr>
      </w:pPr>
    </w:p>
    <w:p>
      <w:pPr>
        <w:ind w:right="20" w:firstLine="648"/>
        <w:spacing w:after="0" w:line="320" w:lineRule="auto"/>
        <w:rPr>
          <w:sz w:val="20"/>
          <w:szCs w:val="20"/>
          <w:color w:val="auto"/>
        </w:rPr>
      </w:pPr>
      <w:r>
        <w:rPr>
          <w:rFonts w:ascii="Arial" w:cs="Arial" w:eastAsia="Arial" w:hAnsi="Arial"/>
          <w:sz w:val="17"/>
          <w:szCs w:val="17"/>
          <w:color w:val="auto"/>
        </w:rPr>
        <w:t>Pursuant to General Instruction E of Form S-8, MongoDB,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is filing this Registration Statement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to register (1) 3,225,850 additional shares of its Class A common stock under the 2016 Plan, pursuant to the provisions of the 2016 Plan providing for an automatic increase in the number of shares of Class A common stock reserved and available for issuance under the 2016 Plan on February 1, 2019 and that have become available for issuance under the 2016 Plan as a result of the forfeiture, termination, expiration or repurchase of stock options or other stock awards that had been granted under the 2008 Stock Incentive Plan, pursuant to the terms of the 2016 Plan and (2) 543,218 additional shares of its Class A common stock under the 2017 ESPP, pursuant to the provisions of the 2017 ESPP providing for an automatic increase in the number of shares of Class A common stock reserved and available for issuance under the 2017 ESPP on February 1, 2019. In accordance with the instructional note to Part I of Form S-8 as promulgated by the Commission, the information specified by Part I of the Form S-8 has been omitted from this Registration Statement.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252" w:lineRule="exact"/>
        <w:rPr>
          <w:sz w:val="20"/>
          <w:szCs w:val="20"/>
          <w:color w:val="auto"/>
        </w:rPr>
      </w:pPr>
    </w:p>
    <w:p>
      <w:pPr>
        <w:ind w:firstLine="656"/>
        <w:spacing w:after="0" w:line="387" w:lineRule="auto"/>
        <w:tabs>
          <w:tab w:leader="none" w:pos="150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contents of the Registrant’s Registration Statements on Form S-8 (File No. 333-221028 and 333-224058), filed with the Commission on October 20, 2017 and March 30, 2018, respectively;</w:t>
      </w:r>
    </w:p>
    <w:p>
      <w:pPr>
        <w:spacing w:after="0" w:line="129" w:lineRule="exact"/>
        <w:rPr>
          <w:rFonts w:ascii="Arial" w:cs="Arial" w:eastAsia="Arial" w:hAnsi="Arial"/>
          <w:sz w:val="18"/>
          <w:szCs w:val="18"/>
          <w:b w:val="1"/>
          <w:bCs w:val="1"/>
          <w:color w:val="auto"/>
        </w:rPr>
      </w:pPr>
    </w:p>
    <w:p>
      <w:pPr>
        <w:ind w:left="1520" w:hanging="864"/>
        <w:spacing w:after="0"/>
        <w:tabs>
          <w:tab w:leader="none" w:pos="15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Registrant’s Annual Report on Form 10-K for the fiscal year ended January 31, 2019, filed with the Commission on April 1, 2019;</w:t>
      </w:r>
    </w:p>
    <w:p>
      <w:pPr>
        <w:spacing w:after="0" w:line="302" w:lineRule="exact"/>
        <w:rPr>
          <w:rFonts w:ascii="Arial" w:cs="Arial" w:eastAsia="Arial" w:hAnsi="Arial"/>
          <w:sz w:val="16"/>
          <w:szCs w:val="16"/>
          <w:b w:val="1"/>
          <w:bCs w:val="1"/>
          <w:color w:val="auto"/>
        </w:rPr>
      </w:pPr>
    </w:p>
    <w:p>
      <w:pPr>
        <w:jc w:val="both"/>
        <w:ind w:firstLine="656"/>
        <w:spacing w:after="0" w:line="373" w:lineRule="auto"/>
        <w:tabs>
          <w:tab w:leader="none" w:pos="1496"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All other reports of the Registrant filed pursuant to Sections 13(a) or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since the end of the fiscal year covered by the Registrant’s Annual Report referred to in (1) above (other than Current Reports furnished under Item 2.02 or Item 7.01 of Form 8-K and exhibits furnished on such form that relate to such items).</w:t>
      </w:r>
    </w:p>
    <w:p>
      <w:pPr>
        <w:spacing w:after="0" w:line="142" w:lineRule="exact"/>
        <w:rPr>
          <w:rFonts w:ascii="Arial" w:cs="Arial" w:eastAsia="Arial" w:hAnsi="Arial"/>
          <w:sz w:val="18"/>
          <w:szCs w:val="18"/>
          <w:b w:val="1"/>
          <w:bCs w:val="1"/>
          <w:color w:val="auto"/>
        </w:rPr>
      </w:pPr>
    </w:p>
    <w:p>
      <w:pPr>
        <w:ind w:firstLine="656"/>
        <w:spacing w:after="0" w:line="424" w:lineRule="auto"/>
        <w:tabs>
          <w:tab w:leader="none" w:pos="1516"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description of the Registrant’s Class A common stock, which is contained in a registration statement on Form 8-A filed on October 10, 2017 (File No. 001-38240) under the Exchange Act, including any amendment or report filed for the purpose of updating such description.</w:t>
      </w:r>
    </w:p>
    <w:p>
      <w:pPr>
        <w:spacing w:after="0" w:line="106" w:lineRule="exact"/>
        <w:rPr>
          <w:rFonts w:ascii="Arial" w:cs="Arial" w:eastAsia="Arial" w:hAnsi="Arial"/>
          <w:sz w:val="17"/>
          <w:szCs w:val="17"/>
          <w:b w:val="1"/>
          <w:bCs w:val="1"/>
          <w:color w:val="auto"/>
        </w:rPr>
      </w:pPr>
    </w:p>
    <w:p>
      <w:pPr>
        <w:jc w:val="both"/>
        <w:ind w:firstLine="656"/>
        <w:spacing w:after="0" w:line="413" w:lineRule="auto"/>
        <w:tabs>
          <w:tab w:leader="none" w:pos="1496"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20"/>
          </w:cols>
          <w:pgMar w:left="240" w:top="607" w:right="2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13"/>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6"/>
        </w:trPr>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00" w:type="dxa"/>
            <w:vAlign w:val="bottom"/>
            <w:gridSpan w:val="17"/>
          </w:tcPr>
          <w:p>
            <w:pPr>
              <w:spacing w:after="0" w:line="196" w:lineRule="exact"/>
              <w:rPr>
                <w:rFonts w:ascii="Arial" w:cs="Arial" w:eastAsia="Arial" w:hAnsi="Arial"/>
                <w:sz w:val="18"/>
                <w:szCs w:val="18"/>
                <w:color w:val="0000FF"/>
                <w:w w:val="92"/>
              </w:rPr>
            </w:pPr>
            <w:hyperlink r:id="rId8">
              <w:r>
                <w:rPr>
                  <w:rFonts w:ascii="Arial" w:cs="Arial" w:eastAsia="Arial" w:hAnsi="Arial"/>
                  <w:sz w:val="18"/>
                  <w:szCs w:val="18"/>
                  <w:color w:val="0000FF"/>
                  <w:w w:val="92"/>
                </w:rPr>
                <w:t>Amended and Restated Certificate of Incorporation of the Registrant,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
              <w:r>
                <w:rPr>
                  <w:rFonts w:ascii="Arial" w:cs="Arial" w:eastAsia="Arial" w:hAnsi="Arial"/>
                  <w:sz w:val="18"/>
                  <w:szCs w:val="18"/>
                  <w:color w:val="0000FF"/>
                </w:rPr>
                <w:t>as currently in effect</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80" w:type="dxa"/>
            <w:vAlign w:val="bottom"/>
            <w:tcBorders>
              <w:bottom w:val="single" w:sz="8" w:color="0000FF"/>
            </w:tcBorders>
            <w:gridSpan w:val="16"/>
          </w:tcPr>
          <w:p>
            <w:pPr>
              <w:spacing w:after="0"/>
              <w:rPr>
                <w:rFonts w:ascii="Arial" w:cs="Arial" w:eastAsia="Arial" w:hAnsi="Arial"/>
                <w:sz w:val="18"/>
                <w:szCs w:val="18"/>
                <w:color w:val="0000FF"/>
                <w:w w:val="90"/>
              </w:rPr>
            </w:pPr>
            <w:hyperlink r:id="rId9">
              <w:r>
                <w:rPr>
                  <w:rFonts w:ascii="Arial" w:cs="Arial" w:eastAsia="Arial" w:hAnsi="Arial"/>
                  <w:sz w:val="18"/>
                  <w:szCs w:val="18"/>
                  <w:color w:val="0000FF"/>
                  <w:w w:val="90"/>
                </w:rPr>
                <w:t>Amended and Restated Bylaws of the Registrant, as currently in effect</w:t>
              </w:r>
            </w:hyperlink>
          </w:p>
        </w:tc>
        <w:tc>
          <w:tcPr>
            <w:tcW w:w="20" w:type="dxa"/>
            <w:vAlign w:val="bottom"/>
          </w:tcPr>
          <w:p>
            <w:pPr>
              <w:spacing w:after="0"/>
              <w:rPr>
                <w:sz w:val="21"/>
                <w:szCs w:val="21"/>
                <w:color w:val="auto"/>
              </w:rPr>
            </w:pPr>
          </w:p>
        </w:tc>
      </w:tr>
      <w:tr>
        <w:trPr>
          <w:trHeight w:val="277"/>
        </w:trPr>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gridSpan w:val="17"/>
          </w:tcPr>
          <w:p>
            <w:pPr>
              <w:spacing w:after="0"/>
              <w:rPr>
                <w:rFonts w:ascii="Arial" w:cs="Arial" w:eastAsia="Arial" w:hAnsi="Arial"/>
                <w:sz w:val="18"/>
                <w:szCs w:val="18"/>
                <w:color w:val="0000FF"/>
              </w:rPr>
            </w:pPr>
            <w:hyperlink r:id="rId10">
              <w:r>
                <w:rPr>
                  <w:rFonts w:ascii="Arial" w:cs="Arial" w:eastAsia="Arial" w:hAnsi="Arial"/>
                  <w:sz w:val="18"/>
                  <w:szCs w:val="18"/>
                  <w:color w:val="0000FF"/>
                </w:rPr>
                <w:t>Form of Class A common stock certificate of the Registrant</w:t>
              </w:r>
            </w:hyperlink>
          </w:p>
        </w:tc>
      </w:tr>
      <w:tr>
        <w:trPr>
          <w:trHeight w:val="277"/>
        </w:trPr>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4"/>
              </w:rPr>
              <w:t>Opinion of Cooley LLP</w:t>
            </w:r>
          </w:p>
        </w:tc>
        <w:tc>
          <w:tcPr>
            <w:tcW w:w="2580" w:type="dxa"/>
            <w:vAlign w:val="bottom"/>
            <w:tcBorders>
              <w:top w:val="single" w:sz="8" w:color="0000FF"/>
            </w:tcBorders>
            <w:gridSpan w:val="3"/>
          </w:tcPr>
          <w:p>
            <w:pPr>
              <w:spacing w:after="0"/>
              <w:rPr>
                <w:sz w:val="24"/>
                <w:szCs w:val="24"/>
                <w:color w:val="auto"/>
              </w:rPr>
            </w:pPr>
          </w:p>
        </w:tc>
        <w:tc>
          <w:tcPr>
            <w:tcW w:w="800" w:type="dxa"/>
            <w:vAlign w:val="bottom"/>
            <w:gridSpan w:val="10"/>
          </w:tcPr>
          <w:p>
            <w:pPr>
              <w:spacing w:after="0"/>
              <w:rPr>
                <w:sz w:val="24"/>
                <w:szCs w:val="24"/>
                <w:color w:val="auto"/>
              </w:rPr>
            </w:pPr>
          </w:p>
        </w:tc>
      </w:tr>
      <w:tr>
        <w:trPr>
          <w:trHeight w:val="277"/>
        </w:trPr>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Consent of PricewaterhouseCoopers LLP, independent registered</w:t>
            </w:r>
          </w:p>
        </w:tc>
        <w:tc>
          <w:tcPr>
            <w:tcW w:w="38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00" w:type="dxa"/>
            <w:vAlign w:val="bottom"/>
            <w:gridSpan w:val="17"/>
          </w:tcPr>
          <w:p>
            <w:pPr>
              <w:spacing w:after="0" w:line="196" w:lineRule="exact"/>
              <w:rPr>
                <w:sz w:val="20"/>
                <w:szCs w:val="20"/>
                <w:color w:val="auto"/>
              </w:rPr>
            </w:pPr>
            <w:r>
              <w:rPr>
                <w:rFonts w:ascii="Arial" w:cs="Arial" w:eastAsia="Arial" w:hAnsi="Arial"/>
                <w:sz w:val="18"/>
                <w:szCs w:val="18"/>
                <w:color w:val="0000FF"/>
              </w:rPr>
              <w:t>public accounting firm</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Consent of Cooley LLP (included in Exhibit 5.1)</w:t>
            </w:r>
          </w:p>
        </w:tc>
        <w:tc>
          <w:tcPr>
            <w:tcW w:w="1560" w:type="dxa"/>
            <w:vAlign w:val="bottom"/>
            <w:gridSpan w:val="11"/>
          </w:tcPr>
          <w:p>
            <w:pPr>
              <w:spacing w:after="0"/>
              <w:rPr>
                <w:sz w:val="21"/>
                <w:szCs w:val="21"/>
                <w:color w:val="auto"/>
              </w:rPr>
            </w:pPr>
          </w:p>
        </w:tc>
      </w:tr>
      <w:tr>
        <w:trPr>
          <w:trHeight w:val="277"/>
        </w:trPr>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Power of Attorney (included on the signature page of this Form S-8)</w:t>
              </w:r>
            </w:hyperlink>
          </w:p>
        </w:tc>
        <w:tc>
          <w:tcPr>
            <w:tcW w:w="160" w:type="dxa"/>
            <w:vAlign w:val="bottom"/>
            <w:gridSpan w:val="3"/>
          </w:tcPr>
          <w:p>
            <w:pPr>
              <w:spacing w:after="0"/>
              <w:rPr>
                <w:sz w:val="24"/>
                <w:szCs w:val="24"/>
                <w:color w:val="auto"/>
              </w:rPr>
            </w:pPr>
          </w:p>
        </w:tc>
      </w:tr>
      <w:tr>
        <w:trPr>
          <w:trHeight w:val="277"/>
        </w:trPr>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tcBorders>
              <w:bottom w:val="single" w:sz="8" w:color="0000FF"/>
            </w:tcBorders>
            <w:gridSpan w:val="10"/>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Amended and Restated 2016 Equity Incentive Plan and Forms of</w:t>
              </w:r>
            </w:hyperlink>
          </w:p>
        </w:tc>
        <w:tc>
          <w:tcPr>
            <w:tcW w:w="40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Stock Option Agreement, Notice of Exercise, Stock Option Grant</w:t>
              </w:r>
            </w:hyperlink>
          </w:p>
        </w:tc>
        <w:tc>
          <w:tcPr>
            <w:tcW w:w="360" w:type="dxa"/>
            <w:vAlign w:val="bottom"/>
            <w:gridSpan w:val="5"/>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Notice and Restricted Stock Unit Award Agreement thereunder</w:t>
              </w:r>
            </w:hyperlink>
          </w:p>
        </w:tc>
        <w:tc>
          <w:tcPr>
            <w:tcW w:w="540" w:type="dxa"/>
            <w:vAlign w:val="bottom"/>
            <w:gridSpan w:val="9"/>
          </w:tcPr>
          <w:p>
            <w:pPr>
              <w:spacing w:after="0"/>
              <w:rPr>
                <w:sz w:val="17"/>
                <w:szCs w:val="17"/>
                <w:color w:val="auto"/>
              </w:rPr>
            </w:pPr>
          </w:p>
        </w:tc>
      </w:tr>
      <w:tr>
        <w:trPr>
          <w:trHeight w:val="250"/>
        </w:trPr>
        <w:tc>
          <w:tcPr>
            <w:tcW w:w="80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20" w:type="dxa"/>
            <w:vAlign w:val="bottom"/>
            <w:tcBorders>
              <w:bottom w:val="single" w:sz="8" w:color="0000FF"/>
            </w:tcBorders>
            <w:gridSpan w:val="13"/>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Forms of Restricted Stock Award Grant Notice and Restricted Stock</w:t>
              </w:r>
            </w:hyperlink>
          </w:p>
        </w:tc>
        <w:tc>
          <w:tcPr>
            <w:tcW w:w="180" w:type="dxa"/>
            <w:vAlign w:val="bottom"/>
            <w:gridSpan w:val="4"/>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00" w:type="dxa"/>
            <w:vAlign w:val="bottom"/>
            <w:gridSpan w:val="17"/>
          </w:tcPr>
          <w:p>
            <w:pPr>
              <w:spacing w:after="0" w:line="196" w:lineRule="exact"/>
              <w:rPr>
                <w:rFonts w:ascii="Arial" w:cs="Arial" w:eastAsia="Arial" w:hAnsi="Arial"/>
                <w:sz w:val="18"/>
                <w:szCs w:val="18"/>
                <w:color w:val="0000FF"/>
                <w:w w:val="97"/>
              </w:rPr>
            </w:pPr>
            <w:hyperlink r:id="rId12">
              <w:r>
                <w:rPr>
                  <w:rFonts w:ascii="Arial" w:cs="Arial" w:eastAsia="Arial" w:hAnsi="Arial"/>
                  <w:sz w:val="18"/>
                  <w:szCs w:val="18"/>
                  <w:color w:val="0000FF"/>
                  <w:w w:val="97"/>
                </w:rPr>
                <w:t>Award Agreement under the Amended and Restated 2016 Equity</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Incentive Plan</w:t>
              </w:r>
            </w:hyperlink>
          </w:p>
        </w:tc>
        <w:tc>
          <w:tcPr>
            <w:tcW w:w="3640" w:type="dxa"/>
            <w:vAlign w:val="bottom"/>
            <w:tcBorders>
              <w:top w:val="single" w:sz="8" w:color="0000FF"/>
            </w:tcBorders>
            <w:gridSpan w:val="8"/>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250"/>
        </w:trPr>
        <w:tc>
          <w:tcPr>
            <w:tcW w:w="8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60" w:type="dxa"/>
            <w:vAlign w:val="bottom"/>
            <w:tcBorders>
              <w:bottom w:val="single" w:sz="8" w:color="0000FF"/>
            </w:tcBorders>
            <w:gridSpan w:val="5"/>
          </w:tcPr>
          <w:p>
            <w:pPr>
              <w:spacing w:after="0"/>
              <w:rPr>
                <w:rFonts w:ascii="Arial" w:cs="Arial" w:eastAsia="Arial" w:hAnsi="Arial"/>
                <w:sz w:val="18"/>
                <w:szCs w:val="18"/>
                <w:color w:val="0000FF"/>
                <w:w w:val="88"/>
              </w:rPr>
            </w:pPr>
            <w:hyperlink r:id="rId13">
              <w:r>
                <w:rPr>
                  <w:rFonts w:ascii="Arial" w:cs="Arial" w:eastAsia="Arial" w:hAnsi="Arial"/>
                  <w:sz w:val="18"/>
                  <w:szCs w:val="18"/>
                  <w:color w:val="0000FF"/>
                  <w:w w:val="88"/>
                </w:rPr>
                <w:t>2017 Employee Stock Purchase Plan</w:t>
              </w:r>
            </w:hyperlink>
          </w:p>
        </w:tc>
        <w:tc>
          <w:tcPr>
            <w:tcW w:w="2440" w:type="dxa"/>
            <w:vAlign w:val="bottom"/>
            <w:gridSpan w:val="12"/>
          </w:tcPr>
          <w:p>
            <w:pPr>
              <w:spacing w:after="0"/>
              <w:rPr>
                <w:sz w:val="21"/>
                <w:szCs w:val="21"/>
                <w:color w:val="auto"/>
              </w:rPr>
            </w:pPr>
          </w:p>
        </w:tc>
      </w:tr>
    </w:tbl>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3190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Schedule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7"/>
              </w:rPr>
              <w:t>Form</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File Number</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Exhibit</w:t>
            </w: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Filing Date</w:t>
            </w:r>
          </w:p>
        </w:tc>
      </w:tr>
      <w:tr>
        <w:trPr>
          <w:trHeight w:val="54"/>
        </w:trPr>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37"/>
        </w:trPr>
        <w:tc>
          <w:tcPr>
            <w:tcW w:w="10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spacing w:after="0"/>
              <w:rPr>
                <w:sz w:val="20"/>
                <w:szCs w:val="20"/>
                <w:color w:val="auto"/>
              </w:rPr>
            </w:pPr>
            <w:r>
              <w:rPr>
                <w:rFonts w:ascii="Arial" w:cs="Arial" w:eastAsia="Arial" w:hAnsi="Arial"/>
                <w:sz w:val="18"/>
                <w:szCs w:val="18"/>
                <w:color w:val="auto"/>
              </w:rPr>
              <w:t>001-38240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October 25, 2017</w:t>
            </w:r>
          </w:p>
        </w:tc>
      </w:tr>
      <w:tr>
        <w:trPr>
          <w:trHeight w:val="486"/>
        </w:trPr>
        <w:tc>
          <w:tcPr>
            <w:tcW w:w="100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right"/>
              <w:spacing w:after="0"/>
              <w:rPr>
                <w:sz w:val="20"/>
                <w:szCs w:val="20"/>
                <w:color w:val="auto"/>
              </w:rPr>
            </w:pPr>
            <w:r>
              <w:rPr>
                <w:rFonts w:ascii="Arial" w:cs="Arial" w:eastAsia="Arial" w:hAnsi="Arial"/>
                <w:sz w:val="18"/>
                <w:szCs w:val="18"/>
                <w:color w:val="auto"/>
              </w:rPr>
              <w:t>333-220557</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September 21, 2017</w:t>
            </w:r>
          </w:p>
        </w:tc>
      </w:tr>
      <w:tr>
        <w:trPr>
          <w:trHeight w:val="297"/>
        </w:trPr>
        <w:tc>
          <w:tcPr>
            <w:tcW w:w="100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right"/>
              <w:spacing w:after="0"/>
              <w:rPr>
                <w:sz w:val="20"/>
                <w:szCs w:val="20"/>
                <w:color w:val="auto"/>
              </w:rPr>
            </w:pPr>
            <w:r>
              <w:rPr>
                <w:rFonts w:ascii="Arial" w:cs="Arial" w:eastAsia="Arial" w:hAnsi="Arial"/>
                <w:sz w:val="18"/>
                <w:szCs w:val="18"/>
                <w:color w:val="auto"/>
              </w:rPr>
              <w:t>333-220557</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October 6,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333-220557</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October 6, 2017</w:t>
            </w:r>
          </w:p>
        </w:tc>
      </w:tr>
      <w:tr>
        <w:trPr>
          <w:trHeight w:val="702"/>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001-38240</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1240" w:type="dxa"/>
            <w:vAlign w:val="bottom"/>
          </w:tcPr>
          <w:p>
            <w:pPr>
              <w:jc w:val="right"/>
              <w:spacing w:after="0"/>
              <w:rPr>
                <w:sz w:val="20"/>
                <w:szCs w:val="20"/>
                <w:color w:val="auto"/>
              </w:rPr>
            </w:pPr>
            <w:r>
              <w:rPr>
                <w:rFonts w:ascii="Arial" w:cs="Arial" w:eastAsia="Arial" w:hAnsi="Arial"/>
                <w:sz w:val="18"/>
                <w:szCs w:val="18"/>
                <w:color w:val="auto"/>
              </w:rPr>
              <w:t>March 30,</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2018</w:t>
            </w:r>
          </w:p>
        </w:tc>
      </w:tr>
      <w:tr>
        <w:trPr>
          <w:trHeight w:val="702"/>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333-220557</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240" w:type="dxa"/>
            <w:vAlign w:val="bottom"/>
          </w:tcPr>
          <w:p>
            <w:pPr>
              <w:jc w:val="right"/>
              <w:spacing w:after="0"/>
              <w:rPr>
                <w:sz w:val="20"/>
                <w:szCs w:val="20"/>
                <w:color w:val="auto"/>
              </w:rPr>
            </w:pPr>
            <w:r>
              <w:rPr>
                <w:rFonts w:ascii="Arial" w:cs="Arial" w:eastAsia="Arial" w:hAnsi="Arial"/>
                <w:sz w:val="18"/>
                <w:szCs w:val="18"/>
                <w:color w:val="auto"/>
              </w:rPr>
              <w:t>October 6,</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2017</w:t>
            </w:r>
          </w:p>
        </w:tc>
      </w:tr>
    </w:tbl>
    <w:p>
      <w:pPr>
        <w:sectPr>
          <w:pgSz w:w="11900" w:h="16838" w:orient="portrait"/>
          <w:cols w:equalWidth="0" w:num="2">
            <w:col w:w="6160" w:space="120"/>
            <w:col w:w="5040"/>
          </w:cols>
          <w:pgMar w:left="240" w:top="5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April 2019.</w:t>
      </w:r>
    </w:p>
    <w:p>
      <w:pPr>
        <w:spacing w:after="0" w:line="26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MONGODB, INC.</w:t>
      </w:r>
    </w:p>
    <w:p>
      <w:pPr>
        <w:spacing w:after="0" w:line="364" w:lineRule="exact"/>
        <w:rPr>
          <w:sz w:val="20"/>
          <w:szCs w:val="20"/>
          <w:color w:val="auto"/>
        </w:rPr>
      </w:pPr>
    </w:p>
    <w:p>
      <w:pPr>
        <w:ind w:left="2860"/>
        <w:spacing w:after="0"/>
        <w:tabs>
          <w:tab w:leader="none" w:pos="3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48895</wp:posOffset>
            </wp:positionV>
            <wp:extent cx="3387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80" w:lineRule="exact"/>
        <w:rPr>
          <w:sz w:val="20"/>
          <w:szCs w:val="20"/>
          <w:color w:val="auto"/>
        </w:rPr>
      </w:pPr>
    </w:p>
    <w:p>
      <w:pPr>
        <w:ind w:left="3400"/>
        <w:spacing w:after="0"/>
        <w:tabs>
          <w:tab w:leader="none" w:pos="4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Dev Ittycheria</w:t>
      </w:r>
    </w:p>
    <w:p>
      <w:pPr>
        <w:spacing w:after="0" w:line="90" w:lineRule="exact"/>
        <w:rPr>
          <w:sz w:val="20"/>
          <w:szCs w:val="20"/>
          <w:color w:val="auto"/>
        </w:rPr>
      </w:pPr>
    </w:p>
    <w:p>
      <w:pPr>
        <w:ind w:left="3400"/>
        <w:spacing w:after="0"/>
        <w:tabs>
          <w:tab w:leader="none" w:pos="4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8"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Dev Ittycheria and</w:t>
      </w:r>
      <w:r>
        <w:rPr>
          <w:rFonts w:ascii="Arial" w:cs="Arial" w:eastAsia="Arial" w:hAnsi="Arial"/>
          <w:sz w:val="17"/>
          <w:szCs w:val="17"/>
          <w:b w:val="1"/>
          <w:bCs w:val="1"/>
          <w:color w:val="auto"/>
        </w:rPr>
        <w:t xml:space="preserve"> </w:t>
      </w:r>
      <w:r>
        <w:rPr>
          <w:rFonts w:ascii="Arial" w:cs="Arial" w:eastAsia="Arial" w:hAnsi="Arial"/>
          <w:sz w:val="17"/>
          <w:szCs w:val="17"/>
          <w:color w:val="auto"/>
        </w:rPr>
        <w:t>Michael Gordon,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6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607" w:right="239" w:bottom="1440" w:gutter="0" w:footer="0" w:header="0"/>
        </w:sectPr>
      </w:pPr>
    </w:p>
    <w:bookmarkStart w:id="5" w:name="page6"/>
    <w:bookmarkEnd w:id="5"/>
    <w:p>
      <w:pPr>
        <w:ind w:left="9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51435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Dev Ittycheria</w:t>
      </w:r>
    </w:p>
    <w:p>
      <w:pPr>
        <w:spacing w:after="0" w:line="36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Michael Gordon</w:t>
      </w:r>
    </w:p>
    <w:p>
      <w:pPr>
        <w:spacing w:after="0" w:line="36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Thomas 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Thomas Bull</w:t>
      </w:r>
    </w:p>
    <w:p>
      <w:pPr>
        <w:spacing w:after="0" w:line="12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Kevin P.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Kevin P. Ryan</w:t>
      </w:r>
    </w:p>
    <w:p>
      <w:pPr>
        <w:spacing w:after="0" w:line="12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Roelof Botha</w:t>
      </w:r>
    </w:p>
    <w:p>
      <w:pPr>
        <w:spacing w:after="0" w:line="12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Hope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Hope Cochran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 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46355</wp:posOffset>
            </wp:positionV>
            <wp:extent cx="2306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Charles M. Hazard, Jr.</w:t>
      </w:r>
    </w:p>
    <w:p>
      <w:pPr>
        <w:spacing w:after="0" w:line="13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Eliot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Eliot Horowitz</w:t>
      </w:r>
    </w:p>
    <w:p>
      <w:pPr>
        <w:spacing w:after="0" w:line="12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Tom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auto"/>
        </w:rPr>
        <w:t>Tom Killalea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John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2306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John McMahon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
        </w:trPr>
        <w:tc>
          <w:tcPr>
            <w:tcW w:w="4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546"/>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tcPr>
          <w:p>
            <w:pPr>
              <w:spacing w:after="0"/>
              <w:rPr>
                <w:sz w:val="24"/>
                <w:szCs w:val="24"/>
                <w:color w:val="auto"/>
              </w:rPr>
            </w:pPr>
          </w:p>
        </w:tc>
      </w:tr>
      <w:tr>
        <w:trPr>
          <w:trHeight w:val="230"/>
        </w:trPr>
        <w:tc>
          <w:tcPr>
            <w:tcW w:w="44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20"/>
        </w:trPr>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Chief Operating Officer and Chief Financial Officer</w:t>
            </w:r>
          </w:p>
        </w:tc>
        <w:tc>
          <w:tcPr>
            <w:tcW w:w="1820" w:type="dxa"/>
            <w:vAlign w:val="bottom"/>
          </w:tcPr>
          <w:p>
            <w:pPr>
              <w:spacing w:after="0"/>
              <w:rPr>
                <w:sz w:val="24"/>
                <w:szCs w:val="24"/>
                <w:color w:val="auto"/>
              </w:rPr>
            </w:pPr>
          </w:p>
        </w:tc>
      </w:tr>
      <w:tr>
        <w:trPr>
          <w:trHeight w:val="230"/>
        </w:trPr>
        <w:tc>
          <w:tcPr>
            <w:tcW w:w="44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7"/>
              </w:rPr>
              <w:t>(Principal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20"/>
        </w:trPr>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Corporate Controller</w:t>
            </w:r>
          </w:p>
        </w:tc>
        <w:tc>
          <w:tcPr>
            <w:tcW w:w="1820" w:type="dxa"/>
            <w:vAlign w:val="bottom"/>
          </w:tcPr>
          <w:p>
            <w:pPr>
              <w:spacing w:after="0"/>
              <w:rPr>
                <w:sz w:val="24"/>
                <w:szCs w:val="24"/>
                <w:color w:val="auto"/>
              </w:rPr>
            </w:pPr>
          </w:p>
        </w:tc>
      </w:tr>
      <w:tr>
        <w:trPr>
          <w:trHeight w:val="230"/>
        </w:trPr>
        <w:tc>
          <w:tcPr>
            <w:tcW w:w="444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5"/>
              </w:rPr>
              <w:t>(Principal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608"/>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bl>
    <w:p>
      <w:pPr>
        <w:sectPr>
          <w:pgSz w:w="11900" w:h="16838" w:orient="portrait"/>
          <w:cols w:equalWidth="0" w:num="2">
            <w:col w:w="2580" w:space="720"/>
            <w:col w:w="6260"/>
          </w:cols>
          <w:pgMar w:left="1440" w:top="742" w:right="89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120904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Babak Yaghmaie</w:t>
      </w:r>
    </w:p>
    <w:p>
      <w:pPr>
        <w:spacing w:after="0" w:line="46" w:lineRule="exact"/>
        <w:rPr>
          <w:sz w:val="20"/>
          <w:szCs w:val="20"/>
          <w:color w:val="auto"/>
        </w:rPr>
      </w:pPr>
    </w:p>
    <w:p>
      <w:pPr>
        <w:ind w:left="80" w:right="9560" w:firstLine="9"/>
        <w:spacing w:after="0" w:line="313" w:lineRule="auto"/>
        <w:tabs>
          <w:tab w:leader="none" w:pos="251" w:val="left"/>
        </w:tabs>
        <w:numPr>
          <w:ilvl w:val="0"/>
          <w:numId w:val="3"/>
        </w:numPr>
        <w:rPr>
          <w:rFonts w:ascii="Arial" w:cs="Arial" w:eastAsia="Arial" w:hAnsi="Arial"/>
          <w:sz w:val="16"/>
          <w:szCs w:val="16"/>
          <w:color w:val="auto"/>
        </w:rPr>
      </w:pPr>
      <w:r>
        <w:rPr>
          <w:rFonts w:ascii="Arial" w:cs="Arial" w:eastAsia="Arial" w:hAnsi="Arial"/>
          <w:sz w:val="16"/>
          <w:szCs w:val="16"/>
          <w:color w:val="auto"/>
        </w:rPr>
        <w:t>212 479 6556 byaghmaie@cooley.com</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April 1,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MongoDB, Inc.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1633 Broadway, 38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Registration on Form S-8</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0"/>
          <w:szCs w:val="20"/>
          <w:color w:val="auto"/>
        </w:rPr>
        <w:t>We have acted as counsel to MongoDB,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you have requested our opinion in connection with the filing of a Registration Statement on Form S-8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 with the U.S. Securities and Exchange Commission, covering the offering of up to (a) 3,225,850 shares of the Company’s Class A common stock, par value $0.001 per share (the “</w:t>
      </w:r>
      <w:r>
        <w:rPr>
          <w:rFonts w:ascii="Arial" w:cs="Arial" w:eastAsia="Arial" w:hAnsi="Arial"/>
          <w:sz w:val="20"/>
          <w:szCs w:val="20"/>
          <w:b w:val="1"/>
          <w:bCs w:val="1"/>
          <w:color w:val="auto"/>
        </w:rPr>
        <w:t>Class A 2016 EIP Shares</w:t>
      </w:r>
      <w:r>
        <w:rPr>
          <w:rFonts w:ascii="Arial" w:cs="Arial" w:eastAsia="Arial" w:hAnsi="Arial"/>
          <w:sz w:val="20"/>
          <w:szCs w:val="20"/>
          <w:color w:val="auto"/>
        </w:rPr>
        <w:t>”) issuable pursuant to the Company’s 2016 Equity Incentive Plan and (b) 543,218 shares of Class A Common Stock, par value $0.001 per share (together with the Class A 2016 EIP Shares, the “</w:t>
      </w:r>
      <w:r>
        <w:rPr>
          <w:rFonts w:ascii="Arial" w:cs="Arial" w:eastAsia="Arial" w:hAnsi="Arial"/>
          <w:sz w:val="20"/>
          <w:szCs w:val="20"/>
          <w:b w:val="1"/>
          <w:bCs w:val="1"/>
          <w:color w:val="auto"/>
        </w:rPr>
        <w:t>Shares</w:t>
      </w:r>
      <w:r>
        <w:rPr>
          <w:rFonts w:ascii="Arial" w:cs="Arial" w:eastAsia="Arial" w:hAnsi="Arial"/>
          <w:sz w:val="20"/>
          <w:szCs w:val="20"/>
          <w:color w:val="auto"/>
        </w:rPr>
        <w:t>”) issuable pursuant to the Company’s 2017 Employee Stock Purchase Plan (together with the Company’s 2016 Equity Incentive Plan, as amended, the “</w:t>
      </w:r>
      <w:r>
        <w:rPr>
          <w:rFonts w:ascii="Arial" w:cs="Arial" w:eastAsia="Arial" w:hAnsi="Arial"/>
          <w:sz w:val="20"/>
          <w:szCs w:val="20"/>
          <w:b w:val="1"/>
          <w:bCs w:val="1"/>
          <w:color w:val="auto"/>
        </w:rPr>
        <w:t>Plans</w:t>
      </w:r>
      <w:r>
        <w:rPr>
          <w:rFonts w:ascii="Arial" w:cs="Arial" w:eastAsia="Arial" w:hAnsi="Arial"/>
          <w:sz w:val="20"/>
          <w:szCs w:val="20"/>
          <w:color w:val="auto"/>
        </w:rPr>
        <w:t>”).</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20"/>
          <w:szCs w:val="20"/>
          <w:color w:val="auto"/>
        </w:rPr>
        <w:t>In connection with this opinion, we have examined and relied upon the Registration Statement and related prospectuses, the Company’s Amended and Restated Certificate of Incorporation and Bylaws, as currently in effect, the Plans and the originals or copies certified to our satisfaction of such other records, documents, certificates, memoranda and other instruments as we deem necessary or appropriate to enable us to render the opinion expressed below. We have assumed the genuineness and authenticity of all documents submitted to us as originals and the conformity to originals of all documents submitted to us as copies thereof. As to certain factual matters, we have relied upon a certificate of an officer of the Company and have not sought to independently verify such matters.</w:t>
      </w:r>
    </w:p>
    <w:p>
      <w:pPr>
        <w:spacing w:after="0" w:line="20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ectPr>
          <w:pgSz w:w="11900" w:h="16838" w:orient="portrait"/>
          <w:cols w:equalWidth="0" w:num="1">
            <w:col w:w="11420"/>
          </w:cols>
          <w:pgMar w:left="240" w:top="662" w:right="239" w:bottom="1440" w:gutter="0" w:footer="0" w:header="0"/>
        </w:sectPr>
      </w:pPr>
    </w:p>
    <w:bookmarkStart w:id="7" w:name="page8"/>
    <w:bookmarkEnd w:id="7"/>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423545</wp:posOffset>
            </wp:positionV>
            <wp:extent cx="120904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MongoDB, Inc.</w:t>
      </w:r>
    </w:p>
    <w:p>
      <w:pPr>
        <w:spacing w:after="0"/>
        <w:rPr>
          <w:sz w:val="20"/>
          <w:szCs w:val="20"/>
          <w:color w:val="auto"/>
        </w:rPr>
      </w:pPr>
      <w:r>
        <w:rPr>
          <w:rFonts w:ascii="Arial" w:cs="Arial" w:eastAsia="Arial" w:hAnsi="Arial"/>
          <w:sz w:val="20"/>
          <w:szCs w:val="20"/>
          <w:color w:val="auto"/>
        </w:rPr>
        <w:t>April 1, 2019</w:t>
      </w:r>
    </w:p>
    <w:p>
      <w:pPr>
        <w:spacing w:after="0"/>
        <w:rPr>
          <w:sz w:val="20"/>
          <w:szCs w:val="20"/>
          <w:color w:val="auto"/>
        </w:rPr>
      </w:pPr>
      <w:r>
        <w:rPr>
          <w:rFonts w:ascii="Arial" w:cs="Arial" w:eastAsia="Arial" w:hAnsi="Arial"/>
          <w:sz w:val="20"/>
          <w:szCs w:val="20"/>
          <w:color w:val="auto"/>
        </w:rPr>
        <w:t>Page Two</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consent to the filing of this opinion as an exhibit to the Registration Statement.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/s/Babak Yaghmaie</w:t>
      </w:r>
      <w:r>
        <w:rPr>
          <w:rFonts w:ascii="Arial" w:cs="Arial" w:eastAsia="Arial" w:hAnsi="Arial"/>
          <w:sz w:val="20"/>
          <w:szCs w:val="20"/>
          <w:color w:val="auto"/>
        </w:rPr>
        <w:t>____________</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Babak Yaghmaie</w:t>
      </w:r>
    </w:p>
    <w:p>
      <w:pPr>
        <w:sectPr>
          <w:pgSz w:w="11900" w:h="16838" w:orient="portrait"/>
          <w:cols w:equalWidth="0" w:num="1">
            <w:col w:w="10219"/>
          </w:cols>
          <w:pgMar w:left="240" w:top="144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248" w:lineRule="exact"/>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April 1, 2019 relating to the financial statements, financial statement schedule, and the effectiveness of internal control over financial reporting, which appears in MongoDB Inc.'s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January 31, 2019.</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eg"/><Relationship Id="rId28" Type="http://schemas.openxmlformats.org/officeDocument/2006/relationships/image" Target="media/image15.jpeg"/><Relationship Id="rId8" Type="http://schemas.openxmlformats.org/officeDocument/2006/relationships/hyperlink" Target="http://www.sec.gov/Archives/edgar/data/1441816/000110465917063753/a17-24439_1ex3d1.htm" TargetMode="External"/><Relationship Id="rId9" Type="http://schemas.openxmlformats.org/officeDocument/2006/relationships/hyperlink" Target="http://www.sec.gov/Archives/edgar/data/1441816/000104746917006014/a2233365zex-3_4.htm" TargetMode="External"/><Relationship Id="rId10" Type="http://schemas.openxmlformats.org/officeDocument/2006/relationships/hyperlink" Target="http://www.sec.gov/Archives/edgar/data/1441816/000104746917006246/a2233386zex-4_1.htm" TargetMode="External"/><Relationship Id="rId11" Type="http://schemas.openxmlformats.org/officeDocument/2006/relationships/hyperlink" Target="http://www.sec.gov/Archives/edgar/data/1441816/000104746917006246/a2233386zex-10_2.htm" TargetMode="External"/><Relationship Id="rId12" Type="http://schemas.openxmlformats.org/officeDocument/2006/relationships/hyperlink" Target="http://www.sec.gov/Archives/edgar/data/1441816/000144181618000028/mdb-13118x10kxex103.htm" TargetMode="External"/><Relationship Id="rId13" Type="http://schemas.openxmlformats.org/officeDocument/2006/relationships/hyperlink" Target="http://www.sec.gov/Archives/edgar/data/1441816/000104746917006246/a2233386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2019-12-03T17:11:41Z</dcterms:created>
  <dcterms:modified xsi:type="dcterms:W3CDTF">2019-12-03T17:11:41Z</dcterms:modified>
</cp:coreProperties>
</file>