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MongoDB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60937P106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7"/>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5"/>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35901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1280"/>
          </w:cols>
          <w:pgMar w:left="160" w:top="150" w:right="459" w:bottom="1440" w:gutter="0" w:footer="0" w:header="0"/>
        </w:sectPr>
      </w:pPr>
    </w:p>
    <w:bookmarkStart w:id="1" w:name="page2"/>
    <w:bookmarkEnd w:id="1"/>
    <w:p>
      <w:pPr>
        <w:ind w:left="564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60937P106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31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5,508</w:t>
      </w: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79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2,250,067</w:t>
      </w:r>
    </w:p>
    <w:p>
      <w:pPr>
        <w:ind w:left="140" w:right="76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5,508</w:t>
      </w:r>
    </w:p>
    <w:p>
      <w:pPr>
        <w:ind w:left="100" w:right="387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2,255,575</w:t>
      </w:r>
    </w:p>
    <w:p>
      <w:pPr>
        <w:ind w:left="100" w:right="327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6.37%</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3590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0299"/>
          </w:cols>
          <w:pgMar w:left="160" w:top="285" w:right="1440" w:bottom="1440" w:gutter="0" w:footer="0" w:header="0"/>
        </w:sectPr>
      </w:pPr>
    </w:p>
    <w:bookmarkStart w:id="2" w:name="page3"/>
    <w:bookmarkEnd w:id="2"/>
    <w:p>
      <w:pPr>
        <w:jc w:val="center"/>
        <w:ind w:right="-126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MongoDB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229 W. 43rd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5th Floor</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NY 10036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60937P106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959" w:hanging="7"/>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2,255,575</w:t>
      </w:r>
    </w:p>
    <w:p>
      <w:pPr>
        <w:ind w:left="340" w:hanging="247"/>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3590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0299"/>
          </w:cols>
          <w:pgMar w:left="160" w:top="285" w:right="1440" w:bottom="1440" w:gutter="0" w:footer="0" w:header="0"/>
        </w:sectPr>
      </w:pPr>
    </w:p>
    <w:bookmarkStart w:id="3" w:name="page4"/>
    <w:bookmarkEnd w:id="3"/>
    <w:p>
      <w:pPr>
        <w:ind w:left="360" w:hanging="267"/>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7"/>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5,508</w:t>
      </w:r>
    </w:p>
    <w:p>
      <w:pPr>
        <w:spacing w:after="0" w:line="209" w:lineRule="exact"/>
        <w:rPr>
          <w:rFonts w:ascii="Arial" w:cs="Arial" w:eastAsia="Arial" w:hAnsi="Arial"/>
          <w:sz w:val="17"/>
          <w:szCs w:val="17"/>
          <w:color w:val="auto"/>
        </w:rPr>
      </w:pPr>
    </w:p>
    <w:p>
      <w:pPr>
        <w:ind w:left="380" w:hanging="287"/>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09" w:lineRule="exact"/>
        <w:rPr>
          <w:rFonts w:ascii="Arial" w:cs="Arial" w:eastAsia="Arial" w:hAnsi="Arial"/>
          <w:sz w:val="17"/>
          <w:szCs w:val="17"/>
          <w:color w:val="auto"/>
        </w:rPr>
      </w:pPr>
    </w:p>
    <w:p>
      <w:pPr>
        <w:ind w:left="100" w:right="6520" w:hanging="7"/>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2,250,067 (iv) shared power to dispose or to direct the disposition of: 5,508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jc w:val="both"/>
        <w:ind w:firstLine="85"/>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3590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1460"/>
          </w:cols>
          <w:pgMar w:left="160" w:top="285" w:right="27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38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5,508 shares or .01% of the Common Stock outstanding of the Company as a result of its serving as investment manager of collective trust accounts.</w:t>
      </w:r>
    </w:p>
    <w:p>
      <w:pPr>
        <w:sectPr>
          <w:pgSz w:w="11900" w:h="16838" w:orient="portrait"/>
          <w:cols w:equalWidth="0" w:num="1">
            <w:col w:w="11400"/>
          </w:cols>
          <w:pgMar w:left="160" w:top="285" w:right="339" w:bottom="1440" w:gutter="0" w:footer="0" w:header="0"/>
        </w:sectPr>
      </w:pP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Vanguard Investments Australia, Ltd. ("VIA"), a wholly-owned subsidiary of The Vanguard Group, Inc., is the beneficial owner of Stock outstanding of the Company as a result of its serving as investment manager of Australian investment offerings.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shares or .00% of the Common</w:t>
      </w:r>
    </w:p>
    <w:sectPr>
      <w:pgSz w:w="11900" w:h="16838" w:orient="portrait"/>
      <w:cols w:equalWidth="0" w:num="2">
        <w:col w:w="8940" w:space="300"/>
        <w:col w:w="2160"/>
      </w:cols>
      <w:pgMar w:left="160" w:top="28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2019-12-15T16:08:25Z</dcterms:created>
  <dcterms:modified xsi:type="dcterms:W3CDTF">2019-12-15T16:08:25Z</dcterms:modified>
</cp:coreProperties>
</file>