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Tanjga Srdjan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Interim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96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04/02/2025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1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6,931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04/02/2025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1"/>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173.25</w:t>
            </w:r>
            <w:r>
              <w:rPr>
                <w:rFonts w:ascii="Times New Roman" w:cs="Times New Roman" w:eastAsia="Times New Roman" w:hAnsi="Times New Roman"/>
                <w:sz w:val="22"/>
                <w:szCs w:val="22"/>
                <w:color w:val="008000"/>
                <w:w w:val="95"/>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6,410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04/02/2025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1"/>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174.71</w:t>
            </w:r>
            <w:r>
              <w:rPr>
                <w:rFonts w:ascii="Times New Roman" w:cs="Times New Roman" w:eastAsia="Times New Roman" w:hAnsi="Times New Roman"/>
                <w:sz w:val="22"/>
                <w:szCs w:val="22"/>
                <w:color w:val="008000"/>
                <w:w w:val="95"/>
                <w:vertAlign w:val="superscript"/>
              </w:rPr>
              <w:t>(4)</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6,406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received upon the vesting of a portion of the performance-based restricted stock units ("RSUs") awarded to the Reporting Person on March 20, 2024 under the Issuer's long-term incentive bonus plan and 2016 Equity Incentive Plan, which vested based on the Issuer's satisfaction of certain performance criteria. In light of the performance-based vesting criteria of the RSUs, such shares were not previously reportable under Section 16. Each RSU represents the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of Class A common stock to satisfy the Reporting Person's tax withholding obligations in connection with (i) the non-reportable service-based vesting and settlement of restricted stock units and (ii) the performance-based vesting and settlement of the above-listed RSUs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$173.25 to $173.88,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$174.44 to $174.83,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04/04/2025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5009"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2025-04-04T17:19:45Z</dcterms:created>
  <dcterms:modified xsi:type="dcterms:W3CDTF">2025-04-04T17:19:45Z</dcterms:modified>
</cp:coreProperties>
</file>